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Heading1"/>
        <w:spacing w:before="20"/>
        <w:ind w:left="273" w:right="154"/>
        <w:jc w:val="center"/>
      </w:pPr>
      <w:r>
        <w:rPr>
          <w:w w:val="95"/>
        </w:rPr>
        <w:t>名目</w:t>
      </w:r>
    </w:p>
    <w:p>
      <w:pPr>
        <w:pStyle w:val="BodyText"/>
        <w:spacing w:before="10"/>
        <w:rPr>
          <w:b/>
          <w:sz w:val="27"/>
        </w:rPr>
      </w:pPr>
    </w:p>
    <w:p>
      <w:pPr>
        <w:spacing w:before="42"/>
        <w:ind w:left="1620" w:right="0" w:firstLine="0"/>
        <w:jc w:val="left"/>
        <w:rPr>
          <w:b/>
          <w:sz w:val="42"/>
        </w:rPr>
      </w:pPr>
      <w:r>
        <w:rPr>
          <w:b/>
          <w:sz w:val="42"/>
        </w:rPr>
        <w:t>一、 餐饮行业市场分析</w:t>
      </w:r>
    </w:p>
    <w:p>
      <w:pPr>
        <w:pStyle w:val="BodyText"/>
        <w:spacing w:before="1"/>
        <w:rPr>
          <w:b/>
          <w:sz w:val="31"/>
        </w:rPr>
      </w:pPr>
    </w:p>
    <w:p>
      <w:pPr>
        <w:pStyle w:val="BodyText"/>
        <w:ind w:left="2430"/>
      </w:pPr>
      <w:r>
        <w:t>1、 南部餐饮市场分布及将来变量</w:t>
      </w:r>
    </w:p>
    <w:p>
      <w:pPr>
        <w:pStyle w:val="BodyText"/>
        <w:rPr>
          <w:sz w:val="31"/>
        </w:rPr>
      </w:pPr>
    </w:p>
    <w:p>
      <w:pPr>
        <w:pStyle w:val="BodyText"/>
        <w:ind w:left="2430"/>
      </w:pPr>
      <w:r>
        <w:t>2</w:t>
      </w:r>
      <w:r>
        <w:rPr>
          <w:spacing w:val="2"/>
        </w:rPr>
        <w:t>、 餐饮市场走势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2430"/>
      </w:pPr>
      <w:r>
        <w:t>3、 南部县餐饮市场走势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2430"/>
      </w:pPr>
      <w:r>
        <w:t>4</w:t>
      </w:r>
      <w:r>
        <w:rPr>
          <w:spacing w:val="22"/>
        </w:rPr>
        <w:t>、 中餐门店经营走势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2430"/>
      </w:pPr>
      <w:r>
        <w:t>5</w:t>
      </w:r>
      <w:r>
        <w:rPr>
          <w:spacing w:val="22"/>
        </w:rPr>
        <w:t>、 汤锅门店经营走势</w:t>
      </w:r>
    </w:p>
    <w:p>
      <w:pPr>
        <w:pStyle w:val="BodyText"/>
        <w:spacing w:before="1"/>
        <w:rPr>
          <w:sz w:val="31"/>
        </w:rPr>
      </w:pPr>
    </w:p>
    <w:p>
      <w:pPr>
        <w:spacing w:before="0" w:line="417" w:lineRule="auto"/>
        <w:ind w:left="1620" w:right="4485" w:firstLine="809"/>
        <w:jc w:val="left"/>
        <w:rPr>
          <w:b/>
          <w:sz w:val="42"/>
        </w:rPr>
      </w:pPr>
      <w:r>
        <w:rPr>
          <w:sz w:val="42"/>
        </w:rPr>
        <w:t>6、 业务拓展分析；中餐、火锅、汤锅、其它</w:t>
      </w:r>
      <w:r>
        <w:rPr>
          <w:b/>
          <w:sz w:val="42"/>
        </w:rPr>
        <w:t>二、 工程深度解析</w:t>
      </w:r>
    </w:p>
    <w:p>
      <w:pPr>
        <w:pStyle w:val="BodyText"/>
        <w:spacing w:line="537" w:lineRule="exact"/>
        <w:ind w:left="2430"/>
      </w:pPr>
      <w:r>
        <w:t>1、中餐门店深度解析</w:t>
      </w:r>
    </w:p>
    <w:p>
      <w:pPr>
        <w:pStyle w:val="BodyText"/>
        <w:rPr>
          <w:sz w:val="31"/>
        </w:rPr>
      </w:pPr>
    </w:p>
    <w:p>
      <w:pPr>
        <w:pStyle w:val="ListParagraph"/>
        <w:numPr>
          <w:ilvl w:val="1"/>
          <w:numId w:val="1"/>
        </w:numPr>
        <w:tabs>
          <w:tab w:val="left" w:pos="3065"/>
        </w:tabs>
        <w:spacing w:before="1" w:after="0" w:line="240" w:lineRule="auto"/>
        <w:ind w:left="3064" w:right="0" w:hanging="635"/>
        <w:jc w:val="left"/>
        <w:rPr>
          <w:sz w:val="42"/>
        </w:rPr>
      </w:pPr>
      <w:r>
        <w:rPr>
          <w:sz w:val="42"/>
        </w:rPr>
        <w:t>、振兴街店门店解析</w:t>
      </w:r>
    </w:p>
    <w:p>
      <w:pPr>
        <w:pStyle w:val="BodyText"/>
        <w:rPr>
          <w:sz w:val="31"/>
        </w:rPr>
      </w:pPr>
    </w:p>
    <w:p>
      <w:pPr>
        <w:pStyle w:val="ListParagraph"/>
        <w:numPr>
          <w:ilvl w:val="1"/>
          <w:numId w:val="1"/>
        </w:numPr>
        <w:tabs>
          <w:tab w:val="left" w:pos="3065"/>
        </w:tabs>
        <w:spacing w:before="0" w:after="0" w:line="240" w:lineRule="auto"/>
        <w:ind w:left="3064" w:right="0" w:hanging="635"/>
        <w:jc w:val="left"/>
        <w:rPr>
          <w:sz w:val="42"/>
        </w:rPr>
      </w:pPr>
      <w:r>
        <w:rPr>
          <w:spacing w:val="1"/>
          <w:sz w:val="42"/>
        </w:rPr>
        <w:t>、滨江店门店解析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spacing w:before="1"/>
        <w:ind w:left="2430"/>
      </w:pPr>
      <w:r>
        <w:t>2、汤锅门店深度解析</w:t>
      </w:r>
    </w:p>
    <w:p>
      <w:pPr>
        <w:pStyle w:val="BodyText"/>
        <w:rPr>
          <w:sz w:val="31"/>
        </w:rPr>
      </w:pPr>
    </w:p>
    <w:p>
      <w:pPr>
        <w:pStyle w:val="BodyText"/>
        <w:ind w:left="2459"/>
      </w:pPr>
      <w:r>
        <w:t>3、研发部深度解析</w:t>
      </w:r>
    </w:p>
    <w:p>
      <w:pPr>
        <w:pStyle w:val="BodyText"/>
        <w:spacing w:before="1"/>
        <w:rPr>
          <w:sz w:val="31"/>
        </w:rPr>
      </w:pPr>
    </w:p>
    <w:p>
      <w:pPr>
        <w:spacing w:before="0" w:line="417" w:lineRule="auto"/>
        <w:ind w:left="1620" w:right="9744" w:firstLine="838"/>
        <w:jc w:val="left"/>
        <w:rPr>
          <w:b/>
          <w:sz w:val="42"/>
        </w:rPr>
      </w:pPr>
      <w:r>
        <w:rPr>
          <w:sz w:val="42"/>
        </w:rPr>
        <w:t>4、年度执行打算</w:t>
      </w:r>
      <w:r>
        <w:rPr>
          <w:b/>
          <w:spacing w:val="-1"/>
          <w:sz w:val="42"/>
        </w:rPr>
        <w:t>三、门店经营营销打算</w:t>
      </w:r>
    </w:p>
    <w:p>
      <w:pPr>
        <w:pStyle w:val="BodyText"/>
        <w:spacing w:line="537" w:lineRule="exact"/>
        <w:ind w:left="2427"/>
      </w:pPr>
      <w:r>
        <w:t>1、中餐门店营销打算</w:t>
      </w:r>
    </w:p>
    <w:p>
      <w:pPr>
        <w:pStyle w:val="BodyText"/>
        <w:rPr>
          <w:sz w:val="31"/>
        </w:rPr>
      </w:pPr>
    </w:p>
    <w:p>
      <w:pPr>
        <w:pStyle w:val="BodyText"/>
        <w:spacing w:before="1"/>
        <w:ind w:left="2427"/>
      </w:pPr>
      <w:r>
        <w:t>2、汤锅门店营销打算</w:t>
      </w:r>
    </w:p>
    <w:p>
      <w:pPr>
        <w:pStyle w:val="BodyText"/>
        <w:spacing w:before="1"/>
        <w:rPr>
          <w:sz w:val="31"/>
        </w:rPr>
      </w:pPr>
    </w:p>
    <w:p>
      <w:pPr>
        <w:spacing w:before="0" w:line="417" w:lineRule="auto"/>
        <w:ind w:left="1620" w:right="7041" w:firstLine="806"/>
        <w:jc w:val="left"/>
        <w:rPr>
          <w:b/>
          <w:sz w:val="42"/>
        </w:rPr>
      </w:pPr>
      <w:r>
        <w:rPr>
          <w:sz w:val="42"/>
        </w:rPr>
        <w:t>3、研发部年度菜品研发执行打算</w:t>
      </w:r>
      <w:r>
        <w:rPr>
          <w:b/>
          <w:sz w:val="42"/>
        </w:rPr>
        <w:t>四、年度营销目标</w:t>
      </w:r>
    </w:p>
    <w:p>
      <w:pPr>
        <w:pStyle w:val="Heading1"/>
        <w:spacing w:line="417" w:lineRule="auto"/>
        <w:ind w:left="1620" w:right="10587"/>
      </w:pPr>
      <w:r>
        <w:rPr>
          <w:spacing w:val="-1"/>
        </w:rPr>
        <w:t>五、治理总部职责</w:t>
      </w:r>
      <w:r>
        <w:rPr>
          <w:w w:val="95"/>
        </w:rPr>
        <w:t>六、执行效果分析</w:t>
      </w:r>
    </w:p>
    <w:p>
      <w:pPr>
        <w:spacing w:after="0" w:line="417" w:lineRule="auto"/>
        <w:sectPr>
          <w:type w:val="continuous"/>
          <w:pgSz w:w="17860" w:h="25260"/>
          <w:pgMar w:top="1960" w:right="1200" w:bottom="280" w:left="1080" w:header="708" w:footer="708"/>
          <w:cols w:space="708"/>
        </w:sectPr>
      </w:pPr>
    </w:p>
    <w:p>
      <w:pPr>
        <w:spacing w:before="20"/>
        <w:ind w:left="273" w:right="154" w:firstLine="0"/>
        <w:jc w:val="center"/>
        <w:rPr>
          <w:rFonts w:ascii="黑体" w:eastAsia="黑体" w:hint="eastAsia"/>
          <w:b/>
          <w:sz w:val="42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219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2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黑体" w:eastAsia="黑体" w:hint="eastAsia"/>
          <w:b/>
          <w:w w:val="95"/>
          <w:sz w:val="42"/>
        </w:rPr>
        <w:t>餐饮行业市场分析</w:t>
      </w:r>
    </w:p>
    <w:p>
      <w:pPr>
        <w:pStyle w:val="BodyText"/>
        <w:rPr>
          <w:rFonts w:ascii="黑体"/>
          <w:b/>
        </w:rPr>
      </w:pPr>
    </w:p>
    <w:p>
      <w:pPr>
        <w:pStyle w:val="BodyText"/>
        <w:rPr>
          <w:rFonts w:ascii="黑体"/>
          <w:b/>
        </w:rPr>
      </w:pPr>
    </w:p>
    <w:p>
      <w:pPr>
        <w:pStyle w:val="BodyText"/>
        <w:rPr>
          <w:rFonts w:ascii="黑体"/>
          <w:b/>
        </w:rPr>
      </w:pPr>
    </w:p>
    <w:p>
      <w:pPr>
        <w:pStyle w:val="BodyText"/>
        <w:rPr>
          <w:rFonts w:ascii="黑体"/>
          <w:b/>
        </w:rPr>
      </w:pPr>
    </w:p>
    <w:p>
      <w:pPr>
        <w:pStyle w:val="BodyText"/>
        <w:rPr>
          <w:rFonts w:ascii="黑体"/>
          <w:b/>
        </w:rPr>
      </w:pPr>
    </w:p>
    <w:p>
      <w:pPr>
        <w:pStyle w:val="BodyText"/>
        <w:rPr>
          <w:rFonts w:ascii="黑体"/>
          <w:b/>
        </w:rPr>
      </w:pPr>
    </w:p>
    <w:p>
      <w:pPr>
        <w:pStyle w:val="BodyText"/>
        <w:rPr>
          <w:rFonts w:ascii="黑体"/>
          <w:b/>
        </w:rPr>
      </w:pPr>
    </w:p>
    <w:p>
      <w:pPr>
        <w:pStyle w:val="BodyText"/>
        <w:rPr>
          <w:rFonts w:ascii="黑体"/>
          <w:b/>
        </w:rPr>
      </w:pPr>
    </w:p>
    <w:p>
      <w:pPr>
        <w:pStyle w:val="BodyText"/>
        <w:rPr>
          <w:rFonts w:ascii="黑体"/>
          <w:b/>
        </w:rPr>
      </w:pPr>
    </w:p>
    <w:p>
      <w:pPr>
        <w:pStyle w:val="BodyText"/>
        <w:rPr>
          <w:rFonts w:ascii="黑体"/>
          <w:b/>
        </w:rPr>
      </w:pPr>
    </w:p>
    <w:p>
      <w:pPr>
        <w:pStyle w:val="BodyText"/>
        <w:rPr>
          <w:rFonts w:ascii="黑体"/>
          <w:b/>
        </w:rPr>
      </w:pPr>
    </w:p>
    <w:p>
      <w:pPr>
        <w:pStyle w:val="BodyText"/>
        <w:rPr>
          <w:rFonts w:ascii="黑体"/>
          <w:b/>
        </w:rPr>
      </w:pPr>
    </w:p>
    <w:p>
      <w:pPr>
        <w:pStyle w:val="BodyText"/>
        <w:rPr>
          <w:rFonts w:ascii="黑体"/>
          <w:b/>
        </w:rPr>
      </w:pPr>
    </w:p>
    <w:p>
      <w:pPr>
        <w:pStyle w:val="BodyText"/>
        <w:rPr>
          <w:rFonts w:ascii="黑体"/>
          <w:b/>
        </w:rPr>
      </w:pPr>
    </w:p>
    <w:p>
      <w:pPr>
        <w:pStyle w:val="BodyText"/>
        <w:rPr>
          <w:rFonts w:ascii="黑体"/>
          <w:b/>
        </w:rPr>
      </w:pPr>
    </w:p>
    <w:p>
      <w:pPr>
        <w:pStyle w:val="BodyText"/>
        <w:rPr>
          <w:rFonts w:ascii="黑体"/>
          <w:b/>
        </w:rPr>
      </w:pPr>
    </w:p>
    <w:p>
      <w:pPr>
        <w:pStyle w:val="BodyText"/>
        <w:rPr>
          <w:rFonts w:ascii="黑体"/>
          <w:b/>
          <w:sz w:val="34"/>
        </w:rPr>
      </w:pPr>
    </w:p>
    <w:p>
      <w:pPr>
        <w:pStyle w:val="Heading1"/>
        <w:ind w:left="2427"/>
      </w:pPr>
      <w:r>
        <w:t>1、南部餐饮市场分布</w:t>
      </w:r>
    </w:p>
    <w:p>
      <w:pPr>
        <w:pStyle w:val="BodyText"/>
        <w:spacing w:before="1"/>
        <w:rPr>
          <w:b/>
          <w:sz w:val="31"/>
        </w:rPr>
      </w:pPr>
    </w:p>
    <w:p>
      <w:pPr>
        <w:pStyle w:val="BodyText"/>
        <w:spacing w:line="417" w:lineRule="auto"/>
        <w:ind w:left="1620" w:right="1485" w:firstLine="806"/>
        <w:jc w:val="both"/>
      </w:pPr>
      <w:r>
        <w:rPr>
          <w:spacing w:val="-10"/>
        </w:rPr>
        <w:t>从上图我们可以看出，南部的餐饮集散点分布算是比较均匀，各</w:t>
      </w:r>
      <w:r>
        <w:rPr>
          <w:spacing w:val="-13"/>
        </w:rPr>
        <w:t>主流人群的居住、出行等地点均有相应的餐饮圈子，单纯的从区域划</w:t>
      </w:r>
      <w:r>
        <w:rPr>
          <w:spacing w:val="-7"/>
        </w:rPr>
        <w:t>分来说老城区的餐饮蛋糕在肯定程度上已经被瓜分完毕，能够介入市</w:t>
      </w:r>
      <w:r>
        <w:t>场的时机较少，但还保存有肯定的市场空间可供挖掘；</w:t>
      </w:r>
    </w:p>
    <w:p>
      <w:pPr>
        <w:pStyle w:val="BodyText"/>
        <w:spacing w:line="417" w:lineRule="auto"/>
        <w:ind w:left="1620" w:right="1491" w:firstLine="806"/>
      </w:pPr>
      <w:r>
        <w:rPr>
          <w:spacing w:val="-7"/>
        </w:rPr>
        <w:t>主要集中在以上河城为中心的滨江商业带、白鹤香洲中心式商</w:t>
      </w:r>
      <w:r>
        <w:t>业以及仍可供挖掘的北环商业动线上。</w:t>
      </w:r>
    </w:p>
    <w:p>
      <w:pPr>
        <w:pStyle w:val="BodyText"/>
        <w:spacing w:line="417" w:lineRule="auto"/>
        <w:ind w:left="1620" w:right="1468" w:firstLine="806"/>
        <w:jc w:val="both"/>
      </w:pPr>
      <w:r>
        <w:rPr>
          <w:spacing w:val="-7"/>
        </w:rPr>
        <w:t>市政区地块的的逐步成型也会来带相应的时机，但由于地产开</w:t>
      </w:r>
      <w:r>
        <w:rPr>
          <w:spacing w:val="-13"/>
        </w:rPr>
        <w:t>发商的操作力度不够，这块区域的实际价值仍需观望，我们可重点关注圣桦时代广场，其开发构造及开发理念上和操作手段均有肯定的下</w:t>
      </w:r>
      <w:r>
        <w:t>手空间。</w:t>
      </w:r>
    </w:p>
    <w:p>
      <w:pPr>
        <w:pStyle w:val="BodyText"/>
        <w:spacing w:line="537" w:lineRule="exact"/>
        <w:ind w:left="2427"/>
        <w:jc w:val="both"/>
      </w:pPr>
      <w:r>
        <w:t>其它关注对象：2.52 线属于长期关注区域，但非重点关注。河</w:t>
      </w:r>
    </w:p>
    <w:p>
      <w:pPr>
        <w:spacing w:after="0" w:line="537" w:lineRule="exact"/>
        <w:jc w:val="both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https://d.book118.com/165032044332011034</w:t>
        </w:r>
      </w:hyperlink>
    </w:p>
    <w:p>
      <w:pPr>
        <w:spacing w:after="0" w:line="537" w:lineRule="exact"/>
        <w:jc w:val="both"/>
      </w:pPr>
    </w:p>
    <w:sectPr>
      <w:pgSz w:w="17860" w:h="25260"/>
      <w:pgMar w:top="1960" w:right="1200" w:bottom="280" w:left="1080" w:header="708" w:footer="708"/>
      <w:pgNumType w:start="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楷体">
    <w:altName w:val="楷体"/>
    <w:charset w:val="86"/>
    <w:family w:val="modern"/>
    <w:pitch w:val="fixed"/>
    <w:sig w:usb0="00000000" w:usb1="00000000" w:usb2="00000000" w:usb3="00000000" w:csb0="00040000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A6FE712"/>
    <w:multiLevelType w:val="hybridMultilevel"/>
    <w:tmpl w:val="00000000"/>
    <w:lvl w:ilvl="0">
      <w:start w:val="1"/>
      <w:numFmt w:val="decimal"/>
      <w:lvlText w:val="%1"/>
      <w:lvlJc w:val="left"/>
      <w:pPr>
        <w:ind w:left="3064" w:hanging="634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064" w:hanging="634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5563" w:hanging="6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815" w:hanging="6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067" w:hanging="6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319" w:hanging="6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71" w:hanging="6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23" w:hanging="6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75" w:hanging="634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42"/>
      <w:szCs w:val="42"/>
    </w:rPr>
  </w:style>
  <w:style w:type="paragraph" w:customStyle="1" w:styleId="Heading1">
    <w:name w:val="Heading 1"/>
    <w:basedOn w:val="Normal"/>
    <w:uiPriority w:val="1"/>
    <w:qFormat/>
    <w:pPr>
      <w:ind w:left="2463"/>
      <w:outlineLvl w:val="1"/>
    </w:pPr>
    <w:rPr>
      <w:rFonts w:ascii="宋体" w:eastAsia="宋体" w:hAnsi="宋体" w:cs="宋体"/>
      <w:b/>
      <w:bCs/>
      <w:sz w:val="42"/>
      <w:szCs w:val="42"/>
    </w:rPr>
  </w:style>
  <w:style w:type="paragraph" w:styleId="ListParagraph">
    <w:name w:val="List Paragraph"/>
    <w:basedOn w:val="Normal"/>
    <w:uiPriority w:val="1"/>
    <w:qFormat/>
    <w:pPr>
      <w:ind w:left="3064" w:hanging="635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hyperlink" Target="https://d.book118.com/165032044332011034" TargetMode="External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2023-09-30T03:17:54Z</dcterms:created>
  <dcterms:modified xsi:type="dcterms:W3CDTF">2023-09-30T03:17:54Z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2023-05-14T00:00:00Z</vt:filetime>
  </property>
  <property fmtid="{D5CDD505-2E9C-101B-9397-08002B2CF9AE}" pid="3" name="LastSaved">
    <vt:filetime>2023-09-30T00:00:00Z</vt:filetime>
  </property>
</Properties>
</file>