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</w:p>
    <w:p/>
    <w:p/>
    <w:p/>
    <w:p/>
    <w:p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1602740</wp:posOffset>
                </wp:positionH>
                <wp:positionV relativeFrom="paragraph">
                  <wp:posOffset>332740</wp:posOffset>
                </wp:positionV>
                <wp:extent cx="3341370" cy="1390015"/>
                <wp:effectExtent l="0" t="0" r="0" b="0"/>
                <wp:wrapNone/>
                <wp:docPr id="86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341370" cy="13900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1080" w:lineRule="exact"/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0070C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0070C0"/>
                                <w:sz w:val="56"/>
                                <w:szCs w:val="56"/>
                              </w:rPr>
                              <w:t>WMS</w:t>
                            </w:r>
                            <w:r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0070C0"/>
                                <w:sz w:val="56"/>
                                <w:szCs w:val="56"/>
                              </w:rPr>
                              <w:t>仓储管理系统</w:t>
                            </w:r>
                          </w:p>
                          <w:p>
                            <w:pPr>
                              <w:spacing w:line="1080" w:lineRule="exact"/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0070C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0070C0"/>
                                <w:sz w:val="56"/>
                                <w:szCs w:val="56"/>
                              </w:rPr>
                              <w:t>操作说明书v</w:t>
                            </w:r>
                            <w:r>
                              <w:rPr>
                                <w:rFonts w:ascii="微软雅黑" w:eastAsia="微软雅黑" w:hAnsi="微软雅黑" w:cs="微软雅黑"/>
                                <w:b/>
                                <w:bCs/>
                                <w:color w:val="0070C0"/>
                                <w:sz w:val="56"/>
                                <w:szCs w:val="56"/>
                              </w:rPr>
                              <w:t>1.0</w:t>
                            </w:r>
                          </w:p>
                          <w:p>
                            <w:pPr>
                              <w:rPr>
                                <w:sz w:val="22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263.1pt;height:109.45pt;margin-top:26.2pt;margin-left:126.2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>
                      <w:pPr>
                        <w:spacing w:line="1080" w:lineRule="exact"/>
                        <w:rPr>
                          <w:rFonts w:ascii="微软雅黑" w:eastAsia="微软雅黑" w:hAnsi="微软雅黑" w:cs="微软雅黑"/>
                          <w:b/>
                          <w:bCs/>
                          <w:color w:val="0070C0"/>
                          <w:sz w:val="56"/>
                          <w:szCs w:val="56"/>
                        </w:rPr>
                      </w:pPr>
                      <w:r>
                        <w:rPr>
                          <w:rFonts w:ascii="微软雅黑" w:eastAsia="微软雅黑" w:hAnsi="微软雅黑" w:cs="微软雅黑"/>
                          <w:b/>
                          <w:bCs/>
                          <w:color w:val="0070C0"/>
                          <w:sz w:val="56"/>
                          <w:szCs w:val="56"/>
                        </w:rPr>
                        <w:t>WMS</w:t>
                      </w:r>
                      <w:r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0070C0"/>
                          <w:sz w:val="56"/>
                          <w:szCs w:val="56"/>
                        </w:rPr>
                        <w:t>仓储管理系统</w:t>
                      </w:r>
                    </w:p>
                    <w:p>
                      <w:pPr>
                        <w:spacing w:line="1080" w:lineRule="exact"/>
                        <w:rPr>
                          <w:rFonts w:ascii="微软雅黑" w:eastAsia="微软雅黑" w:hAnsi="微软雅黑" w:cs="微软雅黑"/>
                          <w:b/>
                          <w:bCs/>
                          <w:color w:val="0070C0"/>
                          <w:sz w:val="56"/>
                          <w:szCs w:val="56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0070C0"/>
                          <w:sz w:val="56"/>
                          <w:szCs w:val="56"/>
                        </w:rPr>
                        <w:t>操作说明书v</w:t>
                      </w:r>
                      <w:r>
                        <w:rPr>
                          <w:rFonts w:ascii="微软雅黑" w:eastAsia="微软雅黑" w:hAnsi="微软雅黑" w:cs="微软雅黑"/>
                          <w:b/>
                          <w:bCs/>
                          <w:color w:val="0070C0"/>
                          <w:sz w:val="56"/>
                          <w:szCs w:val="56"/>
                        </w:rPr>
                        <w:t>1.0</w:t>
                      </w:r>
                    </w:p>
                    <w:p>
                      <w:pPr>
                        <w:rPr>
                          <w:sz w:val="22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-346710</wp:posOffset>
                </wp:positionH>
                <wp:positionV relativeFrom="paragraph">
                  <wp:posOffset>370205</wp:posOffset>
                </wp:positionV>
                <wp:extent cx="1149985" cy="1192530"/>
                <wp:effectExtent l="28575" t="28575" r="40640" b="36195"/>
                <wp:wrapNone/>
                <wp:docPr id="84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50004" cy="119253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0070C0"/>
                          </a:solidFill>
                          <a:prstDash val="solid"/>
                          <a:miter lim="0"/>
                          <a:headEnd/>
                          <a:tailEnd/>
                        </a:ln>
                      </wps:spPr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style="width:90.55pt;height:93.9pt;margin-top:29.15pt;margin-left:-27.3pt;mso-wrap-distance-bottom:0;mso-wrap-distance-left:9pt;mso-wrap-distance-right:9pt;mso-wrap-distance-top:0;position:absolute;v-text-anchor:middle;z-index:251658240" filled="f" fillcolor="this" stroked="t" strokecolor="#0070c0" strokeweight="4.5pt">
                <v:stroke joinstyle="miter"/>
              </v:rect>
            </w:pict>
          </mc:Fallback>
        </mc:AlternateContent>
      </w:r>
    </w:p>
    <w:p/>
    <w:p/>
    <w:p/>
    <w:p/>
    <w:p/>
    <w:p/>
    <w:p/>
    <w:p/>
    <w:p/>
    <w:p/>
    <w:p/>
    <w:p/>
    <w:p/>
    <w:p/>
    <w:p/>
    <w:p>
      <w:p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</w:p>
    <w:sdt>
      <w:sdtPr>
        <w:rPr>
          <w:rFonts w:ascii="宋体" w:eastAsia="宋体" w:hAnsi="宋体"/>
          <w:sz w:val="21"/>
        </w:rPr>
        <w:id w:val="147467832"/>
        <w:docPartObj>
          <w:docPartGallery w:val="Table of Contents"/>
          <w:docPartUnique/>
        </w:docPartObj>
        <w15:color w:val="DBDBDB"/>
      </w:sdtPr>
      <w:sdtEndPr>
        <w:rPr>
          <w:rFonts w:ascii="Tahoma" w:eastAsia="仿宋_GB2312" w:hAnsi="Tahoma"/>
          <w:sz w:val="28"/>
        </w:rPr>
      </w:sdtEndPr>
      <w:sdtContent>
        <w:p>
          <w:pPr>
            <w:jc w:val="center"/>
          </w:pPr>
          <w:r>
            <w:rPr>
              <w:rFonts w:ascii="宋体" w:eastAsia="宋体" w:hAnsi="宋体"/>
              <w:sz w:val="21"/>
            </w:rPr>
            <w:t>目录</w:t>
          </w:r>
        </w:p>
        <w:p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sz w:val="21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67599971" w:history="1">
            <w:r>
              <w:rPr>
                <w:rStyle w:val="Hyperlink"/>
              </w:rPr>
              <w:t>1．系统设置</w:t>
            </w:r>
            <w:r>
              <w:tab/>
            </w:r>
            <w:r>
              <w:fldChar w:fldCharType="begin"/>
            </w:r>
            <w:r>
              <w:instrText xml:space="preserve"> PAGEREF _Toc67599971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72" w:history="1">
            <w:r>
              <w:rPr>
                <w:rStyle w:val="Hyperlink"/>
              </w:rPr>
              <w:t>1.1参数设置</w:t>
            </w:r>
            <w:r>
              <w:tab/>
            </w:r>
            <w:r>
              <w:fldChar w:fldCharType="begin"/>
            </w:r>
            <w:r>
              <w:instrText xml:space="preserve"> PAGEREF _Toc67599972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73" w:history="1">
            <w:r>
              <w:rPr>
                <w:rStyle w:val="Hyperlink"/>
              </w:rPr>
              <w:t>1.2上架规则</w:t>
            </w:r>
            <w:r>
              <w:tab/>
            </w:r>
            <w:r>
              <w:fldChar w:fldCharType="begin"/>
            </w:r>
            <w:r>
              <w:instrText xml:space="preserve"> PAGEREF _Toc67599973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74" w:history="1">
            <w:r>
              <w:rPr>
                <w:rStyle w:val="Hyperlink"/>
              </w:rPr>
              <w:t>1.3 上架策略</w:t>
            </w:r>
            <w:r>
              <w:tab/>
            </w:r>
            <w:r>
              <w:fldChar w:fldCharType="begin"/>
            </w:r>
            <w:r>
              <w:instrText xml:space="preserve"> PAGEREF _Toc67599974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75" w:history="1">
            <w:r>
              <w:rPr>
                <w:rStyle w:val="Hyperlink"/>
              </w:rPr>
              <w:t>1.4 库存规则配置</w:t>
            </w:r>
            <w:r>
              <w:tab/>
            </w:r>
            <w:r>
              <w:fldChar w:fldCharType="begin"/>
            </w:r>
            <w:r>
              <w:instrText xml:space="preserve"> PAGEREF _Toc67599975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76" w:history="1">
            <w:r>
              <w:rPr>
                <w:rStyle w:val="Hyperlink"/>
              </w:rPr>
              <w:t>1.5 自动盘点规则</w:t>
            </w:r>
            <w:r>
              <w:tab/>
            </w:r>
            <w:r>
              <w:fldChar w:fldCharType="begin"/>
            </w:r>
            <w:r>
              <w:instrText xml:space="preserve"> PAGEREF _Toc67599976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sz w:val="21"/>
            </w:rPr>
          </w:pPr>
          <w:hyperlink w:anchor="_Toc67599977" w:history="1">
            <w:r>
              <w:rPr>
                <w:rStyle w:val="Hyperlink"/>
              </w:rPr>
              <w:t>2．用户管理</w:t>
            </w:r>
            <w:r>
              <w:tab/>
            </w:r>
            <w:r>
              <w:fldChar w:fldCharType="begin"/>
            </w:r>
            <w:r>
              <w:instrText xml:space="preserve"> PAGEREF _Toc67599977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78" w:history="1">
            <w:r>
              <w:rPr>
                <w:rStyle w:val="Hyperlink"/>
              </w:rPr>
              <w:t>2.1角色管理</w:t>
            </w:r>
            <w:r>
              <w:tab/>
            </w:r>
            <w:r>
              <w:fldChar w:fldCharType="begin"/>
            </w:r>
            <w:r>
              <w:instrText xml:space="preserve"> PAGEREF _Toc67599978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79" w:history="1">
            <w:r>
              <w:rPr>
                <w:rStyle w:val="Hyperlink"/>
              </w:rPr>
              <w:t>2.2用户管理</w:t>
            </w:r>
            <w:r>
              <w:tab/>
            </w:r>
            <w:r>
              <w:fldChar w:fldCharType="begin"/>
            </w:r>
            <w:r>
              <w:instrText xml:space="preserve"> PAGEREF _Toc67599979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80" w:history="1">
            <w:r>
              <w:rPr>
                <w:rStyle w:val="Hyperlink"/>
              </w:rPr>
              <w:t>2.3组织架构</w:t>
            </w:r>
            <w:r>
              <w:tab/>
            </w:r>
            <w:r>
              <w:fldChar w:fldCharType="begin"/>
            </w:r>
            <w:r>
              <w:instrText xml:space="preserve"> PAGEREF _Toc67599980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sz w:val="21"/>
            </w:rPr>
          </w:pPr>
          <w:hyperlink w:anchor="_Toc67599981" w:history="1">
            <w:r>
              <w:rPr>
                <w:rStyle w:val="Hyperlink"/>
              </w:rPr>
              <w:t>3基础信息</w:t>
            </w:r>
            <w:r>
              <w:tab/>
            </w:r>
            <w:r>
              <w:fldChar w:fldCharType="begin"/>
            </w:r>
            <w:r>
              <w:instrText xml:space="preserve"> PAGEREF _Toc67599981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82" w:history="1">
            <w:r>
              <w:rPr>
                <w:rStyle w:val="Hyperlink"/>
              </w:rPr>
              <w:t>3.1仓库信息</w:t>
            </w:r>
            <w:r>
              <w:tab/>
            </w:r>
            <w:r>
              <w:fldChar w:fldCharType="begin"/>
            </w:r>
            <w:r>
              <w:instrText xml:space="preserve"> PAGEREF _Toc67599982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83" w:history="1">
            <w:r>
              <w:rPr>
                <w:rStyle w:val="Hyperlink"/>
              </w:rPr>
              <w:t>3.2工作区信息</w:t>
            </w:r>
            <w:r>
              <w:tab/>
            </w:r>
            <w:r>
              <w:fldChar w:fldCharType="begin"/>
            </w:r>
            <w:r>
              <w:instrText xml:space="preserve"> PAGEREF _Toc67599983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84" w:history="1">
            <w:r>
              <w:rPr>
                <w:rStyle w:val="Hyperlink"/>
              </w:rPr>
              <w:t>3.3客户信息</w:t>
            </w:r>
            <w:r>
              <w:tab/>
            </w:r>
            <w:r>
              <w:fldChar w:fldCharType="begin"/>
            </w:r>
            <w:r>
              <w:instrText xml:space="preserve"> PAGEREF _Toc67599984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85" w:history="1">
            <w:r>
              <w:rPr>
                <w:rStyle w:val="Hyperlink"/>
              </w:rPr>
              <w:t>3.4 类别管理</w:t>
            </w:r>
            <w:r>
              <w:tab/>
            </w:r>
            <w:r>
              <w:fldChar w:fldCharType="begin"/>
            </w:r>
            <w:r>
              <w:instrText xml:space="preserve"> PAGEREF _Toc67599985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86" w:history="1">
            <w:r>
              <w:rPr>
                <w:rStyle w:val="Hyperlink"/>
              </w:rPr>
              <w:t>3.5货位信息</w:t>
            </w:r>
            <w:r>
              <w:tab/>
            </w:r>
            <w:r>
              <w:fldChar w:fldCharType="begin"/>
            </w:r>
            <w:r>
              <w:instrText xml:space="preserve"> PAGEREF _Toc67599986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87" w:history="1">
            <w:r>
              <w:rPr>
                <w:rStyle w:val="Hyperlink"/>
              </w:rPr>
              <w:t>3.6 SKU信息</w:t>
            </w:r>
            <w:r>
              <w:tab/>
            </w:r>
            <w:r>
              <w:fldChar w:fldCharType="begin"/>
            </w:r>
            <w:r>
              <w:instrText xml:space="preserve"> PAGEREF _Toc67599987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88" w:history="1">
            <w:r>
              <w:rPr>
                <w:rStyle w:val="Hyperlink"/>
              </w:rPr>
              <w:t>3.7货列信息</w:t>
            </w:r>
            <w:r>
              <w:tab/>
            </w:r>
            <w:r>
              <w:fldChar w:fldCharType="begin"/>
            </w:r>
            <w:r>
              <w:instrText xml:space="preserve"> PAGEREF _Toc67599988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89" w:history="1">
            <w:r>
              <w:rPr>
                <w:rStyle w:val="Hyperlink"/>
              </w:rPr>
              <w:t>3.8库区信息</w:t>
            </w:r>
            <w:r>
              <w:tab/>
            </w:r>
            <w:r>
              <w:fldChar w:fldCharType="begin"/>
            </w:r>
            <w:r>
              <w:instrText xml:space="preserve"> PAGEREF _Toc67599989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sz w:val="21"/>
            </w:rPr>
          </w:pPr>
          <w:hyperlink w:anchor="_Toc67599990" w:history="1">
            <w:r>
              <w:rPr>
                <w:rStyle w:val="Hyperlink"/>
              </w:rPr>
              <w:t>4 入库管理</w:t>
            </w:r>
            <w:r>
              <w:tab/>
            </w:r>
            <w:r>
              <w:fldChar w:fldCharType="begin"/>
            </w:r>
            <w:r>
              <w:instrText xml:space="preserve"> PAGEREF _Toc67599990 \h </w:instrText>
            </w:r>
            <w:r>
              <w:fldChar w:fldCharType="separate"/>
            </w:r>
            <w:r>
              <w:t>22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91" w:history="1">
            <w:r>
              <w:rPr>
                <w:rStyle w:val="Hyperlink"/>
              </w:rPr>
              <w:t>4.1 到货单</w:t>
            </w:r>
            <w:r>
              <w:tab/>
            </w:r>
            <w:r>
              <w:fldChar w:fldCharType="begin"/>
            </w:r>
            <w:r>
              <w:instrText xml:space="preserve"> PAGEREF _Toc67599991 \h </w:instrText>
            </w:r>
            <w:r>
              <w:fldChar w:fldCharType="separate"/>
            </w:r>
            <w:r>
              <w:t>22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  <w:sectPr>
              <w:type w:val="nextPage"/>
              <w:pgSz w:w="11906" w:h="16838"/>
              <w:pgMar w:top="1440" w:right="1800" w:bottom="1440" w:left="1800" w:header="851" w:footer="992" w:gutter="0"/>
              <w:pgNumType w:start="2"/>
              <w:cols w:num="1" w:space="425"/>
              <w:titlePg w:val="0"/>
              <w:docGrid w:type="lines" w:linePitch="312" w:charSpace="0"/>
            </w:sectPr>
          </w:pPr>
          <w:hyperlink w:anchor="_Toc67599992" w:history="1">
            <w:r>
              <w:rPr>
                <w:rStyle w:val="Hyperlink"/>
              </w:rPr>
              <w:t>4.2 收货登记</w:t>
            </w:r>
            <w:r>
              <w:tab/>
            </w:r>
            <w:r>
              <w:fldChar w:fldCharType="begin"/>
            </w:r>
            <w:r>
              <w:instrText xml:space="preserve"> PAGEREF _Toc67599992 \h </w:instrText>
            </w:r>
            <w:r>
              <w:fldChar w:fldCharType="separate"/>
            </w:r>
            <w:r>
              <w:t>23</w:t>
            </w:r>
            <w:r>
              <w:fldChar w:fldCharType="end"/>
            </w:r>
          </w:hyperlink>
        </w:p>
      </w:sdtContent>
    </w:sdt>
    <w:sdt>
      <w:sdtPr>
        <w:rPr>
          <w:rFonts w:ascii="宋体" w:eastAsia="宋体" w:hAnsi="宋体"/>
          <w:sz w:val="21"/>
        </w:rPr>
        <w:id w:val="1724196591"/>
        <w:docPartObj>
          <w:docPartGallery w:val="Table of Contents"/>
          <w:docPartUnique/>
        </w:docPartObj>
        <w15:color w:val="DBDBDB"/>
      </w:sdtPr>
      <w:sdtEndPr>
        <w:rPr>
          <w:rFonts w:ascii="Tahoma" w:eastAsia="仿宋_GB2312" w:hAnsi="Tahoma"/>
          <w:sz w:val="28"/>
        </w:rPr>
      </w:sdtEndPr>
      <w:sdtContent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93" w:history="1">
            <w:r>
              <w:rPr>
                <w:rStyle w:val="Hyperlink"/>
              </w:rPr>
              <w:t>4.3 上架管理</w:t>
            </w:r>
            <w:r>
              <w:tab/>
            </w:r>
            <w:r>
              <w:fldChar w:fldCharType="begin"/>
            </w:r>
            <w:r>
              <w:instrText xml:space="preserve"> PAGEREF _Toc67599993 \h </w:instrText>
            </w:r>
            <w:r>
              <w:fldChar w:fldCharType="separate"/>
            </w:r>
            <w:r>
              <w:t>25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sz w:val="21"/>
            </w:rPr>
          </w:pPr>
          <w:hyperlink w:anchor="_Toc67599994" w:history="1">
            <w:r>
              <w:rPr>
                <w:rStyle w:val="Hyperlink"/>
              </w:rPr>
              <w:t>5 库内作业</w:t>
            </w:r>
            <w:r>
              <w:tab/>
            </w:r>
            <w:r>
              <w:fldChar w:fldCharType="begin"/>
            </w:r>
            <w:r>
              <w:instrText xml:space="preserve"> PAGEREF _Toc67599994 \h </w:instrText>
            </w:r>
            <w:r>
              <w:fldChar w:fldCharType="separate"/>
            </w:r>
            <w:r>
              <w:t>27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95" w:history="1">
            <w:r>
              <w:rPr>
                <w:rStyle w:val="Hyperlink"/>
              </w:rPr>
              <w:t>5.1 盘点计划</w:t>
            </w:r>
            <w:r>
              <w:tab/>
            </w:r>
            <w:r>
              <w:fldChar w:fldCharType="begin"/>
            </w:r>
            <w:r>
              <w:instrText xml:space="preserve"> PAGEREF _Toc67599995 \h </w:instrText>
            </w:r>
            <w:r>
              <w:fldChar w:fldCharType="separate"/>
            </w:r>
            <w:r>
              <w:t>27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96" w:history="1">
            <w:r>
              <w:rPr>
                <w:rStyle w:val="Hyperlink"/>
              </w:rPr>
              <w:t>5.2 调拨单</w:t>
            </w:r>
            <w:r>
              <w:tab/>
            </w:r>
            <w:r>
              <w:fldChar w:fldCharType="begin"/>
            </w:r>
            <w:r>
              <w:instrText xml:space="preserve"> PAGEREF _Toc67599996 \h </w:instrText>
            </w:r>
            <w:r>
              <w:fldChar w:fldCharType="separate"/>
            </w:r>
            <w:r>
              <w:t>28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97" w:history="1">
            <w:r>
              <w:rPr>
                <w:rStyle w:val="Hyperlink"/>
              </w:rPr>
              <w:t>5.3 库存移库单</w:t>
            </w:r>
            <w:r>
              <w:tab/>
            </w:r>
            <w:r>
              <w:fldChar w:fldCharType="begin"/>
            </w:r>
            <w:r>
              <w:instrText xml:space="preserve"> PAGEREF _Toc67599997 \h </w:instrText>
            </w:r>
            <w:r>
              <w:fldChar w:fldCharType="separate"/>
            </w:r>
            <w:r>
              <w:t>30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98" w:history="1">
            <w:r>
              <w:rPr>
                <w:rStyle w:val="Hyperlink"/>
              </w:rPr>
              <w:t>5.4 App移库操作</w:t>
            </w:r>
            <w:r>
              <w:tab/>
            </w:r>
            <w:r>
              <w:fldChar w:fldCharType="begin"/>
            </w:r>
            <w:r>
              <w:instrText xml:space="preserve"> PAGEREF _Toc67599998 \h </w:instrText>
            </w:r>
            <w:r>
              <w:fldChar w:fldCharType="separate"/>
            </w:r>
            <w:r>
              <w:t>31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599999" w:history="1">
            <w:r>
              <w:rPr>
                <w:rStyle w:val="Hyperlink"/>
              </w:rPr>
              <w:t>5.5移库查询</w:t>
            </w:r>
            <w:r>
              <w:tab/>
            </w:r>
            <w:r>
              <w:fldChar w:fldCharType="begin"/>
            </w:r>
            <w:r>
              <w:instrText xml:space="preserve"> PAGEREF _Toc67599999 \h </w:instrText>
            </w:r>
            <w:r>
              <w:fldChar w:fldCharType="separate"/>
            </w:r>
            <w:r>
              <w:t>32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sz w:val="21"/>
            </w:rPr>
          </w:pPr>
          <w:hyperlink w:anchor="_Toc67600000" w:history="1">
            <w:r>
              <w:rPr>
                <w:rStyle w:val="Hyperlink"/>
              </w:rPr>
              <w:t>6库存管理</w:t>
            </w:r>
            <w:r>
              <w:tab/>
            </w:r>
            <w:r>
              <w:fldChar w:fldCharType="begin"/>
            </w:r>
            <w:r>
              <w:instrText xml:space="preserve"> PAGEREF _Toc67600000 \h </w:instrText>
            </w:r>
            <w:r>
              <w:fldChar w:fldCharType="separate"/>
            </w:r>
            <w:r>
              <w:t>33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600001" w:history="1">
            <w:r>
              <w:rPr>
                <w:rStyle w:val="Hyperlink"/>
              </w:rPr>
              <w:t>6.1 sku库存</w:t>
            </w:r>
            <w:r>
              <w:tab/>
            </w:r>
            <w:r>
              <w:fldChar w:fldCharType="begin"/>
            </w:r>
            <w:r>
              <w:instrText xml:space="preserve"> PAGEREF _Toc67600001 \h </w:instrText>
            </w:r>
            <w:r>
              <w:fldChar w:fldCharType="separate"/>
            </w:r>
            <w:r>
              <w:t>33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600002" w:history="1">
            <w:r>
              <w:rPr>
                <w:rStyle w:val="Hyperlink"/>
              </w:rPr>
              <w:t>6.2 库位库存</w:t>
            </w:r>
            <w:r>
              <w:tab/>
            </w:r>
            <w:r>
              <w:fldChar w:fldCharType="begin"/>
            </w:r>
            <w:r>
              <w:instrText xml:space="preserve"> PAGEREF _Toc67600002 \h </w:instrText>
            </w:r>
            <w:r>
              <w:fldChar w:fldCharType="separate"/>
            </w:r>
            <w:r>
              <w:t>34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600003" w:history="1">
            <w:r>
              <w:rPr>
                <w:rStyle w:val="Hyperlink"/>
              </w:rPr>
              <w:t>6.3 批次库存</w:t>
            </w:r>
            <w:r>
              <w:tab/>
            </w:r>
            <w:r>
              <w:fldChar w:fldCharType="begin"/>
            </w:r>
            <w:r>
              <w:instrText xml:space="preserve"> PAGEREF _Toc67600003 \h </w:instrText>
            </w:r>
            <w:r>
              <w:fldChar w:fldCharType="separate"/>
            </w:r>
            <w:r>
              <w:t>34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sz w:val="21"/>
            </w:rPr>
          </w:pPr>
          <w:hyperlink w:anchor="_Toc67600004" w:history="1">
            <w:r>
              <w:rPr>
                <w:rStyle w:val="Hyperlink"/>
              </w:rPr>
              <w:t>7 出库管理</w:t>
            </w:r>
            <w:r>
              <w:tab/>
            </w:r>
            <w:r>
              <w:fldChar w:fldCharType="begin"/>
            </w:r>
            <w:r>
              <w:instrText xml:space="preserve"> PAGEREF _Toc67600004 \h </w:instrText>
            </w:r>
            <w:r>
              <w:fldChar w:fldCharType="separate"/>
            </w:r>
            <w:r>
              <w:t>35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600005" w:history="1">
            <w:r>
              <w:rPr>
                <w:rStyle w:val="Hyperlink"/>
              </w:rPr>
              <w:t>7.1 订单池</w:t>
            </w:r>
            <w:r>
              <w:tab/>
            </w:r>
            <w:r>
              <w:fldChar w:fldCharType="begin"/>
            </w:r>
            <w:r>
              <w:instrText xml:space="preserve"> PAGEREF _Toc67600005 \h </w:instrText>
            </w:r>
            <w:r>
              <w:fldChar w:fldCharType="separate"/>
            </w:r>
            <w:r>
              <w:t>35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600006" w:history="1">
            <w:r>
              <w:rPr>
                <w:rStyle w:val="Hyperlink"/>
              </w:rPr>
              <w:t>7.2 批量分配</w:t>
            </w:r>
            <w:r>
              <w:tab/>
            </w:r>
            <w:r>
              <w:fldChar w:fldCharType="begin"/>
            </w:r>
            <w:r>
              <w:instrText xml:space="preserve"> PAGEREF _Toc67600006 \h </w:instrText>
            </w:r>
            <w:r>
              <w:fldChar w:fldCharType="separate"/>
            </w:r>
            <w:r>
              <w:t>37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600007" w:history="1">
            <w:r>
              <w:rPr>
                <w:rStyle w:val="Hyperlink"/>
              </w:rPr>
              <w:t>7.3 拣货任务</w:t>
            </w:r>
            <w:r>
              <w:tab/>
            </w:r>
            <w:r>
              <w:fldChar w:fldCharType="begin"/>
            </w:r>
            <w:r>
              <w:instrText xml:space="preserve"> PAGEREF _Toc67600007 \h </w:instrText>
            </w:r>
            <w:r>
              <w:fldChar w:fldCharType="separate"/>
            </w:r>
            <w:r>
              <w:t>38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600008" w:history="1">
            <w:r>
              <w:rPr>
                <w:rStyle w:val="Hyperlink"/>
              </w:rPr>
              <w:t>7.4 app拣货</w:t>
            </w:r>
            <w:r>
              <w:tab/>
            </w:r>
            <w:r>
              <w:fldChar w:fldCharType="begin"/>
            </w:r>
            <w:r>
              <w:instrText xml:space="preserve"> PAGEREF _Toc67600008 \h </w:instrText>
            </w:r>
            <w:r>
              <w:fldChar w:fldCharType="separate"/>
            </w:r>
            <w:r>
              <w:t>38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600009" w:history="1">
            <w:r>
              <w:rPr>
                <w:rStyle w:val="Hyperlink"/>
              </w:rPr>
              <w:t>7.5 app提货交接</w:t>
            </w:r>
            <w:r>
              <w:tab/>
            </w:r>
            <w:r>
              <w:fldChar w:fldCharType="begin"/>
            </w:r>
            <w:r>
              <w:instrText xml:space="preserve"> PAGEREF _Toc67600009 \h </w:instrText>
            </w:r>
            <w:r>
              <w:fldChar w:fldCharType="separate"/>
            </w:r>
            <w:r>
              <w:t>40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560"/>
            <w:rPr>
              <w:rFonts w:asciiTheme="minorHAnsi" w:eastAsiaTheme="minorEastAsia" w:hAnsiTheme="minorHAnsi" w:cstheme="minorBidi"/>
              <w:sz w:val="21"/>
            </w:rPr>
          </w:pPr>
          <w:hyperlink w:anchor="_Toc67600010" w:history="1">
            <w:r>
              <w:rPr>
                <w:rStyle w:val="Hyperlink"/>
              </w:rPr>
              <w:t>7.6 提货交接</w:t>
            </w:r>
            <w:r>
              <w:tab/>
            </w:r>
            <w:r>
              <w:fldChar w:fldCharType="begin"/>
            </w:r>
            <w:r>
              <w:instrText xml:space="preserve"> PAGEREF _Toc67600010 \h </w:instrText>
            </w:r>
            <w:r>
              <w:fldChar w:fldCharType="separate"/>
            </w:r>
            <w:r>
              <w:t>40</w:t>
            </w:r>
            <w:r>
              <w:fldChar w:fldCharType="end"/>
            </w:r>
          </w:hyperlink>
        </w:p>
        <w:p>
          <w:pPr>
            <w:sectPr>
              <w:type w:val="nextPage"/>
              <w:pgSz w:w="11906" w:h="16838"/>
              <w:pgMar w:top="1440" w:right="1800" w:bottom="1440" w:left="1800" w:header="851" w:footer="992" w:gutter="0"/>
              <w:pgNumType w:start="3"/>
              <w:cols w:num="1" w:space="425"/>
              <w:titlePg w:val="0"/>
              <w:docGrid w:type="lines" w:linePitch="312" w:charSpace="0"/>
            </w:sectPr>
          </w:pPr>
          <w:r>
            <w:fldChar w:fldCharType="end"/>
          </w:r>
        </w:p>
      </w:sdtContent>
    </w:sdt>
    <w:p>
      <w:pPr>
        <w:pStyle w:val="1"/>
        <w:numPr>
          <w:ilvl w:val="0"/>
          <w:numId w:val="0"/>
        </w:numPr>
        <w:spacing w:line="500" w:lineRule="exact"/>
        <w:ind w:left="431" w:hanging="431"/>
      </w:pPr>
      <w:bookmarkStart w:id="1" w:name="_Toc67599971"/>
      <w:bookmarkStart w:id="2" w:name="_Toc531427262"/>
      <w:r>
        <w:rPr>
          <w:rFonts w:hint="eastAsia"/>
        </w:rPr>
        <w:t>1．系统设置</w:t>
      </w:r>
      <w:bookmarkEnd w:id="1"/>
      <w:bookmarkEnd w:id="2"/>
    </w:p>
    <w:p>
      <w:pPr>
        <w:pStyle w:val="Heading2"/>
        <w:numPr>
          <w:ilvl w:val="1"/>
          <w:numId w:val="0"/>
        </w:numPr>
        <w:tabs>
          <w:tab w:val="clear" w:pos="4122"/>
        </w:tabs>
        <w:ind w:left="280" w:right="280" w:leftChars="100"/>
      </w:pPr>
      <w:bookmarkStart w:id="3" w:name="_Toc67599972"/>
      <w:r>
        <w:rPr>
          <w:rFonts w:hint="eastAsia"/>
        </w:rPr>
        <w:t>1.</w:t>
      </w:r>
      <w:r>
        <w:t>1</w:t>
      </w:r>
      <w:r>
        <w:rPr>
          <w:rFonts w:hint="eastAsia"/>
        </w:rPr>
        <w:t>参数设置</w:t>
      </w:r>
      <w:bookmarkEnd w:id="3"/>
    </w:p>
    <w:p>
      <w:pPr>
        <w:spacing w:line="500" w:lineRule="exact"/>
        <w:rPr>
          <w:rFonts w:ascii="微软雅黑" w:eastAsia="微软雅黑" w:hAnsi="微软雅黑" w:cs="宋体"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岗位人员：管理员、IT</w:t>
      </w:r>
    </w:p>
    <w:p>
      <w:pPr>
        <w:spacing w:line="480" w:lineRule="exact"/>
        <w:rPr>
          <w:rFonts w:eastAsia="微软雅黑"/>
        </w:rPr>
      </w:pPr>
      <w:r>
        <w:rPr>
          <w:rFonts w:ascii="微软雅黑" w:eastAsia="微软雅黑" w:hAnsi="微软雅黑" w:hint="eastAsia"/>
          <w:sz w:val="24"/>
        </w:rPr>
        <w:t>路径：系统设置 》参数设置 》参数设置</w:t>
      </w:r>
    </w:p>
    <w:p>
      <w:pPr>
        <w:pStyle w:val="NormalWeb"/>
        <w:spacing w:before="0" w:beforeAutospacing="0" w:after="0" w:afterAutospacing="0" w:line="48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功能说明：管理系统使用用户，</w:t>
      </w:r>
      <w:r>
        <w:rPr>
          <w:rFonts w:ascii="微软雅黑" w:eastAsia="微软雅黑" w:hAnsi="微软雅黑" w:hint="eastAsia"/>
        </w:rPr>
        <w:t>需要走配置的参数配置，进行配置</w:t>
      </w:r>
      <w:r>
        <w:rPr>
          <w:rFonts w:ascii="微软雅黑" w:eastAsia="微软雅黑" w:hAnsi="微软雅黑"/>
        </w:rPr>
        <w:t>。</w:t>
      </w:r>
      <w:r>
        <w:rPr>
          <w:rFonts w:ascii="微软雅黑" w:eastAsia="微软雅黑" w:hAnsi="微软雅黑" w:hint="eastAsia"/>
        </w:rPr>
        <w:t>界面如图1.</w:t>
      </w:r>
      <w:r>
        <w:rPr>
          <w:rFonts w:ascii="微软雅黑" w:eastAsia="微软雅黑" w:hAnsi="微软雅黑"/>
        </w:rPr>
        <w:t>1</w:t>
      </w:r>
      <w:r>
        <w:rPr>
          <w:rFonts w:ascii="微软雅黑" w:eastAsia="微软雅黑" w:hAnsi="微软雅黑" w:hint="eastAsia"/>
        </w:rPr>
        <w:t>.1。</w:t>
      </w:r>
    </w:p>
    <w:p>
      <w:r>
        <w:rPr>
          <w:rFonts w:ascii="微软雅黑" w:eastAsia="微软雅黑" w:hAnsi="微软雅黑" w:cs="宋体"/>
          <w:color w:val="000000"/>
          <w:kern w:val="0"/>
          <w:sz w:val="24"/>
        </w:rPr>
        <w:t>操作说明：</w:t>
      </w: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点击添加，（</w:t>
      </w:r>
      <w:r>
        <w:rPr>
          <w:rFonts w:ascii="微软雅黑" w:eastAsia="微软雅黑" w:hAnsi="微软雅黑"/>
          <w:sz w:val="24"/>
        </w:rPr>
        <w:t>红色</w:t>
      </w:r>
      <w:r>
        <w:rPr>
          <w:rFonts w:ascii="微软雅黑" w:eastAsia="微软雅黑" w:hAnsi="微软雅黑" w:hint="eastAsia"/>
          <w:sz w:val="24"/>
        </w:rPr>
        <w:t>表示为</w:t>
      </w:r>
      <w:r>
        <w:rPr>
          <w:rFonts w:ascii="微软雅黑" w:eastAsia="微软雅黑" w:hAnsi="微软雅黑"/>
          <w:sz w:val="24"/>
        </w:rPr>
        <w:t>必填</w:t>
      </w:r>
      <w:r>
        <w:rPr>
          <w:rFonts w:ascii="微软雅黑" w:eastAsia="微软雅黑" w:hAnsi="微软雅黑" w:hint="eastAsia"/>
          <w:sz w:val="24"/>
        </w:rPr>
        <w:t>项</w:t>
      </w: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），提交</w:t>
      </w:r>
      <w:r>
        <w:rPr>
          <w:rFonts w:ascii="微软雅黑" w:eastAsia="微软雅黑" w:hAnsi="微软雅黑" w:cs="宋体"/>
          <w:color w:val="000000"/>
          <w:kern w:val="0"/>
          <w:sz w:val="24"/>
        </w:rPr>
        <w:t>即可</w:t>
      </w: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，另外功能导出，导入，没有模板自行下载导入模板，编辑，开启或禁用。</w:t>
      </w:r>
    </w:p>
    <w:p>
      <w:pPr>
        <w:pStyle w:val="BodyTextFirstIndent"/>
        <w:ind w:left="4290" w:hanging="4080" w:leftChars="75" w:hangingChars="1700"/>
        <w:rPr>
          <w:rFonts w:ascii="微软雅黑" w:eastAsia="微软雅黑" w:hAnsi="微软雅黑"/>
          <w:sz w:val="24"/>
          <w:lang w:eastAsia="zh-CN"/>
        </w:rPr>
      </w:pPr>
      <w:r>
        <w:rPr>
          <w:rFonts w:ascii="微软雅黑" w:eastAsia="微软雅黑" w:hAnsi="微软雅黑"/>
          <w:sz w:val="24"/>
          <w:lang w:eastAsia="zh-CN"/>
        </w:rPr>
        <w:drawing>
          <wp:inline distT="0" distB="0" distL="0" distR="0">
            <wp:extent cx="5274310" cy="2519045"/>
            <wp:effectExtent l="0" t="0" r="0" b="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  <w:sz w:val="24"/>
          <w:lang w:eastAsia="zh-CN"/>
        </w:rPr>
        <w:t>图1.</w:t>
      </w:r>
      <w:r>
        <w:rPr>
          <w:rFonts w:ascii="微软雅黑" w:eastAsia="微软雅黑" w:hAnsi="微软雅黑"/>
          <w:sz w:val="24"/>
          <w:lang w:eastAsia="zh-CN"/>
        </w:rPr>
        <w:t>1</w:t>
      </w:r>
      <w:r>
        <w:rPr>
          <w:rFonts w:ascii="微软雅黑" w:eastAsia="微软雅黑" w:hAnsi="微软雅黑" w:hint="eastAsia"/>
          <w:sz w:val="24"/>
          <w:lang w:eastAsia="zh-CN"/>
        </w:rPr>
        <w:t>.1</w:t>
      </w:r>
    </w:p>
    <w:p>
      <w:pPr>
        <w:pStyle w:val="Heading2"/>
        <w:numPr>
          <w:ilvl w:val="1"/>
          <w:numId w:val="0"/>
        </w:numPr>
        <w:tabs>
          <w:tab w:val="clear" w:pos="4122"/>
        </w:tabs>
        <w:ind w:left="280" w:right="280" w:leftChars="100"/>
      </w:pPr>
      <w:bookmarkStart w:id="4" w:name="_Toc67599973"/>
      <w:r>
        <w:rPr>
          <w:rFonts w:hint="eastAsia"/>
        </w:rPr>
        <w:t>1.</w:t>
      </w:r>
      <w:r>
        <w:t>2</w:t>
      </w:r>
      <w:r>
        <w:rPr>
          <w:rFonts w:hint="eastAsia"/>
        </w:rPr>
        <w:t>上架规则</w:t>
      </w:r>
      <w:bookmarkEnd w:id="4"/>
    </w:p>
    <w:p>
      <w:pPr>
        <w:spacing w:line="500" w:lineRule="exact"/>
        <w:rPr>
          <w:rFonts w:ascii="微软雅黑" w:eastAsia="微软雅黑" w:hAnsi="微软雅黑" w:cs="宋体"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岗位人员：操作人员</w:t>
      </w:r>
    </w:p>
    <w:p>
      <w:pPr>
        <w:spacing w:line="480" w:lineRule="exact"/>
        <w:rPr>
          <w:rFonts w:eastAsia="微软雅黑"/>
        </w:rPr>
      </w:pPr>
      <w:r>
        <w:rPr>
          <w:rFonts w:ascii="微软雅黑" w:eastAsia="微软雅黑" w:hAnsi="微软雅黑" w:hint="eastAsia"/>
          <w:sz w:val="24"/>
        </w:rPr>
        <w:t>路径：规则配置 》上架规则</w:t>
      </w:r>
    </w:p>
    <w:p>
      <w:pPr>
        <w:pStyle w:val="NormalWeb"/>
        <w:spacing w:before="0" w:beforeAutospacing="0" w:after="0" w:afterAutospacing="0" w:line="48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功能说明：创建维护</w:t>
      </w:r>
      <w:r>
        <w:rPr>
          <w:rFonts w:ascii="微软雅黑" w:eastAsia="微软雅黑" w:hAnsi="微软雅黑" w:hint="eastAsia"/>
        </w:rPr>
        <w:t>上架规则</w:t>
      </w:r>
      <w:r>
        <w:rPr>
          <w:rFonts w:ascii="微软雅黑" w:eastAsia="微软雅黑" w:hAnsi="微软雅黑"/>
        </w:rPr>
        <w:t>。</w:t>
      </w:r>
      <w:r>
        <w:rPr>
          <w:rFonts w:ascii="微软雅黑" w:eastAsia="微软雅黑" w:hAnsi="微软雅黑" w:hint="eastAsia"/>
        </w:rPr>
        <w:t>界面如图</w:t>
      </w:r>
      <w:r>
        <w:rPr>
          <w:rFonts w:ascii="微软雅黑" w:eastAsia="微软雅黑" w:hAnsi="微软雅黑"/>
        </w:rPr>
        <w:t>1.2</w:t>
      </w:r>
      <w:r>
        <w:rPr>
          <w:rFonts w:ascii="微软雅黑" w:eastAsia="微软雅黑" w:hAnsi="微软雅黑" w:hint="eastAsia"/>
        </w:rPr>
        <w:t>.1。</w:t>
      </w:r>
    </w:p>
    <w:p>
      <w:pPr>
        <w:spacing w:line="480" w:lineRule="exact"/>
        <w:rPr>
          <w:rFonts w:ascii="微软雅黑" w:eastAsia="微软雅黑" w:hAnsi="微软雅黑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宋体"/>
          <w:color w:val="000000"/>
          <w:kern w:val="0"/>
          <w:sz w:val="24"/>
        </w:rPr>
        <w:t>操作说明：</w:t>
      </w: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点击添加，填写基础相关信息，（</w:t>
      </w:r>
      <w:r>
        <w:rPr>
          <w:rFonts w:ascii="微软雅黑" w:eastAsia="微软雅黑" w:hAnsi="微软雅黑"/>
          <w:sz w:val="24"/>
        </w:rPr>
        <w:t>红色</w:t>
      </w:r>
      <w:r>
        <w:rPr>
          <w:rFonts w:ascii="微软雅黑" w:eastAsia="微软雅黑" w:hAnsi="微软雅黑" w:hint="eastAsia"/>
          <w:sz w:val="24"/>
        </w:rPr>
        <w:t>表示为</w:t>
      </w:r>
      <w:r>
        <w:rPr>
          <w:rFonts w:ascii="微软雅黑" w:eastAsia="微软雅黑" w:hAnsi="微软雅黑"/>
          <w:sz w:val="24"/>
        </w:rPr>
        <w:t>必填</w:t>
      </w:r>
      <w:r>
        <w:rPr>
          <w:rFonts w:ascii="微软雅黑" w:eastAsia="微软雅黑" w:hAnsi="微软雅黑" w:hint="eastAsia"/>
          <w:sz w:val="24"/>
        </w:rPr>
        <w:t>项</w:t>
      </w: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），提交</w:t>
      </w:r>
      <w:r>
        <w:rPr>
          <w:rFonts w:ascii="微软雅黑" w:eastAsia="微软雅黑" w:hAnsi="微软雅黑" w:cs="宋体"/>
          <w:color w:val="000000"/>
          <w:kern w:val="0"/>
          <w:sz w:val="24"/>
        </w:rPr>
        <w:t>即可。</w:t>
      </w:r>
    </w:p>
    <w:p>
      <w:pPr>
        <w:jc w:val="center"/>
      </w:pPr>
      <w:r>
        <w:drawing>
          <wp:inline distT="0" distB="0" distL="114300" distR="114300">
            <wp:extent cx="5267960" cy="2568575"/>
            <wp:effectExtent l="0" t="0" r="8890" b="3175"/>
            <wp:docPr id="5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56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图</w:t>
      </w:r>
      <w:r>
        <w:rPr>
          <w:rFonts w:ascii="微软雅黑" w:eastAsia="微软雅黑" w:hAnsi="微软雅黑"/>
          <w:sz w:val="24"/>
        </w:rPr>
        <w:t>1</w:t>
      </w:r>
      <w:r>
        <w:rPr>
          <w:rFonts w:ascii="微软雅黑" w:eastAsia="微软雅黑" w:hAnsi="微软雅黑" w:hint="eastAsia"/>
          <w:sz w:val="24"/>
        </w:rPr>
        <w:t>.</w:t>
      </w:r>
      <w:r>
        <w:rPr>
          <w:rFonts w:ascii="微软雅黑" w:eastAsia="微软雅黑" w:hAnsi="微软雅黑"/>
          <w:sz w:val="24"/>
        </w:rPr>
        <w:t>2</w:t>
      </w:r>
      <w:r>
        <w:rPr>
          <w:rFonts w:ascii="微软雅黑" w:eastAsia="微软雅黑" w:hAnsi="微软雅黑" w:hint="eastAsia"/>
          <w:sz w:val="24"/>
        </w:rPr>
        <w:t>.1</w:t>
      </w:r>
    </w:p>
    <w:p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sz w:val="24"/>
        </w:rPr>
        <w:t>查询已经维护好的上架规则，如图</w:t>
      </w:r>
      <w:r>
        <w:rPr>
          <w:rFonts w:ascii="微软雅黑" w:eastAsia="微软雅黑" w:hAnsi="微软雅黑"/>
          <w:sz w:val="24"/>
        </w:rPr>
        <w:t>1</w:t>
      </w:r>
      <w:r>
        <w:rPr>
          <w:rFonts w:ascii="微软雅黑" w:eastAsia="微软雅黑" w:hAnsi="微软雅黑" w:hint="eastAsia"/>
          <w:sz w:val="24"/>
        </w:rPr>
        <w:t>.</w:t>
      </w:r>
      <w:r>
        <w:rPr>
          <w:rFonts w:ascii="微软雅黑" w:eastAsia="微软雅黑" w:hAnsi="微软雅黑"/>
          <w:sz w:val="24"/>
        </w:rPr>
        <w:t>2</w:t>
      </w:r>
      <w:r>
        <w:rPr>
          <w:rFonts w:ascii="微软雅黑" w:eastAsia="微软雅黑" w:hAnsi="微软雅黑" w:hint="eastAsia"/>
          <w:sz w:val="24"/>
        </w:rPr>
        <w:t>.</w:t>
      </w:r>
      <w:r>
        <w:rPr>
          <w:rFonts w:ascii="微软雅黑" w:eastAsia="微软雅黑" w:hAnsi="微软雅黑"/>
          <w:sz w:val="24"/>
        </w:rPr>
        <w:t>2</w:t>
      </w:r>
    </w:p>
    <w:p>
      <w:pPr>
        <w:jc w:val="center"/>
      </w:pPr>
      <w:r>
        <w:drawing>
          <wp:inline distT="0" distB="0" distL="114300" distR="114300">
            <wp:extent cx="5273675" cy="2556510"/>
            <wp:effectExtent l="0" t="0" r="3175" b="15240"/>
            <wp:docPr id="5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5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图</w:t>
      </w:r>
      <w:r>
        <w:rPr>
          <w:rFonts w:ascii="微软雅黑" w:eastAsia="微软雅黑" w:hAnsi="微软雅黑"/>
          <w:sz w:val="24"/>
        </w:rPr>
        <w:t>1</w:t>
      </w:r>
      <w:r>
        <w:rPr>
          <w:rFonts w:ascii="微软雅黑" w:eastAsia="微软雅黑" w:hAnsi="微软雅黑" w:hint="eastAsia"/>
          <w:sz w:val="24"/>
        </w:rPr>
        <w:t>.</w:t>
      </w:r>
      <w:r>
        <w:rPr>
          <w:rFonts w:ascii="微软雅黑" w:eastAsia="微软雅黑" w:hAnsi="微软雅黑"/>
          <w:sz w:val="24"/>
        </w:rPr>
        <w:t>2</w:t>
      </w:r>
      <w:r>
        <w:rPr>
          <w:rFonts w:ascii="微软雅黑" w:eastAsia="微软雅黑" w:hAnsi="微软雅黑" w:hint="eastAsia"/>
          <w:sz w:val="24"/>
        </w:rPr>
        <w:t>.</w:t>
      </w:r>
      <w:r>
        <w:rPr>
          <w:rFonts w:ascii="微软雅黑" w:eastAsia="微软雅黑" w:hAnsi="微软雅黑"/>
          <w:sz w:val="24"/>
        </w:rPr>
        <w:t>2</w:t>
      </w:r>
    </w:p>
    <w:p>
      <w:pPr>
        <w:pStyle w:val="Heading2"/>
        <w:numPr>
          <w:ilvl w:val="1"/>
          <w:numId w:val="0"/>
        </w:numPr>
        <w:tabs>
          <w:tab w:val="clear" w:pos="4122"/>
        </w:tabs>
        <w:ind w:left="280" w:right="280" w:leftChars="100"/>
      </w:pPr>
      <w:bookmarkStart w:id="5" w:name="_Toc67599974"/>
      <w:r>
        <w:t>1.3</w:t>
      </w:r>
      <w:r>
        <w:rPr>
          <w:rFonts w:hint="eastAsia"/>
        </w:rPr>
        <w:t xml:space="preserve"> 上架策略</w:t>
      </w:r>
      <w:bookmarkEnd w:id="5"/>
    </w:p>
    <w:p>
      <w:pPr>
        <w:spacing w:line="500" w:lineRule="exact"/>
        <w:rPr>
          <w:rFonts w:ascii="微软雅黑" w:eastAsia="微软雅黑" w:hAnsi="微软雅黑" w:cs="宋体"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岗位人员：操作人员</w:t>
      </w:r>
    </w:p>
    <w:p>
      <w:pPr>
        <w:spacing w:line="480" w:lineRule="exact"/>
        <w:rPr>
          <w:rFonts w:eastAsia="微软雅黑"/>
        </w:rPr>
      </w:pPr>
      <w:r>
        <w:rPr>
          <w:rFonts w:ascii="微软雅黑" w:eastAsia="微软雅黑" w:hAnsi="微软雅黑" w:hint="eastAsia"/>
          <w:sz w:val="24"/>
        </w:rPr>
        <w:t>路径：规则配置 》上架策略</w:t>
      </w:r>
    </w:p>
    <w:p>
      <w:pPr>
        <w:pStyle w:val="NormalWeb"/>
        <w:spacing w:before="0" w:beforeAutospacing="0" w:after="0" w:afterAutospacing="0" w:line="48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功能说明：创建维护</w:t>
      </w:r>
      <w:r>
        <w:rPr>
          <w:rFonts w:ascii="微软雅黑" w:eastAsia="微软雅黑" w:hAnsi="微软雅黑" w:hint="eastAsia"/>
        </w:rPr>
        <w:t>上架策略</w:t>
      </w:r>
      <w:r>
        <w:rPr>
          <w:rFonts w:ascii="微软雅黑" w:eastAsia="微软雅黑" w:hAnsi="微软雅黑"/>
        </w:rPr>
        <w:t>。</w:t>
      </w:r>
      <w:r>
        <w:rPr>
          <w:rFonts w:ascii="微软雅黑" w:eastAsia="微软雅黑" w:hAnsi="微软雅黑" w:hint="eastAsia"/>
        </w:rPr>
        <w:t>界面如图1.</w:t>
      </w:r>
      <w:r>
        <w:rPr>
          <w:rFonts w:ascii="微软雅黑" w:eastAsia="微软雅黑" w:hAnsi="微软雅黑"/>
        </w:rPr>
        <w:t>3</w:t>
      </w:r>
      <w:r>
        <w:rPr>
          <w:rFonts w:ascii="微软雅黑" w:eastAsia="微软雅黑" w:hAnsi="微软雅黑" w:hint="eastAsia"/>
        </w:rPr>
        <w:t>.1。</w:t>
      </w:r>
    </w:p>
    <w:p>
      <w:pPr>
        <w:spacing w:line="480" w:lineRule="exac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cs="宋体"/>
          <w:color w:val="000000"/>
          <w:kern w:val="0"/>
          <w:sz w:val="24"/>
        </w:rPr>
        <w:t>操作说明：</w:t>
      </w: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点击添加，填写基础相关信息，（</w:t>
      </w:r>
      <w:r>
        <w:rPr>
          <w:rFonts w:ascii="微软雅黑" w:eastAsia="微软雅黑" w:hAnsi="微软雅黑"/>
          <w:sz w:val="24"/>
        </w:rPr>
        <w:t>红色</w:t>
      </w:r>
      <w:r>
        <w:rPr>
          <w:rFonts w:ascii="微软雅黑" w:eastAsia="微软雅黑" w:hAnsi="微软雅黑" w:hint="eastAsia"/>
          <w:sz w:val="24"/>
        </w:rPr>
        <w:t>表示为</w:t>
      </w:r>
      <w:r>
        <w:rPr>
          <w:rFonts w:ascii="微软雅黑" w:eastAsia="微软雅黑" w:hAnsi="微软雅黑"/>
          <w:sz w:val="24"/>
        </w:rPr>
        <w:t>必填</w:t>
      </w:r>
      <w:r>
        <w:rPr>
          <w:rFonts w:ascii="微软雅黑" w:eastAsia="微软雅黑" w:hAnsi="微软雅黑" w:hint="eastAsia"/>
          <w:sz w:val="24"/>
        </w:rPr>
        <w:t>项</w:t>
      </w: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），提交</w:t>
      </w:r>
      <w:r>
        <w:rPr>
          <w:rFonts w:ascii="微软雅黑" w:eastAsia="微软雅黑" w:hAnsi="微软雅黑" w:cs="宋体"/>
          <w:color w:val="000000"/>
          <w:kern w:val="0"/>
          <w:sz w:val="24"/>
        </w:rPr>
        <w:t>即可。</w:t>
      </w:r>
    </w:p>
    <w:p>
      <w:pPr>
        <w:jc w:val="center"/>
        <w:rPr>
          <w:rFonts w:ascii="微软雅黑" w:eastAsia="微软雅黑" w:hAnsi="微软雅黑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jc w:val="center"/>
      </w:pPr>
      <w:r>
        <w:drawing>
          <wp:inline distT="0" distB="0" distL="114300" distR="114300">
            <wp:extent cx="5270500" cy="3020695"/>
            <wp:effectExtent l="0" t="0" r="6350" b="8255"/>
            <wp:docPr id="6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2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图</w:t>
      </w:r>
      <w:r>
        <w:rPr>
          <w:rFonts w:ascii="微软雅黑" w:eastAsia="微软雅黑" w:hAnsi="微软雅黑"/>
          <w:sz w:val="24"/>
        </w:rPr>
        <w:t>1</w:t>
      </w:r>
      <w:r>
        <w:rPr>
          <w:rFonts w:ascii="微软雅黑" w:eastAsia="微软雅黑" w:hAnsi="微软雅黑" w:hint="eastAsia"/>
          <w:sz w:val="24"/>
        </w:rPr>
        <w:t>.</w:t>
      </w:r>
      <w:r>
        <w:rPr>
          <w:rFonts w:ascii="微软雅黑" w:eastAsia="微软雅黑" w:hAnsi="微软雅黑"/>
          <w:sz w:val="24"/>
        </w:rPr>
        <w:t>3</w:t>
      </w:r>
      <w:r>
        <w:rPr>
          <w:rFonts w:ascii="微软雅黑" w:eastAsia="微软雅黑" w:hAnsi="微软雅黑" w:hint="eastAsia"/>
          <w:sz w:val="24"/>
        </w:rPr>
        <w:t>.1</w:t>
      </w:r>
    </w:p>
    <w:p>
      <w:pPr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/>
          <w:sz w:val="24"/>
        </w:rPr>
        <w:t>功能说明：</w:t>
      </w:r>
      <w:r>
        <w:rPr>
          <w:rFonts w:ascii="微软雅黑" w:eastAsia="微软雅黑" w:hAnsi="微软雅黑" w:hint="eastAsia"/>
          <w:sz w:val="24"/>
        </w:rPr>
        <w:t>查询已经维护好的上架策略，如图</w:t>
      </w:r>
      <w:r>
        <w:rPr>
          <w:rFonts w:ascii="微软雅黑" w:eastAsia="微软雅黑" w:hAnsi="微软雅黑"/>
          <w:sz w:val="24"/>
        </w:rPr>
        <w:t>1</w:t>
      </w:r>
      <w:r>
        <w:rPr>
          <w:rFonts w:ascii="微软雅黑" w:eastAsia="微软雅黑" w:hAnsi="微软雅黑" w:hint="eastAsia"/>
          <w:sz w:val="24"/>
        </w:rPr>
        <w:t>.</w:t>
      </w:r>
      <w:r>
        <w:rPr>
          <w:rFonts w:ascii="微软雅黑" w:eastAsia="微软雅黑" w:hAnsi="微软雅黑"/>
          <w:sz w:val="24"/>
        </w:rPr>
        <w:t>3</w:t>
      </w:r>
      <w:r>
        <w:rPr>
          <w:rFonts w:ascii="微软雅黑" w:eastAsia="微软雅黑" w:hAnsi="微软雅黑" w:hint="eastAsia"/>
          <w:sz w:val="24"/>
        </w:rPr>
        <w:t>.2</w:t>
      </w:r>
    </w:p>
    <w:p>
      <w:pPr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cs="宋体"/>
          <w:color w:val="000000"/>
          <w:kern w:val="0"/>
          <w:sz w:val="24"/>
        </w:rPr>
        <w:t>操作说明</w:t>
      </w: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：根据条件点击查询，另外功能导入，没有模板自行下载导入模板，编辑功能，开启或禁用。</w:t>
      </w:r>
    </w:p>
    <w:p>
      <w:pPr>
        <w:rPr>
          <w:rFonts w:ascii="微软雅黑" w:eastAsia="微软雅黑" w:hAnsi="微软雅黑"/>
          <w:sz w:val="24"/>
        </w:rPr>
      </w:pPr>
    </w:p>
    <w:p>
      <w:pPr>
        <w:jc w:val="center"/>
      </w:pPr>
      <w:r>
        <w:drawing>
          <wp:inline distT="0" distB="0" distL="0" distR="0">
            <wp:extent cx="5274310" cy="2978150"/>
            <wp:effectExtent l="0" t="0" r="0" b="635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eastAsia="微软雅黑" w:hAnsi="微软雅黑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hint="eastAsia"/>
          <w:sz w:val="24"/>
        </w:rPr>
        <w:t>图</w:t>
      </w:r>
      <w:r>
        <w:rPr>
          <w:rFonts w:ascii="微软雅黑" w:eastAsia="微软雅黑" w:hAnsi="微软雅黑"/>
          <w:sz w:val="24"/>
        </w:rPr>
        <w:t>1</w:t>
      </w:r>
      <w:r>
        <w:rPr>
          <w:rFonts w:ascii="微软雅黑" w:eastAsia="微软雅黑" w:hAnsi="微软雅黑" w:hint="eastAsia"/>
          <w:sz w:val="24"/>
        </w:rPr>
        <w:t>.</w:t>
      </w:r>
      <w:r>
        <w:rPr>
          <w:rFonts w:ascii="微软雅黑" w:eastAsia="微软雅黑" w:hAnsi="微软雅黑"/>
          <w:sz w:val="24"/>
        </w:rPr>
        <w:t>3</w:t>
      </w:r>
      <w:r>
        <w:rPr>
          <w:rFonts w:ascii="微软雅黑" w:eastAsia="微软雅黑" w:hAnsi="微软雅黑" w:hint="eastAsia"/>
          <w:sz w:val="24"/>
        </w:rPr>
        <w:t>.2</w:t>
      </w:r>
    </w:p>
    <w:p>
      <w:pPr>
        <w:pStyle w:val="Heading2"/>
        <w:numPr>
          <w:ilvl w:val="1"/>
          <w:numId w:val="0"/>
        </w:numPr>
        <w:tabs>
          <w:tab w:val="clear" w:pos="4122"/>
        </w:tabs>
        <w:ind w:left="280" w:right="280" w:leftChars="100"/>
      </w:pPr>
      <w:bookmarkStart w:id="6" w:name="_Toc67599975"/>
      <w:r>
        <w:t>1</w:t>
      </w:r>
      <w:r>
        <w:rPr>
          <w:rFonts w:hint="eastAsia"/>
        </w:rPr>
        <w:t>.</w:t>
      </w:r>
      <w:r>
        <w:t>4</w:t>
      </w:r>
      <w:r>
        <w:rPr>
          <w:rFonts w:hint="eastAsia"/>
        </w:rPr>
        <w:t xml:space="preserve"> 库存规则配置</w:t>
      </w:r>
      <w:bookmarkEnd w:id="6"/>
    </w:p>
    <w:p>
      <w:pPr>
        <w:spacing w:line="500" w:lineRule="exact"/>
        <w:rPr>
          <w:rFonts w:ascii="微软雅黑" w:eastAsia="微软雅黑" w:hAnsi="微软雅黑" w:cs="宋体"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岗位人员：操作人员</w:t>
      </w:r>
    </w:p>
    <w:p>
      <w:pPr>
        <w:spacing w:line="480" w:lineRule="exact"/>
        <w:rPr>
          <w:rFonts w:eastAsia="微软雅黑"/>
          <w:sz w:val="24"/>
        </w:rPr>
      </w:pPr>
      <w:r>
        <w:rPr>
          <w:rFonts w:ascii="微软雅黑" w:eastAsia="微软雅黑" w:hAnsi="微软雅黑" w:hint="eastAsia"/>
          <w:sz w:val="24"/>
        </w:rPr>
        <w:t>路径：规则配置 》库存规则配置</w:t>
      </w:r>
    </w:p>
    <w:p>
      <w:pPr>
        <w:spacing w:line="480" w:lineRule="exac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/>
          <w:sz w:val="24"/>
        </w:rPr>
        <w:t>功能说明：创建维护</w:t>
      </w:r>
      <w:r>
        <w:rPr>
          <w:rFonts w:ascii="微软雅黑" w:eastAsia="微软雅黑" w:hAnsi="微软雅黑" w:hint="eastAsia"/>
          <w:sz w:val="24"/>
        </w:rPr>
        <w:t>库存规则配置</w:t>
      </w:r>
      <w:r>
        <w:rPr>
          <w:rFonts w:ascii="微软雅黑" w:eastAsia="微软雅黑" w:hAnsi="微软雅黑"/>
          <w:sz w:val="24"/>
        </w:rPr>
        <w:t>。</w:t>
      </w:r>
      <w:r>
        <w:rPr>
          <w:rFonts w:ascii="微软雅黑" w:eastAsia="微软雅黑" w:hAnsi="微软雅黑" w:hint="eastAsia"/>
          <w:sz w:val="24"/>
        </w:rPr>
        <w:t>界面如图</w:t>
      </w:r>
      <w:r>
        <w:rPr>
          <w:rFonts w:ascii="微软雅黑" w:eastAsia="微软雅黑" w:hAnsi="微软雅黑"/>
          <w:sz w:val="24"/>
        </w:rPr>
        <w:t>1</w:t>
      </w:r>
      <w:r>
        <w:rPr>
          <w:rFonts w:ascii="微软雅黑" w:eastAsia="微软雅黑" w:hAnsi="微软雅黑" w:hint="eastAsia"/>
          <w:sz w:val="24"/>
        </w:rPr>
        <w:t>.</w:t>
      </w:r>
      <w:r>
        <w:rPr>
          <w:rFonts w:ascii="微软雅黑" w:eastAsia="微软雅黑" w:hAnsi="微软雅黑"/>
          <w:sz w:val="24"/>
        </w:rPr>
        <w:t>4</w:t>
      </w:r>
      <w:r>
        <w:rPr>
          <w:rFonts w:ascii="微软雅黑" w:eastAsia="微软雅黑" w:hAnsi="微软雅黑" w:hint="eastAsia"/>
          <w:sz w:val="24"/>
        </w:rPr>
        <w:t>.1。</w:t>
      </w:r>
    </w:p>
    <w:p>
      <w:pPr>
        <w:spacing w:line="480" w:lineRule="exac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cs="宋体"/>
          <w:color w:val="000000"/>
          <w:kern w:val="0"/>
          <w:sz w:val="24"/>
        </w:rPr>
        <w:t>操作说明：</w:t>
      </w: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点击添加，填写基础相关信息，（</w:t>
      </w:r>
      <w:r>
        <w:rPr>
          <w:rFonts w:ascii="微软雅黑" w:eastAsia="微软雅黑" w:hAnsi="微软雅黑"/>
          <w:sz w:val="24"/>
        </w:rPr>
        <w:t>红色</w:t>
      </w:r>
      <w:r>
        <w:rPr>
          <w:rFonts w:ascii="微软雅黑" w:eastAsia="微软雅黑" w:hAnsi="微软雅黑" w:hint="eastAsia"/>
          <w:sz w:val="24"/>
        </w:rPr>
        <w:t>表示为</w:t>
      </w:r>
      <w:r>
        <w:rPr>
          <w:rFonts w:ascii="微软雅黑" w:eastAsia="微软雅黑" w:hAnsi="微软雅黑"/>
          <w:sz w:val="24"/>
        </w:rPr>
        <w:t>必填</w:t>
      </w:r>
      <w:r>
        <w:rPr>
          <w:rFonts w:ascii="微软雅黑" w:eastAsia="微软雅黑" w:hAnsi="微软雅黑" w:hint="eastAsia"/>
          <w:sz w:val="24"/>
        </w:rPr>
        <w:t>项</w:t>
      </w: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），提交</w:t>
      </w:r>
      <w:r>
        <w:rPr>
          <w:rFonts w:ascii="微软雅黑" w:eastAsia="微软雅黑" w:hAnsi="微软雅黑" w:cs="宋体"/>
          <w:color w:val="000000"/>
          <w:kern w:val="0"/>
          <w:sz w:val="24"/>
        </w:rPr>
        <w:t>即可。</w:t>
      </w:r>
    </w:p>
    <w:p>
      <w:pPr>
        <w:jc w:val="center"/>
      </w:pPr>
      <w:r>
        <w:drawing>
          <wp:inline distT="0" distB="0" distL="114300" distR="114300">
            <wp:extent cx="5264785" cy="3228975"/>
            <wp:effectExtent l="0" t="0" r="12065" b="9525"/>
            <wp:docPr id="6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图</w:t>
      </w:r>
      <w:r>
        <w:rPr>
          <w:rFonts w:ascii="微软雅黑" w:eastAsia="微软雅黑" w:hAnsi="微软雅黑"/>
          <w:sz w:val="24"/>
        </w:rPr>
        <w:t>1</w:t>
      </w:r>
      <w:r>
        <w:rPr>
          <w:rFonts w:ascii="微软雅黑" w:eastAsia="微软雅黑" w:hAnsi="微软雅黑" w:hint="eastAsia"/>
          <w:sz w:val="24"/>
        </w:rPr>
        <w:t>.</w:t>
      </w:r>
      <w:r>
        <w:rPr>
          <w:rFonts w:ascii="微软雅黑" w:eastAsia="微软雅黑" w:hAnsi="微软雅黑"/>
          <w:sz w:val="24"/>
        </w:rPr>
        <w:t>4</w:t>
      </w:r>
      <w:r>
        <w:rPr>
          <w:rFonts w:ascii="微软雅黑" w:eastAsia="微软雅黑" w:hAnsi="微软雅黑" w:hint="eastAsia"/>
          <w:sz w:val="24"/>
        </w:rPr>
        <w:t>.1</w:t>
      </w:r>
    </w:p>
    <w:p>
      <w:pPr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/>
          <w:sz w:val="24"/>
        </w:rPr>
        <w:t>功能说明：</w:t>
      </w:r>
      <w:r>
        <w:rPr>
          <w:rFonts w:ascii="微软雅黑" w:eastAsia="微软雅黑" w:hAnsi="微软雅黑" w:hint="eastAsia"/>
          <w:sz w:val="24"/>
        </w:rPr>
        <w:t>查询已经维护好的库存规则配置，如图</w:t>
      </w:r>
      <w:r>
        <w:rPr>
          <w:rFonts w:ascii="微软雅黑" w:eastAsia="微软雅黑" w:hAnsi="微软雅黑"/>
          <w:sz w:val="24"/>
        </w:rPr>
        <w:t>1</w:t>
      </w:r>
      <w:r>
        <w:rPr>
          <w:rFonts w:ascii="微软雅黑" w:eastAsia="微软雅黑" w:hAnsi="微软雅黑" w:hint="eastAsia"/>
          <w:sz w:val="24"/>
        </w:rPr>
        <w:t>.</w:t>
      </w:r>
      <w:r>
        <w:rPr>
          <w:rFonts w:ascii="微软雅黑" w:eastAsia="微软雅黑" w:hAnsi="微软雅黑"/>
          <w:sz w:val="24"/>
        </w:rPr>
        <w:t>4</w:t>
      </w:r>
      <w:r>
        <w:rPr>
          <w:rFonts w:ascii="微软雅黑" w:eastAsia="微软雅黑" w:hAnsi="微软雅黑" w:hint="eastAsia"/>
          <w:sz w:val="24"/>
        </w:rPr>
        <w:t>.2</w:t>
      </w:r>
    </w:p>
    <w:p>
      <w:pPr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cs="宋体"/>
          <w:color w:val="000000"/>
          <w:kern w:val="0"/>
          <w:sz w:val="24"/>
        </w:rPr>
        <w:t>操作说明</w:t>
      </w: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：根据条件点击查询，另外功能导入，没有模板自行下载导入模板，编辑功能，开启或禁用。</w:t>
      </w:r>
    </w:p>
    <w:p>
      <w:pPr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/>
          <w:sz w:val="24"/>
        </w:rPr>
        <w:br/>
      </w:r>
      <w:r>
        <w:rPr>
          <w:rFonts w:ascii="微软雅黑" w:eastAsia="微软雅黑" w:hAnsi="微软雅黑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https://d.book118.com/165213112340011110</w:t>
        </w:r>
      </w:hyperlink>
    </w:p>
    <w:p>
      <w:pPr>
        <w:rPr>
          <w:rFonts w:ascii="微软雅黑" w:eastAsia="微软雅黑" w:hAnsi="微软雅黑"/>
          <w:sz w:val="24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9E19A2"/>
    <w:multiLevelType w:val="multilevel"/>
    <w:tmpl w:val="099E19A2"/>
    <w:lvl w:ilvl="0">
      <w:start w:val="1"/>
      <w:numFmt w:val="decimal"/>
      <w:pStyle w:val="Heading1"/>
      <w:lvlText w:val="%1"/>
      <w:lvlJc w:val="left"/>
      <w:pPr>
        <w:tabs>
          <w:tab w:val="left" w:pos="2559"/>
        </w:tabs>
        <w:ind w:left="2559" w:hanging="432"/>
      </w:pPr>
      <w:rPr>
        <w:rFonts w:ascii="微软雅黑" w:eastAsia="微软雅黑" w:hAnsi="微软雅黑" w:cs="Times New Roman"/>
        <w:b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30"/>
        <w:szCs w:val="3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decimal"/>
      <w:pStyle w:val="Heading2"/>
      <w:lvlText w:val="%1.%2"/>
      <w:lvlJc w:val="left"/>
      <w:pPr>
        <w:tabs>
          <w:tab w:val="left" w:pos="4122"/>
        </w:tabs>
        <w:ind w:left="4122" w:hanging="576"/>
      </w:pPr>
      <w:rPr>
        <w:rFonts w:ascii="微软雅黑" w:eastAsia="微软雅黑" w:hAnsi="微软雅黑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legacyObliqueTopLef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</w:rPr>
    </w:lvl>
    <w:lvl w:ilvl="2">
      <w:start w:val="1"/>
      <w:numFmt w:val="decimal"/>
      <w:lvlText w:val="%1.%2.%3"/>
      <w:lvlJc w:val="left"/>
      <w:pPr>
        <w:tabs>
          <w:tab w:val="left" w:pos="2847"/>
        </w:tabs>
        <w:ind w:left="2847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tabs>
          <w:tab w:val="left" w:pos="2991"/>
        </w:tabs>
        <w:ind w:left="2991" w:hanging="864"/>
      </w:pPr>
    </w:lvl>
    <w:lvl w:ilvl="4">
      <w:start w:val="1"/>
      <w:numFmt w:val="decimal"/>
      <w:lvlText w:val="%1.%2.%3.%4.%5"/>
      <w:lvlJc w:val="left"/>
      <w:pPr>
        <w:tabs>
          <w:tab w:val="left" w:pos="4128"/>
        </w:tabs>
        <w:ind w:left="4128" w:hanging="1008"/>
      </w:pPr>
    </w:lvl>
    <w:lvl w:ilvl="5">
      <w:start w:val="1"/>
      <w:numFmt w:val="decimal"/>
      <w:lvlText w:val="%1.%2.%3.%4.%5.%6"/>
      <w:lvlJc w:val="left"/>
      <w:pPr>
        <w:tabs>
          <w:tab w:val="left" w:pos="3279"/>
        </w:tabs>
        <w:ind w:left="3279" w:hanging="1152"/>
      </w:pPr>
    </w:lvl>
    <w:lvl w:ilvl="6">
      <w:start w:val="1"/>
      <w:numFmt w:val="decimal"/>
      <w:lvlText w:val="%1.%2.%3.%4.%5.%6.%7"/>
      <w:lvlJc w:val="left"/>
      <w:pPr>
        <w:tabs>
          <w:tab w:val="left" w:pos="3423"/>
        </w:tabs>
        <w:ind w:left="3423" w:hanging="1296"/>
      </w:pPr>
    </w:lvl>
    <w:lvl w:ilvl="7">
      <w:start w:val="1"/>
      <w:numFmt w:val="decimal"/>
      <w:lvlText w:val="%1.%2.%3.%4.%5.%6.%7.%8"/>
      <w:lvlJc w:val="left"/>
      <w:pPr>
        <w:tabs>
          <w:tab w:val="left" w:pos="3567"/>
        </w:tabs>
        <w:ind w:left="3567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3711"/>
        </w:tabs>
        <w:ind w:left="3711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404"/>
    <w:rsid w:val="00144BF4"/>
    <w:rsid w:val="00394EEE"/>
    <w:rsid w:val="003E37AD"/>
    <w:rsid w:val="005146D4"/>
    <w:rsid w:val="0061286A"/>
    <w:rsid w:val="006B2106"/>
    <w:rsid w:val="00741A84"/>
    <w:rsid w:val="00795496"/>
    <w:rsid w:val="007E40DC"/>
    <w:rsid w:val="0086569A"/>
    <w:rsid w:val="00874F80"/>
    <w:rsid w:val="00890FDB"/>
    <w:rsid w:val="00A167D9"/>
    <w:rsid w:val="00A3140B"/>
    <w:rsid w:val="00A81201"/>
    <w:rsid w:val="00A90C95"/>
    <w:rsid w:val="00A94A5C"/>
    <w:rsid w:val="00B55E58"/>
    <w:rsid w:val="00B71B97"/>
    <w:rsid w:val="00C30784"/>
    <w:rsid w:val="00C452F3"/>
    <w:rsid w:val="00D63421"/>
    <w:rsid w:val="00D91404"/>
    <w:rsid w:val="00DC679C"/>
    <w:rsid w:val="00FF45D7"/>
    <w:rsid w:val="010954C2"/>
    <w:rsid w:val="01846F70"/>
    <w:rsid w:val="01A21E68"/>
    <w:rsid w:val="022F1EE5"/>
    <w:rsid w:val="0233695A"/>
    <w:rsid w:val="027B049F"/>
    <w:rsid w:val="02E218A6"/>
    <w:rsid w:val="02F009BE"/>
    <w:rsid w:val="03186A80"/>
    <w:rsid w:val="031C161B"/>
    <w:rsid w:val="03D44CAE"/>
    <w:rsid w:val="041C0EF1"/>
    <w:rsid w:val="04B1344E"/>
    <w:rsid w:val="04F4257C"/>
    <w:rsid w:val="052B02E1"/>
    <w:rsid w:val="05EA6A88"/>
    <w:rsid w:val="05F92778"/>
    <w:rsid w:val="065D3FF1"/>
    <w:rsid w:val="077053E1"/>
    <w:rsid w:val="080028DB"/>
    <w:rsid w:val="087568D0"/>
    <w:rsid w:val="08C23A80"/>
    <w:rsid w:val="08FB22B5"/>
    <w:rsid w:val="0A142FCD"/>
    <w:rsid w:val="0A9B4F39"/>
    <w:rsid w:val="0ADA2338"/>
    <w:rsid w:val="0ADE5855"/>
    <w:rsid w:val="0B17338B"/>
    <w:rsid w:val="0B3B282F"/>
    <w:rsid w:val="0B610808"/>
    <w:rsid w:val="0B780E79"/>
    <w:rsid w:val="0C416817"/>
    <w:rsid w:val="0D79622E"/>
    <w:rsid w:val="0DA43580"/>
    <w:rsid w:val="0DE048F1"/>
    <w:rsid w:val="0DEB7AD0"/>
    <w:rsid w:val="0E1D1D2F"/>
    <w:rsid w:val="0E30499C"/>
    <w:rsid w:val="0E5B561C"/>
    <w:rsid w:val="0EC74456"/>
    <w:rsid w:val="0F111BC0"/>
    <w:rsid w:val="0FA36557"/>
    <w:rsid w:val="11584C28"/>
    <w:rsid w:val="11CA7A4E"/>
    <w:rsid w:val="11F44719"/>
    <w:rsid w:val="12750B21"/>
    <w:rsid w:val="127C3EA9"/>
    <w:rsid w:val="13284667"/>
    <w:rsid w:val="13374EC1"/>
    <w:rsid w:val="141315F3"/>
    <w:rsid w:val="14185696"/>
    <w:rsid w:val="142D1CD7"/>
    <w:rsid w:val="147B4EFB"/>
    <w:rsid w:val="14E632AC"/>
    <w:rsid w:val="160C1175"/>
    <w:rsid w:val="16A421E2"/>
    <w:rsid w:val="1723747E"/>
    <w:rsid w:val="174501CA"/>
    <w:rsid w:val="17EA362B"/>
    <w:rsid w:val="181F2378"/>
    <w:rsid w:val="18FF776D"/>
    <w:rsid w:val="192B6A41"/>
    <w:rsid w:val="193119FD"/>
    <w:rsid w:val="193A4F10"/>
    <w:rsid w:val="19D2794B"/>
    <w:rsid w:val="1A6D32D9"/>
    <w:rsid w:val="1ABB53D9"/>
    <w:rsid w:val="1B552CD0"/>
    <w:rsid w:val="1BE85201"/>
    <w:rsid w:val="1C421C7A"/>
    <w:rsid w:val="1C876634"/>
    <w:rsid w:val="1CE82830"/>
    <w:rsid w:val="1D34527B"/>
    <w:rsid w:val="1DA17AA2"/>
    <w:rsid w:val="1DC22810"/>
    <w:rsid w:val="1DF57F9B"/>
    <w:rsid w:val="1E040509"/>
    <w:rsid w:val="1E6F6F33"/>
    <w:rsid w:val="1EA947BE"/>
    <w:rsid w:val="1EE115E6"/>
    <w:rsid w:val="1F543A32"/>
    <w:rsid w:val="20301366"/>
    <w:rsid w:val="204169FF"/>
    <w:rsid w:val="20BB63BE"/>
    <w:rsid w:val="20BD4B8D"/>
    <w:rsid w:val="21BF3F25"/>
    <w:rsid w:val="22381607"/>
    <w:rsid w:val="226A42F8"/>
    <w:rsid w:val="248448EB"/>
    <w:rsid w:val="249E0A2A"/>
    <w:rsid w:val="24DB69E1"/>
    <w:rsid w:val="262B71DF"/>
    <w:rsid w:val="26796DDC"/>
    <w:rsid w:val="269635EB"/>
    <w:rsid w:val="278B3338"/>
    <w:rsid w:val="2790685A"/>
    <w:rsid w:val="283F0D21"/>
    <w:rsid w:val="2B257932"/>
    <w:rsid w:val="2B6668B1"/>
    <w:rsid w:val="2BD0031B"/>
    <w:rsid w:val="2C336B8A"/>
    <w:rsid w:val="2C8A3415"/>
    <w:rsid w:val="2D0856C8"/>
    <w:rsid w:val="2D755942"/>
    <w:rsid w:val="2D9F0C7F"/>
    <w:rsid w:val="2DED6AF8"/>
    <w:rsid w:val="2E5A406F"/>
    <w:rsid w:val="2E6E3FCE"/>
    <w:rsid w:val="2EA11E40"/>
    <w:rsid w:val="2EE67131"/>
    <w:rsid w:val="2F1C59F8"/>
    <w:rsid w:val="2F5D39B1"/>
    <w:rsid w:val="2F830354"/>
    <w:rsid w:val="2FA45A16"/>
    <w:rsid w:val="30010E9B"/>
    <w:rsid w:val="30BC0453"/>
    <w:rsid w:val="312C4F44"/>
    <w:rsid w:val="312F66A3"/>
    <w:rsid w:val="31497352"/>
    <w:rsid w:val="31F54800"/>
    <w:rsid w:val="32135300"/>
    <w:rsid w:val="323304B3"/>
    <w:rsid w:val="3258079D"/>
    <w:rsid w:val="325E59CF"/>
    <w:rsid w:val="32773993"/>
    <w:rsid w:val="334B2191"/>
    <w:rsid w:val="33CC3E93"/>
    <w:rsid w:val="37630FDA"/>
    <w:rsid w:val="37B600F5"/>
    <w:rsid w:val="38321079"/>
    <w:rsid w:val="38EA093A"/>
    <w:rsid w:val="39252BDD"/>
    <w:rsid w:val="39C547DA"/>
    <w:rsid w:val="39F200FC"/>
    <w:rsid w:val="3A2E3E9A"/>
    <w:rsid w:val="3ADE529A"/>
    <w:rsid w:val="3C93742D"/>
    <w:rsid w:val="3C9B480D"/>
    <w:rsid w:val="3D0F2764"/>
    <w:rsid w:val="3D136E8F"/>
    <w:rsid w:val="3D946942"/>
    <w:rsid w:val="3D9C2B46"/>
    <w:rsid w:val="3DBD3704"/>
    <w:rsid w:val="3DE958D8"/>
    <w:rsid w:val="3E024821"/>
    <w:rsid w:val="3E4A48D0"/>
    <w:rsid w:val="3E5D039A"/>
    <w:rsid w:val="3E944C99"/>
    <w:rsid w:val="3F09206E"/>
    <w:rsid w:val="3FC70B47"/>
    <w:rsid w:val="400D1278"/>
    <w:rsid w:val="409977FA"/>
    <w:rsid w:val="413518F9"/>
    <w:rsid w:val="41354A71"/>
    <w:rsid w:val="416B77C7"/>
    <w:rsid w:val="42051677"/>
    <w:rsid w:val="4277244C"/>
    <w:rsid w:val="42D842BE"/>
    <w:rsid w:val="431C40BF"/>
    <w:rsid w:val="43881D3E"/>
    <w:rsid w:val="441D3B58"/>
    <w:rsid w:val="444C39B1"/>
    <w:rsid w:val="447403DC"/>
    <w:rsid w:val="466A1AB4"/>
    <w:rsid w:val="470D79AA"/>
    <w:rsid w:val="47635031"/>
    <w:rsid w:val="479A459A"/>
    <w:rsid w:val="47DA3E36"/>
    <w:rsid w:val="47DB2FF5"/>
    <w:rsid w:val="47E921F7"/>
    <w:rsid w:val="47EC2499"/>
    <w:rsid w:val="488521F7"/>
    <w:rsid w:val="49324F50"/>
    <w:rsid w:val="49362BF3"/>
    <w:rsid w:val="49EE4986"/>
    <w:rsid w:val="4A2B2820"/>
    <w:rsid w:val="4B304BC1"/>
    <w:rsid w:val="4B6D44AE"/>
    <w:rsid w:val="4BAD5EF0"/>
    <w:rsid w:val="4CD90262"/>
    <w:rsid w:val="4CD93BC5"/>
    <w:rsid w:val="4DF367A6"/>
    <w:rsid w:val="4EC559EE"/>
    <w:rsid w:val="4F131847"/>
    <w:rsid w:val="4F684DA7"/>
    <w:rsid w:val="4F711643"/>
    <w:rsid w:val="4FA6207B"/>
    <w:rsid w:val="4FEC0A5B"/>
    <w:rsid w:val="4FF4057F"/>
    <w:rsid w:val="501A74A4"/>
    <w:rsid w:val="50877372"/>
    <w:rsid w:val="518E642C"/>
    <w:rsid w:val="51BE639B"/>
    <w:rsid w:val="52486929"/>
    <w:rsid w:val="52AC7661"/>
    <w:rsid w:val="52BC7A57"/>
    <w:rsid w:val="530B04DE"/>
    <w:rsid w:val="53B430F7"/>
    <w:rsid w:val="543A0DCE"/>
    <w:rsid w:val="54487698"/>
    <w:rsid w:val="548E3FDA"/>
    <w:rsid w:val="554F0230"/>
    <w:rsid w:val="559B3115"/>
    <w:rsid w:val="55E13F91"/>
    <w:rsid w:val="56805DD4"/>
    <w:rsid w:val="56901077"/>
    <w:rsid w:val="56BF758E"/>
    <w:rsid w:val="56C7693E"/>
    <w:rsid w:val="56EA488D"/>
    <w:rsid w:val="57796470"/>
    <w:rsid w:val="5858168E"/>
    <w:rsid w:val="5879690E"/>
    <w:rsid w:val="59F36E91"/>
    <w:rsid w:val="5A2A2073"/>
    <w:rsid w:val="5BE51222"/>
    <w:rsid w:val="5BE71F95"/>
    <w:rsid w:val="5CCB09C1"/>
    <w:rsid w:val="5CFD7D0A"/>
    <w:rsid w:val="5DBD5726"/>
    <w:rsid w:val="5E6F4287"/>
    <w:rsid w:val="5E8322BF"/>
    <w:rsid w:val="5E913BAD"/>
    <w:rsid w:val="5F49127D"/>
    <w:rsid w:val="60BE5956"/>
    <w:rsid w:val="61133492"/>
    <w:rsid w:val="6134679E"/>
    <w:rsid w:val="61576575"/>
    <w:rsid w:val="61BA0A47"/>
    <w:rsid w:val="61E94C0C"/>
    <w:rsid w:val="622178A4"/>
    <w:rsid w:val="62D754EC"/>
    <w:rsid w:val="63026696"/>
    <w:rsid w:val="64303752"/>
    <w:rsid w:val="64B8409A"/>
    <w:rsid w:val="64FD1863"/>
    <w:rsid w:val="655853AE"/>
    <w:rsid w:val="65640613"/>
    <w:rsid w:val="66573B66"/>
    <w:rsid w:val="66F350FD"/>
    <w:rsid w:val="67D6118D"/>
    <w:rsid w:val="68F32BCF"/>
    <w:rsid w:val="694B0668"/>
    <w:rsid w:val="696F4AD5"/>
    <w:rsid w:val="6A06416B"/>
    <w:rsid w:val="6A3B5B86"/>
    <w:rsid w:val="6B630F59"/>
    <w:rsid w:val="6CB31171"/>
    <w:rsid w:val="6D5D6762"/>
    <w:rsid w:val="6DFB3B0D"/>
    <w:rsid w:val="6E1A4216"/>
    <w:rsid w:val="6E6F29E5"/>
    <w:rsid w:val="6E920EDD"/>
    <w:rsid w:val="6EA65924"/>
    <w:rsid w:val="6F171AB4"/>
    <w:rsid w:val="702E0E5E"/>
    <w:rsid w:val="709870F7"/>
    <w:rsid w:val="70BB3607"/>
    <w:rsid w:val="70CA2AD5"/>
    <w:rsid w:val="70E6226D"/>
    <w:rsid w:val="71044BF5"/>
    <w:rsid w:val="71D25D8D"/>
    <w:rsid w:val="728319AE"/>
    <w:rsid w:val="72BA588D"/>
    <w:rsid w:val="72FE01D3"/>
    <w:rsid w:val="732C0996"/>
    <w:rsid w:val="73572B9D"/>
    <w:rsid w:val="7385304D"/>
    <w:rsid w:val="74AB4619"/>
    <w:rsid w:val="74BD5236"/>
    <w:rsid w:val="74EF367C"/>
    <w:rsid w:val="75D85C7D"/>
    <w:rsid w:val="763D4DA5"/>
    <w:rsid w:val="772E7F6D"/>
    <w:rsid w:val="77874A30"/>
    <w:rsid w:val="77BD2556"/>
    <w:rsid w:val="77D905A9"/>
    <w:rsid w:val="785F2FAA"/>
    <w:rsid w:val="789F4E43"/>
    <w:rsid w:val="78B5297B"/>
    <w:rsid w:val="78B63CF8"/>
    <w:rsid w:val="78B868C9"/>
    <w:rsid w:val="78C36021"/>
    <w:rsid w:val="7A802568"/>
    <w:rsid w:val="7A9D163D"/>
    <w:rsid w:val="7AEF0893"/>
    <w:rsid w:val="7B15315C"/>
    <w:rsid w:val="7B7311CD"/>
    <w:rsid w:val="7BB82677"/>
    <w:rsid w:val="7BC67FCA"/>
    <w:rsid w:val="7BC72515"/>
    <w:rsid w:val="7BC85E33"/>
    <w:rsid w:val="7CA46266"/>
    <w:rsid w:val="7CB3170C"/>
    <w:rsid w:val="7D7C5F4F"/>
    <w:rsid w:val="7E447708"/>
    <w:rsid w:val="7E523818"/>
    <w:rsid w:val="7E997ABD"/>
    <w:rsid w:val="7EF702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 w:qFormat="1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ahoma" w:eastAsia="仿宋_GB2312" w:hAnsi="Tahoma" w:cs="Times New Roman"/>
      <w:kern w:val="2"/>
      <w:sz w:val="28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pageBreakBefore/>
      <w:numPr>
        <w:ilvl w:val="0"/>
        <w:numId w:val="1"/>
      </w:numPr>
      <w:spacing w:before="340" w:after="330" w:line="578" w:lineRule="auto"/>
      <w:outlineLvl w:val="0"/>
    </w:pPr>
    <w:rPr>
      <w:rFonts w:eastAsia="微软雅黑"/>
      <w:b/>
      <w:bCs/>
      <w:color w:val="000000" w:themeColor="text1"/>
      <w:kern w:val="44"/>
      <w:sz w:val="32"/>
      <w:szCs w:val="44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BodyTextFirstIndent"/>
    <w:qFormat/>
    <w:pPr>
      <w:keepNext/>
      <w:keepLines/>
      <w:numPr>
        <w:ilvl w:val="1"/>
        <w:numId w:val="1"/>
      </w:numPr>
      <w:tabs>
        <w:tab w:val="left" w:pos="576"/>
        <w:tab w:val="left" w:pos="2559"/>
      </w:tabs>
      <w:spacing w:before="260" w:after="260" w:line="500" w:lineRule="exact"/>
      <w:ind w:right="100" w:rightChars="100"/>
      <w:outlineLvl w:val="1"/>
    </w:pPr>
    <w:rPr>
      <w:rFonts w:ascii="Arial" w:eastAsia="微软雅黑" w:hAnsi="Arial"/>
      <w:b/>
      <w:sz w:val="30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FirstIndent">
    <w:name w:val="Body Text First Indent"/>
    <w:basedOn w:val="BodyText"/>
    <w:qFormat/>
    <w:pPr>
      <w:widowControl/>
      <w:ind w:firstLine="420" w:firstLineChars="100"/>
      <w:jc w:val="left"/>
    </w:pPr>
    <w:rPr>
      <w:rFonts w:ascii="Times New Roman" w:eastAsia="宋体" w:hAnsi="Times New Roman"/>
      <w:kern w:val="0"/>
      <w:sz w:val="21"/>
      <w:lang w:eastAsia="en-US"/>
    </w:rPr>
  </w:style>
  <w:style w:type="paragraph" w:styleId="BodyText">
    <w:name w:val="Body Text"/>
    <w:basedOn w:val="Normal"/>
    <w:qFormat/>
    <w:pPr>
      <w:spacing w:after="120"/>
    </w:pPr>
  </w:style>
  <w:style w:type="paragraph" w:styleId="BalloonText">
    <w:name w:val="Balloon Text"/>
    <w:basedOn w:val="Normal"/>
    <w:link w:val="a0"/>
    <w:qFormat/>
    <w:rPr>
      <w:rFonts w:ascii="宋体" w:eastAsia="宋体"/>
      <w:sz w:val="18"/>
      <w:szCs w:val="18"/>
    </w:rPr>
  </w:style>
  <w:style w:type="paragraph" w:styleId="TOC1">
    <w:name w:val="toc 1"/>
    <w:basedOn w:val="Normal"/>
    <w:next w:val="Normal"/>
    <w:uiPriority w:val="39"/>
    <w:qFormat/>
  </w:style>
  <w:style w:type="paragraph" w:styleId="TOC2">
    <w:name w:val="toc 2"/>
    <w:basedOn w:val="Normal"/>
    <w:next w:val="Normal"/>
    <w:uiPriority w:val="39"/>
    <w:qFormat/>
    <w:pPr>
      <w:ind w:left="420" w:leftChars="200"/>
    </w:pPr>
  </w:style>
  <w:style w:type="paragraph" w:styleId="NormalWeb">
    <w:name w:val="Normal (Web)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">
    <w:name w:val="样式1"/>
    <w:basedOn w:val="Heading1"/>
    <w:next w:val="a"/>
    <w:qFormat/>
    <w:pPr>
      <w:pageBreakBefore w:val="0"/>
      <w:spacing w:line="600" w:lineRule="exact"/>
      <w:ind w:left="431" w:hanging="431"/>
    </w:pPr>
    <w:rPr>
      <w:sz w:val="30"/>
    </w:rPr>
  </w:style>
  <w:style w:type="paragraph" w:customStyle="1" w:styleId="a">
    <w:name w:val="表内正文"/>
    <w:qFormat/>
    <w:pPr>
      <w:wordWrap w:val="0"/>
      <w:snapToGrid w:val="0"/>
      <w:jc w:val="both"/>
      <w:textAlignment w:val="baseline"/>
    </w:pPr>
    <w:rPr>
      <w:rFonts w:ascii="Arial" w:eastAsia="宋体" w:hAnsi="Arial" w:cs="Times New Roman"/>
      <w:sz w:val="21"/>
      <w:lang w:val="en-US" w:eastAsia="zh-CN" w:bidi="ar-SA"/>
    </w:rPr>
  </w:style>
  <w:style w:type="character" w:customStyle="1" w:styleId="a0">
    <w:name w:val="批注框文本 字符"/>
    <w:basedOn w:val="DefaultParagraphFont"/>
    <w:link w:val="BalloonText"/>
    <w:rPr>
      <w:rFonts w:ascii="宋体" w:hAnsi="Tahoma"/>
      <w:kern w:val="2"/>
      <w:sz w:val="18"/>
      <w:szCs w:val="18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yperlink" Target="https://d.book118.com/165213112340011110" TargetMode="Externa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1402</Words>
  <Characters>7996</Characters>
  <Application>Microsoft Office Word</Application>
  <DocSecurity>0</DocSecurity>
  <Lines>66</Lines>
  <Paragraphs>18</Paragraphs>
  <ScaleCrop>false</ScaleCrop>
  <Company/>
  <LinksUpToDate>false</LinksUpToDate>
  <CharactersWithSpaces>9380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msd</dc:creator>
  <cp:lastModifiedBy>0744</cp:lastModifiedBy>
  <cp:revision>10</cp:revision>
  <dcterms:created xsi:type="dcterms:W3CDTF">2021-03-25T13:23:00Z</dcterms:created>
  <dcterms:modified xsi:type="dcterms:W3CDTF">2024-02-20T02:09:50Z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73269B1A2C644AA9881847574325DDEC</vt:lpwstr>
  </property>
  <property fmtid="{D5CDD505-2E9C-101B-9397-08002B2CF9AE}" pid="3" name="KSOProductBuildVer">
    <vt:lpwstr>2052-11.8.2.11718</vt:lpwstr>
  </property>
</Properties>
</file>