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  <w:bookmarkStart w:id="0" w:name="_GoBack"/>
      <w:bookmarkEnd w:id="0"/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spacing w:before="254" w:line="360" w:lineRule="auto"/>
        <w:ind w:left="273"/>
        <w:jc w:val="center"/>
        <w:outlineLvl w:val="0"/>
        <w:rPr>
          <w:rFonts w:ascii="微软雅黑" w:eastAsia="微软雅黑" w:hAnsi="微软雅黑" w:cs="微软雅黑"/>
          <w:b/>
          <w:bCs/>
          <w:color w:val="2D54A0"/>
          <w:spacing w:val="8"/>
          <w:sz w:val="59"/>
          <w:szCs w:val="59"/>
        </w:rPr>
      </w:pPr>
      <w:r>
        <w:rPr>
          <w:rFonts w:ascii="微软雅黑" w:eastAsia="微软雅黑" w:hAnsi="微软雅黑" w:cs="微软雅黑"/>
          <w:b/>
          <w:bCs/>
          <w:color w:val="2D54A0"/>
          <w:spacing w:val="9"/>
          <w:sz w:val="59"/>
          <w:szCs w:val="59"/>
        </w:rPr>
        <w:t>2024年纺织用仪器行业趋势</w:t>
      </w:r>
      <w:r>
        <w:rPr>
          <w:rFonts w:ascii="微软雅黑" w:eastAsia="微软雅黑" w:hAnsi="微软雅黑" w:cs="微软雅黑"/>
          <w:b/>
          <w:bCs/>
          <w:color w:val="2D54A0"/>
          <w:spacing w:val="8"/>
          <w:sz w:val="59"/>
          <w:szCs w:val="59"/>
        </w:rPr>
        <w:t>报告</w:t>
      </w:r>
    </w:p>
    <w:p>
      <w:pPr>
        <w:spacing w:before="254" w:line="360" w:lineRule="auto"/>
        <w:ind w:left="273"/>
        <w:jc w:val="center"/>
        <w:outlineLvl w:val="0"/>
        <w:rPr>
          <w:rFonts w:ascii="微软雅黑" w:eastAsia="微软雅黑" w:hAnsi="微软雅黑" w:cs="微软雅黑"/>
          <w:b/>
          <w:bCs/>
          <w:color w:val="2D54A0"/>
          <w:spacing w:val="8"/>
          <w:sz w:val="59"/>
          <w:szCs w:val="59"/>
        </w:rPr>
      </w:pPr>
    </w:p>
    <w:p>
      <w:pPr>
        <w:spacing w:before="254" w:line="360" w:lineRule="auto"/>
        <w:ind w:left="273"/>
        <w:jc w:val="center"/>
        <w:outlineLvl w:val="0"/>
        <w:rPr>
          <w:rFonts w:ascii="微软雅黑" w:eastAsia="微软雅黑" w:hAnsi="微软雅黑" w:cs="微软雅黑"/>
          <w:b/>
          <w:bCs/>
          <w:color w:val="2D54A0"/>
          <w:spacing w:val="8"/>
          <w:sz w:val="59"/>
          <w:szCs w:val="59"/>
        </w:rPr>
      </w:pPr>
    </w:p>
    <w:p>
      <w:pPr>
        <w:spacing w:before="254" w:line="360" w:lineRule="auto"/>
        <w:ind w:left="273"/>
        <w:jc w:val="center"/>
        <w:outlineLvl w:val="0"/>
        <w:rPr>
          <w:rFonts w:ascii="微软雅黑" w:eastAsia="微软雅黑" w:hAnsi="微软雅黑" w:cs="微软雅黑"/>
          <w:b/>
          <w:bCs/>
          <w:color w:val="2D54A0"/>
          <w:spacing w:val="8"/>
          <w:sz w:val="59"/>
          <w:szCs w:val="59"/>
        </w:rPr>
      </w:pPr>
    </w:p>
    <w:p>
      <w:pPr>
        <w:spacing w:before="254" w:line="360" w:lineRule="auto"/>
        <w:ind w:left="273"/>
        <w:jc w:val="center"/>
        <w:outlineLvl w:val="0"/>
        <w:rPr>
          <w:rFonts w:ascii="微软雅黑" w:eastAsia="微软雅黑" w:hAnsi="微软雅黑" w:cs="微软雅黑"/>
          <w:b/>
          <w:bCs/>
          <w:color w:val="2D54A0"/>
          <w:spacing w:val="8"/>
          <w:sz w:val="59"/>
          <w:szCs w:val="59"/>
        </w:rPr>
      </w:pPr>
    </w:p>
    <w:p>
      <w:pPr>
        <w:spacing w:before="254" w:line="360" w:lineRule="auto"/>
        <w:ind w:left="273"/>
        <w:jc w:val="center"/>
        <w:outlineLvl w:val="0"/>
        <w:rPr>
          <w:rFonts w:ascii="微软雅黑" w:eastAsia="微软雅黑" w:hAnsi="微软雅黑" w:cs="微软雅黑" w:hint="default"/>
          <w:b/>
          <w:bCs/>
          <w:color w:val="2D54A0"/>
          <w:spacing w:val="8"/>
          <w:sz w:val="44"/>
          <w:szCs w:val="44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微软雅黑" w:eastAsia="微软雅黑" w:hAnsi="微软雅黑" w:cs="微软雅黑" w:hint="eastAsia"/>
          <w:b/>
          <w:bCs/>
          <w:color w:val="2D54A0"/>
          <w:spacing w:val="8"/>
          <w:sz w:val="44"/>
          <w:szCs w:val="44"/>
          <w:lang w:val="en-US" w:eastAsia="zh-CN"/>
        </w:rPr>
        <w:t>《2024年最新评估分析》</w:t>
      </w:r>
    </w:p>
    <w:p>
      <w:pPr>
        <w:spacing w:line="360" w:lineRule="auto"/>
        <w:jc w:val="center"/>
        <w:rPr>
          <w:rFonts w:ascii="微软雅黑" w:eastAsia="微软雅黑" w:hAnsi="微软雅黑" w:cs="微软雅黑" w:hint="eastAsia"/>
          <w:b/>
          <w:bCs w:val="0"/>
          <w:color w:val="2E54A1" w:themeColor="accent1" w:themeShade="BF"/>
          <w:sz w:val="40"/>
        </w:rPr>
      </w:pPr>
      <w:r>
        <w:rPr>
          <w:rFonts w:ascii="微软雅黑" w:eastAsia="微软雅黑" w:hAnsi="微软雅黑" w:cs="微软雅黑" w:hint="eastAsia"/>
          <w:b/>
          <w:bCs w:val="0"/>
          <w:color w:val="2E54A1" w:themeColor="accent1" w:themeShade="BF"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13957" w:history="1">
        <w:r>
          <w:rPr>
            <w:rFonts w:ascii="微软雅黑" w:eastAsia="微软雅黑" w:hAnsi="微软雅黑" w:cs="微软雅黑" w:hint="eastAsia"/>
            <w:color w:val="001CAC" w:themeColor="hyperlink" w:themeShade="BF"/>
            <w:lang w:eastAsia="zh-CN"/>
          </w:rPr>
          <w:t>前言</w:t>
        </w:r>
        <w:r>
          <w:tab/>
        </w:r>
        <w:r>
          <w:fldChar w:fldCharType="begin"/>
        </w:r>
        <w:r>
          <w:instrText xml:space="preserve"> PAGEREF _Toc13957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0280" w:history="1">
        <w:r>
          <w:rPr>
            <w:rFonts w:ascii="微软雅黑" w:eastAsia="微软雅黑" w:hAnsi="微软雅黑" w:cs="微软雅黑" w:hint="eastAsia"/>
            <w:color w:val="001CAC" w:themeColor="hyperlink" w:themeShade="BF"/>
            <w:szCs w:val="32"/>
            <w:lang w:eastAsia="zh-CN"/>
          </w:rPr>
          <w:t>一、纺织用仪器行业投资管理策略</w:t>
        </w:r>
        <w:r>
          <w:tab/>
        </w:r>
        <w:r>
          <w:fldChar w:fldCharType="begin"/>
        </w:r>
        <w:r>
          <w:instrText xml:space="preserve"> PAGEREF _Toc20280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885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(一)、纺织用仪器行业投资估算主要内容</w:t>
        </w:r>
        <w:r>
          <w:tab/>
        </w:r>
        <w:r>
          <w:fldChar w:fldCharType="begin"/>
        </w:r>
        <w:r>
          <w:instrText xml:space="preserve"> PAGEREF _Toc28885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069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(二)、纺织用仪器行业设备购置投资费用管理</w:t>
        </w:r>
        <w:r>
          <w:tab/>
        </w:r>
        <w:r>
          <w:fldChar w:fldCharType="begin"/>
        </w:r>
        <w:r>
          <w:instrText xml:space="preserve"> PAGEREF _Toc5069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355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(三)、纺织用仪器行业装修施工投资费用管理</w:t>
        </w:r>
        <w:r>
          <w:tab/>
        </w:r>
        <w:r>
          <w:fldChar w:fldCharType="begin"/>
        </w:r>
        <w:r>
          <w:instrText xml:space="preserve"> PAGEREF _Toc29355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497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(四)、纺织用仪器行业流动资金管理</w:t>
        </w:r>
        <w:r>
          <w:tab/>
        </w:r>
        <w:r>
          <w:fldChar w:fldCharType="begin"/>
        </w:r>
        <w:r>
          <w:instrText xml:space="preserve"> PAGEREF _Toc8497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315" w:history="1">
        <w:r>
          <w:rPr>
            <w:rFonts w:ascii="微软雅黑" w:eastAsia="微软雅黑" w:hAnsi="微软雅黑" w:cs="微软雅黑" w:hint="eastAsia"/>
            <w:color w:val="001CAC" w:themeColor="hyperlink" w:themeShade="BF"/>
            <w:szCs w:val="32"/>
            <w:lang w:eastAsia="zh-CN"/>
          </w:rPr>
          <w:t>二、项目实施与进度安排</w:t>
        </w:r>
        <w:r>
          <w:tab/>
        </w:r>
        <w:r>
          <w:fldChar w:fldCharType="begin"/>
        </w:r>
        <w:r>
          <w:instrText xml:space="preserve"> PAGEREF _Toc3315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557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(一)、项目计划与时间节点</w:t>
        </w:r>
        <w:r>
          <w:tab/>
        </w:r>
        <w:r>
          <w:fldChar w:fldCharType="begin"/>
        </w:r>
        <w:r>
          <w:instrText xml:space="preserve"> PAGEREF _Toc6557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700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(二)、项目进度安排</w:t>
        </w:r>
        <w:r>
          <w:tab/>
        </w:r>
        <w:r>
          <w:fldChar w:fldCharType="begin"/>
        </w:r>
        <w:r>
          <w:instrText xml:space="preserve"> PAGEREF _Toc8700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407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(三)、风险管理与对策</w:t>
        </w:r>
        <w:r>
          <w:tab/>
        </w:r>
        <w:r>
          <w:fldChar w:fldCharType="begin"/>
        </w:r>
        <w:r>
          <w:instrText xml:space="preserve"> PAGEREF _Toc25407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8196" w:history="1">
        <w:r>
          <w:rPr>
            <w:rFonts w:ascii="微软雅黑" w:eastAsia="微软雅黑" w:hAnsi="微软雅黑" w:cs="微软雅黑" w:hint="eastAsia"/>
            <w:color w:val="001CAC" w:themeColor="hyperlink" w:themeShade="BF"/>
            <w:szCs w:val="32"/>
            <w:lang w:eastAsia="zh-CN"/>
          </w:rPr>
          <w:t>三、纺织用仪器行业人力资源管理策略</w:t>
        </w:r>
        <w:r>
          <w:tab/>
        </w:r>
        <w:r>
          <w:fldChar w:fldCharType="begin"/>
        </w:r>
        <w:r>
          <w:instrText xml:space="preserve"> PAGEREF _Toc8196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967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(一)、纺织用仪器行业人力资源管理原则</w:t>
        </w:r>
        <w:r>
          <w:tab/>
        </w:r>
        <w:r>
          <w:fldChar w:fldCharType="begin"/>
        </w:r>
        <w:r>
          <w:instrText xml:space="preserve"> PAGEREF _Toc30967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850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(二)、纺织用仪器行业劳动关系管理</w:t>
        </w:r>
        <w:r>
          <w:tab/>
        </w:r>
        <w:r>
          <w:fldChar w:fldCharType="begin"/>
        </w:r>
        <w:r>
          <w:instrText xml:space="preserve"> PAGEREF _Toc19850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943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(三)、纺织用仪器行业人员配置方案</w:t>
        </w:r>
        <w:r>
          <w:tab/>
        </w:r>
        <w:r>
          <w:fldChar w:fldCharType="begin"/>
        </w:r>
        <w:r>
          <w:instrText xml:space="preserve"> PAGEREF _Toc18943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750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(四)、纺织用仪器行业员工招聘方案</w:t>
        </w:r>
        <w:r>
          <w:tab/>
        </w:r>
        <w:r>
          <w:fldChar w:fldCharType="begin"/>
        </w:r>
        <w:r>
          <w:instrText xml:space="preserve"> PAGEREF _Toc23750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606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(五)、纺织用仪器行业绩效和薪酬管理方案</w:t>
        </w:r>
        <w:r>
          <w:tab/>
        </w:r>
        <w:r>
          <w:fldChar w:fldCharType="begin"/>
        </w:r>
        <w:r>
          <w:instrText xml:space="preserve"> PAGEREF _Toc26606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287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(六)、纺织用仪器行业员工福利管理方案</w:t>
        </w:r>
        <w:r>
          <w:tab/>
        </w:r>
        <w:r>
          <w:fldChar w:fldCharType="begin"/>
        </w:r>
        <w:r>
          <w:instrText xml:space="preserve"> PAGEREF _Toc10287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2178" w:history="1">
        <w:r>
          <w:rPr>
            <w:rFonts w:ascii="微软雅黑" w:eastAsia="微软雅黑" w:hAnsi="微软雅黑" w:cs="微软雅黑" w:hint="eastAsia"/>
            <w:color w:val="001CAC" w:themeColor="hyperlink" w:themeShade="BF"/>
            <w:szCs w:val="32"/>
            <w:lang w:eastAsia="zh-CN"/>
          </w:rPr>
          <w:t>四、制度运行与优化</w:t>
        </w:r>
        <w:r>
          <w:tab/>
        </w:r>
        <w:r>
          <w:fldChar w:fldCharType="begin"/>
        </w:r>
        <w:r>
          <w:instrText xml:space="preserve"> PAGEREF _Toc32178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435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(一)、制度执行与监督</w:t>
        </w:r>
        <w:r>
          <w:tab/>
        </w:r>
        <w:r>
          <w:fldChar w:fldCharType="begin"/>
        </w:r>
        <w:r>
          <w:instrText xml:space="preserve"> PAGEREF _Toc18435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052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(二)、制度优化与更新</w:t>
        </w:r>
        <w:r>
          <w:tab/>
        </w:r>
        <w:r>
          <w:fldChar w:fldCharType="begin"/>
        </w:r>
        <w:r>
          <w:instrText xml:space="preserve"> PAGEREF _Toc8052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8962" w:history="1">
        <w:r>
          <w:rPr>
            <w:rFonts w:ascii="微软雅黑" w:eastAsia="微软雅黑" w:hAnsi="微软雅黑" w:cs="微软雅黑" w:hint="eastAsia"/>
            <w:color w:val="001CAC" w:themeColor="hyperlink" w:themeShade="BF"/>
            <w:szCs w:val="32"/>
            <w:lang w:eastAsia="zh-CN"/>
          </w:rPr>
          <w:t>五、可持续发展与绿色经营</w:t>
        </w:r>
        <w:r>
          <w:tab/>
        </w:r>
        <w:r>
          <w:fldChar w:fldCharType="begin"/>
        </w:r>
        <w:r>
          <w:instrText xml:space="preserve"> PAGEREF _Toc28962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029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(一)、可持续发展战略与目标</w:t>
        </w:r>
        <w:r>
          <w:tab/>
        </w:r>
        <w:r>
          <w:fldChar w:fldCharType="begin"/>
        </w:r>
        <w:r>
          <w:instrText xml:space="preserve"> PAGEREF _Toc17029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419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(二)、环保政策与实践</w:t>
        </w:r>
        <w:r>
          <w:tab/>
        </w:r>
        <w:r>
          <w:fldChar w:fldCharType="begin"/>
        </w:r>
        <w:r>
          <w:instrText xml:space="preserve"> PAGEREF _Toc20419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051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(三)、资源利用与循环经济</w:t>
        </w:r>
        <w:r>
          <w:tab/>
        </w:r>
        <w:r>
          <w:fldChar w:fldCharType="begin"/>
        </w:r>
        <w:r>
          <w:instrText xml:space="preserve"> PAGEREF _Toc26051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801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(四)、碳中和与生态足迹</w:t>
        </w:r>
        <w:r>
          <w:tab/>
        </w:r>
        <w:r>
          <w:fldChar w:fldCharType="begin"/>
        </w:r>
        <w:r>
          <w:instrText xml:space="preserve"> PAGEREF _Toc25801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0231" w:history="1">
        <w:r>
          <w:rPr>
            <w:rFonts w:ascii="微软雅黑" w:eastAsia="微软雅黑" w:hAnsi="微软雅黑" w:cs="微软雅黑" w:hint="eastAsia"/>
            <w:color w:val="001CAC" w:themeColor="hyperlink" w:themeShade="BF"/>
            <w:szCs w:val="32"/>
            <w:lang w:eastAsia="zh-CN"/>
          </w:rPr>
          <w:t>六、公司文化与社会责任</w:t>
        </w:r>
        <w:r>
          <w:tab/>
        </w:r>
        <w:r>
          <w:fldChar w:fldCharType="begin"/>
        </w:r>
        <w:r>
          <w:instrText xml:space="preserve"> PAGEREF _Toc30231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280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(一)、公司文化建设</w:t>
        </w:r>
        <w:r>
          <w:tab/>
        </w:r>
        <w:r>
          <w:fldChar w:fldCharType="begin"/>
        </w:r>
        <w:r>
          <w:instrText xml:space="preserve"> PAGEREF _Toc25280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140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(二)、企业社会责任与可持续发展</w:t>
        </w:r>
        <w:r>
          <w:tab/>
        </w:r>
        <w:r>
          <w:fldChar w:fldCharType="begin"/>
        </w:r>
        <w:r>
          <w:instrText xml:space="preserve"> PAGEREF _Toc6140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2238" w:history="1">
        <w:r>
          <w:rPr>
            <w:rFonts w:ascii="微软雅黑" w:eastAsia="微软雅黑" w:hAnsi="微软雅黑" w:cs="微软雅黑" w:hint="eastAsia"/>
            <w:color w:val="001CAC" w:themeColor="hyperlink" w:themeShade="BF"/>
            <w:szCs w:val="32"/>
            <w:lang w:eastAsia="zh-CN"/>
          </w:rPr>
          <w:t>七、领导力发展与企业文化</w:t>
        </w:r>
        <w:r>
          <w:tab/>
        </w:r>
        <w:r>
          <w:fldChar w:fldCharType="begin"/>
        </w:r>
        <w:r>
          <w:instrText xml:space="preserve"> PAGEREF _Toc12238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89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(一)、高效团队建设原则</w:t>
        </w:r>
        <w:r>
          <w:tab/>
        </w:r>
        <w:r>
          <w:fldChar w:fldCharType="begin"/>
        </w:r>
        <w:r>
          <w:instrText xml:space="preserve"> PAGEREF _Toc1589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194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(二)、团队文化与价值观塑造</w:t>
        </w:r>
        <w:r>
          <w:tab/>
        </w:r>
        <w:r>
          <w:fldChar w:fldCharType="begin"/>
        </w:r>
        <w:r>
          <w:instrText xml:space="preserve"> PAGEREF _Toc7194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478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(三)、领导力发展计划</w:t>
        </w:r>
        <w:r>
          <w:tab/>
        </w:r>
        <w:r>
          <w:fldChar w:fldCharType="begin"/>
        </w:r>
        <w:r>
          <w:instrText xml:space="preserve"> PAGEREF _Toc30478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6261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(四)、领导力在变革中的作用</w:t>
        </w:r>
        <w:r>
          <w:tab/>
        </w:r>
        <w:r>
          <w:fldChar w:fldCharType="begin"/>
        </w:r>
        <w:r>
          <w:instrText xml:space="preserve"> PAGEREF _Toc6261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7640" w:history="1">
        <w:r>
          <w:rPr>
            <w:rFonts w:ascii="微软雅黑" w:eastAsia="微软雅黑" w:hAnsi="微软雅黑" w:cs="微软雅黑" w:hint="eastAsia"/>
            <w:color w:val="001CAC" w:themeColor="hyperlink" w:themeShade="BF"/>
            <w:szCs w:val="32"/>
            <w:lang w:eastAsia="zh-CN"/>
          </w:rPr>
          <w:t>八、纺织用仪器行业质量管理方案</w:t>
        </w:r>
        <w:r>
          <w:tab/>
        </w:r>
        <w:r>
          <w:fldChar w:fldCharType="begin"/>
        </w:r>
        <w:r>
          <w:instrText xml:space="preserve"> PAGEREF _Toc17640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348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(一)、纺织用仪器行业质量管理要求</w:t>
        </w:r>
        <w:r>
          <w:tab/>
        </w:r>
        <w:r>
          <w:fldChar w:fldCharType="begin"/>
        </w:r>
        <w:r>
          <w:instrText xml:space="preserve"> PAGEREF _Toc22348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322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(二)、纺织用仪器行业服务质量管理方案</w:t>
        </w:r>
        <w:r>
          <w:tab/>
        </w:r>
        <w:r>
          <w:fldChar w:fldCharType="begin"/>
        </w:r>
        <w:r>
          <w:instrText xml:space="preserve"> PAGEREF _Toc15322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037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(三)、纺织用仪器行业质量成本管理方案</w:t>
        </w:r>
        <w:r>
          <w:tab/>
        </w:r>
        <w:r>
          <w:fldChar w:fldCharType="begin"/>
        </w:r>
        <w:r>
          <w:instrText xml:space="preserve"> PAGEREF _Toc21037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5793" w:history="1">
        <w:r>
          <w:rPr>
            <w:rFonts w:ascii="微软雅黑" w:eastAsia="微软雅黑" w:hAnsi="微软雅黑" w:cs="微软雅黑" w:hint="eastAsia"/>
            <w:color w:val="001CAC" w:themeColor="hyperlink" w:themeShade="BF"/>
            <w:szCs w:val="32"/>
            <w:lang w:eastAsia="zh-CN"/>
          </w:rPr>
          <w:t>九、纺织用仪器行业人才招聘与发展</w:t>
        </w:r>
        <w:r>
          <w:tab/>
        </w:r>
        <w:r>
          <w:fldChar w:fldCharType="begin"/>
        </w:r>
        <w:r>
          <w:instrText xml:space="preserve"> PAGEREF _Toc15793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479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(一)、人才需求分析</w:t>
        </w:r>
        <w:r>
          <w:tab/>
        </w:r>
        <w:r>
          <w:fldChar w:fldCharType="begin"/>
        </w:r>
        <w:r>
          <w:instrText xml:space="preserve"> PAGEREF _Toc16479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973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(二)、招聘计划与流程</w:t>
        </w:r>
        <w:r>
          <w:tab/>
        </w:r>
        <w:r>
          <w:fldChar w:fldCharType="begin"/>
        </w:r>
        <w:r>
          <w:instrText xml:space="preserve"> PAGEREF _Toc13973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133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(三)、员工培训与发展</w:t>
        </w:r>
        <w:r>
          <w:tab/>
        </w:r>
        <w:r>
          <w:fldChar w:fldCharType="begin"/>
        </w:r>
        <w:r>
          <w:instrText xml:space="preserve"> PAGEREF _Toc12133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691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(四)、绩效考核与激励</w:t>
        </w:r>
        <w:r>
          <w:tab/>
        </w:r>
        <w:r>
          <w:fldChar w:fldCharType="begin"/>
        </w:r>
        <w:r>
          <w:instrText xml:space="preserve"> PAGEREF _Toc28691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406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(五)、人才流动与留存</w:t>
        </w:r>
        <w:r>
          <w:tab/>
        </w:r>
        <w:r>
          <w:fldChar w:fldCharType="begin"/>
        </w:r>
        <w:r>
          <w:instrText xml:space="preserve"> PAGEREF _Toc13406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2109" w:history="1">
        <w:r>
          <w:rPr>
            <w:rFonts w:ascii="微软雅黑" w:eastAsia="微软雅黑" w:hAnsi="微软雅黑" w:cs="微软雅黑" w:hint="eastAsia"/>
            <w:color w:val="001CAC" w:themeColor="hyperlink" w:themeShade="BF"/>
            <w:szCs w:val="32"/>
            <w:lang w:eastAsia="zh-CN"/>
          </w:rPr>
          <w:t>十、纺织用仪器行业制度建设与执行</w:t>
        </w:r>
        <w:r>
          <w:tab/>
        </w:r>
        <w:r>
          <w:fldChar w:fldCharType="begin"/>
        </w:r>
        <w:r>
          <w:instrText xml:space="preserve"> PAGEREF _Toc32109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632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(一)、公司制度体系规划</w:t>
        </w:r>
        <w:r>
          <w:tab/>
        </w:r>
        <w:r>
          <w:fldChar w:fldCharType="begin"/>
        </w:r>
        <w:r>
          <w:instrText xml:space="preserve"> PAGEREF _Toc9632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946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(二)、员工手册编制与更新</w:t>
        </w:r>
        <w:r>
          <w:tab/>
        </w:r>
        <w:r>
          <w:fldChar w:fldCharType="begin"/>
        </w:r>
        <w:r>
          <w:instrText xml:space="preserve"> PAGEREF _Toc4946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45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(三)、制度宣导与培训</w:t>
        </w:r>
        <w:r>
          <w:tab/>
        </w:r>
        <w:r>
          <w:fldChar w:fldCharType="begin"/>
        </w:r>
        <w:r>
          <w:instrText xml:space="preserve"> PAGEREF _Toc1545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271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(四)、主要防范措施</w:t>
        </w:r>
        <w:r>
          <w:tab/>
        </w:r>
        <w:r>
          <w:fldChar w:fldCharType="begin"/>
        </w:r>
        <w:r>
          <w:instrText xml:space="preserve"> PAGEREF _Toc28271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476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(五)、制度优化与更新</w:t>
        </w:r>
        <w:r>
          <w:tab/>
        </w:r>
        <w:r>
          <w:fldChar w:fldCharType="begin"/>
        </w:r>
        <w:r>
          <w:instrText xml:space="preserve"> PAGEREF _Toc22476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8299" w:history="1">
        <w:r>
          <w:rPr>
            <w:rFonts w:ascii="微软雅黑" w:eastAsia="微软雅黑" w:hAnsi="微软雅黑" w:cs="微软雅黑" w:hint="eastAsia"/>
            <w:color w:val="001CAC" w:themeColor="hyperlink" w:themeShade="BF"/>
            <w:szCs w:val="32"/>
            <w:lang w:eastAsia="zh-CN"/>
          </w:rPr>
          <w:t>十一、资金筹措与投资分析</w:t>
        </w:r>
        <w:r>
          <w:tab/>
        </w:r>
        <w:r>
          <w:fldChar w:fldCharType="begin"/>
        </w:r>
        <w:r>
          <w:instrText xml:space="preserve"> PAGEREF _Toc18299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437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(一)、资金需求与筹措计划</w:t>
        </w:r>
        <w:r>
          <w:tab/>
        </w:r>
        <w:r>
          <w:fldChar w:fldCharType="begin"/>
        </w:r>
        <w:r>
          <w:instrText xml:space="preserve"> PAGEREF _Toc31437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16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(二)、投资分析与回报预期</w:t>
        </w:r>
        <w:r>
          <w:tab/>
        </w:r>
        <w:r>
          <w:fldChar w:fldCharType="begin"/>
        </w:r>
        <w:r>
          <w:instrText xml:space="preserve"> PAGEREF _Toc2216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6863" w:history="1">
        <w:r>
          <w:rPr>
            <w:rFonts w:ascii="微软雅黑" w:eastAsia="微软雅黑" w:hAnsi="微软雅黑" w:cs="微软雅黑" w:hint="eastAsia"/>
            <w:color w:val="001CAC" w:themeColor="hyperlink" w:themeShade="BF"/>
            <w:szCs w:val="32"/>
            <w:lang w:eastAsia="zh-CN"/>
          </w:rPr>
          <w:t>十二、环境与社会责任</w:t>
        </w:r>
        <w:r>
          <w:tab/>
        </w:r>
        <w:r>
          <w:fldChar w:fldCharType="begin"/>
        </w:r>
        <w:r>
          <w:instrText xml:space="preserve"> PAGEREF _Toc6863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436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(一)、环境影响评估</w:t>
        </w:r>
        <w:r>
          <w:tab/>
        </w:r>
        <w:r>
          <w:fldChar w:fldCharType="begin"/>
        </w:r>
        <w:r>
          <w:instrText xml:space="preserve"> PAGEREF _Toc22436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108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(二)、社会责任与可持续发展</w:t>
        </w:r>
        <w:r>
          <w:tab/>
        </w:r>
        <w:r>
          <w:fldChar w:fldCharType="begin"/>
        </w:r>
        <w:r>
          <w:instrText xml:space="preserve"> PAGEREF _Toc5108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r>
        <w:fldChar w:fldCharType="end"/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https://d.book118.com/165300000013011044</w:t>
        </w:r>
      </w:hyperlink>
    </w:p>
    <w:p/>
    <w:sectPr>
      <w:headerReference w:type="default" r:id="rId9"/>
      <w:footerReference w:type="default" r:id="rId10"/>
      <w:type w:val="nextPage"/>
      <w:pgSz w:w="11906" w:h="16838"/>
      <w:pgMar w:top="1440" w:right="1800" w:bottom="1440" w:left="1800" w:header="851" w:footer="992" w:gutter="0"/>
      <w:pgNumType w:start="3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82775B3"/>
    <w:rsid w:val="02623C3C"/>
    <w:rsid w:val="03734037"/>
    <w:rsid w:val="13614867"/>
    <w:rsid w:val="2BA846DC"/>
    <w:rsid w:val="3DAC44EE"/>
    <w:rsid w:val="453746B4"/>
    <w:rsid w:val="482775B3"/>
    <w:rsid w:val="49C53810"/>
    <w:rsid w:val="4E155AC7"/>
    <w:rsid w:val="50930768"/>
    <w:rsid w:val="62A91464"/>
    <w:rsid w:val="692E1C42"/>
  </w:rsids>
  <w:docVars>
    <w:docVar w:name="commondata" w:val="eyJoZGlkIjoiYjEzZTI3MzIxYzUxM2E3Y2YyMDVhZDRkMWU5YjExZDg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 w:qFormat="1"/>
    <w:lsdException w:name="toc 2" w:semiHidden="0" w:uiPriority="0" w:unhideWhenUsed="0" w:qFormat="1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 w:qFormat="1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autoRedefine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autoRedefine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autoRedefine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autoRedefine/>
    <w:semiHidden/>
    <w:qFormat/>
  </w:style>
  <w:style w:type="table" w:default="1" w:styleId="TableNormal">
    <w:name w:val="Normal Table"/>
    <w:autoRedefine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autoRedefine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autoRedefine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  <w:autoRedefine/>
    <w:qFormat/>
  </w:style>
  <w:style w:type="paragraph" w:styleId="TOC2">
    <w:name w:val="toc 2"/>
    <w:basedOn w:val="Normal"/>
    <w:next w:val="Normal"/>
    <w:autoRedefine/>
    <w:qFormat/>
    <w:pPr>
      <w:ind w:left="420" w:leftChars="200"/>
    </w:pPr>
  </w:style>
  <w:style w:type="character" w:styleId="PageNumber">
    <w:name w:val="page number"/>
    <w:basedOn w:val="DefaultParagraphFont"/>
    <w:autoRedefine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3.xml" /><Relationship Id="rId11" Type="http://schemas.openxmlformats.org/officeDocument/2006/relationships/theme" Target="theme/theme1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yperlink" Target="https://d.book118.com/165300000013011044" TargetMode="External" /><Relationship Id="rId9" Type="http://schemas.openxmlformats.org/officeDocument/2006/relationships/header" Target="head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黄晨</dc:creator>
  <cp:lastModifiedBy>小海豹</cp:lastModifiedBy>
  <cp:revision>1</cp:revision>
  <dcterms:created xsi:type="dcterms:W3CDTF">2023-12-10T12:06:00Z</dcterms:created>
  <dcterms:modified xsi:type="dcterms:W3CDTF">2024-01-17T07:09:15Z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1E39AA5D4B7F4B19B7D16FD992F8235D_13</vt:lpwstr>
  </property>
  <property fmtid="{D5CDD505-2E9C-101B-9397-08002B2CF9AE}" pid="3" name="KSOProductBuildVer">
    <vt:lpwstr>2052-12.1.0.16120</vt:lpwstr>
  </property>
</Properties>
</file>