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D23">
      <w:pPr>
        <w:pStyle w:val="Normal0"/>
        <w:ind w:firstLine="869"/>
        <w:rPr>
          <w:b/>
          <w:w w:val="120"/>
          <w:sz w:val="36"/>
          <w:szCs w:val="36"/>
        </w:rPr>
      </w:pPr>
      <w:bookmarkStart w:id="0" w:name="_Toc264299989"/>
      <w:bookmarkStart w:id="1" w:name="_Toc264380677"/>
      <w:bookmarkStart w:id="2" w:name="_Toc264300852"/>
      <w:bookmarkStart w:id="3" w:name="_Toc263609930"/>
      <w:bookmarkStart w:id="4" w:name="_Toc264376562"/>
      <w:bookmarkStart w:id="5" w:name="_Toc266026282"/>
      <w:bookmarkStart w:id="6" w:name="_Toc265402941"/>
      <w:bookmarkStart w:id="7" w:name="_Toc266026645"/>
      <w:r>
        <w:rPr>
          <w:rFonts w:hint="eastAsia"/>
          <w:b/>
          <w:w w:val="120"/>
          <w:sz w:val="36"/>
          <w:szCs w:val="36"/>
        </w:rPr>
        <w:t>四川省都江堰灌区毗河供水一期工程</w:t>
      </w:r>
    </w:p>
    <w:p w:rsidR="00286D23">
      <w:pPr>
        <w:pStyle w:val="Normal0"/>
        <w:ind w:firstLine="2700" w:firstLineChars="900"/>
        <w:rPr>
          <w:rFonts w:ascii="隶书" w:eastAsia="隶书"/>
          <w:b/>
          <w:w w:val="55"/>
          <w:sz w:val="30"/>
          <w:szCs w:val="30"/>
        </w:rPr>
      </w:pPr>
    </w:p>
    <w:p w:rsidR="00286D23">
      <w:pPr>
        <w:pStyle w:val="Normal0"/>
        <w:ind w:firstLine="2700" w:firstLineChars="900"/>
        <w:rPr>
          <w:rFonts w:ascii="隶书" w:eastAsia="隶书"/>
          <w:b/>
          <w:w w:val="55"/>
          <w:sz w:val="30"/>
          <w:szCs w:val="30"/>
        </w:rPr>
      </w:pPr>
    </w:p>
    <w:p w:rsidR="00286D23">
      <w:pPr>
        <w:pStyle w:val="Normal0"/>
        <w:spacing w:line="800" w:lineRule="exact"/>
        <w:ind w:firstLine="960" w:firstLineChars="100"/>
        <w:jc w:val="center"/>
        <w:rPr>
          <w:rFonts w:ascii="隶书" w:eastAsia="隶书"/>
          <w:b/>
          <w:w w:val="50"/>
          <w:sz w:val="96"/>
          <w:szCs w:val="96"/>
        </w:rPr>
      </w:pPr>
      <w:r>
        <w:rPr>
          <w:rFonts w:ascii="隶书" w:eastAsia="隶书" w:hint="eastAsia"/>
          <w:b/>
          <w:w w:val="50"/>
          <w:sz w:val="96"/>
          <w:szCs w:val="96"/>
        </w:rPr>
        <w:t>中兴支渠明渠施工方案</w:t>
      </w:r>
    </w:p>
    <w:p w:rsidR="00286D23">
      <w:pPr>
        <w:pStyle w:val="Normal0"/>
        <w:spacing w:line="800" w:lineRule="exact"/>
        <w:ind w:firstLine="968"/>
        <w:jc w:val="center"/>
        <w:rPr>
          <w:rFonts w:ascii="隶书" w:eastAsia="隶书"/>
          <w:b/>
          <w:w w:val="50"/>
          <w:sz w:val="96"/>
          <w:szCs w:val="96"/>
        </w:rPr>
      </w:pPr>
    </w:p>
    <w:p w:rsidR="00286D23">
      <w:pPr>
        <w:pStyle w:val="1"/>
        <w:snapToGrid w:val="0"/>
        <w:spacing w:before="120" w:beforeLines="50" w:line="240" w:lineRule="auto"/>
        <w:jc w:val="center"/>
        <w:rPr>
          <w:rFonts w:ascii="隶书" w:eastAsia="隶书" w:hAnsi="宋体"/>
          <w:b/>
          <w:w w:val="55"/>
          <w:sz w:val="30"/>
          <w:szCs w:val="30"/>
        </w:rPr>
      </w:pPr>
      <w:r>
        <w:rPr>
          <w:rFonts w:ascii="Times New Roman"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5" type="#_x0000_t75" alt="电建新图标" style="width:85.5pt;height:78pt;margin-top:33.75pt;margin-left:179.25pt;position:absolute;z-index:251658240" filled="f">
            <v:imagedata r:id="rId5" o:title=""/>
            <o:lock v:ext="edit" aspectratio="t"/>
            <w10:wrap type="topAndBottom"/>
          </v:shape>
        </w:pict>
      </w:r>
    </w:p>
    <w:p w:rsidR="00286D23">
      <w:pPr>
        <w:pStyle w:val="Normal0"/>
        <w:wordWrap w:val="0"/>
        <w:ind w:right="718" w:firstLine="480" w:rightChars="342"/>
        <w:rPr>
          <w:rFonts w:ascii="Times New Roman" w:hAnsi="Times New Roman"/>
          <w:szCs w:val="24"/>
        </w:rPr>
      </w:pPr>
    </w:p>
    <w:p w:rsidR="00286D23">
      <w:pPr>
        <w:pStyle w:val="Normal0"/>
        <w:ind w:firstLine="600"/>
        <w:rPr>
          <w:sz w:val="30"/>
          <w:szCs w:val="30"/>
        </w:rPr>
      </w:pPr>
    </w:p>
    <w:p w:rsidR="00286D23">
      <w:pPr>
        <w:pStyle w:val="Normal0"/>
        <w:ind w:firstLine="2700" w:firstLineChars="900"/>
        <w:rPr>
          <w:sz w:val="30"/>
          <w:szCs w:val="30"/>
          <w:u w:val="single"/>
        </w:rPr>
      </w:pPr>
      <w:r>
        <w:rPr>
          <w:rFonts w:hint="eastAsia"/>
          <w:sz w:val="30"/>
          <w:szCs w:val="30"/>
        </w:rPr>
        <w:t>编 写：</w:t>
      </w:r>
      <w:r>
        <w:rPr>
          <w:rFonts w:hint="eastAsia"/>
          <w:sz w:val="30"/>
          <w:szCs w:val="30"/>
          <w:u w:val="single"/>
        </w:rPr>
        <w:t xml:space="preserve">            </w:t>
      </w:r>
    </w:p>
    <w:p w:rsidR="00286D23">
      <w:pPr>
        <w:pStyle w:val="Normal0"/>
        <w:ind w:firstLine="2700" w:firstLineChars="900"/>
        <w:rPr>
          <w:sz w:val="30"/>
          <w:szCs w:val="30"/>
        </w:rPr>
      </w:pPr>
    </w:p>
    <w:p w:rsidR="00286D23">
      <w:pPr>
        <w:pStyle w:val="Normal0"/>
        <w:ind w:firstLine="2700" w:firstLineChars="900"/>
        <w:rPr>
          <w:sz w:val="30"/>
          <w:szCs w:val="30"/>
        </w:rPr>
      </w:pPr>
      <w:r>
        <w:rPr>
          <w:rFonts w:hint="eastAsia"/>
          <w:sz w:val="30"/>
          <w:szCs w:val="30"/>
        </w:rPr>
        <w:t>校 核：</w:t>
      </w:r>
      <w:r>
        <w:rPr>
          <w:rFonts w:hint="eastAsia"/>
          <w:sz w:val="30"/>
          <w:szCs w:val="30"/>
          <w:u w:val="single"/>
        </w:rPr>
        <w:t xml:space="preserve">            </w:t>
      </w:r>
    </w:p>
    <w:p w:rsidR="00286D23">
      <w:pPr>
        <w:pStyle w:val="Normal0"/>
        <w:ind w:firstLine="600"/>
        <w:rPr>
          <w:sz w:val="30"/>
          <w:szCs w:val="30"/>
        </w:rPr>
      </w:pPr>
    </w:p>
    <w:p w:rsidR="00286D23">
      <w:pPr>
        <w:pStyle w:val="Normal0"/>
        <w:ind w:firstLine="2700" w:firstLineChars="900"/>
        <w:rPr>
          <w:rFonts w:cs="宋体"/>
          <w:szCs w:val="24"/>
        </w:rPr>
      </w:pPr>
      <w:r>
        <w:rPr>
          <w:rFonts w:hint="eastAsia"/>
          <w:sz w:val="30"/>
          <w:szCs w:val="30"/>
        </w:rPr>
        <w:t>批 准：</w:t>
      </w:r>
      <w:r>
        <w:rPr>
          <w:rFonts w:hint="eastAsia"/>
          <w:sz w:val="30"/>
          <w:szCs w:val="30"/>
          <w:u w:val="single"/>
        </w:rPr>
        <w:t xml:space="preserve">           </w:t>
      </w:r>
    </w:p>
    <w:p w:rsidR="00286D23">
      <w:pPr>
        <w:pStyle w:val="Normal0"/>
        <w:ind w:firstLine="2160" w:firstLineChars="900"/>
        <w:rPr>
          <w:rFonts w:ascii="Times New Roman" w:hAnsi="Times New Roman"/>
          <w:kern w:val="2"/>
          <w:szCs w:val="20"/>
        </w:rPr>
      </w:pPr>
    </w:p>
    <w:p w:rsidR="00286D23">
      <w:pPr>
        <w:pStyle w:val="Normal0"/>
        <w:ind w:firstLine="420"/>
        <w:rPr>
          <w:sz w:val="21"/>
          <w:szCs w:val="24"/>
        </w:rPr>
      </w:pPr>
    </w:p>
    <w:p w:rsidR="00286D23">
      <w:pPr>
        <w:pStyle w:val="Normal0"/>
        <w:ind w:firstLine="480"/>
        <w:sectPr>
          <w:pgSz w:w="11906" w:h="16838"/>
          <w:pgMar w:top="1440" w:right="1800" w:bottom="1440" w:left="1800" w:header="708" w:footer="708" w:gutter="0"/>
          <w:pgNumType w:fmt="upperRoman" w:start="1"/>
          <w:cols w:space="720"/>
          <w:docGrid w:linePitch="360"/>
        </w:sectPr>
      </w:pPr>
    </w:p>
    <w:p w:rsidR="00286D23">
      <w:pPr>
        <w:pStyle w:val="Normal0"/>
        <w:ind w:firstLine="480"/>
      </w:pPr>
    </w:p>
    <w:p w:rsidR="00286D23">
      <w:pPr>
        <w:pStyle w:val="Normal0"/>
        <w:ind w:firstLine="480"/>
      </w:pPr>
    </w:p>
    <w:p w:rsidR="00286D23">
      <w:pPr>
        <w:pStyle w:val="Normal0"/>
        <w:ind w:firstLine="643"/>
        <w:jc w:val="center"/>
        <w:rPr>
          <w:b/>
          <w:sz w:val="32"/>
        </w:rPr>
      </w:pPr>
      <w:r>
        <w:rPr>
          <w:rFonts w:hint="eastAsia"/>
          <w:b/>
          <w:sz w:val="32"/>
        </w:rPr>
        <w:t>中国电力建设股份有限公司</w:t>
      </w:r>
    </w:p>
    <w:p w:rsidR="00286D23">
      <w:pPr>
        <w:pStyle w:val="Normal0"/>
        <w:ind w:firstLine="643"/>
        <w:jc w:val="center"/>
        <w:rPr>
          <w:b/>
          <w:sz w:val="32"/>
        </w:rPr>
      </w:pPr>
      <w:r>
        <w:rPr>
          <w:rFonts w:hint="eastAsia"/>
          <w:b/>
          <w:sz w:val="32"/>
        </w:rPr>
        <w:t>四川省都江堰灌区毗河供水一期工程施工总承包部</w:t>
      </w:r>
      <w:bookmarkEnd w:id="0"/>
      <w:bookmarkEnd w:id="1"/>
      <w:bookmarkEnd w:id="2"/>
      <w:bookmarkEnd w:id="3"/>
      <w:bookmarkEnd w:id="4"/>
      <w:bookmarkEnd w:id="5"/>
      <w:bookmarkEnd w:id="6"/>
      <w:bookmarkEnd w:id="7"/>
    </w:p>
    <w:p w:rsidR="00286D23">
      <w:pPr>
        <w:pStyle w:val="TOC3"/>
        <w:tabs>
          <w:tab w:val="right" w:leader="dot" w:pos="8296"/>
        </w:tabs>
        <w:ind w:left="0" w:firstLine="0" w:firstLineChars="0"/>
        <w:jc w:val="center"/>
        <w:rPr>
          <w:b/>
          <w:i w:val="0"/>
          <w:sz w:val="36"/>
          <w:szCs w:val="36"/>
        </w:rPr>
        <w:sectPr>
          <w:type w:val="nextPage"/>
          <w:pgSz w:w="11906" w:h="16838"/>
          <w:pgMar w:top="1440" w:right="1800" w:bottom="1440" w:left="1800" w:header="708" w:footer="708" w:gutter="0"/>
          <w:pgNumType w:fmt="upperRoman" w:start="2"/>
          <w:cols w:space="720"/>
          <w:titlePg w:val="0"/>
          <w:docGrid w:linePitch="360"/>
        </w:sectPr>
      </w:pPr>
    </w:p>
    <w:p w:rsidR="00286D23">
      <w:pPr>
        <w:pStyle w:val="TOC1"/>
        <w:tabs>
          <w:tab w:val="right" w:leader="dot" w:pos="8296"/>
        </w:tabs>
        <w:spacing w:line="440" w:lineRule="exact"/>
        <w:ind w:firstLine="883"/>
        <w:jc w:val="center"/>
        <w:rPr>
          <w:sz w:val="44"/>
          <w:szCs w:val="44"/>
        </w:rPr>
      </w:pPr>
      <w:r>
        <w:rPr>
          <w:rFonts w:hint="eastAsia"/>
          <w:sz w:val="44"/>
          <w:szCs w:val="44"/>
        </w:rPr>
        <w:t>目   录</w:t>
      </w:r>
    </w:p>
    <w:p w:rsidR="00286D23">
      <w:pPr>
        <w:pStyle w:val="TOC1"/>
        <w:tabs>
          <w:tab w:val="right" w:leader="dot" w:pos="8296"/>
        </w:tabs>
        <w:ind w:firstLine="402"/>
        <w:rPr>
          <w:rFonts w:ascii="宋体" w:hAnsi="宋体"/>
          <w:b w:val="0"/>
          <w:bCs w:val="0"/>
          <w:caps w:val="0"/>
          <w:kern w:val="2"/>
          <w:sz w:val="24"/>
          <w:szCs w:val="24"/>
        </w:rPr>
      </w:pPr>
      <w:r>
        <w:fldChar w:fldCharType="begin"/>
      </w:r>
      <w:r>
        <w:instrText xml:space="preserve"> </w:instrText>
      </w:r>
      <w:r>
        <w:rPr>
          <w:rFonts w:hint="eastAsia"/>
        </w:rPr>
        <w:instrText>TOC \o "1-2" \h \z \u</w:instrText>
      </w:r>
      <w:r>
        <w:instrText xml:space="preserve"> </w:instrText>
      </w:r>
      <w:r>
        <w:fldChar w:fldCharType="separate"/>
      </w:r>
      <w:hyperlink w:anchor="_Toc432513737" w:history="1">
        <w:r>
          <w:rPr>
            <w:rStyle w:val="Hyperlink"/>
            <w:rFonts w:ascii="宋体" w:hAnsi="宋体"/>
            <w:sz w:val="24"/>
            <w:szCs w:val="24"/>
          </w:rPr>
          <w:t xml:space="preserve">1  </w:t>
        </w:r>
        <w:r>
          <w:rPr>
            <w:rStyle w:val="Hyperlink"/>
            <w:rFonts w:ascii="宋体" w:hAnsi="宋体" w:hint="eastAsia"/>
            <w:sz w:val="24"/>
            <w:szCs w:val="24"/>
          </w:rPr>
          <w:t>工程概况及编制依据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_Toc432513737 \h </w:instrText>
        </w:r>
        <w:r>
          <w:rPr>
            <w:rFonts w:ascii="宋体" w:hAnsi="宋体"/>
            <w:sz w:val="24"/>
            <w:szCs w:val="24"/>
          </w:rPr>
          <w:fldChar w:fldCharType="separate"/>
        </w:r>
        <w:r>
          <w:rPr>
            <w:rFonts w:ascii="宋体" w:hAnsi="宋体"/>
            <w:sz w:val="24"/>
            <w:szCs w:val="24"/>
          </w:rPr>
          <w:t>1</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38" w:history="1">
        <w:r>
          <w:rPr>
            <w:rStyle w:val="Hyperlink"/>
            <w:rFonts w:ascii="宋体" w:hAnsi="宋体"/>
            <w:sz w:val="24"/>
            <w:szCs w:val="24"/>
          </w:rPr>
          <w:t>1.1</w:t>
        </w:r>
        <w:r>
          <w:rPr>
            <w:rStyle w:val="Hyperlink"/>
            <w:rFonts w:ascii="宋体" w:hAnsi="宋体" w:hint="eastAsia"/>
            <w:sz w:val="24"/>
            <w:szCs w:val="24"/>
          </w:rPr>
          <w:t>编制依据：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_Toc432513738 \h </w:instrText>
        </w:r>
        <w:r>
          <w:rPr>
            <w:rFonts w:ascii="宋体" w:hAnsi="宋体"/>
            <w:sz w:val="24"/>
            <w:szCs w:val="24"/>
          </w:rPr>
          <w:fldChar w:fldCharType="separate"/>
        </w:r>
        <w:r>
          <w:rPr>
            <w:rFonts w:ascii="宋体" w:hAnsi="宋体"/>
            <w:sz w:val="24"/>
            <w:szCs w:val="24"/>
          </w:rPr>
          <w:t>1</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39" w:history="1">
        <w:r>
          <w:rPr>
            <w:rStyle w:val="Hyperlink"/>
            <w:rFonts w:ascii="宋体" w:hAnsi="宋体"/>
            <w:sz w:val="24"/>
            <w:szCs w:val="24"/>
          </w:rPr>
          <w:t>1.2</w:t>
        </w:r>
        <w:r>
          <w:rPr>
            <w:rStyle w:val="Hyperlink"/>
            <w:rFonts w:ascii="宋体" w:hAnsi="宋体" w:hint="eastAsia"/>
            <w:sz w:val="24"/>
            <w:szCs w:val="24"/>
          </w:rPr>
          <w:t>工程概况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_Toc432513739 \h </w:instrText>
        </w:r>
        <w:r>
          <w:rPr>
            <w:rFonts w:ascii="宋体" w:hAnsi="宋体"/>
            <w:sz w:val="24"/>
            <w:szCs w:val="24"/>
          </w:rPr>
          <w:fldChar w:fldCharType="separate"/>
        </w:r>
        <w:r>
          <w:rPr>
            <w:rFonts w:ascii="宋体" w:hAnsi="宋体"/>
            <w:sz w:val="24"/>
            <w:szCs w:val="24"/>
          </w:rPr>
          <w:t>1</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40" w:history="1">
        <w:r>
          <w:rPr>
            <w:rStyle w:val="Hyperlink"/>
            <w:rFonts w:ascii="宋体" w:hAnsi="宋体"/>
            <w:sz w:val="24"/>
            <w:szCs w:val="24"/>
          </w:rPr>
          <w:t xml:space="preserve">2  </w:t>
        </w:r>
        <w:r>
          <w:rPr>
            <w:rStyle w:val="Hyperlink"/>
            <w:rFonts w:ascii="宋体" w:hAnsi="宋体" w:hint="eastAsia"/>
            <w:sz w:val="24"/>
            <w:szCs w:val="24"/>
          </w:rPr>
          <w:t>施工布置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_Toc432513740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41" w:history="1">
        <w:r>
          <w:rPr>
            <w:rStyle w:val="Hyperlink"/>
            <w:rFonts w:ascii="宋体" w:hAnsi="宋体"/>
            <w:sz w:val="24"/>
            <w:szCs w:val="24"/>
          </w:rPr>
          <w:t xml:space="preserve">2.1  </w:t>
        </w:r>
        <w:r>
          <w:rPr>
            <w:rStyle w:val="Hyperlink"/>
            <w:rFonts w:ascii="宋体" w:hAnsi="宋体" w:hint="eastAsia"/>
            <w:sz w:val="24"/>
            <w:szCs w:val="24"/>
          </w:rPr>
          <w:t>施工供水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_Toc432513741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42" w:history="1">
        <w:r>
          <w:rPr>
            <w:rStyle w:val="Hyperlink"/>
            <w:rFonts w:ascii="宋体" w:hAnsi="宋体"/>
            <w:sz w:val="24"/>
            <w:szCs w:val="24"/>
          </w:rPr>
          <w:t xml:space="preserve">2.2  </w:t>
        </w:r>
        <w:r>
          <w:rPr>
            <w:rStyle w:val="Hyperlink"/>
            <w:rFonts w:ascii="宋体" w:hAnsi="宋体" w:hint="eastAsia"/>
            <w:sz w:val="24"/>
            <w:szCs w:val="24"/>
          </w:rPr>
          <w:t>施工供电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_Toc432513742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43" w:history="1">
        <w:r>
          <w:rPr>
            <w:rStyle w:val="Hyperlink"/>
            <w:rFonts w:ascii="宋体" w:hAnsi="宋体"/>
            <w:sz w:val="24"/>
            <w:szCs w:val="24"/>
          </w:rPr>
          <w:t xml:space="preserve">2.3  </w:t>
        </w:r>
        <w:r>
          <w:rPr>
            <w:rStyle w:val="Hyperlink"/>
            <w:rFonts w:ascii="宋体" w:hAnsi="宋体" w:hint="eastAsia"/>
            <w:sz w:val="24"/>
            <w:szCs w:val="24"/>
          </w:rPr>
          <w:t>施工供风</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_Toc432513743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44" w:history="1">
        <w:r>
          <w:rPr>
            <w:rStyle w:val="Hyperlink"/>
            <w:rFonts w:ascii="宋体" w:hAnsi="宋体"/>
            <w:sz w:val="24"/>
            <w:szCs w:val="24"/>
          </w:rPr>
          <w:t xml:space="preserve">2.4  </w:t>
        </w:r>
        <w:r>
          <w:rPr>
            <w:rStyle w:val="Hyperlink"/>
            <w:rFonts w:ascii="宋体" w:hAnsi="宋体" w:hint="eastAsia"/>
            <w:sz w:val="24"/>
            <w:szCs w:val="24"/>
          </w:rPr>
          <w:t>施工排水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_Toc432513744 \h </w:instrText>
        </w:r>
        <w:r>
          <w:rPr>
            <w:rFonts w:ascii="宋体" w:hAnsi="宋体"/>
            <w:sz w:val="24"/>
            <w:szCs w:val="24"/>
          </w:rPr>
          <w:fldChar w:fldCharType="separate"/>
        </w:r>
        <w:r>
          <w:rPr>
            <w:rFonts w:ascii="宋体" w:hAnsi="宋体"/>
            <w:sz w:val="24"/>
            <w:szCs w:val="24"/>
          </w:rPr>
          <w:t>4</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45" w:history="1">
        <w:r>
          <w:rPr>
            <w:rStyle w:val="Hyperlink"/>
            <w:rFonts w:ascii="宋体" w:hAnsi="宋体"/>
            <w:sz w:val="24"/>
            <w:szCs w:val="24"/>
          </w:rPr>
          <w:t xml:space="preserve">2.5  </w:t>
        </w:r>
        <w:r>
          <w:rPr>
            <w:rStyle w:val="Hyperlink"/>
            <w:rFonts w:ascii="宋体" w:hAnsi="宋体" w:hint="eastAsia"/>
            <w:sz w:val="24"/>
            <w:szCs w:val="24"/>
          </w:rPr>
          <w:t>施工交通布置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_Toc432513745 \h </w:instrText>
        </w:r>
        <w:r>
          <w:rPr>
            <w:rFonts w:ascii="宋体" w:hAnsi="宋体"/>
            <w:sz w:val="24"/>
            <w:szCs w:val="24"/>
          </w:rPr>
          <w:fldChar w:fldCharType="separate"/>
        </w:r>
        <w:r>
          <w:rPr>
            <w:rFonts w:ascii="宋体" w:hAnsi="宋体"/>
            <w:sz w:val="24"/>
            <w:szCs w:val="24"/>
          </w:rPr>
          <w:t>4</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46" w:history="1">
        <w:r>
          <w:rPr>
            <w:rStyle w:val="Hyperlink"/>
            <w:rFonts w:ascii="宋体" w:hAnsi="宋体"/>
            <w:sz w:val="24"/>
            <w:szCs w:val="24"/>
          </w:rPr>
          <w:t xml:space="preserve">2.6  </w:t>
        </w:r>
        <w:r>
          <w:rPr>
            <w:rStyle w:val="Hyperlink"/>
            <w:rFonts w:ascii="宋体" w:hAnsi="宋体" w:hint="eastAsia"/>
            <w:sz w:val="24"/>
            <w:szCs w:val="24"/>
          </w:rPr>
          <w:t>渣场、生活区布置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_Toc432513746 \h </w:instrText>
        </w:r>
        <w:r>
          <w:rPr>
            <w:rFonts w:ascii="宋体" w:hAnsi="宋体"/>
            <w:sz w:val="24"/>
            <w:szCs w:val="24"/>
          </w:rPr>
          <w:fldChar w:fldCharType="separate"/>
        </w:r>
        <w:r>
          <w:rPr>
            <w:rFonts w:ascii="宋体" w:hAnsi="宋体"/>
            <w:sz w:val="24"/>
            <w:szCs w:val="24"/>
          </w:rPr>
          <w:t>5</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47" w:history="1">
        <w:r>
          <w:rPr>
            <w:rStyle w:val="Hyperlink"/>
            <w:rFonts w:ascii="宋体" w:hAnsi="宋体"/>
            <w:sz w:val="24"/>
            <w:szCs w:val="24"/>
          </w:rPr>
          <w:t xml:space="preserve">2.7  </w:t>
        </w:r>
        <w:r>
          <w:rPr>
            <w:rStyle w:val="Hyperlink"/>
            <w:rFonts w:ascii="宋体" w:hAnsi="宋体" w:hint="eastAsia"/>
            <w:sz w:val="24"/>
            <w:szCs w:val="24"/>
          </w:rPr>
          <w:t>拌合系统布置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_Toc432513747 \h </w:instrText>
        </w:r>
        <w:r>
          <w:rPr>
            <w:rFonts w:ascii="宋体" w:hAnsi="宋体"/>
            <w:sz w:val="24"/>
            <w:szCs w:val="24"/>
          </w:rPr>
          <w:fldChar w:fldCharType="separate"/>
        </w:r>
        <w:r>
          <w:rPr>
            <w:rFonts w:ascii="宋体" w:hAnsi="宋体"/>
            <w:sz w:val="24"/>
            <w:szCs w:val="24"/>
          </w:rPr>
          <w:t>5</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48" w:history="1">
        <w:r>
          <w:rPr>
            <w:rStyle w:val="Hyperlink"/>
            <w:rFonts w:ascii="宋体" w:hAnsi="宋体"/>
            <w:sz w:val="24"/>
            <w:szCs w:val="24"/>
          </w:rPr>
          <w:t xml:space="preserve">3  </w:t>
        </w:r>
        <w:r>
          <w:rPr>
            <w:rStyle w:val="Hyperlink"/>
            <w:rFonts w:ascii="宋体" w:hAnsi="宋体" w:hint="eastAsia"/>
            <w:sz w:val="24"/>
            <w:szCs w:val="24"/>
          </w:rPr>
          <w:t>施工重点、难点分析及应对措施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_Toc432513748 \h </w:instrText>
        </w:r>
        <w:r>
          <w:rPr>
            <w:rFonts w:ascii="宋体" w:hAnsi="宋体"/>
            <w:sz w:val="24"/>
            <w:szCs w:val="24"/>
          </w:rPr>
          <w:fldChar w:fldCharType="separate"/>
        </w:r>
        <w:r>
          <w:rPr>
            <w:rFonts w:ascii="宋体" w:hAnsi="宋体"/>
            <w:sz w:val="24"/>
            <w:szCs w:val="24"/>
          </w:rPr>
          <w:t>6</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49" w:history="1">
        <w:r>
          <w:rPr>
            <w:rStyle w:val="Hyperlink"/>
            <w:rFonts w:ascii="宋体" w:hAnsi="宋体"/>
            <w:sz w:val="24"/>
            <w:szCs w:val="24"/>
          </w:rPr>
          <w:t xml:space="preserve">4  </w:t>
        </w:r>
        <w:r>
          <w:rPr>
            <w:rStyle w:val="Hyperlink"/>
            <w:rFonts w:ascii="宋体" w:hAnsi="宋体" w:hint="eastAsia"/>
            <w:sz w:val="24"/>
            <w:szCs w:val="24"/>
          </w:rPr>
          <w:t>施工方法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_Toc432513749 \h </w:instrText>
        </w:r>
        <w:r>
          <w:rPr>
            <w:rFonts w:ascii="宋体" w:hAnsi="宋体"/>
            <w:sz w:val="24"/>
            <w:szCs w:val="24"/>
          </w:rPr>
          <w:fldChar w:fldCharType="separate"/>
        </w:r>
        <w:r>
          <w:rPr>
            <w:rFonts w:ascii="宋体" w:hAnsi="宋体"/>
            <w:sz w:val="24"/>
            <w:szCs w:val="24"/>
          </w:rPr>
          <w:t>6</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50" w:history="1">
        <w:r>
          <w:rPr>
            <w:rStyle w:val="Hyperlink"/>
            <w:rFonts w:ascii="宋体" w:hAnsi="宋体"/>
            <w:sz w:val="24"/>
            <w:szCs w:val="24"/>
          </w:rPr>
          <w:t xml:space="preserve">4.1  </w:t>
        </w:r>
        <w:r>
          <w:rPr>
            <w:rStyle w:val="Hyperlink"/>
            <w:rFonts w:ascii="宋体" w:hAnsi="宋体" w:hint="eastAsia"/>
            <w:sz w:val="24"/>
            <w:szCs w:val="24"/>
          </w:rPr>
          <w:t>土石方开挖施工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_Toc432513750 \h </w:instrText>
        </w:r>
        <w:r>
          <w:rPr>
            <w:rFonts w:ascii="宋体" w:hAnsi="宋体"/>
            <w:sz w:val="24"/>
            <w:szCs w:val="24"/>
          </w:rPr>
          <w:fldChar w:fldCharType="separate"/>
        </w:r>
        <w:r>
          <w:rPr>
            <w:rFonts w:ascii="宋体" w:hAnsi="宋体"/>
            <w:sz w:val="24"/>
            <w:szCs w:val="24"/>
          </w:rPr>
          <w:t>6</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51" w:history="1">
        <w:r>
          <w:rPr>
            <w:rStyle w:val="Hyperlink"/>
            <w:rFonts w:ascii="宋体" w:hAnsi="宋体"/>
            <w:sz w:val="24"/>
            <w:szCs w:val="24"/>
          </w:rPr>
          <w:t xml:space="preserve">4.2  </w:t>
        </w:r>
        <w:r>
          <w:rPr>
            <w:rStyle w:val="Hyperlink"/>
            <w:rFonts w:ascii="宋体" w:hAnsi="宋体" w:hint="eastAsia"/>
            <w:sz w:val="24"/>
            <w:szCs w:val="24"/>
          </w:rPr>
          <w:t>支护施工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_Toc432513751 \h </w:instrText>
        </w:r>
        <w:r>
          <w:rPr>
            <w:rFonts w:ascii="宋体" w:hAnsi="宋体"/>
            <w:sz w:val="24"/>
            <w:szCs w:val="24"/>
          </w:rPr>
          <w:fldChar w:fldCharType="separate"/>
        </w:r>
        <w:r>
          <w:rPr>
            <w:rFonts w:ascii="宋体" w:hAnsi="宋体"/>
            <w:sz w:val="24"/>
            <w:szCs w:val="24"/>
          </w:rPr>
          <w:t>10</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52" w:history="1">
        <w:r>
          <w:rPr>
            <w:rStyle w:val="Hyperlink"/>
            <w:rFonts w:ascii="宋体" w:hAnsi="宋体"/>
            <w:sz w:val="24"/>
            <w:szCs w:val="24"/>
          </w:rPr>
          <w:t xml:space="preserve">4.3  </w:t>
        </w:r>
        <w:r>
          <w:rPr>
            <w:rStyle w:val="Hyperlink"/>
            <w:rFonts w:ascii="宋体" w:hAnsi="宋体" w:hint="eastAsia"/>
            <w:sz w:val="24"/>
            <w:szCs w:val="24"/>
          </w:rPr>
          <w:t>填筑施工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_Toc432513752 \h </w:instrText>
        </w:r>
        <w:r>
          <w:rPr>
            <w:rFonts w:ascii="宋体" w:hAnsi="宋体"/>
            <w:sz w:val="24"/>
            <w:szCs w:val="24"/>
          </w:rPr>
          <w:fldChar w:fldCharType="separate"/>
        </w:r>
        <w:r>
          <w:rPr>
            <w:rFonts w:ascii="宋体" w:hAnsi="宋体"/>
            <w:sz w:val="24"/>
            <w:szCs w:val="24"/>
          </w:rPr>
          <w:t>16</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53" w:history="1">
        <w:r>
          <w:rPr>
            <w:rStyle w:val="Hyperlink"/>
            <w:rFonts w:ascii="宋体" w:hAnsi="宋体"/>
            <w:sz w:val="24"/>
            <w:szCs w:val="24"/>
          </w:rPr>
          <w:t xml:space="preserve">4.4  </w:t>
        </w:r>
        <w:r>
          <w:rPr>
            <w:rStyle w:val="Hyperlink"/>
            <w:rFonts w:ascii="宋体" w:hAnsi="宋体" w:hint="eastAsia"/>
            <w:sz w:val="24"/>
            <w:szCs w:val="24"/>
          </w:rPr>
          <w:t>土工合成材料施工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_Toc432513753 \h </w:instrText>
        </w:r>
        <w:r>
          <w:rPr>
            <w:rFonts w:ascii="宋体" w:hAnsi="宋体"/>
            <w:sz w:val="24"/>
            <w:szCs w:val="24"/>
          </w:rPr>
          <w:fldChar w:fldCharType="separate"/>
        </w:r>
        <w:r>
          <w:rPr>
            <w:rFonts w:ascii="宋体" w:hAnsi="宋体"/>
            <w:sz w:val="24"/>
            <w:szCs w:val="24"/>
          </w:rPr>
          <w:t>19</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54" w:history="1">
        <w:r>
          <w:rPr>
            <w:rStyle w:val="Hyperlink"/>
            <w:rFonts w:ascii="宋体" w:hAnsi="宋体"/>
            <w:sz w:val="24"/>
            <w:szCs w:val="24"/>
          </w:rPr>
          <w:t xml:space="preserve">4.5  </w:t>
        </w:r>
        <w:r>
          <w:rPr>
            <w:rStyle w:val="Hyperlink"/>
            <w:rFonts w:ascii="宋体" w:hAnsi="宋体" w:hint="eastAsia"/>
            <w:sz w:val="24"/>
            <w:szCs w:val="24"/>
          </w:rPr>
          <w:t>明渠混凝土衬砌浇筑施工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_Toc432513754 \h </w:instrText>
        </w:r>
        <w:r>
          <w:rPr>
            <w:rFonts w:ascii="宋体" w:hAnsi="宋体"/>
            <w:sz w:val="24"/>
            <w:szCs w:val="24"/>
          </w:rPr>
          <w:fldChar w:fldCharType="separate"/>
        </w:r>
        <w:r>
          <w:rPr>
            <w:rFonts w:ascii="宋体" w:hAnsi="宋体"/>
            <w:sz w:val="24"/>
            <w:szCs w:val="24"/>
          </w:rPr>
          <w:t>22</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55" w:history="1">
        <w:r>
          <w:rPr>
            <w:rStyle w:val="Hyperlink"/>
            <w:rFonts w:ascii="宋体" w:hAnsi="宋体"/>
            <w:sz w:val="24"/>
            <w:szCs w:val="24"/>
          </w:rPr>
          <w:t xml:space="preserve">4.6  </w:t>
        </w:r>
        <w:r>
          <w:rPr>
            <w:rStyle w:val="Hyperlink"/>
            <w:rFonts w:ascii="宋体" w:hAnsi="宋体" w:hint="eastAsia"/>
            <w:sz w:val="24"/>
            <w:szCs w:val="24"/>
          </w:rPr>
          <w:t>浆砌石砌筑施工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_Toc432513755 \h </w:instrText>
        </w:r>
        <w:r>
          <w:rPr>
            <w:rFonts w:ascii="宋体" w:hAnsi="宋体"/>
            <w:sz w:val="24"/>
            <w:szCs w:val="24"/>
          </w:rPr>
          <w:fldChar w:fldCharType="separate"/>
        </w:r>
        <w:r>
          <w:rPr>
            <w:rFonts w:ascii="宋体" w:hAnsi="宋体"/>
            <w:sz w:val="24"/>
            <w:szCs w:val="24"/>
          </w:rPr>
          <w:t>27</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56" w:history="1">
        <w:r>
          <w:rPr>
            <w:rStyle w:val="Hyperlink"/>
            <w:rFonts w:ascii="宋体" w:hAnsi="宋体"/>
            <w:sz w:val="24"/>
            <w:szCs w:val="24"/>
          </w:rPr>
          <w:t xml:space="preserve">4.7  </w:t>
        </w:r>
        <w:r>
          <w:rPr>
            <w:rStyle w:val="Hyperlink"/>
            <w:rFonts w:ascii="宋体" w:hAnsi="宋体" w:hint="eastAsia"/>
            <w:sz w:val="24"/>
            <w:szCs w:val="24"/>
          </w:rPr>
          <w:t>泥结碎石施工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_Toc432513756 \h </w:instrText>
        </w:r>
        <w:r>
          <w:rPr>
            <w:rFonts w:ascii="宋体" w:hAnsi="宋体"/>
            <w:sz w:val="24"/>
            <w:szCs w:val="24"/>
          </w:rPr>
          <w:fldChar w:fldCharType="separate"/>
        </w:r>
        <w:r>
          <w:rPr>
            <w:rFonts w:ascii="宋体" w:hAnsi="宋体"/>
            <w:sz w:val="24"/>
            <w:szCs w:val="24"/>
          </w:rPr>
          <w:t>28</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sectPr>
          <w:pgSz w:w="11906" w:h="16838"/>
          <w:pgMar w:top="1440" w:right="1800" w:bottom="1440" w:left="1800" w:header="708" w:footer="708" w:gutter="0"/>
          <w:pgNumType w:fmt="upperRoman" w:start="1"/>
          <w:cols w:space="720"/>
          <w:docGrid w:linePitch="360"/>
        </w:sectPr>
      </w:pPr>
      <w:hyperlink w:anchor="_Toc432513757" w:history="1">
        <w:r>
          <w:rPr>
            <w:rStyle w:val="Hyperlink"/>
            <w:rFonts w:ascii="宋体" w:hAnsi="宋体"/>
            <w:sz w:val="24"/>
            <w:szCs w:val="24"/>
          </w:rPr>
          <w:t xml:space="preserve">4.8  </w:t>
        </w:r>
        <w:r>
          <w:rPr>
            <w:rStyle w:val="Hyperlink"/>
            <w:rFonts w:ascii="宋体" w:hAnsi="宋体" w:hint="eastAsia"/>
            <w:sz w:val="24"/>
            <w:szCs w:val="24"/>
          </w:rPr>
          <w:t>伸缩缝施工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_Toc432513757 \h </w:instrText>
        </w:r>
        <w:r>
          <w:rPr>
            <w:rFonts w:ascii="宋体" w:hAnsi="宋体"/>
            <w:sz w:val="24"/>
            <w:szCs w:val="24"/>
          </w:rPr>
          <w:fldChar w:fldCharType="separate"/>
        </w:r>
        <w:r>
          <w:rPr>
            <w:rFonts w:ascii="宋体" w:hAnsi="宋体"/>
            <w:sz w:val="24"/>
            <w:szCs w:val="24"/>
          </w:rPr>
          <w:t>29</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58" w:history="1">
        <w:r>
          <w:rPr>
            <w:rStyle w:val="Hyperlink"/>
            <w:rFonts w:ascii="宋体" w:hAnsi="宋体"/>
            <w:sz w:val="24"/>
            <w:szCs w:val="24"/>
          </w:rPr>
          <w:t>4.9</w:t>
        </w:r>
        <w:r>
          <w:rPr>
            <w:rStyle w:val="Hyperlink"/>
            <w:rFonts w:ascii="宋体" w:hAnsi="宋体" w:hint="eastAsia"/>
            <w:sz w:val="24"/>
            <w:szCs w:val="24"/>
          </w:rPr>
          <w:t>、矩形明渠施工工艺</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_Toc432513758 \h </w:instrText>
        </w:r>
        <w:r>
          <w:rPr>
            <w:rFonts w:ascii="宋体" w:hAnsi="宋体"/>
            <w:sz w:val="24"/>
            <w:szCs w:val="24"/>
          </w:rPr>
          <w:fldChar w:fldCharType="separate"/>
        </w:r>
        <w:r>
          <w:rPr>
            <w:rFonts w:ascii="宋体" w:hAnsi="宋体"/>
            <w:sz w:val="24"/>
            <w:szCs w:val="24"/>
          </w:rPr>
          <w:t>31</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59" w:history="1">
        <w:r>
          <w:rPr>
            <w:rStyle w:val="Hyperlink"/>
            <w:rFonts w:ascii="宋体" w:hAnsi="宋体"/>
            <w:sz w:val="24"/>
            <w:szCs w:val="24"/>
          </w:rPr>
          <w:t xml:space="preserve">5  </w:t>
        </w:r>
        <w:r>
          <w:rPr>
            <w:rStyle w:val="Hyperlink"/>
            <w:rFonts w:ascii="宋体" w:hAnsi="宋体" w:hint="eastAsia"/>
            <w:sz w:val="24"/>
            <w:szCs w:val="24"/>
          </w:rPr>
          <w:t>施工进度计划</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_Toc432513759 \h </w:instrText>
        </w:r>
        <w:r>
          <w:rPr>
            <w:rFonts w:ascii="宋体" w:hAnsi="宋体"/>
            <w:sz w:val="24"/>
            <w:szCs w:val="24"/>
          </w:rPr>
          <w:fldChar w:fldCharType="separate"/>
        </w:r>
        <w:r>
          <w:rPr>
            <w:rFonts w:ascii="宋体" w:hAnsi="宋体"/>
            <w:sz w:val="24"/>
            <w:szCs w:val="24"/>
          </w:rPr>
          <w:t>32</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60" w:history="1">
        <w:r>
          <w:rPr>
            <w:rStyle w:val="Hyperlink"/>
            <w:rFonts w:ascii="宋体" w:hAnsi="宋体"/>
            <w:sz w:val="24"/>
            <w:szCs w:val="24"/>
          </w:rPr>
          <w:t xml:space="preserve">5.1  </w:t>
        </w:r>
        <w:r>
          <w:rPr>
            <w:rStyle w:val="Hyperlink"/>
            <w:rFonts w:ascii="宋体" w:hAnsi="宋体" w:hint="eastAsia"/>
            <w:sz w:val="24"/>
            <w:szCs w:val="24"/>
          </w:rPr>
          <w:t>进度计划安排情况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_Toc432513760 \h </w:instrText>
        </w:r>
        <w:r>
          <w:rPr>
            <w:rFonts w:ascii="宋体" w:hAnsi="宋体"/>
            <w:sz w:val="24"/>
            <w:szCs w:val="24"/>
          </w:rPr>
          <w:fldChar w:fldCharType="separate"/>
        </w:r>
        <w:r>
          <w:rPr>
            <w:rFonts w:ascii="宋体" w:hAnsi="宋体"/>
            <w:sz w:val="24"/>
            <w:szCs w:val="24"/>
          </w:rPr>
          <w:t>32</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61" w:history="1">
        <w:r>
          <w:rPr>
            <w:rStyle w:val="Hyperlink"/>
            <w:rFonts w:ascii="宋体" w:hAnsi="宋体"/>
            <w:sz w:val="24"/>
            <w:szCs w:val="24"/>
          </w:rPr>
          <w:t xml:space="preserve">5.2  </w:t>
        </w:r>
        <w:r>
          <w:rPr>
            <w:rStyle w:val="Hyperlink"/>
            <w:rFonts w:ascii="宋体" w:hAnsi="宋体" w:hint="eastAsia"/>
            <w:sz w:val="24"/>
            <w:szCs w:val="24"/>
          </w:rPr>
          <w:t>进度计划保证措施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_Toc432513761 \h </w:instrText>
        </w:r>
        <w:r>
          <w:rPr>
            <w:rFonts w:ascii="宋体" w:hAnsi="宋体"/>
            <w:sz w:val="24"/>
            <w:szCs w:val="24"/>
          </w:rPr>
          <w:fldChar w:fldCharType="separate"/>
        </w:r>
        <w:r>
          <w:rPr>
            <w:rFonts w:ascii="宋体" w:hAnsi="宋体"/>
            <w:sz w:val="24"/>
            <w:szCs w:val="24"/>
          </w:rPr>
          <w:t>32</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62" w:history="1">
        <w:r>
          <w:rPr>
            <w:rStyle w:val="Hyperlink"/>
            <w:rFonts w:ascii="宋体" w:hAnsi="宋体"/>
            <w:sz w:val="24"/>
            <w:szCs w:val="24"/>
          </w:rPr>
          <w:t xml:space="preserve">6  </w:t>
        </w:r>
        <w:r>
          <w:rPr>
            <w:rStyle w:val="Hyperlink"/>
            <w:rFonts w:ascii="宋体" w:hAnsi="宋体" w:hint="eastAsia"/>
            <w:sz w:val="24"/>
            <w:szCs w:val="24"/>
          </w:rPr>
          <w:t>资源配置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_Toc432513762 \h </w:instrText>
        </w:r>
        <w:r>
          <w:rPr>
            <w:rFonts w:ascii="宋体" w:hAnsi="宋体"/>
            <w:sz w:val="24"/>
            <w:szCs w:val="24"/>
          </w:rPr>
          <w:fldChar w:fldCharType="separate"/>
        </w:r>
        <w:r>
          <w:rPr>
            <w:rFonts w:ascii="宋体" w:hAnsi="宋体"/>
            <w:sz w:val="24"/>
            <w:szCs w:val="24"/>
          </w:rPr>
          <w:t>34</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63" w:history="1">
        <w:r>
          <w:rPr>
            <w:rStyle w:val="Hyperlink"/>
            <w:rFonts w:ascii="宋体" w:hAnsi="宋体"/>
            <w:sz w:val="24"/>
            <w:szCs w:val="24"/>
          </w:rPr>
          <w:t xml:space="preserve">6.1  </w:t>
        </w:r>
        <w:r>
          <w:rPr>
            <w:rStyle w:val="Hyperlink"/>
            <w:rFonts w:ascii="宋体" w:hAnsi="宋体" w:hint="eastAsia"/>
            <w:sz w:val="24"/>
            <w:szCs w:val="24"/>
          </w:rPr>
          <w:t>拟投入主要机械设备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_Toc432513763 \h </w:instrText>
        </w:r>
        <w:r>
          <w:rPr>
            <w:rFonts w:ascii="宋体" w:hAnsi="宋体"/>
            <w:sz w:val="24"/>
            <w:szCs w:val="24"/>
          </w:rPr>
          <w:fldChar w:fldCharType="separate"/>
        </w:r>
        <w:r>
          <w:rPr>
            <w:rFonts w:ascii="宋体" w:hAnsi="宋体"/>
            <w:sz w:val="24"/>
            <w:szCs w:val="24"/>
          </w:rPr>
          <w:t>34</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64" w:history="1">
        <w:r>
          <w:rPr>
            <w:rStyle w:val="Hyperlink"/>
            <w:rFonts w:ascii="宋体" w:hAnsi="宋体"/>
            <w:sz w:val="24"/>
            <w:szCs w:val="24"/>
          </w:rPr>
          <w:t xml:space="preserve">6.2  </w:t>
        </w:r>
        <w:r>
          <w:rPr>
            <w:rStyle w:val="Hyperlink"/>
            <w:rFonts w:ascii="宋体" w:hAnsi="宋体" w:hint="eastAsia"/>
            <w:sz w:val="24"/>
            <w:szCs w:val="24"/>
          </w:rPr>
          <w:t>拟投入主要人员</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_Toc432513764 \h </w:instrText>
        </w:r>
        <w:r>
          <w:rPr>
            <w:rFonts w:ascii="宋体" w:hAnsi="宋体"/>
            <w:sz w:val="24"/>
            <w:szCs w:val="24"/>
          </w:rPr>
          <w:fldChar w:fldCharType="separate"/>
        </w:r>
        <w:r>
          <w:rPr>
            <w:rFonts w:ascii="宋体" w:hAnsi="宋体"/>
            <w:sz w:val="24"/>
            <w:szCs w:val="24"/>
          </w:rPr>
          <w:t>35</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65" w:history="1">
        <w:r>
          <w:rPr>
            <w:rStyle w:val="Hyperlink"/>
            <w:rFonts w:ascii="宋体" w:hAnsi="宋体"/>
            <w:sz w:val="24"/>
            <w:szCs w:val="24"/>
          </w:rPr>
          <w:t xml:space="preserve">7  </w:t>
        </w:r>
        <w:r>
          <w:rPr>
            <w:rStyle w:val="Hyperlink"/>
            <w:rFonts w:ascii="宋体" w:hAnsi="宋体" w:hint="eastAsia"/>
            <w:sz w:val="24"/>
            <w:szCs w:val="24"/>
          </w:rPr>
          <w:t>工程质量保证措施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_Toc432513765 \h </w:instrText>
        </w:r>
        <w:r>
          <w:rPr>
            <w:rFonts w:ascii="宋体" w:hAnsi="宋体"/>
            <w:sz w:val="24"/>
            <w:szCs w:val="24"/>
          </w:rPr>
          <w:fldChar w:fldCharType="separate"/>
        </w:r>
        <w:r>
          <w:rPr>
            <w:rFonts w:ascii="宋体" w:hAnsi="宋体"/>
            <w:sz w:val="24"/>
            <w:szCs w:val="24"/>
          </w:rPr>
          <w:t>36</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66" w:history="1">
        <w:r>
          <w:rPr>
            <w:rStyle w:val="Hyperlink"/>
            <w:rFonts w:ascii="宋体" w:hAnsi="宋体"/>
            <w:sz w:val="24"/>
            <w:szCs w:val="24"/>
          </w:rPr>
          <w:t xml:space="preserve">7.1  </w:t>
        </w:r>
        <w:r>
          <w:rPr>
            <w:rStyle w:val="Hyperlink"/>
            <w:rFonts w:ascii="宋体" w:hAnsi="宋体" w:hint="eastAsia"/>
            <w:sz w:val="24"/>
            <w:szCs w:val="24"/>
          </w:rPr>
          <w:t>质量控制机构</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_Toc432513766 \h </w:instrText>
        </w:r>
        <w:r>
          <w:rPr>
            <w:rFonts w:ascii="宋体" w:hAnsi="宋体"/>
            <w:sz w:val="24"/>
            <w:szCs w:val="24"/>
          </w:rPr>
          <w:fldChar w:fldCharType="separate"/>
        </w:r>
        <w:r>
          <w:rPr>
            <w:rFonts w:ascii="宋体" w:hAnsi="宋体"/>
            <w:sz w:val="24"/>
            <w:szCs w:val="24"/>
          </w:rPr>
          <w:t>36</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67" w:history="1">
        <w:r>
          <w:rPr>
            <w:rStyle w:val="Hyperlink"/>
            <w:rFonts w:ascii="宋体" w:hAnsi="宋体"/>
            <w:sz w:val="24"/>
            <w:szCs w:val="24"/>
          </w:rPr>
          <w:t xml:space="preserve">7.2  </w:t>
        </w:r>
        <w:r>
          <w:rPr>
            <w:rStyle w:val="Hyperlink"/>
            <w:rFonts w:ascii="宋体" w:hAnsi="宋体" w:hint="eastAsia"/>
            <w:sz w:val="24"/>
            <w:szCs w:val="24"/>
          </w:rPr>
          <w:t>质量保证体系及制度要求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_Toc432513767 \h </w:instrText>
        </w:r>
        <w:r>
          <w:rPr>
            <w:rFonts w:ascii="宋体" w:hAnsi="宋体"/>
            <w:sz w:val="24"/>
            <w:szCs w:val="24"/>
          </w:rPr>
          <w:fldChar w:fldCharType="separate"/>
        </w:r>
        <w:r>
          <w:rPr>
            <w:rFonts w:ascii="宋体" w:hAnsi="宋体"/>
            <w:sz w:val="24"/>
            <w:szCs w:val="24"/>
          </w:rPr>
          <w:t>37</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68" w:history="1">
        <w:r>
          <w:rPr>
            <w:rStyle w:val="Hyperlink"/>
            <w:rFonts w:ascii="宋体" w:hAnsi="宋体"/>
            <w:sz w:val="24"/>
            <w:szCs w:val="24"/>
          </w:rPr>
          <w:t xml:space="preserve">7.3  </w:t>
        </w:r>
        <w:r>
          <w:rPr>
            <w:rStyle w:val="Hyperlink"/>
            <w:rFonts w:ascii="宋体" w:hAnsi="宋体" w:hint="eastAsia"/>
            <w:sz w:val="24"/>
            <w:szCs w:val="24"/>
          </w:rPr>
          <w:t>混凝土施工质量保证措施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_Toc432513768 \h </w:instrText>
        </w:r>
        <w:r>
          <w:rPr>
            <w:rFonts w:ascii="宋体" w:hAnsi="宋体"/>
            <w:sz w:val="24"/>
            <w:szCs w:val="24"/>
          </w:rPr>
          <w:fldChar w:fldCharType="separate"/>
        </w:r>
        <w:r>
          <w:rPr>
            <w:rFonts w:ascii="宋体" w:hAnsi="宋体"/>
            <w:sz w:val="24"/>
            <w:szCs w:val="24"/>
          </w:rPr>
          <w:t>38</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69" w:history="1">
        <w:r>
          <w:rPr>
            <w:rStyle w:val="Hyperlink"/>
            <w:rFonts w:ascii="宋体" w:hAnsi="宋体"/>
            <w:sz w:val="24"/>
            <w:szCs w:val="24"/>
          </w:rPr>
          <w:t xml:space="preserve">7.4  </w:t>
        </w:r>
        <w:r>
          <w:rPr>
            <w:rStyle w:val="Hyperlink"/>
            <w:rFonts w:ascii="宋体" w:hAnsi="宋体" w:hint="eastAsia"/>
            <w:sz w:val="24"/>
            <w:szCs w:val="24"/>
          </w:rPr>
          <w:t>土工膜施工质量保证措施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_Toc432513769 \h </w:instrText>
        </w:r>
        <w:r>
          <w:rPr>
            <w:rFonts w:ascii="宋体" w:hAnsi="宋体"/>
            <w:sz w:val="24"/>
            <w:szCs w:val="24"/>
          </w:rPr>
          <w:fldChar w:fldCharType="separate"/>
        </w:r>
        <w:r>
          <w:rPr>
            <w:rFonts w:ascii="宋体" w:hAnsi="宋体"/>
            <w:sz w:val="24"/>
            <w:szCs w:val="24"/>
          </w:rPr>
          <w:t>38</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70" w:history="1">
        <w:r>
          <w:rPr>
            <w:rStyle w:val="Hyperlink"/>
            <w:rFonts w:ascii="宋体" w:hAnsi="宋体"/>
            <w:sz w:val="24"/>
            <w:szCs w:val="24"/>
          </w:rPr>
          <w:t xml:space="preserve">8  </w:t>
        </w:r>
        <w:r>
          <w:rPr>
            <w:rStyle w:val="Hyperlink"/>
            <w:rFonts w:ascii="宋体" w:hAnsi="宋体" w:hint="eastAsia"/>
            <w:sz w:val="24"/>
            <w:szCs w:val="24"/>
          </w:rPr>
          <w:t>安全文明施工保证措施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_Toc432513770 \h </w:instrText>
        </w:r>
        <w:r>
          <w:rPr>
            <w:rFonts w:ascii="宋体" w:hAnsi="宋体"/>
            <w:sz w:val="24"/>
            <w:szCs w:val="24"/>
          </w:rPr>
          <w:fldChar w:fldCharType="separate"/>
        </w:r>
        <w:r>
          <w:rPr>
            <w:rFonts w:ascii="宋体" w:hAnsi="宋体"/>
            <w:sz w:val="24"/>
            <w:szCs w:val="24"/>
          </w:rPr>
          <w:t>39</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71" w:history="1">
        <w:r>
          <w:rPr>
            <w:rStyle w:val="Hyperlink"/>
            <w:rFonts w:ascii="宋体" w:hAnsi="宋体"/>
            <w:sz w:val="24"/>
            <w:szCs w:val="24"/>
          </w:rPr>
          <w:t xml:space="preserve">8.1  </w:t>
        </w:r>
        <w:r>
          <w:rPr>
            <w:rStyle w:val="Hyperlink"/>
            <w:rFonts w:ascii="宋体" w:hAnsi="宋体" w:hint="eastAsia"/>
            <w:sz w:val="24"/>
            <w:szCs w:val="24"/>
          </w:rPr>
          <w:t>爆破安全保证措施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_Toc432513771 \h </w:instrText>
        </w:r>
        <w:r>
          <w:rPr>
            <w:rFonts w:ascii="宋体" w:hAnsi="宋体"/>
            <w:sz w:val="24"/>
            <w:szCs w:val="24"/>
          </w:rPr>
          <w:fldChar w:fldCharType="separate"/>
        </w:r>
        <w:r>
          <w:rPr>
            <w:rFonts w:ascii="宋体" w:hAnsi="宋体"/>
            <w:sz w:val="24"/>
            <w:szCs w:val="24"/>
          </w:rPr>
          <w:t>39</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72" w:history="1">
        <w:r>
          <w:rPr>
            <w:rStyle w:val="Hyperlink"/>
            <w:rFonts w:ascii="宋体" w:hAnsi="宋体"/>
            <w:sz w:val="24"/>
            <w:szCs w:val="24"/>
          </w:rPr>
          <w:t xml:space="preserve">8.2  </w:t>
        </w:r>
        <w:r>
          <w:rPr>
            <w:rStyle w:val="Hyperlink"/>
            <w:rFonts w:ascii="宋体" w:hAnsi="宋体" w:hint="eastAsia"/>
            <w:sz w:val="24"/>
            <w:szCs w:val="24"/>
          </w:rPr>
          <w:t>混凝土安全保证措施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_Toc432513772 \h </w:instrText>
        </w:r>
        <w:r>
          <w:rPr>
            <w:rFonts w:ascii="宋体" w:hAnsi="宋体"/>
            <w:sz w:val="24"/>
            <w:szCs w:val="24"/>
          </w:rPr>
          <w:fldChar w:fldCharType="separate"/>
        </w:r>
        <w:r>
          <w:rPr>
            <w:rFonts w:ascii="宋体" w:hAnsi="宋体"/>
            <w:sz w:val="24"/>
            <w:szCs w:val="24"/>
          </w:rPr>
          <w:t>40</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73" w:history="1">
        <w:r>
          <w:rPr>
            <w:rStyle w:val="Hyperlink"/>
            <w:rFonts w:ascii="宋体" w:hAnsi="宋体"/>
            <w:sz w:val="24"/>
            <w:szCs w:val="24"/>
          </w:rPr>
          <w:t xml:space="preserve">8.3  </w:t>
        </w:r>
        <w:r>
          <w:rPr>
            <w:rStyle w:val="Hyperlink"/>
            <w:rFonts w:ascii="宋体" w:hAnsi="宋体" w:hint="eastAsia"/>
            <w:sz w:val="24"/>
            <w:szCs w:val="24"/>
          </w:rPr>
          <w:t>施工现场安全文明措施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_Toc432513773 \h </w:instrText>
        </w:r>
        <w:r>
          <w:rPr>
            <w:rFonts w:ascii="宋体" w:hAnsi="宋体"/>
            <w:sz w:val="24"/>
            <w:szCs w:val="24"/>
          </w:rPr>
          <w:fldChar w:fldCharType="separate"/>
        </w:r>
        <w:r>
          <w:rPr>
            <w:rFonts w:ascii="宋体" w:hAnsi="宋体"/>
            <w:sz w:val="24"/>
            <w:szCs w:val="24"/>
          </w:rPr>
          <w:t>40</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74" w:history="1">
        <w:r>
          <w:rPr>
            <w:rStyle w:val="Hyperlink"/>
            <w:rFonts w:ascii="宋体" w:hAnsi="宋体"/>
            <w:sz w:val="24"/>
            <w:szCs w:val="24"/>
          </w:rPr>
          <w:t xml:space="preserve">8.4 </w:t>
        </w:r>
        <w:r>
          <w:rPr>
            <w:rStyle w:val="Hyperlink"/>
            <w:rFonts w:ascii="宋体" w:hAnsi="宋体" w:hint="eastAsia"/>
            <w:sz w:val="24"/>
            <w:szCs w:val="24"/>
          </w:rPr>
          <w:t>施工现场应急措施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_Toc432513774 \h </w:instrText>
        </w:r>
        <w:r>
          <w:rPr>
            <w:rFonts w:ascii="宋体" w:hAnsi="宋体"/>
            <w:sz w:val="24"/>
            <w:szCs w:val="24"/>
          </w:rPr>
          <w:fldChar w:fldCharType="separate"/>
        </w:r>
        <w:r>
          <w:rPr>
            <w:rFonts w:ascii="宋体" w:hAnsi="宋体"/>
            <w:sz w:val="24"/>
            <w:szCs w:val="24"/>
          </w:rPr>
          <w:t>41</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75" w:history="1">
        <w:r>
          <w:rPr>
            <w:rStyle w:val="Hyperlink"/>
            <w:rFonts w:ascii="宋体" w:hAnsi="宋体"/>
            <w:sz w:val="24"/>
            <w:szCs w:val="24"/>
          </w:rPr>
          <w:t xml:space="preserve">9  </w:t>
        </w:r>
        <w:r>
          <w:rPr>
            <w:rStyle w:val="Hyperlink"/>
            <w:rFonts w:ascii="宋体" w:hAnsi="宋体" w:hint="eastAsia"/>
            <w:sz w:val="24"/>
            <w:szCs w:val="24"/>
          </w:rPr>
          <w:t>环境保护措施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_Toc432513775 \h </w:instrText>
        </w:r>
        <w:r>
          <w:rPr>
            <w:rFonts w:ascii="宋体" w:hAnsi="宋体"/>
            <w:sz w:val="24"/>
            <w:szCs w:val="24"/>
          </w:rPr>
          <w:fldChar w:fldCharType="separate"/>
        </w:r>
        <w:r>
          <w:rPr>
            <w:rFonts w:ascii="宋体" w:hAnsi="宋体"/>
            <w:sz w:val="24"/>
            <w:szCs w:val="24"/>
          </w:rPr>
          <w:t>44</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76" w:history="1">
        <w:r>
          <w:rPr>
            <w:rStyle w:val="Hyperlink"/>
            <w:rFonts w:ascii="宋体" w:hAnsi="宋体"/>
            <w:sz w:val="24"/>
            <w:szCs w:val="24"/>
          </w:rPr>
          <w:t xml:space="preserve">9.1  </w:t>
        </w:r>
        <w:r>
          <w:rPr>
            <w:rStyle w:val="Hyperlink"/>
            <w:rFonts w:ascii="宋体" w:hAnsi="宋体" w:hint="eastAsia"/>
            <w:sz w:val="24"/>
            <w:szCs w:val="24"/>
          </w:rPr>
          <w:t>施工生产的废水收集及处理措施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_Toc432513776 \h </w:instrText>
        </w:r>
        <w:r>
          <w:rPr>
            <w:rFonts w:ascii="宋体" w:hAnsi="宋体"/>
            <w:sz w:val="24"/>
            <w:szCs w:val="24"/>
          </w:rPr>
          <w:fldChar w:fldCharType="separate"/>
        </w:r>
        <w:r>
          <w:rPr>
            <w:rFonts w:ascii="宋体" w:hAnsi="宋体"/>
            <w:sz w:val="24"/>
            <w:szCs w:val="24"/>
          </w:rPr>
          <w:t>44</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77" w:history="1">
        <w:r>
          <w:rPr>
            <w:rStyle w:val="Hyperlink"/>
            <w:rFonts w:ascii="宋体" w:hAnsi="宋体"/>
            <w:sz w:val="24"/>
            <w:szCs w:val="24"/>
          </w:rPr>
          <w:t xml:space="preserve">9.2  </w:t>
        </w:r>
        <w:r>
          <w:rPr>
            <w:rStyle w:val="Hyperlink"/>
            <w:rFonts w:ascii="宋体" w:hAnsi="宋体" w:hint="eastAsia"/>
            <w:sz w:val="24"/>
            <w:szCs w:val="24"/>
          </w:rPr>
          <w:t>施工噪音对周围敏感点的影响及对策措施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_Toc432513777 \h </w:instrText>
        </w:r>
        <w:r>
          <w:rPr>
            <w:rFonts w:ascii="宋体" w:hAnsi="宋体"/>
            <w:sz w:val="24"/>
            <w:szCs w:val="24"/>
          </w:rPr>
          <w:fldChar w:fldCharType="separate"/>
        </w:r>
        <w:r>
          <w:rPr>
            <w:rFonts w:ascii="宋体" w:hAnsi="宋体"/>
            <w:sz w:val="24"/>
            <w:szCs w:val="24"/>
          </w:rPr>
          <w:t>44</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78" w:history="1">
        <w:r>
          <w:rPr>
            <w:rStyle w:val="Hyperlink"/>
            <w:rFonts w:ascii="宋体" w:hAnsi="宋体"/>
            <w:sz w:val="24"/>
            <w:szCs w:val="24"/>
          </w:rPr>
          <w:t xml:space="preserve">9.3  </w:t>
        </w:r>
        <w:r>
          <w:rPr>
            <w:rStyle w:val="Hyperlink"/>
            <w:rFonts w:ascii="宋体" w:hAnsi="宋体" w:hint="eastAsia"/>
            <w:sz w:val="24"/>
            <w:szCs w:val="24"/>
          </w:rPr>
          <w:t>施工粉尘影响及防治措施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_Toc432513778 \h </w:instrText>
        </w:r>
        <w:r>
          <w:rPr>
            <w:rFonts w:ascii="宋体" w:hAnsi="宋体"/>
            <w:sz w:val="24"/>
            <w:szCs w:val="24"/>
          </w:rPr>
          <w:fldChar w:fldCharType="separate"/>
        </w:r>
        <w:r>
          <w:rPr>
            <w:rFonts w:ascii="宋体" w:hAnsi="宋体"/>
            <w:sz w:val="24"/>
            <w:szCs w:val="24"/>
          </w:rPr>
          <w:t>44</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sectPr>
          <w:type w:val="nextPage"/>
          <w:pgSz w:w="11906" w:h="16838"/>
          <w:pgMar w:top="1440" w:right="1800" w:bottom="1440" w:left="1800" w:header="708" w:footer="708" w:gutter="0"/>
          <w:pgNumType w:fmt="upperRoman" w:start="2"/>
          <w:cols w:space="720"/>
          <w:titlePg w:val="0"/>
          <w:docGrid w:linePitch="360"/>
        </w:sectPr>
      </w:pPr>
      <w:hyperlink w:anchor="_Toc432513779" w:history="1">
        <w:r>
          <w:rPr>
            <w:rStyle w:val="Hyperlink"/>
            <w:rFonts w:ascii="宋体" w:hAnsi="宋体"/>
            <w:sz w:val="24"/>
            <w:szCs w:val="24"/>
          </w:rPr>
          <w:t xml:space="preserve">10  </w:t>
        </w:r>
        <w:r>
          <w:rPr>
            <w:rStyle w:val="Hyperlink"/>
            <w:rFonts w:ascii="宋体" w:hAnsi="宋体" w:hint="eastAsia"/>
            <w:sz w:val="24"/>
            <w:szCs w:val="24"/>
          </w:rPr>
          <w:t>水土保持</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_Toc432513779 \h </w:instrText>
        </w:r>
        <w:r>
          <w:rPr>
            <w:rFonts w:ascii="宋体" w:hAnsi="宋体"/>
            <w:sz w:val="24"/>
            <w:szCs w:val="24"/>
          </w:rPr>
          <w:fldChar w:fldCharType="separate"/>
        </w:r>
        <w:r>
          <w:rPr>
            <w:rFonts w:ascii="宋体" w:hAnsi="宋体"/>
            <w:sz w:val="24"/>
            <w:szCs w:val="24"/>
          </w:rPr>
          <w:t>45</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80" w:history="1">
        <w:r>
          <w:rPr>
            <w:rStyle w:val="Hyperlink"/>
            <w:rFonts w:ascii="宋体" w:hAnsi="宋体"/>
            <w:sz w:val="24"/>
            <w:szCs w:val="24"/>
          </w:rPr>
          <w:t xml:space="preserve">11  </w:t>
        </w:r>
        <w:r>
          <w:rPr>
            <w:rStyle w:val="Hyperlink"/>
            <w:rFonts w:ascii="宋体" w:hAnsi="宋体" w:hint="eastAsia"/>
            <w:sz w:val="24"/>
            <w:szCs w:val="24"/>
          </w:rPr>
          <w:t>雨季、高温的施工保证措施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_Toc432513780 \h </w:instrText>
        </w:r>
        <w:r>
          <w:rPr>
            <w:rFonts w:ascii="宋体" w:hAnsi="宋体"/>
            <w:sz w:val="24"/>
            <w:szCs w:val="24"/>
          </w:rPr>
          <w:fldChar w:fldCharType="separate"/>
        </w:r>
        <w:r>
          <w:rPr>
            <w:rFonts w:ascii="宋体" w:hAnsi="宋体"/>
            <w:sz w:val="24"/>
            <w:szCs w:val="24"/>
          </w:rPr>
          <w:t>45</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81" w:history="1">
        <w:r>
          <w:rPr>
            <w:rStyle w:val="Hyperlink"/>
            <w:rFonts w:ascii="宋体" w:hAnsi="宋体"/>
            <w:sz w:val="24"/>
            <w:szCs w:val="24"/>
          </w:rPr>
          <w:t xml:space="preserve">11.1  </w:t>
        </w:r>
        <w:r>
          <w:rPr>
            <w:rStyle w:val="Hyperlink"/>
            <w:rFonts w:ascii="宋体" w:hAnsi="宋体" w:hint="eastAsia"/>
            <w:sz w:val="24"/>
            <w:szCs w:val="24"/>
          </w:rPr>
          <w:t>雨季施工保证措施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_Toc432513781 \h </w:instrText>
        </w:r>
        <w:r>
          <w:rPr>
            <w:rFonts w:ascii="宋体" w:hAnsi="宋体"/>
            <w:sz w:val="24"/>
            <w:szCs w:val="24"/>
          </w:rPr>
          <w:fldChar w:fldCharType="separate"/>
        </w:r>
        <w:r>
          <w:rPr>
            <w:rFonts w:ascii="宋体" w:hAnsi="宋体"/>
            <w:sz w:val="24"/>
            <w:szCs w:val="24"/>
          </w:rPr>
          <w:t>45</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82" w:history="1">
        <w:r>
          <w:rPr>
            <w:rStyle w:val="Hyperlink"/>
            <w:rFonts w:ascii="宋体" w:hAnsi="宋体"/>
            <w:sz w:val="24"/>
            <w:szCs w:val="24"/>
          </w:rPr>
          <w:t xml:space="preserve">11.2  </w:t>
        </w:r>
        <w:r>
          <w:rPr>
            <w:rStyle w:val="Hyperlink"/>
            <w:rFonts w:ascii="宋体" w:hAnsi="宋体" w:hint="eastAsia"/>
            <w:sz w:val="24"/>
            <w:szCs w:val="24"/>
          </w:rPr>
          <w:t>高温季节施工保证措施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_Toc432513782 \h </w:instrText>
        </w:r>
        <w:r>
          <w:rPr>
            <w:rFonts w:ascii="宋体" w:hAnsi="宋体"/>
            <w:sz w:val="24"/>
            <w:szCs w:val="24"/>
          </w:rPr>
          <w:fldChar w:fldCharType="separate"/>
        </w:r>
        <w:r>
          <w:rPr>
            <w:rFonts w:ascii="宋体" w:hAnsi="宋体"/>
            <w:sz w:val="24"/>
            <w:szCs w:val="24"/>
          </w:rPr>
          <w:t>46</w:t>
        </w:r>
        <w:r>
          <w:rPr>
            <w:rFonts w:ascii="宋体" w:hAnsi="宋体"/>
            <w:sz w:val="24"/>
            <w:szCs w:val="24"/>
          </w:rPr>
          <w:fldChar w:fldCharType="end"/>
        </w:r>
      </w:hyperlink>
    </w:p>
    <w:p w:rsidR="00286D23">
      <w:pPr>
        <w:pStyle w:val="TOC1"/>
        <w:tabs>
          <w:tab w:val="right" w:leader="dot" w:pos="8296"/>
        </w:tabs>
        <w:ind w:firstLine="402"/>
        <w:rPr>
          <w:rFonts w:ascii="宋体" w:hAnsi="宋体"/>
          <w:b w:val="0"/>
          <w:bCs w:val="0"/>
          <w:caps w:val="0"/>
          <w:kern w:val="2"/>
          <w:sz w:val="24"/>
          <w:szCs w:val="24"/>
        </w:rPr>
      </w:pPr>
      <w:hyperlink w:anchor="_Toc432513783" w:history="1">
        <w:r>
          <w:rPr>
            <w:rStyle w:val="Hyperlink"/>
            <w:rFonts w:ascii="宋体" w:hAnsi="宋体"/>
            <w:sz w:val="24"/>
            <w:szCs w:val="24"/>
          </w:rPr>
          <w:t xml:space="preserve">12  </w:t>
        </w:r>
        <w:r>
          <w:rPr>
            <w:rStyle w:val="Hyperlink"/>
            <w:rFonts w:ascii="宋体" w:hAnsi="宋体" w:hint="eastAsia"/>
            <w:sz w:val="24"/>
            <w:szCs w:val="24"/>
          </w:rPr>
          <w:t>成本控制措施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_Toc432513783 \h </w:instrText>
        </w:r>
        <w:r>
          <w:rPr>
            <w:rFonts w:ascii="宋体" w:hAnsi="宋体"/>
            <w:sz w:val="24"/>
            <w:szCs w:val="24"/>
          </w:rPr>
          <w:fldChar w:fldCharType="separate"/>
        </w:r>
        <w:r>
          <w:rPr>
            <w:rFonts w:ascii="宋体" w:hAnsi="宋体"/>
            <w:sz w:val="24"/>
            <w:szCs w:val="24"/>
          </w:rPr>
          <w:t>46</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84" w:history="1">
        <w:r>
          <w:rPr>
            <w:rStyle w:val="Hyperlink"/>
            <w:rFonts w:ascii="宋体" w:hAnsi="宋体"/>
            <w:sz w:val="24"/>
            <w:szCs w:val="24"/>
          </w:rPr>
          <w:t xml:space="preserve">12.1  </w:t>
        </w:r>
        <w:r>
          <w:rPr>
            <w:rStyle w:val="Hyperlink"/>
            <w:rFonts w:ascii="宋体" w:hAnsi="宋体" w:hint="eastAsia"/>
            <w:sz w:val="24"/>
            <w:szCs w:val="24"/>
          </w:rPr>
          <w:t>材料控制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_Toc432513784 \h </w:instrText>
        </w:r>
        <w:r>
          <w:rPr>
            <w:rFonts w:ascii="宋体" w:hAnsi="宋体"/>
            <w:sz w:val="24"/>
            <w:szCs w:val="24"/>
          </w:rPr>
          <w:fldChar w:fldCharType="separate"/>
        </w:r>
        <w:r>
          <w:rPr>
            <w:rFonts w:ascii="宋体" w:hAnsi="宋体"/>
            <w:sz w:val="24"/>
            <w:szCs w:val="24"/>
          </w:rPr>
          <w:t>46</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85" w:history="1">
        <w:r>
          <w:rPr>
            <w:rStyle w:val="Hyperlink"/>
            <w:rFonts w:ascii="宋体" w:hAnsi="宋体"/>
            <w:sz w:val="24"/>
            <w:szCs w:val="24"/>
          </w:rPr>
          <w:t xml:space="preserve">12.2  </w:t>
        </w:r>
        <w:r>
          <w:rPr>
            <w:rStyle w:val="Hyperlink"/>
            <w:rFonts w:ascii="宋体" w:hAnsi="宋体" w:hint="eastAsia"/>
            <w:sz w:val="24"/>
            <w:szCs w:val="24"/>
          </w:rPr>
          <w:t>材料用量控制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_Toc432513785 \h </w:instrText>
        </w:r>
        <w:r>
          <w:rPr>
            <w:rFonts w:ascii="宋体" w:hAnsi="宋体"/>
            <w:sz w:val="24"/>
            <w:szCs w:val="24"/>
          </w:rPr>
          <w:fldChar w:fldCharType="separate"/>
        </w:r>
        <w:r>
          <w:rPr>
            <w:rFonts w:ascii="宋体" w:hAnsi="宋体"/>
            <w:sz w:val="24"/>
            <w:szCs w:val="24"/>
          </w:rPr>
          <w:t>46</w:t>
        </w:r>
        <w:r>
          <w:rPr>
            <w:rFonts w:ascii="宋体" w:hAnsi="宋体"/>
            <w:sz w:val="24"/>
            <w:szCs w:val="24"/>
          </w:rPr>
          <w:fldChar w:fldCharType="end"/>
        </w:r>
      </w:hyperlink>
    </w:p>
    <w:p w:rsidR="00286D23">
      <w:pPr>
        <w:pStyle w:val="TOC2"/>
        <w:tabs>
          <w:tab w:val="right" w:leader="dot" w:pos="8296"/>
        </w:tabs>
        <w:ind w:firstLine="400"/>
        <w:rPr>
          <w:rFonts w:ascii="宋体" w:hAnsi="宋体"/>
          <w:smallCaps w:val="0"/>
          <w:kern w:val="2"/>
          <w:sz w:val="24"/>
          <w:szCs w:val="24"/>
        </w:rPr>
      </w:pPr>
      <w:hyperlink w:anchor="_Toc432513786" w:history="1">
        <w:r>
          <w:rPr>
            <w:rStyle w:val="Hyperlink"/>
            <w:rFonts w:ascii="宋体" w:hAnsi="宋体"/>
            <w:sz w:val="24"/>
            <w:szCs w:val="24"/>
          </w:rPr>
          <w:t xml:space="preserve">12.3  </w:t>
        </w:r>
        <w:r>
          <w:rPr>
            <w:rStyle w:val="Hyperlink"/>
            <w:rFonts w:ascii="宋体" w:hAnsi="宋体" w:hint="eastAsia"/>
            <w:sz w:val="24"/>
            <w:szCs w:val="24"/>
          </w:rPr>
          <w:t>材料价格控制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_Toc432513786 \h </w:instrText>
        </w:r>
        <w:r>
          <w:rPr>
            <w:rFonts w:ascii="宋体" w:hAnsi="宋体"/>
            <w:sz w:val="24"/>
            <w:szCs w:val="24"/>
          </w:rPr>
          <w:fldChar w:fldCharType="separate"/>
        </w:r>
        <w:r>
          <w:rPr>
            <w:rFonts w:ascii="宋体" w:hAnsi="宋体"/>
            <w:sz w:val="24"/>
            <w:szCs w:val="24"/>
          </w:rPr>
          <w:t>47</w:t>
        </w:r>
        <w:r>
          <w:rPr>
            <w:rFonts w:ascii="宋体" w:hAnsi="宋体"/>
            <w:sz w:val="24"/>
            <w:szCs w:val="24"/>
          </w:rPr>
          <w:fldChar w:fldCharType="end"/>
        </w:r>
      </w:hyperlink>
    </w:p>
    <w:p w:rsidR="00286D23">
      <w:pPr>
        <w:pStyle w:val="TOC2"/>
        <w:tabs>
          <w:tab w:val="right" w:leader="dot" w:pos="8296"/>
        </w:tabs>
        <w:ind w:firstLine="400"/>
        <w:rPr>
          <w:rFonts w:ascii="Calibri" w:hAnsi="Calibri"/>
          <w:smallCaps w:val="0"/>
          <w:kern w:val="2"/>
          <w:sz w:val="21"/>
          <w:szCs w:val="22"/>
        </w:rPr>
      </w:pPr>
      <w:hyperlink w:anchor="_Toc432513787" w:history="1">
        <w:r>
          <w:rPr>
            <w:rStyle w:val="Hyperlink"/>
            <w:rFonts w:ascii="宋体" w:hAnsi="宋体"/>
            <w:sz w:val="24"/>
            <w:szCs w:val="24"/>
          </w:rPr>
          <w:t xml:space="preserve">12.4  </w:t>
        </w:r>
        <w:r>
          <w:rPr>
            <w:rStyle w:val="Hyperlink"/>
            <w:rFonts w:ascii="宋体" w:hAnsi="宋体" w:hint="eastAsia"/>
            <w:sz w:val="24"/>
            <w:szCs w:val="24"/>
          </w:rPr>
          <w:t>费用控制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_Toc432513787 \h </w:instrText>
        </w:r>
        <w:r>
          <w:rPr>
            <w:rFonts w:ascii="宋体" w:hAnsi="宋体"/>
            <w:sz w:val="24"/>
            <w:szCs w:val="24"/>
          </w:rPr>
          <w:fldChar w:fldCharType="separate"/>
        </w:r>
        <w:r>
          <w:rPr>
            <w:rFonts w:ascii="宋体" w:hAnsi="宋体"/>
            <w:sz w:val="24"/>
            <w:szCs w:val="24"/>
          </w:rPr>
          <w:t>47</w:t>
        </w:r>
        <w:r>
          <w:rPr>
            <w:rFonts w:ascii="宋体" w:hAnsi="宋体"/>
            <w:sz w:val="24"/>
            <w:szCs w:val="24"/>
          </w:rPr>
          <w:fldChar w:fldCharType="end"/>
        </w:r>
      </w:hyperlink>
    </w:p>
    <w:p w:rsidR="00286D23">
      <w:pPr>
        <w:pStyle w:val="Normal0"/>
        <w:spacing w:line="440" w:lineRule="exact"/>
        <w:ind w:firstLine="480"/>
        <w:rPr>
          <w:rFonts w:ascii="Times New Roman" w:hAnsi="Times New Roman"/>
          <w:b/>
          <w:color w:val="FF0000"/>
          <w:kern w:val="2"/>
          <w:sz w:val="36"/>
          <w:szCs w:val="36"/>
        </w:rPr>
        <w:sectPr>
          <w:type w:val="nextPage"/>
          <w:pgSz w:w="11906" w:h="16838"/>
          <w:pgMar w:top="1440" w:right="1800" w:bottom="1440" w:left="1800" w:header="708" w:footer="708" w:gutter="0"/>
          <w:pgNumType w:fmt="upperRoman" w:start="3"/>
          <w:cols w:space="720"/>
          <w:titlePg w:val="0"/>
          <w:docGrid w:linePitch="360"/>
        </w:sectPr>
      </w:pPr>
      <w:r>
        <w:rPr>
          <w:rFonts w:ascii="Times New Roman" w:hAnsi="Times New Roman"/>
        </w:rPr>
        <w:fldChar w:fldCharType="end"/>
      </w:r>
    </w:p>
    <w:p w:rsidR="00286D23">
      <w:pPr>
        <w:pStyle w:val="Heading1"/>
        <w:spacing w:line="360" w:lineRule="auto"/>
        <w:ind w:firstLine="562"/>
        <w:rPr>
          <w:rFonts w:hAnsi="Times New Roman"/>
          <w:sz w:val="28"/>
          <w:szCs w:val="28"/>
        </w:rPr>
      </w:pPr>
      <w:bookmarkStart w:id="8" w:name="_Toc425667786"/>
      <w:bookmarkStart w:id="9" w:name="_Toc425668350"/>
      <w:bookmarkStart w:id="10" w:name="_Toc394321885"/>
      <w:bookmarkStart w:id="11" w:name="_Toc425668499"/>
      <w:bookmarkStart w:id="12" w:name="_Toc394322036"/>
      <w:bookmarkStart w:id="13" w:name="_Toc421542534"/>
      <w:bookmarkStart w:id="14" w:name="_Toc402795085"/>
      <w:bookmarkStart w:id="15" w:name="_Toc425666993"/>
      <w:bookmarkStart w:id="16" w:name="_Toc425668590"/>
      <w:bookmarkStart w:id="17" w:name="_Toc425668114"/>
      <w:bookmarkStart w:id="18" w:name="_Toc427933247"/>
      <w:bookmarkStart w:id="19" w:name="_Toc432513737"/>
      <w:bookmarkStart w:id="20" w:name="_Toc429377616"/>
      <w:r>
        <w:rPr>
          <w:rFonts w:hAnsi="Times New Roman" w:hint="eastAsia"/>
          <w:sz w:val="28"/>
          <w:szCs w:val="28"/>
        </w:rPr>
        <w:t xml:space="preserve">1  </w:t>
      </w:r>
      <w:r>
        <w:rPr>
          <w:rFonts w:hint="eastAsia"/>
          <w:sz w:val="28"/>
          <w:szCs w:val="28"/>
        </w:rPr>
        <w:t>工程概况</w:t>
      </w:r>
      <w:bookmarkEnd w:id="8"/>
      <w:bookmarkEnd w:id="9"/>
      <w:bookmarkEnd w:id="10"/>
      <w:bookmarkEnd w:id="11"/>
      <w:bookmarkEnd w:id="12"/>
      <w:bookmarkEnd w:id="13"/>
      <w:bookmarkEnd w:id="14"/>
      <w:bookmarkEnd w:id="15"/>
      <w:bookmarkEnd w:id="16"/>
      <w:bookmarkEnd w:id="17"/>
      <w:r>
        <w:rPr>
          <w:rFonts w:hint="eastAsia"/>
          <w:sz w:val="28"/>
          <w:szCs w:val="28"/>
        </w:rPr>
        <w:t>及编制依据</w:t>
      </w:r>
      <w:bookmarkEnd w:id="18"/>
      <w:bookmarkEnd w:id="19"/>
      <w:bookmarkEnd w:id="20"/>
    </w:p>
    <w:p w:rsidR="00286D23">
      <w:pPr>
        <w:pStyle w:val="Heading2"/>
        <w:spacing w:line="360" w:lineRule="auto"/>
        <w:ind w:firstLine="482"/>
        <w:rPr>
          <w:rFonts w:ascii="宋体" w:hAnsi="宋体"/>
          <w:sz w:val="24"/>
          <w:szCs w:val="24"/>
        </w:rPr>
      </w:pPr>
      <w:bookmarkStart w:id="21" w:name="_Toc429377617"/>
      <w:bookmarkStart w:id="22" w:name="_Toc427933248"/>
      <w:bookmarkStart w:id="23" w:name="_Toc432513738"/>
      <w:bookmarkStart w:id="24" w:name="_Toc402795086"/>
      <w:r>
        <w:rPr>
          <w:rFonts w:ascii="宋体" w:hAnsi="宋体" w:hint="eastAsia"/>
          <w:sz w:val="24"/>
          <w:szCs w:val="24"/>
        </w:rPr>
        <w:t>1.1编制依据：</w:t>
      </w:r>
      <w:bookmarkEnd w:id="21"/>
      <w:bookmarkEnd w:id="22"/>
      <w:bookmarkEnd w:id="23"/>
    </w:p>
    <w:p w:rsidR="00286D23">
      <w:pPr>
        <w:pStyle w:val="Normal0"/>
        <w:widowControl w:val="0"/>
        <w:adjustRightInd/>
        <w:snapToGrid/>
        <w:ind w:firstLine="480"/>
        <w:rPr>
          <w:kern w:val="2"/>
          <w:szCs w:val="24"/>
        </w:rPr>
      </w:pPr>
      <w:r>
        <w:rPr>
          <w:rFonts w:hint="eastAsia"/>
          <w:kern w:val="2"/>
          <w:szCs w:val="24"/>
        </w:rPr>
        <w:t>（1）四川省都江堰灌区毗河供水一期工程施工设计图纸；</w:t>
      </w:r>
    </w:p>
    <w:p w:rsidR="00286D23">
      <w:pPr>
        <w:pStyle w:val="Normal0"/>
        <w:widowControl w:val="0"/>
        <w:adjustRightInd/>
        <w:snapToGrid/>
        <w:ind w:firstLine="480"/>
        <w:rPr>
          <w:kern w:val="2"/>
          <w:szCs w:val="24"/>
        </w:rPr>
      </w:pPr>
      <w:r>
        <w:rPr>
          <w:rFonts w:hint="eastAsia"/>
          <w:kern w:val="2"/>
          <w:szCs w:val="24"/>
        </w:rPr>
        <w:t>（5）《四川省都江堰灌区毗河供水一期工程施工招标招标文件》；</w:t>
      </w:r>
    </w:p>
    <w:p w:rsidR="00286D23">
      <w:pPr>
        <w:pStyle w:val="Normal0"/>
        <w:widowControl w:val="0"/>
        <w:adjustRightInd/>
        <w:snapToGrid/>
        <w:ind w:firstLine="480"/>
        <w:rPr>
          <w:kern w:val="2"/>
          <w:szCs w:val="24"/>
        </w:rPr>
      </w:pPr>
      <w:r>
        <w:rPr>
          <w:rFonts w:hint="eastAsia"/>
          <w:kern w:val="2"/>
          <w:szCs w:val="24"/>
        </w:rPr>
        <w:t xml:space="preserve">（6）《四川省都江堰灌区毗河供水一期工程施工组织设计》； </w:t>
      </w:r>
    </w:p>
    <w:p w:rsidR="00286D23">
      <w:pPr>
        <w:pStyle w:val="Normal0"/>
        <w:widowControl w:val="0"/>
        <w:adjustRightInd/>
        <w:snapToGrid/>
        <w:ind w:firstLine="480"/>
        <w:rPr>
          <w:kern w:val="2"/>
          <w:szCs w:val="24"/>
        </w:rPr>
      </w:pPr>
      <w:r>
        <w:rPr>
          <w:rFonts w:hint="eastAsia"/>
          <w:kern w:val="2"/>
          <w:szCs w:val="24"/>
        </w:rPr>
        <w:t>（7）《水工混凝土施工规范》</w:t>
      </w:r>
      <w:r>
        <w:rPr>
          <w:kern w:val="2"/>
          <w:szCs w:val="24"/>
        </w:rPr>
        <w:t xml:space="preserve"> DL/T5144-2001 </w:t>
      </w:r>
    </w:p>
    <w:p w:rsidR="00286D23">
      <w:pPr>
        <w:pStyle w:val="Normal0"/>
        <w:widowControl w:val="0"/>
        <w:adjustRightInd/>
        <w:snapToGrid/>
        <w:ind w:firstLine="480"/>
        <w:rPr>
          <w:kern w:val="2"/>
          <w:szCs w:val="24"/>
        </w:rPr>
      </w:pPr>
      <w:r>
        <w:rPr>
          <w:rFonts w:hint="eastAsia"/>
          <w:kern w:val="2"/>
          <w:szCs w:val="24"/>
        </w:rPr>
        <w:t>（8）《水电水利工程喷锚支护施工规范》</w:t>
      </w:r>
      <w:r>
        <w:rPr>
          <w:kern w:val="2"/>
          <w:szCs w:val="24"/>
        </w:rPr>
        <w:t xml:space="preserve"> DL/T5181-2003</w:t>
      </w:r>
    </w:p>
    <w:p w:rsidR="00286D23">
      <w:pPr>
        <w:pStyle w:val="Normal0"/>
        <w:widowControl w:val="0"/>
        <w:adjustRightInd/>
        <w:snapToGrid/>
        <w:ind w:firstLine="480"/>
        <w:rPr>
          <w:kern w:val="2"/>
          <w:szCs w:val="24"/>
        </w:rPr>
      </w:pPr>
      <w:r>
        <w:rPr>
          <w:rFonts w:hint="eastAsia"/>
          <w:kern w:val="2"/>
          <w:szCs w:val="24"/>
        </w:rPr>
        <w:t>（9）《土工合成材料应用技术规范》</w:t>
      </w:r>
      <w:r>
        <w:rPr>
          <w:kern w:val="2"/>
          <w:szCs w:val="24"/>
        </w:rPr>
        <w:t>GB 50290-98</w:t>
      </w:r>
    </w:p>
    <w:p w:rsidR="00286D23">
      <w:pPr>
        <w:pStyle w:val="Normal0"/>
        <w:widowControl w:val="0"/>
        <w:adjustRightInd/>
        <w:snapToGrid/>
        <w:ind w:firstLine="480"/>
        <w:rPr>
          <w:kern w:val="2"/>
          <w:szCs w:val="24"/>
        </w:rPr>
      </w:pPr>
      <w:r>
        <w:rPr>
          <w:rFonts w:hint="eastAsia"/>
          <w:kern w:val="2"/>
          <w:szCs w:val="24"/>
        </w:rPr>
        <w:t>（10）《建筑地基基础工程施工质量验收规范》（GB 50202</w:t>
      </w:r>
      <w:r>
        <w:rPr>
          <w:rFonts w:hint="eastAsia"/>
          <w:kern w:val="2"/>
          <w:szCs w:val="24"/>
        </w:rPr>
        <w:t>—</w:t>
      </w:r>
      <w:r>
        <w:rPr>
          <w:rFonts w:hint="eastAsia"/>
          <w:kern w:val="2"/>
          <w:szCs w:val="24"/>
        </w:rPr>
        <w:t>2002）</w:t>
      </w:r>
    </w:p>
    <w:p w:rsidR="00286D23">
      <w:pPr>
        <w:pStyle w:val="Normal0"/>
        <w:widowControl w:val="0"/>
        <w:adjustRightInd/>
        <w:snapToGrid/>
        <w:ind w:firstLine="480"/>
        <w:rPr>
          <w:kern w:val="2"/>
          <w:szCs w:val="24"/>
        </w:rPr>
      </w:pPr>
      <w:r>
        <w:rPr>
          <w:rFonts w:hint="eastAsia"/>
          <w:kern w:val="2"/>
          <w:szCs w:val="24"/>
        </w:rPr>
        <w:t>（11）《爆破安全规程》（GB6722</w:t>
      </w:r>
      <w:r>
        <w:rPr>
          <w:rFonts w:hint="eastAsia"/>
          <w:kern w:val="2"/>
          <w:szCs w:val="24"/>
        </w:rPr>
        <w:t>—</w:t>
      </w:r>
      <w:r>
        <w:rPr>
          <w:rFonts w:hint="eastAsia"/>
          <w:kern w:val="2"/>
          <w:szCs w:val="24"/>
        </w:rPr>
        <w:t>2011）</w:t>
      </w:r>
    </w:p>
    <w:p w:rsidR="00286D23">
      <w:pPr>
        <w:pStyle w:val="Normal0"/>
        <w:widowControl w:val="0"/>
        <w:adjustRightInd/>
        <w:snapToGrid/>
        <w:ind w:firstLine="480"/>
        <w:rPr>
          <w:kern w:val="2"/>
          <w:szCs w:val="24"/>
        </w:rPr>
      </w:pPr>
      <w:r>
        <w:rPr>
          <w:rFonts w:hint="eastAsia"/>
          <w:kern w:val="2"/>
          <w:szCs w:val="24"/>
        </w:rPr>
        <w:t>（12）《混凝土结构工程施工质量验收规范》（GB50204</w:t>
      </w:r>
      <w:r>
        <w:rPr>
          <w:rFonts w:hint="eastAsia"/>
          <w:kern w:val="2"/>
          <w:szCs w:val="24"/>
        </w:rPr>
        <w:t>—</w:t>
      </w:r>
      <w:r>
        <w:rPr>
          <w:rFonts w:hint="eastAsia"/>
          <w:kern w:val="2"/>
          <w:szCs w:val="24"/>
        </w:rPr>
        <w:t>2002）</w:t>
      </w:r>
    </w:p>
    <w:p w:rsidR="00286D23">
      <w:pPr>
        <w:pStyle w:val="Normal0"/>
        <w:widowControl w:val="0"/>
        <w:adjustRightInd/>
        <w:snapToGrid/>
        <w:ind w:firstLine="480"/>
        <w:rPr>
          <w:kern w:val="2"/>
          <w:szCs w:val="24"/>
        </w:rPr>
      </w:pPr>
      <w:r>
        <w:rPr>
          <w:rFonts w:hint="eastAsia"/>
          <w:kern w:val="2"/>
          <w:szCs w:val="24"/>
        </w:rPr>
        <w:t>（13）《水工混凝土钢筋施工规范》（DL/T5169</w:t>
      </w:r>
      <w:r>
        <w:rPr>
          <w:rFonts w:hint="eastAsia"/>
          <w:kern w:val="2"/>
          <w:szCs w:val="24"/>
        </w:rPr>
        <w:t>—</w:t>
      </w:r>
      <w:r>
        <w:rPr>
          <w:rFonts w:hint="eastAsia"/>
          <w:kern w:val="2"/>
          <w:szCs w:val="24"/>
        </w:rPr>
        <w:t>2002）</w:t>
      </w:r>
    </w:p>
    <w:p w:rsidR="00286D23">
      <w:pPr>
        <w:pStyle w:val="Normal0"/>
        <w:widowControl w:val="0"/>
        <w:adjustRightInd/>
        <w:snapToGrid/>
        <w:ind w:firstLine="480"/>
        <w:rPr>
          <w:kern w:val="2"/>
          <w:szCs w:val="24"/>
        </w:rPr>
      </w:pPr>
      <w:r>
        <w:rPr>
          <w:rFonts w:hint="eastAsia"/>
          <w:kern w:val="2"/>
          <w:szCs w:val="24"/>
        </w:rPr>
        <w:t>（14）《水工混凝土施工规范》（DL/T5144</w:t>
      </w:r>
      <w:r>
        <w:rPr>
          <w:rFonts w:hint="eastAsia"/>
          <w:kern w:val="2"/>
          <w:szCs w:val="24"/>
        </w:rPr>
        <w:t>—</w:t>
      </w:r>
      <w:r>
        <w:rPr>
          <w:rFonts w:hint="eastAsia"/>
          <w:kern w:val="2"/>
          <w:szCs w:val="24"/>
        </w:rPr>
        <w:t>2001）</w:t>
      </w:r>
    </w:p>
    <w:p w:rsidR="00286D23">
      <w:pPr>
        <w:pStyle w:val="Normal0"/>
        <w:widowControl w:val="0"/>
        <w:adjustRightInd/>
        <w:snapToGrid/>
        <w:ind w:firstLine="480"/>
        <w:rPr>
          <w:kern w:val="2"/>
          <w:szCs w:val="24"/>
        </w:rPr>
      </w:pPr>
      <w:r>
        <w:rPr>
          <w:rFonts w:hint="eastAsia"/>
          <w:kern w:val="2"/>
          <w:szCs w:val="24"/>
        </w:rPr>
        <w:t>（15）《土工试验规程》（SL237</w:t>
      </w:r>
      <w:r>
        <w:rPr>
          <w:rFonts w:hint="eastAsia"/>
          <w:kern w:val="2"/>
          <w:szCs w:val="24"/>
        </w:rPr>
        <w:t>—</w:t>
      </w:r>
      <w:r>
        <w:rPr>
          <w:rFonts w:hint="eastAsia"/>
          <w:kern w:val="2"/>
          <w:szCs w:val="24"/>
        </w:rPr>
        <w:t>1999）等。</w:t>
      </w:r>
    </w:p>
    <w:p w:rsidR="00286D23">
      <w:pPr>
        <w:pStyle w:val="Heading2"/>
        <w:ind w:firstLine="482"/>
        <w:rPr>
          <w:rFonts w:ascii="宋体" w:hAnsi="宋体"/>
          <w:sz w:val="24"/>
          <w:szCs w:val="24"/>
        </w:rPr>
      </w:pPr>
      <w:bookmarkStart w:id="25" w:name="_Toc427933249"/>
      <w:bookmarkStart w:id="26" w:name="_Toc432513739"/>
      <w:bookmarkStart w:id="27" w:name="_Toc429377618"/>
      <w:r>
        <w:rPr>
          <w:rFonts w:ascii="宋体" w:hAnsi="宋体" w:hint="eastAsia"/>
          <w:sz w:val="24"/>
          <w:szCs w:val="24"/>
        </w:rPr>
        <w:t>1.2工程概况</w:t>
      </w:r>
      <w:bookmarkEnd w:id="25"/>
      <w:bookmarkEnd w:id="26"/>
      <w:bookmarkEnd w:id="27"/>
    </w:p>
    <w:p w:rsidR="00286D23">
      <w:pPr>
        <w:pStyle w:val="Normal0"/>
        <w:ind w:firstLine="480"/>
        <w:rPr>
          <w:rFonts w:hint="eastAsia"/>
        </w:rPr>
        <w:sectPr>
          <w:pgSz w:w="11906" w:h="16838"/>
          <w:pgMar w:top="1418" w:right="1418" w:bottom="1418" w:left="1701" w:header="709" w:footer="709" w:gutter="0"/>
          <w:pgNumType w:start="1"/>
          <w:cols w:space="720"/>
          <w:docGrid w:linePitch="360"/>
        </w:sectPr>
      </w:pPr>
      <w:r>
        <w:rPr>
          <w:rFonts w:hint="eastAsia"/>
        </w:rPr>
        <w:t>中兴支渠流量总全长约</w:t>
      </w:r>
      <w:r>
        <w:rPr>
          <w:rFonts w:hAnsi="Times New Roman" w:hint="eastAsia"/>
        </w:rPr>
        <w:t>15628.951m</w:t>
      </w:r>
      <w:r>
        <w:rPr>
          <w:rFonts w:hint="eastAsia"/>
        </w:rPr>
        <w:t>，其中隧洞18座，总长共计5622.22m，其中明渠全长10006.73m，断面形式为梯形（少量为矩形），设计流量</w:t>
      </w:r>
      <w:r>
        <w:rPr>
          <w:rFonts w:hAnsi="Times New Roman" w:hint="eastAsia"/>
        </w:rPr>
        <w:t>1.75m</w:t>
      </w:r>
      <w:r>
        <w:rPr>
          <w:rFonts w:hAnsi="Times New Roman" w:hint="eastAsia"/>
          <w:vertAlign w:val="superscript"/>
        </w:rPr>
        <w:t>3</w:t>
      </w:r>
      <w:r>
        <w:rPr>
          <w:rFonts w:hint="eastAsia"/>
        </w:rPr>
        <w:t>/</w:t>
      </w:r>
      <w:r>
        <w:rPr>
          <w:rFonts w:hAnsi="Times New Roman" w:hint="eastAsia"/>
        </w:rPr>
        <w:t>s</w:t>
      </w:r>
      <w:r>
        <w:rPr>
          <w:rFonts w:hint="eastAsia"/>
        </w:rPr>
        <w:t>，设计水深</w:t>
      </w:r>
      <w:r>
        <w:rPr>
          <w:rFonts w:hAnsi="Times New Roman" w:hint="eastAsia"/>
        </w:rPr>
        <w:t>1.18m，矩型渠道1.13m</w:t>
      </w:r>
      <w:r>
        <w:rPr>
          <w:rFonts w:hint="eastAsia"/>
        </w:rPr>
        <w:t>，比降</w:t>
      </w:r>
      <w:r>
        <w:rPr>
          <w:rFonts w:hAnsi="Times New Roman" w:hint="eastAsia"/>
        </w:rPr>
        <w:t>1</w:t>
      </w:r>
      <w:r>
        <w:rPr>
          <w:rFonts w:hint="eastAsia"/>
        </w:rPr>
        <w:t>/</w:t>
      </w:r>
      <w:r>
        <w:rPr>
          <w:rFonts w:hAnsi="Times New Roman" w:hint="eastAsia"/>
        </w:rPr>
        <w:t>4000</w:t>
      </w:r>
      <w:r>
        <w:rPr>
          <w:rFonts w:hint="eastAsia"/>
        </w:rPr>
        <w:t>，矩形渠道比降1/2000；渠顶设有一条</w:t>
      </w:r>
      <w:r>
        <w:rPr>
          <w:rFonts w:hAnsi="Times New Roman" w:hint="eastAsia"/>
        </w:rPr>
        <w:t>2.5m</w:t>
      </w:r>
      <w:r>
        <w:rPr>
          <w:rFonts w:hint="eastAsia"/>
        </w:rPr>
        <w:t>的泥结石渠顶公路；渠道设计底宽：土渠</w:t>
      </w:r>
      <w:r>
        <w:rPr>
          <w:rFonts w:hAnsi="Times New Roman" w:hint="eastAsia"/>
        </w:rPr>
        <w:t>0.33m、</w:t>
      </w:r>
      <w:r>
        <w:rPr>
          <w:rFonts w:hint="eastAsia"/>
        </w:rPr>
        <w:t>石渠</w:t>
      </w:r>
      <w:r>
        <w:rPr>
          <w:rFonts w:hAnsi="Times New Roman" w:hint="eastAsia"/>
        </w:rPr>
        <w:t>1.12m、暗渠2.08m。衬砌厚度20cm</w:t>
      </w:r>
      <w:r>
        <w:rPr>
          <w:rFonts w:hint="eastAsia"/>
        </w:rPr>
        <w:t>。渠道永久设计岩质边坡坡比为</w:t>
      </w:r>
      <w:r>
        <w:rPr>
          <w:rFonts w:hAnsi="Times New Roman" w:hint="eastAsia"/>
        </w:rPr>
        <w:t>1:0.75</w:t>
      </w:r>
      <w:r>
        <w:rPr>
          <w:rFonts w:hint="eastAsia"/>
        </w:rPr>
        <w:t>，永久土质边坡坡比为</w:t>
      </w:r>
      <w:r>
        <w:rPr>
          <w:rFonts w:hAnsi="Times New Roman" w:hint="eastAsia"/>
        </w:rPr>
        <w:t>1</w:t>
      </w:r>
      <w:r>
        <w:rPr>
          <w:rFonts w:hint="eastAsia"/>
        </w:rPr>
        <w:t>：</w:t>
      </w:r>
      <w:r>
        <w:rPr>
          <w:rFonts w:hAnsi="Times New Roman" w:hint="eastAsia"/>
        </w:rPr>
        <w:t>1.5</w:t>
      </w:r>
      <w:r>
        <w:rPr>
          <w:rFonts w:hint="eastAsia"/>
        </w:rPr>
        <w:t>；渠道临时设计岩质边坡坡比为</w:t>
      </w:r>
      <w:r>
        <w:rPr>
          <w:rFonts w:hAnsi="Times New Roman" w:hint="eastAsia"/>
        </w:rPr>
        <w:t>1:0.5</w:t>
      </w:r>
      <w:r>
        <w:rPr>
          <w:rFonts w:hint="eastAsia"/>
        </w:rPr>
        <w:t>，临时土质边坡坡比为</w:t>
      </w:r>
      <w:r>
        <w:rPr>
          <w:rFonts w:hAnsi="Times New Roman" w:hint="eastAsia"/>
        </w:rPr>
        <w:t>1</w:t>
      </w:r>
      <w:r>
        <w:rPr>
          <w:rFonts w:hint="eastAsia"/>
        </w:rPr>
        <w:t>：</w:t>
      </w:r>
      <w:r>
        <w:rPr>
          <w:rFonts w:hAnsi="Times New Roman" w:hint="eastAsia"/>
        </w:rPr>
        <w:t>1。</w:t>
      </w:r>
      <w:r>
        <w:rPr>
          <w:rFonts w:hint="eastAsia"/>
        </w:rPr>
        <w:t>矩形渠全长700</w:t>
      </w:r>
      <w:r>
        <w:rPr>
          <w:rFonts w:hAnsi="Times New Roman" w:hint="eastAsia"/>
        </w:rPr>
        <w:t>m</w:t>
      </w:r>
      <w:r>
        <w:rPr>
          <w:rFonts w:hint="eastAsia"/>
        </w:rPr>
        <w:t>，外尺寸宽</w:t>
      </w:r>
      <w:r>
        <w:rPr>
          <w:rFonts w:hAnsi="Times New Roman" w:hint="eastAsia"/>
        </w:rPr>
        <w:t>2.68m</w:t>
      </w:r>
      <w:r>
        <w:rPr>
          <w:rFonts w:hint="eastAsia"/>
        </w:rPr>
        <w:t>，高</w:t>
      </w:r>
      <w:r>
        <w:rPr>
          <w:rFonts w:hAnsi="Times New Roman" w:hint="eastAsia"/>
        </w:rPr>
        <w:t>2.26m</w:t>
      </w:r>
      <w:r>
        <w:rPr>
          <w:rFonts w:hint="eastAsia"/>
        </w:rPr>
        <w:t>，衬砌厚度</w:t>
      </w:r>
      <w:r>
        <w:rPr>
          <w:rFonts w:hAnsi="Times New Roman" w:hint="eastAsia"/>
        </w:rPr>
        <w:t>30cm</w:t>
      </w:r>
      <w:r>
        <w:rPr>
          <w:rFonts w:hint="eastAsia"/>
        </w:rPr>
        <w:t>。</w:t>
      </w:r>
      <w:bookmarkEnd w:id="24"/>
    </w:p>
    <w:p w:rsidR="00286D23">
      <w:pPr>
        <w:pStyle w:val="Normal0"/>
        <w:ind w:firstLine="480"/>
        <w:rPr>
          <w:rFonts w:hint="eastAsia"/>
        </w:rPr>
      </w:pPr>
    </w:p>
    <w:p w:rsidR="00286D23">
      <w:pPr>
        <w:pStyle w:val="Normal0"/>
        <w:ind w:firstLine="480"/>
        <w:rPr>
          <w:rFonts w:hint="eastAsia"/>
        </w:rPr>
      </w:pPr>
    </w:p>
    <w:p w:rsidR="00286D23">
      <w:pPr>
        <w:pStyle w:val="Normal0"/>
        <w:ind w:firstLine="480"/>
        <w:rPr>
          <w:rFonts w:hint="eastAsia"/>
        </w:rPr>
      </w:pPr>
    </w:p>
    <w:p w:rsidR="00286D23">
      <w:pPr>
        <w:pStyle w:val="Normal0"/>
        <w:ind w:firstLine="480"/>
        <w:rPr>
          <w:rFonts w:hint="eastAsia"/>
        </w:rPr>
      </w:pPr>
    </w:p>
    <w:p w:rsidR="00286D23">
      <w:pPr>
        <w:pStyle w:val="Normal0"/>
        <w:ind w:firstLine="482"/>
        <w:rPr>
          <w:rFonts w:ascii="Times New Roman" w:hAnsi="Times New Roman"/>
          <w:b/>
        </w:rPr>
      </w:pPr>
      <w:bookmarkStart w:id="28" w:name="_Toc425667788"/>
      <w:bookmarkStart w:id="29" w:name="_Toc425668352"/>
      <w:bookmarkStart w:id="30" w:name="_Toc425668116"/>
      <w:r>
        <w:rPr>
          <w:rFonts w:hint="eastAsia"/>
          <w:b/>
        </w:rPr>
        <w:t>表</w:t>
      </w:r>
      <w:r>
        <w:rPr>
          <w:rFonts w:hAnsi="Times New Roman" w:hint="eastAsia"/>
          <w:b/>
        </w:rPr>
        <w:t xml:space="preserve">1.1       </w:t>
      </w:r>
      <w:r>
        <w:rPr>
          <w:rFonts w:hint="eastAsia"/>
          <w:b/>
        </w:rPr>
        <w:t>中兴支渠各渠道长度及</w:t>
      </w:r>
      <w:r>
        <w:rPr>
          <w:rFonts w:ascii="Times New Roman" w:hint="eastAsia"/>
          <w:b/>
        </w:rPr>
        <w:t>起止桩号一览表</w:t>
      </w:r>
    </w:p>
    <w:tbl>
      <w:tblPr>
        <w:tblStyle w:val="TableNormal"/>
        <w:tblW w:w="9262" w:type="dxa"/>
        <w:jc w:val="center"/>
        <w:tblInd w:w="-3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4A0"/>
      </w:tblPr>
      <w:tblGrid>
        <w:gridCol w:w="4400"/>
        <w:gridCol w:w="3390"/>
        <w:gridCol w:w="1472"/>
      </w:tblGrid>
      <w:tr>
        <w:tblPrEx>
          <w:tblW w:w="9262" w:type="dxa"/>
          <w:jc w:val="center"/>
          <w:tblInd w:w="-3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4A0"/>
        </w:tblPrEx>
        <w:trPr>
          <w:trHeight w:hRule="exact" w:val="624"/>
          <w:jc w:val="center"/>
        </w:trPr>
        <w:tc>
          <w:tcPr>
            <w:tcW w:w="4400" w:type="dxa"/>
            <w:tcBorders>
              <w:top w:val="single" w:sz="12" w:space="0" w:color="auto"/>
              <w:bottom w:val="single" w:sz="6" w:space="0" w:color="auto"/>
            </w:tcBorders>
            <w:shd w:val="clear" w:color="auto" w:fill="FFFFFF"/>
            <w:vAlign w:val="center"/>
          </w:tcPr>
          <w:p w:rsidR="00286D23">
            <w:pPr>
              <w:pStyle w:val="Normal0"/>
              <w:adjustRightInd w:val="0"/>
              <w:snapToGrid w:val="0"/>
              <w:spacing w:after="200" w:line="240" w:lineRule="auto"/>
              <w:ind w:firstLine="360" w:firstLineChars="150"/>
              <w:jc w:val="center"/>
              <w:rPr>
                <w:rFonts w:eastAsia="宋体"/>
                <w:b/>
                <w:szCs w:val="24"/>
              </w:rPr>
            </w:pPr>
            <w:bookmarkEnd w:id="28"/>
            <w:bookmarkEnd w:id="29"/>
            <w:bookmarkEnd w:id="30"/>
            <w:bookmarkStart w:id="31" w:name="_Toc425667789"/>
            <w:bookmarkStart w:id="32" w:name="_Toc425668117"/>
            <w:bookmarkStart w:id="33" w:name="_Toc425668353"/>
            <w:bookmarkStart w:id="34" w:name="OLE_LINK1"/>
            <w:r>
              <w:rPr>
                <w:rFonts w:ascii="宋体" w:eastAsia="宋体" w:hAnsi="宋体" w:hint="eastAsia"/>
                <w:b/>
                <w:sz w:val="24"/>
                <w:szCs w:val="24"/>
                <w:lang w:val="en-US" w:eastAsia="zh-CN" w:bidi="ar-SA"/>
              </w:rPr>
              <w:t>渠 道 名 称</w:t>
            </w:r>
            <w:bookmarkEnd w:id="31"/>
            <w:bookmarkEnd w:id="32"/>
            <w:bookmarkEnd w:id="33"/>
            <w:r>
              <w:rPr>
                <w:rFonts w:ascii="宋体" w:eastAsia="宋体" w:hAnsi="宋体" w:hint="eastAsia"/>
                <w:b/>
                <w:sz w:val="24"/>
                <w:szCs w:val="24"/>
                <w:lang w:val="en-US" w:eastAsia="zh-CN" w:bidi="ar-SA"/>
              </w:rPr>
              <w:t xml:space="preserve"> </w:t>
            </w:r>
          </w:p>
        </w:tc>
        <w:tc>
          <w:tcPr>
            <w:tcW w:w="3390" w:type="dxa"/>
            <w:tcBorders>
              <w:top w:val="single" w:sz="12"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480" w:firstLineChars="200"/>
              <w:jc w:val="center"/>
              <w:rPr>
                <w:rFonts w:eastAsia="宋体"/>
                <w:b/>
                <w:szCs w:val="24"/>
              </w:rPr>
            </w:pPr>
            <w:bookmarkStart w:id="35" w:name="_Toc425667790"/>
            <w:bookmarkStart w:id="36" w:name="_Toc425668118"/>
            <w:bookmarkStart w:id="37" w:name="_Toc425668354"/>
            <w:r>
              <w:rPr>
                <w:rFonts w:ascii="宋体" w:eastAsia="宋体" w:hAnsi="宋体" w:hint="eastAsia"/>
                <w:b/>
                <w:sz w:val="24"/>
                <w:szCs w:val="24"/>
                <w:lang w:val="en-US" w:eastAsia="zh-CN" w:bidi="ar-SA"/>
              </w:rPr>
              <w:t>桩   号</w:t>
            </w:r>
            <w:bookmarkEnd w:id="35"/>
            <w:bookmarkEnd w:id="36"/>
            <w:bookmarkEnd w:id="37"/>
          </w:p>
        </w:tc>
        <w:tc>
          <w:tcPr>
            <w:tcW w:w="1472" w:type="dxa"/>
            <w:tcBorders>
              <w:top w:val="single" w:sz="12"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b/>
                <w:szCs w:val="24"/>
              </w:rPr>
            </w:pPr>
            <w:bookmarkStart w:id="38" w:name="_Toc425667791"/>
            <w:bookmarkStart w:id="39" w:name="_Toc425668119"/>
            <w:bookmarkStart w:id="40" w:name="_Toc425668355"/>
            <w:r>
              <w:rPr>
                <w:rFonts w:ascii="宋体" w:eastAsia="宋体" w:hAnsi="宋体" w:hint="eastAsia"/>
                <w:b/>
                <w:sz w:val="24"/>
                <w:szCs w:val="24"/>
                <w:lang w:val="en-US" w:eastAsia="zh-CN" w:bidi="ar-SA"/>
              </w:rPr>
              <w:t>长 度（m）</w:t>
            </w:r>
            <w:bookmarkEnd w:id="38"/>
            <w:bookmarkEnd w:id="39"/>
            <w:bookmarkEnd w:id="40"/>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szCs w:val="24"/>
              </w:rPr>
            </w:pPr>
            <w:r>
              <w:rPr>
                <w:rFonts w:ascii="宋体" w:eastAsia="宋体" w:hAnsi="宋体" w:hint="eastAsia"/>
                <w:sz w:val="24"/>
                <w:szCs w:val="21"/>
                <w:lang w:val="en-US" w:eastAsia="zh-CN" w:bidi="ar-SA"/>
              </w:rPr>
              <w:t>中兴分水闸暗渠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中0+000.000</w:t>
            </w:r>
            <w:r>
              <w:rPr>
                <w:rFonts w:ascii="Times New Roman" w:eastAsia="宋体" w:hAnsi="Times New Roman"/>
                <w:sz w:val="24"/>
                <w:szCs w:val="21"/>
                <w:lang w:val="en-US" w:eastAsia="zh-CN" w:bidi="ar-SA"/>
              </w:rPr>
              <w:t>~</w:t>
            </w:r>
            <w:r>
              <w:rPr>
                <w:rFonts w:ascii="Times New Roman" w:eastAsia="宋体" w:hAnsi="Times New Roman" w:hint="eastAsia"/>
                <w:sz w:val="24"/>
                <w:szCs w:val="21"/>
                <w:lang w:val="en-US" w:eastAsia="zh-CN" w:bidi="ar-SA"/>
              </w:rPr>
              <w:t>中0+083.425</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83.43</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李家沟明渠至龚家湾段明渠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szCs w:val="24"/>
              </w:rPr>
            </w:pPr>
            <w:r>
              <w:rPr>
                <w:rFonts w:ascii="宋体" w:eastAsia="宋体" w:hAnsi="宋体" w:hint="eastAsia"/>
                <w:sz w:val="24"/>
                <w:szCs w:val="21"/>
                <w:lang w:val="en-US" w:eastAsia="zh-CN" w:bidi="ar-SA"/>
              </w:rPr>
              <w:t>中0+600.949</w:t>
            </w:r>
            <w:r>
              <w:rPr>
                <w:rFonts w:ascii="Times New Roman" w:eastAsia="宋体" w:hAnsi="Times New Roman"/>
                <w:sz w:val="24"/>
                <w:szCs w:val="21"/>
                <w:lang w:val="en-US" w:eastAsia="zh-CN" w:bidi="ar-SA"/>
              </w:rPr>
              <w:t>~</w:t>
            </w:r>
            <w:r>
              <w:rPr>
                <w:rFonts w:ascii="宋体" w:eastAsia="宋体" w:hAnsi="宋体" w:hint="eastAsia"/>
                <w:sz w:val="24"/>
                <w:szCs w:val="21"/>
                <w:lang w:val="en-US" w:eastAsia="zh-CN" w:bidi="ar-SA"/>
              </w:rPr>
              <w:t>中1+863.958</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12630.01</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龚家湾出口明渠至小湾进口段明渠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中2+136.719</w:t>
            </w:r>
            <w:r>
              <w:rPr>
                <w:rFonts w:ascii="Times New Roman" w:eastAsia="宋体" w:hAnsi="Times New Roman"/>
                <w:sz w:val="24"/>
                <w:szCs w:val="21"/>
                <w:lang w:val="en-US" w:eastAsia="zh-CN" w:bidi="ar-SA"/>
              </w:rPr>
              <w:t>~</w:t>
            </w:r>
            <w:r>
              <w:rPr>
                <w:rFonts w:ascii="Times New Roman" w:eastAsia="宋体" w:hAnsi="Times New Roman" w:hint="eastAsia"/>
                <w:sz w:val="24"/>
                <w:szCs w:val="21"/>
                <w:lang w:val="en-US" w:eastAsia="zh-CN" w:bidi="ar-SA"/>
              </w:rPr>
              <w:t>中4+144.817</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2008.10</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小湾出口至郭家湾进口段明渠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szCs w:val="24"/>
              </w:rPr>
            </w:pPr>
            <w:r>
              <w:rPr>
                <w:rFonts w:ascii="Times New Roman" w:eastAsia="宋体" w:hAnsi="Times New Roman" w:hint="eastAsia"/>
                <w:sz w:val="24"/>
                <w:szCs w:val="21"/>
                <w:lang w:val="en-US" w:eastAsia="zh-CN" w:bidi="ar-SA"/>
              </w:rPr>
              <w:t>中4+499.824</w:t>
            </w:r>
            <w:r>
              <w:rPr>
                <w:rFonts w:ascii="Times New Roman" w:eastAsia="宋体" w:hAnsi="Times New Roman"/>
                <w:sz w:val="24"/>
                <w:szCs w:val="21"/>
                <w:lang w:val="en-US" w:eastAsia="zh-CN" w:bidi="ar-SA"/>
              </w:rPr>
              <w:t>~</w:t>
            </w:r>
            <w:r>
              <w:rPr>
                <w:rFonts w:ascii="Times New Roman" w:eastAsia="宋体" w:hAnsi="Times New Roman" w:hint="eastAsia"/>
                <w:sz w:val="24"/>
                <w:szCs w:val="21"/>
                <w:lang w:val="en-US" w:eastAsia="zh-CN" w:bidi="ar-SA"/>
              </w:rPr>
              <w:t>中5+129.545</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629.72</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郭家湾出口明渠至碾子湾进口段明渠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both"/>
              <w:rPr>
                <w:rFonts w:eastAsia="宋体" w:hint="eastAsia"/>
                <w:szCs w:val="24"/>
              </w:rPr>
            </w:pPr>
            <w:r>
              <w:rPr>
                <w:rFonts w:ascii="宋体" w:eastAsia="宋体" w:hAnsi="宋体" w:hint="eastAsia"/>
                <w:sz w:val="24"/>
                <w:szCs w:val="24"/>
                <w:lang w:val="en-US" w:eastAsia="zh-CN" w:bidi="ar-SA"/>
              </w:rPr>
              <w:t>中5+577.605</w:t>
            </w:r>
            <w:r>
              <w:rPr>
                <w:rFonts w:ascii="Times New Roman" w:eastAsia="宋体" w:hAnsi="Times New Roman"/>
                <w:sz w:val="24"/>
                <w:szCs w:val="21"/>
                <w:lang w:val="en-US" w:eastAsia="zh-CN" w:bidi="ar-SA"/>
              </w:rPr>
              <w:t>~</w:t>
            </w:r>
            <w:r>
              <w:rPr>
                <w:rFonts w:ascii="Times New Roman" w:eastAsia="宋体" w:hAnsi="Times New Roman" w:hint="eastAsia"/>
                <w:sz w:val="24"/>
                <w:szCs w:val="21"/>
                <w:lang w:val="en-US" w:eastAsia="zh-CN" w:bidi="ar-SA"/>
              </w:rPr>
              <w:t>中5+857.594</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279.99</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碾子湾出口明渠张家湾进口段明渠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中6+407.575</w:t>
            </w:r>
            <w:r>
              <w:rPr>
                <w:rFonts w:ascii="Times New Roman" w:eastAsia="宋体" w:hAnsi="Times New Roman"/>
                <w:sz w:val="24"/>
                <w:szCs w:val="21"/>
                <w:lang w:val="en-US" w:eastAsia="zh-CN" w:bidi="ar-SA"/>
              </w:rPr>
              <w:t>~</w:t>
            </w:r>
            <w:r>
              <w:rPr>
                <w:rFonts w:ascii="Times New Roman" w:eastAsia="宋体" w:hAnsi="Times New Roman" w:hint="eastAsia"/>
                <w:sz w:val="24"/>
                <w:szCs w:val="21"/>
                <w:lang w:val="en-US" w:eastAsia="zh-CN" w:bidi="ar-SA"/>
              </w:rPr>
              <w:t>中6+662.735</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255.16</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张家湾出口至罗家湾进口段明渠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中6+934.604</w:t>
            </w:r>
            <w:r>
              <w:rPr>
                <w:rFonts w:ascii="Times New Roman" w:eastAsia="宋体" w:hAnsi="Times New Roman"/>
                <w:sz w:val="24"/>
                <w:szCs w:val="21"/>
                <w:lang w:val="en-US" w:eastAsia="zh-CN" w:bidi="ar-SA"/>
              </w:rPr>
              <w:t>~</w:t>
            </w:r>
            <w:r>
              <w:rPr>
                <w:rFonts w:ascii="Times New Roman" w:eastAsia="宋体" w:hAnsi="Times New Roman" w:hint="eastAsia"/>
                <w:sz w:val="24"/>
                <w:szCs w:val="21"/>
                <w:lang w:val="en-US" w:eastAsia="zh-CN" w:bidi="ar-SA"/>
              </w:rPr>
              <w:t>中7+498.344</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563.74</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罗家湾出口至田坝井进口段明渠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szCs w:val="24"/>
              </w:rPr>
            </w:pPr>
            <w:r>
              <w:rPr>
                <w:rFonts w:ascii="宋体" w:eastAsia="宋体" w:hAnsi="宋体" w:hint="eastAsia"/>
                <w:sz w:val="24"/>
                <w:szCs w:val="21"/>
                <w:lang w:val="en-US" w:eastAsia="zh-CN" w:bidi="ar-SA"/>
              </w:rPr>
              <w:t>中8+355.888-中8+660.973</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305.09</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szCs w:val="24"/>
              </w:rPr>
            </w:pPr>
            <w:r>
              <w:rPr>
                <w:rFonts w:ascii="宋体" w:eastAsia="宋体" w:hAnsi="宋体" w:hint="eastAsia"/>
                <w:sz w:val="24"/>
                <w:szCs w:val="24"/>
                <w:lang w:val="en-US" w:eastAsia="zh-CN" w:bidi="ar-SA"/>
              </w:rPr>
              <w:t>田坝井出口至段家湾进口段明渠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szCs w:val="24"/>
              </w:rPr>
            </w:pPr>
            <w:r>
              <w:rPr>
                <w:rFonts w:ascii="宋体" w:eastAsia="宋体" w:hAnsi="宋体" w:hint="eastAsia"/>
                <w:sz w:val="24"/>
                <w:szCs w:val="21"/>
                <w:lang w:val="en-US" w:eastAsia="zh-CN" w:bidi="ar-SA"/>
              </w:rPr>
              <w:t>中8+867.142-中9+028.821</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161.68</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段家湾出口至干湾进口段明渠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szCs w:val="24"/>
              </w:rPr>
            </w:pPr>
            <w:r>
              <w:rPr>
                <w:rFonts w:ascii="宋体" w:eastAsia="宋体" w:hAnsi="宋体" w:hint="eastAsia"/>
                <w:sz w:val="24"/>
                <w:szCs w:val="21"/>
                <w:lang w:val="en-US" w:eastAsia="zh-CN" w:bidi="ar-SA"/>
              </w:rPr>
              <w:t>中9+334.495-中9+629.599</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295.10</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干湾隧出至廖家湾进口段明渠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szCs w:val="24"/>
              </w:rPr>
            </w:pPr>
            <w:r>
              <w:rPr>
                <w:rFonts w:ascii="宋体" w:eastAsia="宋体" w:hAnsi="宋体" w:hint="eastAsia"/>
                <w:sz w:val="24"/>
                <w:szCs w:val="21"/>
                <w:lang w:val="en-US" w:eastAsia="zh-CN" w:bidi="ar-SA"/>
              </w:rPr>
              <w:t>中9+874.103-中10+068.515</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194.41</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廖家湾出口至郭家进口段明渠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szCs w:val="24"/>
              </w:rPr>
            </w:pPr>
            <w:r>
              <w:rPr>
                <w:rFonts w:ascii="宋体" w:eastAsia="宋体" w:hAnsi="宋体" w:hint="eastAsia"/>
                <w:sz w:val="24"/>
                <w:szCs w:val="21"/>
                <w:lang w:val="en-US" w:eastAsia="zh-CN" w:bidi="ar-SA"/>
              </w:rPr>
              <w:t>中10+290.405-中10+949.159</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658.754</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郭家出口至余家堰进口</w:t>
            </w:r>
            <w:r>
              <w:rPr>
                <w:rFonts w:ascii="宋体" w:eastAsia="宋体" w:hAnsi="宋体" w:hint="eastAsia"/>
                <w:sz w:val="24"/>
                <w:szCs w:val="21"/>
                <w:lang w:val="en-US" w:eastAsia="zh-CN" w:bidi="ar-SA"/>
              </w:rPr>
              <w:t>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1"/>
              </w:rPr>
            </w:pPr>
            <w:r>
              <w:rPr>
                <w:rFonts w:ascii="宋体" w:eastAsia="宋体" w:hAnsi="宋体" w:hint="eastAsia"/>
                <w:sz w:val="24"/>
                <w:szCs w:val="21"/>
                <w:lang w:val="en-US" w:eastAsia="zh-CN" w:bidi="ar-SA"/>
              </w:rPr>
              <w:t>中11+102.114-中11+498.047</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1"/>
                <w:lang w:val="en-US" w:eastAsia="zh-CN" w:bidi="ar-SA"/>
              </w:rPr>
              <w:t>395.933</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余家堰出口至遂至眉进口</w:t>
            </w:r>
            <w:r>
              <w:rPr>
                <w:rFonts w:ascii="宋体" w:eastAsia="宋体" w:hAnsi="宋体" w:hint="eastAsia"/>
                <w:sz w:val="24"/>
                <w:szCs w:val="21"/>
                <w:lang w:val="en-US" w:eastAsia="zh-CN" w:bidi="ar-SA"/>
              </w:rPr>
              <w:t>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1"/>
              </w:rPr>
            </w:pPr>
            <w:r>
              <w:rPr>
                <w:rFonts w:ascii="宋体" w:eastAsia="宋体" w:hAnsi="宋体" w:hint="eastAsia"/>
                <w:sz w:val="24"/>
                <w:szCs w:val="21"/>
                <w:lang w:val="en-US" w:eastAsia="zh-CN" w:bidi="ar-SA"/>
              </w:rPr>
              <w:t>中11+934.769-中12+682.652</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1"/>
                <w:lang w:val="en-US" w:eastAsia="zh-CN" w:bidi="ar-SA"/>
              </w:rPr>
              <w:t>747.883</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遂至眉出口至吕家大院进口</w:t>
            </w:r>
            <w:r>
              <w:rPr>
                <w:rFonts w:ascii="宋体" w:eastAsia="宋体" w:hAnsi="宋体" w:hint="eastAsia"/>
                <w:sz w:val="24"/>
                <w:szCs w:val="21"/>
                <w:lang w:val="en-US" w:eastAsia="zh-CN" w:bidi="ar-SA"/>
              </w:rPr>
              <w:t>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1"/>
              </w:rPr>
            </w:pPr>
            <w:r>
              <w:rPr>
                <w:rFonts w:ascii="宋体" w:eastAsia="宋体" w:hAnsi="宋体" w:hint="eastAsia"/>
                <w:sz w:val="24"/>
                <w:szCs w:val="21"/>
                <w:lang w:val="en-US" w:eastAsia="zh-CN" w:bidi="ar-SA"/>
              </w:rPr>
              <w:t>中12+999.800-中13+688.118</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688.317</w:t>
            </w:r>
          </w:p>
        </w:tc>
      </w:tr>
      <w:tr>
        <w:tblPrEx>
          <w:tblW w:w="9262" w:type="dxa"/>
          <w:jc w:val="center"/>
          <w:tblInd w:w="-363" w:type="dxa"/>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吕家大院出口至老院子进口</w:t>
            </w:r>
            <w:r>
              <w:rPr>
                <w:rFonts w:ascii="宋体" w:eastAsia="宋体" w:hAnsi="宋体" w:hint="eastAsia"/>
                <w:sz w:val="24"/>
                <w:szCs w:val="21"/>
                <w:lang w:val="en-US" w:eastAsia="zh-CN" w:bidi="ar-SA"/>
              </w:rPr>
              <w:t>段明渠</w:t>
            </w:r>
          </w:p>
        </w:tc>
        <w:tc>
          <w:tcPr>
            <w:tcW w:w="3390" w:type="dxa"/>
            <w:tcBorders>
              <w:top w:val="single" w:sz="6" w:space="0" w:color="auto"/>
              <w:bottom w:val="single" w:sz="6"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1"/>
              </w:rPr>
            </w:pPr>
            <w:r>
              <w:rPr>
                <w:rFonts w:ascii="宋体" w:eastAsia="宋体" w:hAnsi="宋体" w:hint="eastAsia"/>
                <w:sz w:val="24"/>
                <w:szCs w:val="21"/>
                <w:lang w:val="en-US" w:eastAsia="zh-CN" w:bidi="ar-SA"/>
              </w:rPr>
              <w:t>中13+972.584-中14+022.074</w:t>
            </w:r>
          </w:p>
        </w:tc>
        <w:tc>
          <w:tcPr>
            <w:tcW w:w="1472" w:type="dxa"/>
            <w:tcBorders>
              <w:top w:val="single" w:sz="6" w:space="0" w:color="auto"/>
              <w:left w:val="single" w:sz="4" w:space="0" w:color="auto"/>
              <w:bottom w:val="single" w:sz="6"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94.49</w:t>
            </w:r>
          </w:p>
        </w:tc>
      </w:tr>
    </w:tbl>
    <w:p>
      <w:pPr>
        <w:sectPr>
          <w:type w:val="nextPage"/>
          <w:pgSz w:w="11906" w:h="16838"/>
          <w:pgMar w:top="1418" w:right="1418" w:bottom="1418" w:left="1701" w:header="709" w:footer="709" w:gutter="0"/>
          <w:pgNumType w:start="2"/>
          <w:cols w:space="720"/>
          <w:titlePg w:val="0"/>
          <w:docGrid w:linePitch="360"/>
        </w:sectPr>
      </w:pPr>
    </w:p>
    <w:tbl>
      <w:tblPr>
        <w:tblStyle w:val="TableNormal"/>
        <w:tblW w:w="9262" w:type="dxa"/>
        <w:jc w:val="center"/>
        <w:tblInd w:w="-3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4A0"/>
      </w:tblPr>
      <w:tblGrid>
        <w:gridCol w:w="4400"/>
        <w:gridCol w:w="3390"/>
        <w:gridCol w:w="1472"/>
      </w:tblGrid>
      <w:tr>
        <w:tblPrEx>
          <w:tblW w:w="9262" w:type="dxa"/>
          <w:jc w:val="center"/>
          <w:tblInd w:w="-3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4A0"/>
        </w:tblPrEx>
        <w:trPr>
          <w:trHeight w:hRule="exact" w:val="624"/>
          <w:jc w:val="center"/>
        </w:trPr>
        <w:tc>
          <w:tcPr>
            <w:tcW w:w="4400" w:type="dxa"/>
            <w:tcBorders>
              <w:top w:val="single" w:sz="6" w:space="0" w:color="auto"/>
              <w:bottom w:val="single" w:sz="12"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老院子出口至</w:t>
            </w:r>
            <w:r>
              <w:rPr>
                <w:rFonts w:ascii="宋体" w:eastAsia="宋体" w:hAnsi="宋体" w:hint="eastAsia"/>
                <w:sz w:val="24"/>
                <w:szCs w:val="21"/>
                <w:lang w:val="en-US" w:eastAsia="zh-CN" w:bidi="ar-SA"/>
              </w:rPr>
              <w:t>中15+628.950段明渠</w:t>
            </w:r>
          </w:p>
        </w:tc>
        <w:tc>
          <w:tcPr>
            <w:tcW w:w="3390" w:type="dxa"/>
            <w:tcBorders>
              <w:top w:val="single" w:sz="6" w:space="0" w:color="auto"/>
              <w:bottom w:val="single" w:sz="12"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1"/>
              </w:rPr>
            </w:pPr>
            <w:r>
              <w:rPr>
                <w:rFonts w:ascii="宋体" w:eastAsia="宋体" w:hAnsi="宋体" w:hint="eastAsia"/>
                <w:sz w:val="24"/>
                <w:szCs w:val="21"/>
                <w:lang w:val="en-US" w:eastAsia="zh-CN" w:bidi="ar-SA"/>
              </w:rPr>
              <w:t>中15+375.735-中15+628.950</w:t>
            </w:r>
          </w:p>
        </w:tc>
        <w:tc>
          <w:tcPr>
            <w:tcW w:w="1472" w:type="dxa"/>
            <w:tcBorders>
              <w:top w:val="single" w:sz="6" w:space="0" w:color="auto"/>
              <w:left w:val="single" w:sz="4" w:space="0" w:color="auto"/>
              <w:bottom w:val="single" w:sz="12"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hint="eastAsia"/>
                <w:szCs w:val="24"/>
              </w:rPr>
            </w:pPr>
            <w:r>
              <w:rPr>
                <w:rFonts w:ascii="宋体" w:eastAsia="宋体" w:hAnsi="宋体" w:hint="eastAsia"/>
                <w:sz w:val="24"/>
                <w:szCs w:val="24"/>
                <w:lang w:val="en-US" w:eastAsia="zh-CN" w:bidi="ar-SA"/>
              </w:rPr>
              <w:t>253.215</w:t>
            </w:r>
          </w:p>
        </w:tc>
      </w:tr>
      <w:bookmarkEnd w:id="34"/>
    </w:tbl>
    <w:p w:rsidR="00286D23">
      <w:pPr>
        <w:pStyle w:val="Normal0"/>
        <w:ind w:firstLine="0" w:firstLineChars="0"/>
        <w:rPr>
          <w:rFonts w:ascii="Times New Roman" w:hAnsi="Times New Roman"/>
        </w:rPr>
      </w:pPr>
    </w:p>
    <w:p w:rsidR="00286D23">
      <w:pPr>
        <w:pStyle w:val="Normal0"/>
        <w:ind w:firstLine="0" w:firstLineChars="0"/>
        <w:rPr>
          <w:rFonts w:ascii="Times New Roman" w:hAnsi="Times New Roman"/>
        </w:rPr>
      </w:pPr>
    </w:p>
    <w:p w:rsidR="00286D23">
      <w:pPr>
        <w:pStyle w:val="Normal0"/>
        <w:ind w:firstLine="0" w:firstLineChars="0"/>
        <w:rPr>
          <w:rFonts w:ascii="Times New Roman" w:hAnsi="Times New Roman"/>
        </w:rPr>
      </w:pPr>
    </w:p>
    <w:tbl>
      <w:tblPr>
        <w:tblStyle w:val="TableNormal"/>
        <w:tblW w:w="9356" w:type="dxa"/>
        <w:tblInd w:w="-176" w:type="dxa"/>
        <w:tblLayout w:type="fixed"/>
        <w:tblCellMar>
          <w:top w:w="0" w:type="dxa"/>
          <w:left w:w="108" w:type="dxa"/>
          <w:bottom w:w="0" w:type="dxa"/>
          <w:right w:w="108" w:type="dxa"/>
        </w:tblCellMar>
        <w:tblLook w:val="04A0"/>
      </w:tblPr>
      <w:tblGrid>
        <w:gridCol w:w="2241"/>
        <w:gridCol w:w="1425"/>
        <w:gridCol w:w="1545"/>
        <w:gridCol w:w="1511"/>
        <w:gridCol w:w="1219"/>
        <w:gridCol w:w="1415"/>
      </w:tblGrid>
      <w:tr>
        <w:tblPrEx>
          <w:tblW w:w="9356" w:type="dxa"/>
          <w:tblInd w:w="-176" w:type="dxa"/>
          <w:tblLayout w:type="fixed"/>
          <w:tblCellMar>
            <w:top w:w="0" w:type="dxa"/>
            <w:left w:w="108" w:type="dxa"/>
            <w:bottom w:w="0" w:type="dxa"/>
            <w:right w:w="108" w:type="dxa"/>
          </w:tblCellMar>
          <w:tblLook w:val="04A0"/>
        </w:tblPrEx>
        <w:trPr>
          <w:trHeight w:val="624"/>
        </w:trPr>
        <w:tc>
          <w:tcPr>
            <w:tcW w:w="9356" w:type="dxa"/>
            <w:gridSpan w:val="6"/>
            <w:tcBorders>
              <w:top w:val="nil"/>
              <w:left w:val="nil"/>
              <w:bottom w:val="single" w:sz="4" w:space="0" w:color="auto"/>
              <w:right w:val="nil"/>
            </w:tcBorders>
            <w:shd w:val="clear" w:color="auto" w:fill="auto"/>
            <w:vAlign w:val="center"/>
          </w:tcPr>
          <w:p w:rsidR="00286D23">
            <w:pPr>
              <w:pStyle w:val="Normal0"/>
              <w:adjustRightInd/>
              <w:snapToGrid/>
              <w:spacing w:after="200" w:line="240" w:lineRule="auto"/>
              <w:ind w:firstLine="200" w:firstLineChars="0"/>
              <w:jc w:val="both"/>
              <w:rPr>
                <w:rFonts w:eastAsia="宋体" w:cs="宋体"/>
                <w:b/>
                <w:color w:val="000000"/>
                <w:szCs w:val="24"/>
              </w:rPr>
            </w:pPr>
            <w:r>
              <w:rPr>
                <w:rFonts w:ascii="宋体" w:eastAsia="宋体" w:hAnsi="宋体" w:hint="eastAsia"/>
                <w:b/>
                <w:sz w:val="24"/>
                <w:szCs w:val="24"/>
                <w:lang w:val="en-US" w:eastAsia="zh-CN" w:bidi="ar-SA"/>
              </w:rPr>
              <w:t>表</w:t>
            </w:r>
            <w:r>
              <w:rPr>
                <w:rFonts w:ascii="宋体" w:eastAsia="宋体" w:hAnsi="Times New Roman" w:hint="eastAsia"/>
                <w:b/>
                <w:sz w:val="24"/>
                <w:szCs w:val="24"/>
                <w:lang w:val="en-US" w:eastAsia="zh-CN" w:bidi="ar-SA"/>
              </w:rPr>
              <w:t>1.2                   中兴支渠明渠段</w:t>
            </w:r>
            <w:r>
              <w:rPr>
                <w:rFonts w:ascii="宋体" w:eastAsia="宋体" w:hAnsi="宋体" w:cs="宋体" w:hint="eastAsia"/>
                <w:b/>
                <w:color w:val="000000"/>
                <w:sz w:val="24"/>
                <w:szCs w:val="24"/>
                <w:lang w:val="en-US" w:eastAsia="zh-CN" w:bidi="ar-SA"/>
              </w:rPr>
              <w:t>主要工程量统计</w:t>
            </w:r>
          </w:p>
        </w:tc>
      </w:tr>
      <w:tr>
        <w:tblPrEx>
          <w:tblW w:w="9356" w:type="dxa"/>
          <w:tblInd w:w="-176" w:type="dxa"/>
          <w:tblLayout w:type="fixed"/>
          <w:tblCellMar>
            <w:top w:w="0" w:type="dxa"/>
            <w:left w:w="108" w:type="dxa"/>
            <w:bottom w:w="0" w:type="dxa"/>
            <w:right w:w="108" w:type="dxa"/>
          </w:tblCellMar>
          <w:tblLook w:val="04A0"/>
        </w:tblPrEx>
        <w:trPr>
          <w:trHeight w:val="922"/>
        </w:trPr>
        <w:tc>
          <w:tcPr>
            <w:tcW w:w="2241" w:type="dxa"/>
            <w:tcBorders>
              <w:top w:val="single" w:sz="12" w:space="0" w:color="auto"/>
              <w:left w:val="single" w:sz="12" w:space="0" w:color="auto"/>
              <w:bottom w:val="single" w:sz="4" w:space="0" w:color="auto"/>
              <w:right w:val="single" w:sz="4" w:space="0" w:color="auto"/>
              <w:tl2br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b/>
                <w:color w:val="000000"/>
                <w:szCs w:val="24"/>
              </w:rPr>
            </w:pPr>
            <w:r>
              <w:rPr>
                <w:rFonts w:ascii="宋体" w:eastAsia="宋体" w:hAnsi="宋体" w:cs="宋体" w:hint="eastAsia"/>
                <w:color w:val="000000"/>
                <w:sz w:val="24"/>
                <w:szCs w:val="24"/>
                <w:lang w:val="en-US" w:eastAsia="zh-CN" w:bidi="ar-SA"/>
              </w:rPr>
              <w:t xml:space="preserve">    </w:t>
            </w:r>
            <w:r>
              <w:rPr>
                <w:rFonts w:ascii="宋体" w:eastAsia="宋体" w:hAnsi="宋体" w:cs="宋体" w:hint="eastAsia"/>
                <w:b/>
                <w:color w:val="000000"/>
                <w:sz w:val="24"/>
                <w:szCs w:val="24"/>
                <w:lang w:val="en-US" w:eastAsia="zh-CN" w:bidi="ar-SA"/>
              </w:rPr>
              <w:t xml:space="preserve">  项目</w:t>
            </w:r>
          </w:p>
          <w:p w:rsidR="00286D23">
            <w:pPr>
              <w:pStyle w:val="Normal0"/>
              <w:adjustRightInd/>
              <w:snapToGrid/>
              <w:spacing w:after="200" w:line="240" w:lineRule="auto"/>
              <w:ind w:firstLine="0" w:firstLineChars="0"/>
              <w:jc w:val="both"/>
              <w:rPr>
                <w:rFonts w:eastAsia="宋体" w:cs="宋体"/>
                <w:color w:val="000000"/>
                <w:szCs w:val="24"/>
              </w:rPr>
            </w:pPr>
            <w:r>
              <w:rPr>
                <w:rFonts w:ascii="宋体" w:eastAsia="宋体" w:hAnsi="宋体" w:cs="宋体" w:hint="eastAsia"/>
                <w:b/>
                <w:color w:val="000000"/>
                <w:sz w:val="24"/>
                <w:szCs w:val="24"/>
                <w:lang w:val="en-US" w:eastAsia="zh-CN" w:bidi="ar-SA"/>
              </w:rPr>
              <w:t>渠道名称　</w:t>
            </w:r>
          </w:p>
        </w:tc>
        <w:tc>
          <w:tcPr>
            <w:tcW w:w="1425" w:type="dxa"/>
            <w:tcBorders>
              <w:top w:val="single" w:sz="12" w:space="0" w:color="auto"/>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b/>
                <w:color w:val="000000"/>
                <w:szCs w:val="24"/>
              </w:rPr>
            </w:pPr>
            <w:r>
              <w:rPr>
                <w:rFonts w:ascii="宋体" w:eastAsia="宋体" w:hAnsi="宋体" w:cs="宋体" w:hint="eastAsia"/>
                <w:b/>
                <w:color w:val="000000"/>
                <w:sz w:val="24"/>
                <w:szCs w:val="24"/>
                <w:lang w:val="en-US" w:eastAsia="zh-CN" w:bidi="ar-SA"/>
              </w:rPr>
              <w:t>土方开挖（m3）</w:t>
            </w:r>
          </w:p>
        </w:tc>
        <w:tc>
          <w:tcPr>
            <w:tcW w:w="1545" w:type="dxa"/>
            <w:tcBorders>
              <w:top w:val="single" w:sz="12" w:space="0" w:color="auto"/>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b/>
                <w:color w:val="000000"/>
                <w:szCs w:val="24"/>
              </w:rPr>
            </w:pPr>
            <w:r>
              <w:rPr>
                <w:rFonts w:ascii="宋体" w:eastAsia="宋体" w:hAnsi="宋体" w:cs="宋体" w:hint="eastAsia"/>
                <w:b/>
                <w:color w:val="000000"/>
                <w:sz w:val="24"/>
                <w:szCs w:val="24"/>
                <w:lang w:val="en-US" w:eastAsia="zh-CN" w:bidi="ar-SA"/>
              </w:rPr>
              <w:t>石方开挖（m3）</w:t>
            </w:r>
          </w:p>
        </w:tc>
        <w:tc>
          <w:tcPr>
            <w:tcW w:w="1511" w:type="dxa"/>
            <w:tcBorders>
              <w:top w:val="single" w:sz="12" w:space="0" w:color="auto"/>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b/>
                <w:color w:val="000000"/>
                <w:szCs w:val="24"/>
              </w:rPr>
            </w:pPr>
            <w:r>
              <w:rPr>
                <w:rFonts w:ascii="宋体" w:eastAsia="宋体" w:hAnsi="宋体" w:cs="宋体" w:hint="eastAsia"/>
                <w:b/>
                <w:color w:val="000000"/>
                <w:sz w:val="24"/>
                <w:szCs w:val="24"/>
                <w:lang w:val="en-US" w:eastAsia="zh-CN" w:bidi="ar-SA"/>
              </w:rPr>
              <w:t>石渣填筑（m3）</w:t>
            </w:r>
          </w:p>
        </w:tc>
        <w:tc>
          <w:tcPr>
            <w:tcW w:w="1219" w:type="dxa"/>
            <w:tcBorders>
              <w:top w:val="single" w:sz="12" w:space="0" w:color="auto"/>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b/>
                <w:color w:val="000000"/>
                <w:szCs w:val="24"/>
              </w:rPr>
            </w:pPr>
            <w:r>
              <w:rPr>
                <w:rFonts w:ascii="宋体" w:eastAsia="宋体" w:hAnsi="宋体" w:cs="宋体" w:hint="eastAsia"/>
                <w:b/>
                <w:color w:val="000000"/>
                <w:sz w:val="24"/>
                <w:szCs w:val="24"/>
                <w:lang w:val="en-US" w:eastAsia="zh-CN" w:bidi="ar-SA"/>
              </w:rPr>
              <w:t>砼（m3）</w:t>
            </w:r>
          </w:p>
        </w:tc>
        <w:tc>
          <w:tcPr>
            <w:tcW w:w="1415" w:type="dxa"/>
            <w:tcBorders>
              <w:top w:val="single" w:sz="12" w:space="0" w:color="auto"/>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b/>
                <w:color w:val="000000"/>
                <w:szCs w:val="24"/>
              </w:rPr>
            </w:pPr>
            <w:r>
              <w:rPr>
                <w:rFonts w:ascii="宋体" w:eastAsia="宋体" w:hAnsi="宋体" w:cs="宋体" w:hint="eastAsia"/>
                <w:b/>
                <w:color w:val="000000"/>
                <w:sz w:val="24"/>
                <w:szCs w:val="24"/>
                <w:lang w:val="en-US" w:eastAsia="zh-CN" w:bidi="ar-SA"/>
              </w:rPr>
              <w:t>土工布（m2）</w:t>
            </w: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hint="eastAsia"/>
                <w:color w:val="000000"/>
                <w:szCs w:val="24"/>
              </w:rPr>
            </w:pPr>
            <w:r>
              <w:rPr>
                <w:rFonts w:ascii="宋体" w:eastAsia="宋体" w:hAnsi="宋体" w:hint="eastAsia"/>
                <w:sz w:val="24"/>
                <w:szCs w:val="24"/>
                <w:lang w:val="en-US" w:eastAsia="zh-CN" w:bidi="ar-SA"/>
              </w:rPr>
              <w:t>李家沟明渠至龚家湾段明渠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3211.1</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6608</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10955.5</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龚家湾出口明渠至小湾进口段明渠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10165.1</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24218.9</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5620.3</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小湾出口至郭家湾进口段明渠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5331.2</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7996.9</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1889.9</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郭家湾出口明渠至碾子湾进口段明渠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4479.2</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10451.5</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928</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碾子湾出口明渠张家湾进口段明渠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1851.3</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4319.7</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714.7</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张家湾出口至罗家湾进口段明渠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3520.3</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14081</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0</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罗家湾出口至田坝井进口段明渠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942</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3770.7</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2109.1</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田坝井出口至段家湾进口段明渠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631.5</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2526.1</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4028.4</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段家湾出口至干湾进口段明渠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665.2</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1552.1</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3684.1</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干湾隧出至廖家湾进口段明渠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1387.4</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5549.6</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0</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廖家湾出口至郭家进口段明渠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3930.1</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5895.2</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4901.7</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bl>
    <w:p>
      <w:pPr>
        <w:sectPr>
          <w:type w:val="nextPage"/>
          <w:pgSz w:w="11906" w:h="16838"/>
          <w:pgMar w:top="1418" w:right="1418" w:bottom="1418" w:left="1701" w:header="709" w:footer="709" w:gutter="0"/>
          <w:pgNumType w:start="3"/>
          <w:cols w:space="720"/>
          <w:titlePg w:val="0"/>
          <w:docGrid w:linePitch="360"/>
        </w:sectPr>
      </w:pPr>
    </w:p>
    <w:tbl>
      <w:tblPr>
        <w:tblStyle w:val="TableNormal"/>
        <w:tblW w:w="9356" w:type="dxa"/>
        <w:tblInd w:w="-176" w:type="dxa"/>
        <w:tblLayout w:type="fixed"/>
        <w:tblCellMar>
          <w:top w:w="0" w:type="dxa"/>
          <w:left w:w="108" w:type="dxa"/>
          <w:bottom w:w="0" w:type="dxa"/>
          <w:right w:w="108" w:type="dxa"/>
        </w:tblCellMar>
        <w:tblLook w:val="04A0"/>
      </w:tblPr>
      <w:tblGrid>
        <w:gridCol w:w="2241"/>
        <w:gridCol w:w="1425"/>
        <w:gridCol w:w="1545"/>
        <w:gridCol w:w="1511"/>
        <w:gridCol w:w="1219"/>
        <w:gridCol w:w="1415"/>
      </w:tblGrid>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郭家出口至余家堰进口</w:t>
            </w:r>
            <w:r>
              <w:rPr>
                <w:rFonts w:ascii="宋体" w:eastAsia="宋体" w:hAnsi="宋体" w:hint="eastAsia"/>
                <w:sz w:val="24"/>
                <w:szCs w:val="21"/>
                <w:lang w:val="en-US" w:eastAsia="zh-CN" w:bidi="ar-SA"/>
              </w:rPr>
              <w:t>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2330.6</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5438</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2307.2</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余家堰出口至遂资眉进口</w:t>
            </w:r>
            <w:r>
              <w:rPr>
                <w:rFonts w:ascii="宋体" w:eastAsia="宋体" w:hAnsi="宋体" w:hint="eastAsia"/>
                <w:sz w:val="24"/>
                <w:szCs w:val="21"/>
                <w:lang w:val="en-US" w:eastAsia="zh-CN" w:bidi="ar-SA"/>
              </w:rPr>
              <w:t>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1778.8</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14159.3</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1750.3</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遂至眉出口至吕家大院进口</w:t>
            </w:r>
            <w:r>
              <w:rPr>
                <w:rFonts w:ascii="宋体" w:eastAsia="宋体" w:hAnsi="宋体" w:hint="eastAsia"/>
                <w:sz w:val="24"/>
                <w:szCs w:val="21"/>
                <w:lang w:val="en-US" w:eastAsia="zh-CN" w:bidi="ar-SA"/>
              </w:rPr>
              <w:t>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3500.8</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5251.2</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18836.2</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吕家大院出口至老院子进口</w:t>
            </w:r>
            <w:r>
              <w:rPr>
                <w:rFonts w:ascii="宋体" w:eastAsia="宋体" w:hAnsi="宋体" w:hint="eastAsia"/>
                <w:sz w:val="24"/>
                <w:szCs w:val="21"/>
                <w:lang w:val="en-US" w:eastAsia="zh-CN" w:bidi="ar-SA"/>
              </w:rPr>
              <w:t>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540.3</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2161.1</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0</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4" w:space="0" w:color="auto"/>
              <w:right w:val="single" w:sz="4" w:space="0" w:color="auto"/>
            </w:tcBorders>
            <w:shd w:val="clear" w:color="auto" w:fill="FFFFFF"/>
            <w:vAlign w:val="center"/>
          </w:tcPr>
          <w:p w:rsidR="00286D23">
            <w:pPr>
              <w:pStyle w:val="Normal0"/>
              <w:adjustRightInd w:val="0"/>
              <w:snapToGrid w:val="0"/>
              <w:spacing w:after="200" w:line="240" w:lineRule="auto"/>
              <w:ind w:firstLine="0" w:firstLineChars="0"/>
              <w:jc w:val="center"/>
              <w:rPr>
                <w:rFonts w:eastAsia="宋体" w:cs="宋体"/>
                <w:color w:val="000000"/>
                <w:szCs w:val="24"/>
              </w:rPr>
            </w:pPr>
            <w:r>
              <w:rPr>
                <w:rFonts w:ascii="宋体" w:eastAsia="宋体" w:hAnsi="宋体" w:hint="eastAsia"/>
                <w:sz w:val="24"/>
                <w:szCs w:val="24"/>
                <w:lang w:val="en-US" w:eastAsia="zh-CN" w:bidi="ar-SA"/>
              </w:rPr>
              <w:t>老院子出口至</w:t>
            </w:r>
            <w:r>
              <w:rPr>
                <w:rFonts w:ascii="宋体" w:eastAsia="宋体" w:hAnsi="宋体" w:hint="eastAsia"/>
                <w:sz w:val="24"/>
                <w:szCs w:val="21"/>
                <w:lang w:val="en-US" w:eastAsia="zh-CN" w:bidi="ar-SA"/>
              </w:rPr>
              <w:t>中15+628.950段明渠</w:t>
            </w:r>
          </w:p>
        </w:tc>
        <w:tc>
          <w:tcPr>
            <w:tcW w:w="142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2280.8</w:t>
            </w:r>
          </w:p>
        </w:tc>
        <w:tc>
          <w:tcPr>
            <w:tcW w:w="1545"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1230.18</w:t>
            </w:r>
          </w:p>
        </w:tc>
        <w:tc>
          <w:tcPr>
            <w:tcW w:w="1511"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3728.7</w:t>
            </w:r>
          </w:p>
        </w:tc>
        <w:tc>
          <w:tcPr>
            <w:tcW w:w="1219" w:type="dxa"/>
            <w:tcBorders>
              <w:top w:val="nil"/>
              <w:left w:val="nil"/>
              <w:bottom w:val="single" w:sz="4"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4"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r>
        <w:tblPrEx>
          <w:tblW w:w="9356" w:type="dxa"/>
          <w:tblInd w:w="-176" w:type="dxa"/>
          <w:tblLayout w:type="fixed"/>
          <w:tblCellMar>
            <w:top w:w="0" w:type="dxa"/>
            <w:left w:w="108" w:type="dxa"/>
            <w:bottom w:w="0" w:type="dxa"/>
            <w:right w:w="108" w:type="dxa"/>
          </w:tblCellMar>
          <w:tblLook w:val="04A0"/>
        </w:tblPrEx>
        <w:trPr>
          <w:trHeight w:val="624"/>
        </w:trPr>
        <w:tc>
          <w:tcPr>
            <w:tcW w:w="2241" w:type="dxa"/>
            <w:tcBorders>
              <w:top w:val="nil"/>
              <w:left w:val="single" w:sz="12" w:space="0" w:color="auto"/>
              <w:bottom w:val="single" w:sz="12"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r>
              <w:rPr>
                <w:rFonts w:ascii="宋体" w:eastAsia="宋体" w:hAnsi="宋体" w:cs="宋体" w:hint="eastAsia"/>
                <w:color w:val="000000"/>
                <w:sz w:val="24"/>
                <w:szCs w:val="24"/>
                <w:lang w:val="en-US" w:eastAsia="zh-CN" w:bidi="ar-SA"/>
              </w:rPr>
              <w:t>合计</w:t>
            </w:r>
          </w:p>
        </w:tc>
        <w:tc>
          <w:tcPr>
            <w:tcW w:w="1425" w:type="dxa"/>
            <w:tcBorders>
              <w:top w:val="nil"/>
              <w:left w:val="nil"/>
              <w:bottom w:val="single" w:sz="12"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46545.7</w:t>
            </w:r>
          </w:p>
        </w:tc>
        <w:tc>
          <w:tcPr>
            <w:tcW w:w="1545" w:type="dxa"/>
            <w:tcBorders>
              <w:top w:val="nil"/>
              <w:left w:val="nil"/>
              <w:bottom w:val="single" w:sz="12"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115209.5</w:t>
            </w:r>
          </w:p>
        </w:tc>
        <w:tc>
          <w:tcPr>
            <w:tcW w:w="1511" w:type="dxa"/>
            <w:tcBorders>
              <w:top w:val="nil"/>
              <w:left w:val="nil"/>
              <w:bottom w:val="single" w:sz="12"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hint="eastAsia"/>
                <w:color w:val="000000"/>
                <w:szCs w:val="24"/>
              </w:rPr>
            </w:pPr>
            <w:r>
              <w:rPr>
                <w:rFonts w:ascii="宋体" w:eastAsia="宋体" w:hAnsi="宋体" w:cs="宋体" w:hint="eastAsia"/>
                <w:color w:val="000000"/>
                <w:sz w:val="24"/>
                <w:szCs w:val="24"/>
                <w:lang w:val="en-US" w:eastAsia="zh-CN" w:bidi="ar-SA"/>
              </w:rPr>
              <w:t>61454.1</w:t>
            </w:r>
          </w:p>
        </w:tc>
        <w:tc>
          <w:tcPr>
            <w:tcW w:w="1219" w:type="dxa"/>
            <w:tcBorders>
              <w:top w:val="nil"/>
              <w:left w:val="nil"/>
              <w:bottom w:val="single" w:sz="12" w:space="0" w:color="auto"/>
              <w:right w:val="single" w:sz="4"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c>
          <w:tcPr>
            <w:tcW w:w="1415" w:type="dxa"/>
            <w:tcBorders>
              <w:top w:val="nil"/>
              <w:left w:val="nil"/>
              <w:bottom w:val="single" w:sz="12" w:space="0" w:color="auto"/>
              <w:right w:val="single" w:sz="12" w:space="0" w:color="auto"/>
            </w:tcBorders>
            <w:shd w:val="clear" w:color="auto" w:fill="auto"/>
            <w:vAlign w:val="center"/>
          </w:tcPr>
          <w:p w:rsidR="00286D23">
            <w:pPr>
              <w:pStyle w:val="Normal0"/>
              <w:adjustRightInd/>
              <w:snapToGrid/>
              <w:spacing w:after="200" w:line="240" w:lineRule="auto"/>
              <w:ind w:firstLine="0" w:firstLineChars="0"/>
              <w:jc w:val="center"/>
              <w:rPr>
                <w:rFonts w:eastAsia="宋体" w:cs="宋体"/>
                <w:color w:val="000000"/>
                <w:szCs w:val="24"/>
              </w:rPr>
            </w:pPr>
          </w:p>
        </w:tc>
      </w:tr>
    </w:tbl>
    <w:p w:rsidR="00286D23">
      <w:pPr>
        <w:pStyle w:val="Normal0"/>
        <w:ind w:firstLine="0" w:firstLineChars="0"/>
      </w:pPr>
      <w:r>
        <w:rPr>
          <w:rFonts w:ascii="Times New Roman" w:hAnsi="Times New Roman" w:hint="eastAsia"/>
        </w:rPr>
        <w:t xml:space="preserve">    </w:t>
      </w:r>
      <w:r>
        <w:rPr>
          <w:rFonts w:hint="eastAsia"/>
        </w:rPr>
        <w:t xml:space="preserve">   因明渠工程不在整个毗河工程关键线路上，且渠道施工需要大量的石渣填料，所以将其作为调节项目，紧跟隧洞施工进展，逐步展开，根据施工需要妥善调配人员、设备，确保工程均衡施工。</w:t>
      </w:r>
    </w:p>
    <w:p w:rsidR="00286D23">
      <w:pPr>
        <w:pStyle w:val="Normal0"/>
        <w:ind w:firstLine="360" w:firstLineChars="150"/>
        <w:rPr>
          <w:rFonts w:ascii="Times New Roman" w:hAnsi="Times New Roman"/>
        </w:rPr>
      </w:pPr>
      <w:r>
        <w:rPr>
          <w:rFonts w:ascii="Times New Roman" w:hAnsi="Times New Roman" w:hint="eastAsia"/>
        </w:rPr>
        <w:t>为平衡施工强度，加强龚家湾隧洞、小湾隧洞、郭家隧洞、余家堰隧洞、罗家湾隧洞、廖家湾隧洞、碾子湾隧洞、田坝井隧洞、遂资眉隧洞、吕家大院、老院子隧洞与之间的明渠施工统筹协调，我部拟着手此段明渠施工，现特编制此施工方案。</w:t>
      </w:r>
    </w:p>
    <w:p w:rsidR="00286D23">
      <w:pPr>
        <w:pStyle w:val="Heading1"/>
        <w:spacing w:line="360" w:lineRule="auto"/>
        <w:ind w:firstLine="562"/>
        <w:rPr>
          <w:sz w:val="28"/>
          <w:szCs w:val="28"/>
        </w:rPr>
      </w:pPr>
      <w:bookmarkStart w:id="41" w:name="_Toc402795087"/>
      <w:bookmarkStart w:id="42" w:name="_Toc421542536"/>
      <w:bookmarkStart w:id="43" w:name="_Toc425666994"/>
      <w:bookmarkStart w:id="44" w:name="_Toc425667810"/>
      <w:bookmarkStart w:id="45" w:name="_Toc425668138"/>
      <w:bookmarkStart w:id="46" w:name="_Toc425668374"/>
      <w:bookmarkStart w:id="47" w:name="_Toc425668501"/>
      <w:bookmarkStart w:id="48" w:name="_Toc425668592"/>
      <w:bookmarkStart w:id="49" w:name="_Toc429377619"/>
      <w:bookmarkStart w:id="50" w:name="_Toc427933250"/>
      <w:bookmarkStart w:id="51" w:name="_Toc432513740"/>
      <w:r>
        <w:rPr>
          <w:rFonts w:hint="eastAsia"/>
          <w:sz w:val="28"/>
          <w:szCs w:val="28"/>
        </w:rPr>
        <w:t>2  施工布置</w:t>
      </w:r>
      <w:bookmarkEnd w:id="41"/>
      <w:bookmarkEnd w:id="42"/>
      <w:bookmarkEnd w:id="43"/>
      <w:bookmarkEnd w:id="44"/>
      <w:bookmarkEnd w:id="45"/>
      <w:bookmarkEnd w:id="46"/>
      <w:bookmarkEnd w:id="47"/>
      <w:bookmarkEnd w:id="48"/>
      <w:bookmarkEnd w:id="49"/>
      <w:bookmarkEnd w:id="50"/>
      <w:bookmarkEnd w:id="51"/>
    </w:p>
    <w:p w:rsidR="00286D23">
      <w:pPr>
        <w:pStyle w:val="Heading2"/>
        <w:spacing w:line="360" w:lineRule="auto"/>
        <w:ind w:firstLine="482"/>
        <w:rPr>
          <w:rFonts w:ascii="宋体" w:hAnsi="宋体"/>
          <w:sz w:val="24"/>
          <w:szCs w:val="24"/>
        </w:rPr>
      </w:pPr>
      <w:bookmarkStart w:id="52" w:name="_Toc421542537"/>
      <w:bookmarkStart w:id="53" w:name="_Toc432513741"/>
      <w:bookmarkStart w:id="54" w:name="_Toc429377620"/>
      <w:bookmarkStart w:id="55" w:name="_Toc427933251"/>
      <w:bookmarkStart w:id="56" w:name="_Toc425668593"/>
      <w:bookmarkStart w:id="57" w:name="_Toc425668502"/>
      <w:bookmarkStart w:id="58" w:name="_Toc425668375"/>
      <w:bookmarkStart w:id="59" w:name="_Toc425668139"/>
      <w:bookmarkStart w:id="60" w:name="_Toc425667811"/>
      <w:r>
        <w:rPr>
          <w:rFonts w:ascii="宋体" w:hAnsi="宋体" w:hint="eastAsia"/>
          <w:sz w:val="24"/>
          <w:szCs w:val="24"/>
        </w:rPr>
        <w:t>2.1  施工</w:t>
      </w:r>
      <w:bookmarkEnd w:id="52"/>
      <w:r>
        <w:rPr>
          <w:rFonts w:ascii="宋体" w:hAnsi="宋体" w:hint="eastAsia"/>
          <w:sz w:val="24"/>
          <w:szCs w:val="24"/>
        </w:rPr>
        <w:t>供水</w:t>
      </w:r>
      <w:bookmarkEnd w:id="53"/>
      <w:bookmarkEnd w:id="54"/>
      <w:bookmarkEnd w:id="55"/>
      <w:bookmarkEnd w:id="56"/>
      <w:bookmarkEnd w:id="57"/>
      <w:bookmarkEnd w:id="58"/>
      <w:bookmarkEnd w:id="59"/>
      <w:bookmarkEnd w:id="60"/>
    </w:p>
    <w:p w:rsidR="00286D23">
      <w:pPr>
        <w:pStyle w:val="Normal0"/>
        <w:ind w:firstLine="480"/>
      </w:pPr>
      <w:r>
        <w:rPr>
          <w:rFonts w:hint="eastAsia"/>
        </w:rPr>
        <w:t>明渠施工用水主要为混凝土养护用水，供水主要考虑沿明渠分布的小型水库和堰塘供给。由于水源点的储水量有限且分布不均匀，给施工用水带来一定的困难，对距离水源点较近部位考虑直接采用水泵接引供水管线的方式供水，距离水源点较远的部位，考虑水车拉水供应。</w:t>
      </w:r>
    </w:p>
    <w:p w:rsidR="00286D23">
      <w:pPr>
        <w:pStyle w:val="Heading2"/>
        <w:ind w:firstLine="482"/>
        <w:rPr>
          <w:rFonts w:ascii="宋体" w:hAnsi="宋体"/>
          <w:sz w:val="24"/>
          <w:szCs w:val="24"/>
        </w:rPr>
      </w:pPr>
      <w:bookmarkStart w:id="61" w:name="_Toc421542538"/>
      <w:bookmarkStart w:id="62" w:name="_Toc432513742"/>
      <w:bookmarkStart w:id="63" w:name="_Toc429377621"/>
      <w:bookmarkStart w:id="64" w:name="_Toc427933252"/>
      <w:bookmarkStart w:id="65" w:name="_Toc425668594"/>
      <w:bookmarkStart w:id="66" w:name="_Toc425668503"/>
      <w:bookmarkStart w:id="67" w:name="_Toc425668376"/>
      <w:bookmarkStart w:id="68" w:name="_Toc425668140"/>
      <w:bookmarkStart w:id="69" w:name="_Toc425667812"/>
      <w:r>
        <w:rPr>
          <w:rFonts w:ascii="宋体" w:hAnsi="宋体" w:hint="eastAsia"/>
          <w:sz w:val="24"/>
          <w:szCs w:val="24"/>
        </w:rPr>
        <w:t>2.2  施工</w:t>
      </w:r>
      <w:bookmarkEnd w:id="61"/>
      <w:r>
        <w:rPr>
          <w:rFonts w:ascii="宋体" w:hAnsi="宋体" w:hint="eastAsia"/>
          <w:sz w:val="24"/>
          <w:szCs w:val="24"/>
        </w:rPr>
        <w:t>供电</w:t>
      </w:r>
      <w:bookmarkEnd w:id="62"/>
      <w:bookmarkEnd w:id="63"/>
      <w:bookmarkEnd w:id="64"/>
      <w:bookmarkEnd w:id="65"/>
      <w:bookmarkEnd w:id="66"/>
      <w:bookmarkEnd w:id="67"/>
      <w:bookmarkEnd w:id="68"/>
      <w:bookmarkEnd w:id="69"/>
    </w:p>
    <w:p w:rsidR="00286D23">
      <w:pPr>
        <w:pStyle w:val="Normal0"/>
        <w:ind w:firstLine="480"/>
        <w:rPr>
          <w:rFonts w:cs="宋体"/>
        </w:rPr>
        <w:sectPr>
          <w:type w:val="nextPage"/>
          <w:pgSz w:w="11906" w:h="16838"/>
          <w:pgMar w:top="1418" w:right="1418" w:bottom="1418" w:left="1701" w:header="709" w:footer="709" w:gutter="0"/>
          <w:pgNumType w:start="4"/>
          <w:cols w:space="720"/>
          <w:titlePg w:val="0"/>
          <w:docGrid w:linePitch="360"/>
        </w:sectPr>
      </w:pPr>
      <w:bookmarkStart w:id="70" w:name="_Toc421542539"/>
      <w:r>
        <w:rPr>
          <w:rFonts w:cs="宋体" w:hint="eastAsia"/>
        </w:rPr>
        <w:t>明渠呈线性分布，距离较长，不适宜集中供电，</w:t>
      </w:r>
    </w:p>
    <w:p w:rsidR="00286D23">
      <w:pPr>
        <w:pStyle w:val="Normal0"/>
        <w:ind w:firstLine="480"/>
        <w:rPr>
          <w:rFonts w:cs="宋体"/>
        </w:rPr>
      </w:pPr>
      <w:r>
        <w:rPr>
          <w:rFonts w:hint="eastAsia"/>
        </w:rPr>
        <w:t>中兴支渠明渠施工基本采用移动式柴油发电机组供电，以满足明渠施工用电需要。根据总体规划隧洞、明渠分三个班组同时进行施工，如附近有变压器时由附近变压器接线点接入供电，因此在靠近上述变压器附近的明渠可直接利用变压器供电，没有变压器采用柴油发电机组发电供电。</w:t>
      </w:r>
    </w:p>
    <w:p w:rsidR="00286D23">
      <w:pPr>
        <w:pStyle w:val="Normal0"/>
        <w:ind w:firstLine="480"/>
      </w:pPr>
      <w:r>
        <w:rPr>
          <w:rFonts w:hint="eastAsia"/>
        </w:rPr>
        <w:t>为预防施工期间突然停电等突发事件，由变压器供电时设置一台200kw柴油发电机用于明渠应急发电，主要用于保障照明和施工排水。</w:t>
      </w:r>
    </w:p>
    <w:p w:rsidR="00286D23">
      <w:pPr>
        <w:pStyle w:val="Heading2"/>
        <w:ind w:firstLine="482"/>
        <w:rPr>
          <w:rFonts w:ascii="宋体" w:hAnsi="宋体"/>
          <w:sz w:val="24"/>
          <w:szCs w:val="24"/>
        </w:rPr>
      </w:pPr>
      <w:bookmarkStart w:id="71" w:name="_Toc432513743"/>
      <w:bookmarkStart w:id="72" w:name="_Toc429377622"/>
      <w:bookmarkStart w:id="73" w:name="_Toc427933253"/>
      <w:bookmarkStart w:id="74" w:name="_Toc425668595"/>
      <w:bookmarkStart w:id="75" w:name="_Toc425668504"/>
      <w:bookmarkStart w:id="76" w:name="_Toc425668377"/>
      <w:bookmarkStart w:id="77" w:name="_Toc425668141"/>
      <w:bookmarkStart w:id="78" w:name="_Toc425667813"/>
      <w:r>
        <w:rPr>
          <w:rFonts w:ascii="宋体" w:hAnsi="宋体" w:hint="eastAsia"/>
          <w:sz w:val="24"/>
          <w:szCs w:val="24"/>
        </w:rPr>
        <w:t>2.3  施工</w:t>
      </w:r>
      <w:bookmarkEnd w:id="70"/>
      <w:r>
        <w:rPr>
          <w:rFonts w:ascii="宋体" w:hAnsi="宋体" w:hint="eastAsia"/>
          <w:sz w:val="24"/>
          <w:szCs w:val="24"/>
        </w:rPr>
        <w:t>供风</w:t>
      </w:r>
      <w:bookmarkEnd w:id="71"/>
      <w:bookmarkEnd w:id="72"/>
      <w:bookmarkEnd w:id="73"/>
      <w:bookmarkEnd w:id="74"/>
      <w:bookmarkEnd w:id="75"/>
      <w:bookmarkEnd w:id="76"/>
      <w:bookmarkEnd w:id="77"/>
      <w:bookmarkEnd w:id="78"/>
    </w:p>
    <w:p w:rsidR="00286D23">
      <w:pPr>
        <w:pStyle w:val="Normal0"/>
        <w:ind w:firstLine="480"/>
      </w:pPr>
      <w:bookmarkStart w:id="79" w:name="_Toc421542540"/>
      <w:r>
        <w:rPr>
          <w:rFonts w:hint="eastAsia"/>
        </w:rPr>
        <w:t>明渠施工用风主要为爆破钻孔用风和喷混凝土用风，考虑用风量不大，施工用风主要采用移动式柴油空压机供风。</w:t>
      </w:r>
    </w:p>
    <w:p w:rsidR="00286D23">
      <w:pPr>
        <w:pStyle w:val="Heading2"/>
        <w:ind w:firstLine="482"/>
        <w:rPr>
          <w:rFonts w:ascii="宋体" w:hAnsi="宋体"/>
          <w:sz w:val="24"/>
          <w:szCs w:val="24"/>
        </w:rPr>
      </w:pPr>
      <w:bookmarkStart w:id="80" w:name="_Toc425667814"/>
      <w:bookmarkStart w:id="81" w:name="_Toc425668142"/>
      <w:bookmarkStart w:id="82" w:name="_Toc425668378"/>
      <w:bookmarkStart w:id="83" w:name="_Toc425668505"/>
      <w:bookmarkStart w:id="84" w:name="_Toc425668596"/>
      <w:bookmarkStart w:id="85" w:name="_Toc427933254"/>
      <w:bookmarkStart w:id="86" w:name="_Toc429377623"/>
      <w:bookmarkStart w:id="87" w:name="_Toc432513744"/>
      <w:r>
        <w:rPr>
          <w:rFonts w:ascii="宋体" w:hAnsi="宋体" w:hint="eastAsia"/>
          <w:sz w:val="24"/>
          <w:szCs w:val="24"/>
        </w:rPr>
        <w:t>2.4  施工排水</w:t>
      </w:r>
      <w:bookmarkEnd w:id="80"/>
      <w:bookmarkEnd w:id="81"/>
      <w:bookmarkEnd w:id="82"/>
      <w:bookmarkEnd w:id="83"/>
      <w:bookmarkEnd w:id="84"/>
      <w:bookmarkEnd w:id="85"/>
      <w:bookmarkEnd w:id="86"/>
      <w:bookmarkEnd w:id="87"/>
    </w:p>
    <w:p w:rsidR="00286D23">
      <w:pPr>
        <w:pStyle w:val="Normal0"/>
        <w:ind w:firstLine="480"/>
      </w:pPr>
      <w:r>
        <w:rPr>
          <w:rFonts w:hint="eastAsia"/>
        </w:rPr>
        <w:t>根据水文地质文件本标段地下水位多位于渠道底板高程以下，主要影响为暴雨积水、沿渠坡面径流、地下渗水及施工用水等，为保证开挖等施工期间不受雨水影响，主要采用明排方式进行排水。</w:t>
      </w:r>
    </w:p>
    <w:p w:rsidR="00286D23">
      <w:pPr>
        <w:pStyle w:val="Normal0"/>
        <w:ind w:firstLine="480"/>
      </w:pPr>
      <w:r>
        <w:rPr>
          <w:rFonts w:hint="eastAsia"/>
        </w:rPr>
        <w:t>主要考虑采取挖设纵横排水沟的方式进行排水，施工时主要做好以下排水措施：</w:t>
      </w:r>
    </w:p>
    <w:p w:rsidR="00286D23">
      <w:pPr>
        <w:pStyle w:val="Normal0"/>
        <w:ind w:firstLine="480"/>
      </w:pPr>
      <w:r>
        <w:rPr>
          <w:rFonts w:hint="eastAsia"/>
        </w:rPr>
        <w:t>1、防止雨水对开挖渠的渗透和开挖坡面的冲刷，在开挖坡面外1m，设置纵向25</w:t>
      </w:r>
      <w:r>
        <w:rPr>
          <w:rFonts w:hint="eastAsia"/>
        </w:rPr>
        <w:t>×</w:t>
      </w:r>
      <w:r>
        <w:rPr>
          <w:rFonts w:hint="eastAsia"/>
        </w:rPr>
        <w:t>25cm（宽</w:t>
      </w:r>
      <w:r>
        <w:rPr>
          <w:rFonts w:hint="eastAsia"/>
        </w:rPr>
        <w:t>×</w:t>
      </w:r>
      <w:r>
        <w:rPr>
          <w:rFonts w:hint="eastAsia"/>
        </w:rPr>
        <w:t>高）截水沟。</w:t>
      </w:r>
    </w:p>
    <w:p w:rsidR="00286D23">
      <w:pPr>
        <w:pStyle w:val="Normal0"/>
        <w:ind w:firstLine="480"/>
      </w:pPr>
      <w:r>
        <w:rPr>
          <w:rFonts w:hint="eastAsia"/>
        </w:rPr>
        <w:t>2、在渠底两侧坡角位置设置20</w:t>
      </w:r>
      <w:r>
        <w:rPr>
          <w:rFonts w:hint="eastAsia"/>
        </w:rPr>
        <w:t>×</w:t>
      </w:r>
      <w:r>
        <w:rPr>
          <w:rFonts w:hint="eastAsia"/>
        </w:rPr>
        <w:t>20cm（宽</w:t>
      </w:r>
      <w:r>
        <w:rPr>
          <w:rFonts w:hint="eastAsia"/>
        </w:rPr>
        <w:t>×</w:t>
      </w:r>
      <w:r>
        <w:rPr>
          <w:rFonts w:hint="eastAsia"/>
        </w:rPr>
        <w:t>高）纵向排水沟，每隔12m左右设置20</w:t>
      </w:r>
      <w:r>
        <w:rPr>
          <w:rFonts w:hint="eastAsia"/>
        </w:rPr>
        <w:t>×</w:t>
      </w:r>
      <w:r>
        <w:rPr>
          <w:rFonts w:hint="eastAsia"/>
        </w:rPr>
        <w:t>20cm（宽</w:t>
      </w:r>
      <w:r>
        <w:rPr>
          <w:rFonts w:hint="eastAsia"/>
        </w:rPr>
        <w:t>×</w:t>
      </w:r>
      <w:r>
        <w:rPr>
          <w:rFonts w:hint="eastAsia"/>
        </w:rPr>
        <w:t>高）横向排水沟和渠底纵向排水沟相连，在纵向排水沟位置上每隔30m设置一50</w:t>
      </w:r>
      <w:r>
        <w:rPr>
          <w:rFonts w:hint="eastAsia"/>
        </w:rPr>
        <w:t>×</w:t>
      </w:r>
      <w:r>
        <w:rPr>
          <w:rFonts w:hint="eastAsia"/>
        </w:rPr>
        <w:t>50</w:t>
      </w:r>
      <w:r>
        <w:rPr>
          <w:rFonts w:hint="eastAsia"/>
        </w:rPr>
        <w:t>×</w:t>
      </w:r>
      <w:r>
        <w:rPr>
          <w:rFonts w:hint="eastAsia"/>
        </w:rPr>
        <w:t>100cm（长</w:t>
      </w:r>
      <w:r>
        <w:rPr>
          <w:rFonts w:hint="eastAsia"/>
        </w:rPr>
        <w:t>×</w:t>
      </w:r>
      <w:r>
        <w:rPr>
          <w:rFonts w:hint="eastAsia"/>
        </w:rPr>
        <w:t>宽</w:t>
      </w:r>
      <w:r>
        <w:rPr>
          <w:rFonts w:hint="eastAsia"/>
        </w:rPr>
        <w:t>×</w:t>
      </w:r>
      <w:r>
        <w:rPr>
          <w:rFonts w:hint="eastAsia"/>
        </w:rPr>
        <w:t>深）集水井，所有的坡面排水、暴雨积水等通过排水沟汇至集水井内，最终通过安置在集水井旁的7.5KW潜水泵将集水排至渠道外。</w:t>
      </w:r>
    </w:p>
    <w:p w:rsidR="00286D23">
      <w:pPr>
        <w:pStyle w:val="Heading2"/>
        <w:ind w:firstLine="482"/>
        <w:rPr>
          <w:rFonts w:ascii="宋体" w:hAnsi="宋体"/>
          <w:sz w:val="24"/>
          <w:szCs w:val="24"/>
        </w:rPr>
      </w:pPr>
      <w:bookmarkStart w:id="88" w:name="_Toc425668379"/>
      <w:bookmarkStart w:id="89" w:name="_Toc425668506"/>
      <w:bookmarkStart w:id="90" w:name="_Toc425668597"/>
      <w:bookmarkStart w:id="91" w:name="_Toc425668143"/>
      <w:bookmarkStart w:id="92" w:name="_Toc425667815"/>
      <w:bookmarkStart w:id="93" w:name="_Toc432513745"/>
      <w:bookmarkStart w:id="94" w:name="_Toc429377624"/>
      <w:bookmarkStart w:id="95" w:name="_Toc427933255"/>
      <w:r>
        <w:rPr>
          <w:rFonts w:ascii="宋体" w:hAnsi="宋体" w:hint="eastAsia"/>
          <w:sz w:val="24"/>
          <w:szCs w:val="24"/>
        </w:rPr>
        <w:t>2.5  施工交通布置</w:t>
      </w:r>
      <w:bookmarkEnd w:id="79"/>
      <w:bookmarkEnd w:id="88"/>
      <w:bookmarkEnd w:id="89"/>
      <w:bookmarkEnd w:id="90"/>
      <w:bookmarkEnd w:id="91"/>
      <w:bookmarkEnd w:id="92"/>
      <w:bookmarkEnd w:id="93"/>
      <w:bookmarkEnd w:id="94"/>
      <w:bookmarkEnd w:id="95"/>
    </w:p>
    <w:p w:rsidR="00286D23">
      <w:pPr>
        <w:pStyle w:val="Normal0"/>
        <w:ind w:firstLine="480"/>
        <w:jc w:val="left"/>
      </w:pPr>
      <w:r>
        <w:rPr>
          <w:rFonts w:hint="eastAsia"/>
        </w:rPr>
        <w:t>由于中兴支渠明渠之间有隧洞、渡槽等建筑物相隔，因此，每段明渠均需修建一条进场道路，具体道路布置如下：</w:t>
      </w:r>
    </w:p>
    <w:p w:rsidR="00286D23">
      <w:pPr>
        <w:pStyle w:val="Normal0"/>
        <w:ind w:firstLine="480"/>
        <w:jc w:val="left"/>
        <w:sectPr>
          <w:type w:val="nextPage"/>
          <w:pgSz w:w="11906" w:h="16838"/>
          <w:pgMar w:top="1418" w:right="1418" w:bottom="1418" w:left="1701" w:header="709" w:footer="709" w:gutter="0"/>
          <w:pgNumType w:start="5"/>
          <w:cols w:space="720"/>
          <w:titlePg w:val="0"/>
          <w:docGrid w:linePitch="360"/>
        </w:sectPr>
      </w:pPr>
      <w:bookmarkStart w:id="96" w:name="_Toc421542541"/>
      <w:r>
        <w:rPr>
          <w:rFonts w:hint="eastAsia"/>
        </w:rPr>
        <w:t>龚家湾进场公路：主要龚家湾隧洞生产生活区、1-1#渣场和出口段明渠及附近乡道，为新建道路，路面宽度4.5m，泥结石路面，长度为200m。</w:t>
      </w:r>
    </w:p>
    <w:p w:rsidR="00286D23">
      <w:pPr>
        <w:pStyle w:val="Normal0"/>
        <w:ind w:firstLine="480"/>
        <w:jc w:val="left"/>
        <w:rPr>
          <w:rFonts w:hint="eastAsia"/>
        </w:rPr>
      </w:pPr>
      <w:r>
        <w:rPr>
          <w:rFonts w:hint="eastAsia"/>
        </w:rPr>
        <w:t>小湾进场公路：主要连接小湾隧洞出口1-2#渣场及上游段明渠和附近乡道，为新建道路，路面宽度4.5m，泥结石路面，长度为45m。</w:t>
      </w:r>
    </w:p>
    <w:p w:rsidR="00286D23">
      <w:pPr>
        <w:pStyle w:val="Normal0"/>
        <w:ind w:firstLine="480"/>
        <w:jc w:val="left"/>
        <w:rPr>
          <w:rFonts w:hint="eastAsia"/>
        </w:rPr>
      </w:pPr>
      <w:r>
        <w:rPr>
          <w:rFonts w:hint="eastAsia"/>
        </w:rPr>
        <w:t>罗家湾进场公路：主要连接1-3#渣场、罗家湾进口段明渠附近的乡道，为新建道路，路面宽度4.5m，泥结石路面，长度20m。</w:t>
      </w:r>
    </w:p>
    <w:p w:rsidR="00286D23">
      <w:pPr>
        <w:pStyle w:val="Normal0"/>
        <w:ind w:firstLine="480"/>
        <w:jc w:val="left"/>
        <w:rPr>
          <w:rFonts w:hint="eastAsia"/>
        </w:rPr>
      </w:pPr>
      <w:r>
        <w:rPr>
          <w:rFonts w:hint="eastAsia"/>
        </w:rPr>
        <w:t>干湾进场公路：主要连接1-4#渣场、干湾隧洞进口段明渠附近的乡道，为新建道路，路面宽度4.5m，泥结石路面，长度30m。</w:t>
      </w:r>
    </w:p>
    <w:p w:rsidR="00286D23">
      <w:pPr>
        <w:pStyle w:val="Normal0"/>
        <w:ind w:firstLine="480"/>
        <w:jc w:val="left"/>
      </w:pPr>
      <w:r>
        <w:rPr>
          <w:rFonts w:hint="eastAsia"/>
        </w:rPr>
        <w:t>郭家进场公路：主要连接1-5#渣场、郭家出口段明渠、余家堰隧洞及附近的乡道，为新建道路，路面宽度4.5m，泥结石路面，长度450m。</w:t>
      </w:r>
    </w:p>
    <w:p w:rsidR="00286D23">
      <w:pPr>
        <w:pStyle w:val="Normal0"/>
        <w:ind w:firstLine="480"/>
        <w:jc w:val="left"/>
      </w:pPr>
      <w:r>
        <w:rPr>
          <w:rFonts w:hint="eastAsia"/>
        </w:rPr>
        <w:t>宋家沟进场公路：主要连接1-6#渣场及老院子出口段明渠、宋家沟渡槽生产生活区与附近的乡道，路面宽度4.5m，泥结石路面，长度80m。</w:t>
      </w:r>
    </w:p>
    <w:p w:rsidR="00286D23">
      <w:pPr>
        <w:pStyle w:val="Normal0"/>
        <w:ind w:firstLine="480"/>
        <w:jc w:val="left"/>
      </w:pPr>
      <w:r>
        <w:rPr>
          <w:rFonts w:hint="eastAsia"/>
        </w:rPr>
        <w:t>碾子湾进场公路：主要连接碾子湾隧洞生产生活区、碾子湾下游明渠与附近的乡道，为新建道路，泥结石路面，长度450m。</w:t>
      </w:r>
    </w:p>
    <w:p w:rsidR="00286D23">
      <w:pPr>
        <w:pStyle w:val="Heading2"/>
        <w:ind w:firstLine="482"/>
        <w:rPr>
          <w:rFonts w:ascii="宋体" w:hAnsi="宋体"/>
          <w:sz w:val="24"/>
          <w:szCs w:val="24"/>
        </w:rPr>
      </w:pPr>
      <w:bookmarkStart w:id="97" w:name="_Toc425667816"/>
      <w:bookmarkStart w:id="98" w:name="_Toc425668144"/>
      <w:bookmarkStart w:id="99" w:name="_Toc425668380"/>
      <w:bookmarkStart w:id="100" w:name="_Toc425668507"/>
      <w:bookmarkStart w:id="101" w:name="_Toc425668598"/>
      <w:bookmarkStart w:id="102" w:name="_Toc427933256"/>
      <w:bookmarkStart w:id="103" w:name="_Toc429377625"/>
      <w:bookmarkStart w:id="104" w:name="_Toc432513746"/>
      <w:bookmarkStart w:id="105" w:name="_Toc402795088"/>
      <w:bookmarkStart w:id="106" w:name="_Toc421542542"/>
      <w:bookmarkEnd w:id="96"/>
      <w:r>
        <w:rPr>
          <w:rFonts w:ascii="宋体" w:hAnsi="宋体" w:hint="eastAsia"/>
          <w:sz w:val="24"/>
          <w:szCs w:val="24"/>
        </w:rPr>
        <w:t>2.6  渣场、生活区布置</w:t>
      </w:r>
      <w:bookmarkEnd w:id="97"/>
      <w:bookmarkEnd w:id="98"/>
      <w:bookmarkEnd w:id="99"/>
      <w:bookmarkEnd w:id="100"/>
      <w:bookmarkEnd w:id="101"/>
      <w:bookmarkEnd w:id="102"/>
      <w:bookmarkEnd w:id="103"/>
      <w:bookmarkEnd w:id="104"/>
    </w:p>
    <w:p w:rsidR="00286D23">
      <w:pPr>
        <w:pStyle w:val="Normal0"/>
        <w:ind w:firstLine="480"/>
      </w:pPr>
      <w:r>
        <w:rPr>
          <w:rFonts w:hint="eastAsia"/>
        </w:rPr>
        <w:t>1、中兴支渠明渠段沿线布置6个渣场分别为1-1#、1-2#、1-3#、1-4#、1-5#、1-6#渣场。</w:t>
      </w:r>
    </w:p>
    <w:p w:rsidR="00286D23">
      <w:pPr>
        <w:pStyle w:val="Normal0"/>
        <w:ind w:firstLine="480"/>
      </w:pPr>
      <w:r>
        <w:rPr>
          <w:rFonts w:hint="eastAsia"/>
        </w:rPr>
        <w:t>1-1#渣场：位于龚家湾出口明渠附近，利用明渠永久征地红线作为施工出渣通道，弃渣容量3.32万方，规划满足龚家湾隧道及出口段明渠弃渣需求。</w:t>
      </w:r>
    </w:p>
    <w:p w:rsidR="00286D23">
      <w:pPr>
        <w:pStyle w:val="Normal0"/>
        <w:ind w:firstLine="480"/>
      </w:pPr>
      <w:r>
        <w:rPr>
          <w:rFonts w:hint="eastAsia"/>
        </w:rPr>
        <w:t>1-2#渣场：布置在小湾隧洞出口，利用明渠作为施工出渣通道，弃渣容量4.33万方，规划满足小湾隧洞、郭家隧洞及中间明渠弃渣需求。</w:t>
      </w:r>
    </w:p>
    <w:p w:rsidR="00286D23">
      <w:pPr>
        <w:pStyle w:val="Normal0"/>
        <w:ind w:firstLine="480"/>
        <w:rPr>
          <w:rFonts w:hint="eastAsia"/>
        </w:rPr>
      </w:pPr>
      <w:bookmarkStart w:id="107" w:name="OLE_LINK4"/>
      <w:r>
        <w:rPr>
          <w:rFonts w:hint="eastAsia"/>
        </w:rPr>
        <w:t>1-3#渣场：布置在罗家隧洞进口旁边，弃渣容量7.62万方，规划满足碾子湾隧洞、张家隧洞、罗家湾隧洞及中间明渠的弃渣需求。</w:t>
      </w:r>
    </w:p>
    <w:p w:rsidR="00286D23">
      <w:pPr>
        <w:pStyle w:val="Normal0"/>
        <w:ind w:firstLine="480"/>
        <w:rPr>
          <w:rFonts w:hint="eastAsia"/>
        </w:rPr>
        <w:sectPr>
          <w:type w:val="nextPage"/>
          <w:pgSz w:w="11906" w:h="16838"/>
          <w:pgMar w:top="1418" w:right="1418" w:bottom="1418" w:left="1701" w:header="709" w:footer="709" w:gutter="0"/>
          <w:pgNumType w:start="6"/>
          <w:cols w:space="720"/>
          <w:titlePg w:val="0"/>
          <w:docGrid w:linePitch="360"/>
        </w:sectPr>
      </w:pPr>
      <w:bookmarkEnd w:id="107"/>
      <w:r>
        <w:rPr>
          <w:rFonts w:hint="eastAsia"/>
        </w:rPr>
        <w:t>1-4#渣场：布置在罗家隧洞进口旁边，弃渣容量7.62万方，规划满足碾子湾隧洞、张家隧洞、罗家湾隧洞及中间明渠的弃渣需求。</w:t>
      </w:r>
    </w:p>
    <w:p w:rsidR="00286D23">
      <w:pPr>
        <w:pStyle w:val="Normal0"/>
        <w:ind w:firstLine="480"/>
        <w:rPr>
          <w:rFonts w:hint="eastAsia"/>
        </w:rPr>
      </w:pPr>
      <w:r>
        <w:rPr>
          <w:rFonts w:hint="eastAsia"/>
        </w:rPr>
        <w:t>1-5#渣场：布置在郭家隧洞进口旁边，弃渣容量6.02万方，规划满足余家堰隧洞、郭家隧洞、石坝子渡槽、遂资眉隧洞及中间明渠的弃渣需求。</w:t>
      </w:r>
    </w:p>
    <w:p w:rsidR="00286D23">
      <w:pPr>
        <w:pStyle w:val="Normal0"/>
        <w:ind w:firstLine="480"/>
        <w:rPr>
          <w:rFonts w:hint="eastAsia"/>
        </w:rPr>
      </w:pPr>
      <w:r>
        <w:rPr>
          <w:rFonts w:hint="eastAsia"/>
        </w:rPr>
        <w:t>1-6#渣场：布置在宋家沟渡槽旁边，弃渣容量2.85万方，规划满足吕家大院、老院子隧洞、宋家沟渡槽及中间明渠的弃渣需求。</w:t>
      </w:r>
    </w:p>
    <w:p w:rsidR="00286D23">
      <w:pPr>
        <w:pStyle w:val="Normal0"/>
        <w:ind w:firstLine="480"/>
      </w:pPr>
      <w:r>
        <w:rPr>
          <w:rFonts w:hint="eastAsia"/>
        </w:rPr>
        <w:t>渣场</w:t>
      </w:r>
      <w:r>
        <w:t>按照</w:t>
      </w:r>
      <w:r>
        <w:rPr>
          <w:rFonts w:hint="eastAsia"/>
        </w:rPr>
        <w:t>“</w:t>
      </w:r>
      <w:r>
        <w:t>先拦后弃</w:t>
      </w:r>
      <w:r>
        <w:rPr>
          <w:rFonts w:hint="eastAsia"/>
        </w:rPr>
        <w:t>”</w:t>
      </w:r>
      <w:r>
        <w:t>的原则对渣场先修建</w:t>
      </w:r>
      <w:r>
        <w:rPr>
          <w:rFonts w:hint="eastAsia"/>
        </w:rPr>
        <w:t>挡渣墙</w:t>
      </w:r>
      <w:r>
        <w:t>，再弃渣，</w:t>
      </w:r>
      <w:r>
        <w:rPr>
          <w:rFonts w:hint="eastAsia"/>
        </w:rPr>
        <w:t>以</w:t>
      </w:r>
      <w:r>
        <w:t>防治水土流失。</w:t>
      </w:r>
      <w:r>
        <w:rPr>
          <w:rFonts w:hint="eastAsia"/>
        </w:rPr>
        <w:t>施工过程中</w:t>
      </w:r>
      <w:r>
        <w:t>严格按监理人</w:t>
      </w:r>
      <w:r>
        <w:rPr>
          <w:rFonts w:hint="eastAsia"/>
        </w:rPr>
        <w:t>的</w:t>
      </w:r>
      <w:r>
        <w:t>要求有序地堆放和利用弃渣，弃渣堆放不得侵占河道、不得影响其他承包人的正常施工、不得危</w:t>
      </w:r>
      <w:r>
        <w:rPr>
          <w:rFonts w:hint="eastAsia"/>
        </w:rPr>
        <w:t>周围</w:t>
      </w:r>
      <w:r>
        <w:t>居民和设施的安全。</w:t>
      </w:r>
    </w:p>
    <w:p w:rsidR="00286D23">
      <w:pPr>
        <w:pStyle w:val="Normal0"/>
        <w:ind w:firstLine="480"/>
      </w:pPr>
      <w:bookmarkStart w:id="108" w:name="OLE_LINK2"/>
      <w:r>
        <w:rPr>
          <w:rFonts w:hint="eastAsia"/>
        </w:rPr>
        <w:t>2、施工人员在1-6#生产生活区、及沿线出租民房内进行办公以、住宿。生产生活区按照统一规划、合理布局的原则进行建设，生产生活废污水统一排放至该区的废水处理池，经消毒、沉淀、过滤、出水水质满足要求后用于施工道路的洒水降尘，同时定期清理废水处理池内的污泥，并将污泥运至监理人指定的渣场；在该生产生活区设置垃圾箱，定期将垃圾运至监理人指定的渣场。</w:t>
      </w:r>
      <w:bookmarkEnd w:id="108"/>
    </w:p>
    <w:p w:rsidR="00286D23">
      <w:pPr>
        <w:pStyle w:val="Heading2"/>
        <w:ind w:firstLine="482"/>
        <w:rPr>
          <w:rFonts w:ascii="宋体" w:hAnsi="宋体"/>
          <w:sz w:val="24"/>
          <w:szCs w:val="24"/>
        </w:rPr>
      </w:pPr>
      <w:bookmarkStart w:id="109" w:name="_Toc432513747"/>
      <w:bookmarkStart w:id="110" w:name="_Toc425668599"/>
      <w:bookmarkStart w:id="111" w:name="_Toc429377626"/>
      <w:bookmarkStart w:id="112" w:name="_Toc427933257"/>
      <w:bookmarkStart w:id="113" w:name="_Toc425668508"/>
      <w:bookmarkStart w:id="114" w:name="_Toc425668145"/>
      <w:bookmarkStart w:id="115" w:name="_Toc425668381"/>
      <w:bookmarkStart w:id="116" w:name="_Toc425667817"/>
      <w:r>
        <w:rPr>
          <w:rFonts w:ascii="宋体" w:hAnsi="宋体" w:hint="eastAsia"/>
          <w:sz w:val="24"/>
          <w:szCs w:val="24"/>
        </w:rPr>
        <w:t>2.7  拌合系统布置</w:t>
      </w:r>
      <w:bookmarkEnd w:id="109"/>
      <w:bookmarkEnd w:id="110"/>
      <w:bookmarkEnd w:id="111"/>
      <w:bookmarkEnd w:id="112"/>
      <w:bookmarkEnd w:id="113"/>
      <w:bookmarkEnd w:id="114"/>
      <w:bookmarkEnd w:id="115"/>
      <w:bookmarkEnd w:id="116"/>
    </w:p>
    <w:p w:rsidR="00286D23">
      <w:pPr>
        <w:pStyle w:val="Normal0"/>
        <w:ind w:firstLine="480"/>
      </w:pPr>
      <w:r>
        <w:rPr>
          <w:rFonts w:hint="eastAsia"/>
        </w:rPr>
        <w:t>混凝土HZS50拌合站规划布置在1-6#生产生活区内，规划满足中兴支渠沿线明渠混凝土生产需求。</w:t>
      </w:r>
    </w:p>
    <w:p w:rsidR="00286D23">
      <w:pPr>
        <w:pStyle w:val="Heading1"/>
        <w:spacing w:line="360" w:lineRule="auto"/>
        <w:ind w:firstLine="562"/>
        <w:rPr>
          <w:sz w:val="28"/>
          <w:szCs w:val="28"/>
        </w:rPr>
      </w:pPr>
      <w:bookmarkStart w:id="117" w:name="_Toc425668509"/>
      <w:bookmarkStart w:id="118" w:name="_Toc425668600"/>
      <w:bookmarkStart w:id="119" w:name="_Toc427933258"/>
      <w:bookmarkStart w:id="120" w:name="_Toc429377627"/>
      <w:bookmarkStart w:id="121" w:name="_Toc432513748"/>
      <w:bookmarkStart w:id="122" w:name="_Toc425668382"/>
      <w:bookmarkStart w:id="123" w:name="_Toc425668146"/>
      <w:bookmarkStart w:id="124" w:name="_Toc425666995"/>
      <w:bookmarkStart w:id="125" w:name="_Toc425667818"/>
      <w:r>
        <w:rPr>
          <w:rFonts w:hint="eastAsia"/>
          <w:sz w:val="28"/>
          <w:szCs w:val="28"/>
        </w:rPr>
        <w:t>3  施工</w:t>
      </w:r>
      <w:bookmarkEnd w:id="105"/>
      <w:bookmarkEnd w:id="106"/>
      <w:r>
        <w:rPr>
          <w:rFonts w:hint="eastAsia"/>
          <w:sz w:val="28"/>
          <w:szCs w:val="28"/>
        </w:rPr>
        <w:t>重点、难点分析及应对措施</w:t>
      </w:r>
      <w:bookmarkEnd w:id="117"/>
      <w:bookmarkEnd w:id="118"/>
      <w:bookmarkEnd w:id="119"/>
      <w:bookmarkEnd w:id="120"/>
      <w:bookmarkEnd w:id="121"/>
      <w:bookmarkEnd w:id="122"/>
      <w:bookmarkEnd w:id="123"/>
      <w:bookmarkEnd w:id="124"/>
      <w:bookmarkEnd w:id="125"/>
    </w:p>
    <w:p w:rsidR="00286D23">
      <w:pPr>
        <w:pStyle w:val="Normal0"/>
        <w:numPr>
          <w:ilvl w:val="0"/>
          <w:numId w:val="1"/>
        </w:numPr>
        <w:ind w:firstLine="480"/>
        <w:rPr>
          <w:rFonts w:hint="eastAsia"/>
        </w:rPr>
      </w:pPr>
      <w:r>
        <w:rPr>
          <w:rFonts w:hint="eastAsia"/>
        </w:rPr>
        <w:t>根据设计地质资料，部分明渠的挖方段地质基本为粉砂质泥岩，质地软，遇水易膨胀垮塌，地质条件较差，开挖时安全隐患大；部分明渠穿稻田、鱼塘、河道，开挖淤泥及运输难度大，部份基础需进行换填处理。大部份为石方区，岩石坚硬，开挖难度大。</w:t>
      </w:r>
    </w:p>
    <w:p w:rsidR="00286D23">
      <w:pPr>
        <w:pStyle w:val="Normal0"/>
        <w:ind w:firstLine="480"/>
      </w:pPr>
      <w:r>
        <w:rPr>
          <w:rFonts w:hint="eastAsia"/>
        </w:rPr>
        <w:t>施工过程中采取勤支护的方式保证边坡稳定，尽量早覆盖，避免围岩外露时间过长导致风化。开挖过程中按照图纸及时进行排水孔施工，妥善引排避免遇水膨胀垮塌。对石方开挖尽量采取机械凿打开挖，减少暴破对周围民房损害。</w:t>
      </w:r>
    </w:p>
    <w:p w:rsidR="00286D23">
      <w:pPr>
        <w:pStyle w:val="Normal0"/>
        <w:ind w:firstLine="480"/>
        <w:sectPr>
          <w:type w:val="nextPage"/>
          <w:pgSz w:w="11906" w:h="16838"/>
          <w:pgMar w:top="1418" w:right="1418" w:bottom="1418" w:left="1701" w:header="709" w:footer="709" w:gutter="0"/>
          <w:pgNumType w:start="7"/>
          <w:cols w:space="720"/>
          <w:titlePg w:val="0"/>
          <w:docGrid w:linePitch="360"/>
        </w:sectPr>
      </w:pPr>
      <w:r>
        <w:rPr>
          <w:rFonts w:hint="eastAsia"/>
        </w:rPr>
        <w:t>2、明渠施工为露天作业，降雨等恶劣天气对施工进度影响较大；</w:t>
      </w:r>
    </w:p>
    <w:p w:rsidR="00286D23">
      <w:pPr>
        <w:pStyle w:val="Normal0"/>
        <w:ind w:firstLine="480"/>
      </w:pPr>
      <w:r>
        <w:rPr>
          <w:rFonts w:hint="eastAsia"/>
        </w:rPr>
        <w:t>编写防汛措施，在保证安全的前提下，确保汛期正常施工，及时获取水情预报，未雨绸缪，降低极端天气对施工进度的影响。</w:t>
      </w:r>
    </w:p>
    <w:p w:rsidR="00286D23">
      <w:pPr>
        <w:pStyle w:val="Normal0"/>
        <w:ind w:firstLine="480"/>
      </w:pPr>
      <w:r>
        <w:rPr>
          <w:rFonts w:hint="eastAsia"/>
        </w:rPr>
        <w:t>3、该段明渠沿线经过乡道、村庄、田地等，外部环境对施工干扰大；</w:t>
      </w:r>
    </w:p>
    <w:p w:rsidR="00286D23">
      <w:pPr>
        <w:pStyle w:val="Normal0"/>
        <w:ind w:firstLine="480"/>
      </w:pPr>
      <w:r>
        <w:rPr>
          <w:rFonts w:hint="eastAsia"/>
        </w:rPr>
        <w:t>在明渠途经过乡道、村庄、田地等地，布设临时公路，布置标准以满足相关部门要求为原则</w:t>
      </w:r>
      <w:r>
        <w:t>。</w:t>
      </w:r>
      <w:r>
        <w:rPr>
          <w:rFonts w:hint="eastAsia"/>
        </w:rPr>
        <w:t>制定保通措施，同时确保我部正常施工，避免外部环境对施工干扰。</w:t>
      </w:r>
    </w:p>
    <w:p w:rsidR="00286D23">
      <w:pPr>
        <w:pStyle w:val="Normal0"/>
        <w:ind w:firstLine="480"/>
      </w:pPr>
      <w:r>
        <w:rPr>
          <w:rFonts w:hint="eastAsia"/>
        </w:rPr>
        <w:t>4、该段明渠石渣填筑方量较大，填筑施工过程中压实度控制是关键。</w:t>
      </w:r>
    </w:p>
    <w:p w:rsidR="00286D23">
      <w:pPr>
        <w:pStyle w:val="Normal0"/>
        <w:ind w:firstLine="480"/>
      </w:pPr>
      <w:r>
        <w:rPr>
          <w:rFonts w:hint="eastAsia"/>
        </w:rPr>
        <w:t>预先试验，确定回填料源、碾压遍数及各项参数，合理选用碾压机具，严格控制铺填厚度，碾压遍数。</w:t>
      </w:r>
    </w:p>
    <w:p w:rsidR="00286D23">
      <w:pPr>
        <w:pStyle w:val="Normal0"/>
        <w:ind w:firstLine="480"/>
      </w:pPr>
      <w:r>
        <w:rPr>
          <w:rFonts w:hint="eastAsia"/>
        </w:rPr>
        <w:t>合理优化施工方案，科学制定施工程序，计划本段明渠先以开挖段明段为切入点，加快施工进度，确保顺利完成施工任务。</w:t>
      </w:r>
    </w:p>
    <w:p w:rsidR="00286D23">
      <w:pPr>
        <w:pStyle w:val="Heading1"/>
        <w:spacing w:line="360" w:lineRule="auto"/>
        <w:ind w:firstLine="562"/>
        <w:rPr>
          <w:sz w:val="28"/>
          <w:szCs w:val="28"/>
        </w:rPr>
      </w:pPr>
      <w:bookmarkStart w:id="126" w:name="_Toc402795090"/>
      <w:bookmarkStart w:id="127" w:name="_Toc425668147"/>
      <w:bookmarkStart w:id="128" w:name="_Toc425667819"/>
      <w:bookmarkStart w:id="129" w:name="_Toc425666996"/>
      <w:bookmarkStart w:id="130" w:name="_Toc432513749"/>
      <w:bookmarkStart w:id="131" w:name="_Toc427933259"/>
      <w:bookmarkStart w:id="132" w:name="_Toc429377628"/>
      <w:bookmarkStart w:id="133" w:name="_Toc425668510"/>
      <w:bookmarkStart w:id="134" w:name="_Toc425668383"/>
      <w:bookmarkStart w:id="135" w:name="_Toc425668601"/>
      <w:r>
        <w:rPr>
          <w:rFonts w:hint="eastAsia"/>
          <w:sz w:val="28"/>
          <w:szCs w:val="28"/>
        </w:rPr>
        <w:t>4  施工</w:t>
      </w:r>
      <w:bookmarkEnd w:id="126"/>
      <w:r>
        <w:rPr>
          <w:rFonts w:hint="eastAsia"/>
          <w:sz w:val="28"/>
          <w:szCs w:val="28"/>
        </w:rPr>
        <w:t>方法</w:t>
      </w:r>
      <w:bookmarkEnd w:id="127"/>
      <w:bookmarkEnd w:id="128"/>
      <w:bookmarkEnd w:id="129"/>
      <w:bookmarkEnd w:id="130"/>
      <w:bookmarkEnd w:id="131"/>
      <w:bookmarkEnd w:id="132"/>
      <w:bookmarkEnd w:id="133"/>
      <w:bookmarkEnd w:id="134"/>
      <w:bookmarkEnd w:id="135"/>
    </w:p>
    <w:p w:rsidR="00286D23">
      <w:pPr>
        <w:pStyle w:val="Heading2"/>
        <w:spacing w:line="360" w:lineRule="auto"/>
        <w:ind w:firstLine="482"/>
        <w:rPr>
          <w:rFonts w:ascii="宋体" w:hAnsi="宋体"/>
          <w:sz w:val="24"/>
          <w:szCs w:val="24"/>
        </w:rPr>
      </w:pPr>
      <w:bookmarkStart w:id="136" w:name="_Toc402795092"/>
      <w:bookmarkStart w:id="137" w:name="_Toc421542546"/>
      <w:bookmarkStart w:id="138" w:name="_Toc425667820"/>
      <w:bookmarkStart w:id="139" w:name="_Toc425668148"/>
      <w:bookmarkStart w:id="140" w:name="_Toc425668384"/>
      <w:bookmarkStart w:id="141" w:name="_Toc425668511"/>
      <w:bookmarkStart w:id="142" w:name="_Toc425668602"/>
      <w:bookmarkStart w:id="143" w:name="_Toc427933260"/>
      <w:bookmarkStart w:id="144" w:name="_Toc429377629"/>
      <w:bookmarkStart w:id="145" w:name="_Toc432513750"/>
      <w:r>
        <w:rPr>
          <w:rFonts w:ascii="宋体" w:hAnsi="宋体" w:hint="eastAsia"/>
          <w:sz w:val="24"/>
          <w:szCs w:val="24"/>
        </w:rPr>
        <w:t xml:space="preserve">4.1 </w:t>
      </w:r>
      <w:bookmarkEnd w:id="136"/>
      <w:bookmarkEnd w:id="137"/>
      <w:r>
        <w:rPr>
          <w:rFonts w:ascii="宋体" w:hAnsi="宋体" w:hint="eastAsia"/>
          <w:sz w:val="24"/>
          <w:szCs w:val="24"/>
        </w:rPr>
        <w:t xml:space="preserve"> 土石方开挖施工</w:t>
      </w:r>
      <w:bookmarkStart w:id="146" w:name="_Toc402795095"/>
      <w:bookmarkStart w:id="147" w:name="_Toc421542549"/>
      <w:bookmarkEnd w:id="138"/>
      <w:bookmarkEnd w:id="139"/>
      <w:bookmarkEnd w:id="140"/>
      <w:bookmarkEnd w:id="141"/>
      <w:bookmarkEnd w:id="142"/>
      <w:bookmarkEnd w:id="143"/>
      <w:bookmarkEnd w:id="144"/>
      <w:bookmarkEnd w:id="145"/>
    </w:p>
    <w:p w:rsidR="00286D23">
      <w:pPr>
        <w:pStyle w:val="Heading3"/>
        <w:spacing w:line="360" w:lineRule="auto"/>
        <w:ind w:firstLine="482"/>
        <w:rPr>
          <w:sz w:val="24"/>
          <w:szCs w:val="24"/>
        </w:rPr>
      </w:pPr>
      <w:bookmarkStart w:id="148" w:name="_Toc294594145"/>
      <w:bookmarkStart w:id="149" w:name="_Toc295638352"/>
      <w:bookmarkStart w:id="150" w:name="_Toc295808682"/>
      <w:bookmarkStart w:id="151" w:name="_Toc295808871"/>
      <w:bookmarkStart w:id="152" w:name="_Toc421542553"/>
      <w:bookmarkStart w:id="153" w:name="_Toc425667821"/>
      <w:bookmarkStart w:id="154" w:name="_Toc425668149"/>
      <w:bookmarkStart w:id="155" w:name="_Toc425668385"/>
      <w:bookmarkStart w:id="156" w:name="_Toc425668512"/>
      <w:bookmarkStart w:id="157" w:name="_Toc425668603"/>
      <w:bookmarkStart w:id="158" w:name="_Toc427933261"/>
      <w:bookmarkStart w:id="159" w:name="_Toc429377630"/>
      <w:bookmarkStart w:id="160" w:name="_Toc430156049"/>
      <w:bookmarkStart w:id="161" w:name="OLE_LINK3"/>
      <w:bookmarkEnd w:id="146"/>
      <w:bookmarkEnd w:id="147"/>
      <w:r>
        <w:rPr>
          <w:rFonts w:hint="eastAsia"/>
          <w:sz w:val="24"/>
          <w:szCs w:val="24"/>
        </w:rPr>
        <w:t>4.1.1  土方开挖</w:t>
      </w:r>
      <w:bookmarkEnd w:id="148"/>
      <w:bookmarkEnd w:id="149"/>
      <w:bookmarkEnd w:id="150"/>
      <w:bookmarkEnd w:id="151"/>
      <w:bookmarkEnd w:id="152"/>
      <w:bookmarkEnd w:id="153"/>
      <w:bookmarkEnd w:id="154"/>
      <w:bookmarkEnd w:id="155"/>
      <w:bookmarkEnd w:id="156"/>
      <w:bookmarkEnd w:id="157"/>
      <w:bookmarkEnd w:id="158"/>
      <w:bookmarkEnd w:id="159"/>
      <w:bookmarkEnd w:id="160"/>
    </w:p>
    <w:p w:rsidR="00286D23">
      <w:pPr>
        <w:pStyle w:val="BodyTextIndent3"/>
        <w:spacing w:after="0" w:line="360" w:lineRule="auto"/>
        <w:ind w:left="0" w:firstLine="480" w:leftChars="0" w:firstLineChars="200"/>
        <w:rPr>
          <w:rFonts w:ascii="宋体" w:hAnsi="宋体"/>
          <w:sz w:val="24"/>
          <w:szCs w:val="24"/>
        </w:rPr>
      </w:pPr>
      <w:bookmarkEnd w:id="161"/>
      <w:r>
        <w:rPr>
          <w:rFonts w:ascii="宋体" w:hAnsi="宋体" w:hint="eastAsia"/>
          <w:sz w:val="24"/>
          <w:szCs w:val="24"/>
        </w:rPr>
        <w:t>1、施工准备</w:t>
      </w:r>
    </w:p>
    <w:p w:rsidR="00286D23">
      <w:pPr>
        <w:pStyle w:val="Normal0"/>
        <w:ind w:firstLine="480"/>
      </w:pPr>
      <w:r>
        <w:rPr>
          <w:rFonts w:hint="eastAsia"/>
        </w:rPr>
        <w:t>开挖施工前，先联系监理、业主及相关单位进行原始地形的测量，原始地形测量完成后沿着开挖边线外（征地红线以内）开挖一条截水沟，拦截地表水，如有渗透水点，接排水管引至附近的排水沟，以防地表水冲刷明渠永久边坡。同时</w:t>
      </w:r>
      <w:r>
        <w:rPr>
          <w:rFonts w:hint="eastAsia"/>
          <w:szCs w:val="24"/>
        </w:rPr>
        <w:t>检查好机械设备，使其均处于良好的状态。</w:t>
      </w:r>
    </w:p>
    <w:p w:rsidR="00286D23">
      <w:pPr>
        <w:pStyle w:val="BodyTextIndent3"/>
        <w:spacing w:after="0" w:line="360" w:lineRule="auto"/>
        <w:ind w:left="0" w:firstLine="480" w:leftChars="0" w:firstLineChars="200"/>
        <w:rPr>
          <w:rFonts w:ascii="宋体" w:hAnsi="宋体"/>
          <w:sz w:val="24"/>
          <w:szCs w:val="24"/>
        </w:rPr>
      </w:pPr>
      <w:r>
        <w:rPr>
          <w:rFonts w:ascii="宋体" w:hAnsi="宋体" w:hint="eastAsia"/>
          <w:sz w:val="24"/>
          <w:szCs w:val="24"/>
        </w:rPr>
        <w:t>2、测量放样</w:t>
      </w:r>
    </w:p>
    <w:p w:rsidR="00286D23">
      <w:pPr>
        <w:pStyle w:val="BodyTextIndent3"/>
        <w:spacing w:after="0" w:line="360" w:lineRule="auto"/>
        <w:ind w:left="0" w:firstLine="480" w:leftChars="0" w:firstLineChars="200"/>
        <w:rPr>
          <w:rFonts w:ascii="宋体" w:hAnsi="宋体"/>
          <w:sz w:val="24"/>
          <w:szCs w:val="24"/>
        </w:rPr>
      </w:pPr>
      <w:r>
        <w:rPr>
          <w:rFonts w:ascii="宋体" w:hAnsi="宋体" w:hint="eastAsia"/>
          <w:sz w:val="24"/>
          <w:szCs w:val="24"/>
        </w:rPr>
        <w:t>对渠道所在位置的放样边线进行两次以上的复测，复测无误后，采用GPS、全站仪、水准仪进行测量放样，确定开挖范围、高程，并打（放）开挖范围、开挖深度控制桩（线）。</w:t>
      </w:r>
    </w:p>
    <w:p w:rsidR="00286D23">
      <w:pPr>
        <w:pStyle w:val="BodyTextIndent3"/>
        <w:spacing w:after="0" w:line="360" w:lineRule="auto"/>
        <w:ind w:left="0" w:firstLine="480" w:leftChars="0" w:firstLineChars="200"/>
        <w:rPr>
          <w:rFonts w:ascii="宋体" w:hAnsi="宋体"/>
          <w:sz w:val="24"/>
          <w:szCs w:val="24"/>
        </w:rPr>
      </w:pPr>
      <w:r>
        <w:rPr>
          <w:rFonts w:ascii="宋体" w:hAnsi="宋体" w:hint="eastAsia"/>
          <w:sz w:val="24"/>
          <w:szCs w:val="24"/>
        </w:rPr>
        <w:t>3、场地(表土)清理</w:t>
      </w:r>
    </w:p>
    <w:p w:rsidR="00286D23">
      <w:pPr>
        <w:pStyle w:val="Normal0"/>
        <w:ind w:firstLine="480"/>
        <w:sectPr>
          <w:type w:val="nextPage"/>
          <w:pgSz w:w="11906" w:h="16838"/>
          <w:pgMar w:top="1418" w:right="1418" w:bottom="1418" w:left="1701" w:header="709" w:footer="709" w:gutter="0"/>
          <w:pgNumType w:start="8"/>
          <w:cols w:space="720"/>
          <w:titlePg w:val="0"/>
          <w:docGrid w:linePitch="360"/>
        </w:sectPr>
      </w:pPr>
      <w:r>
        <w:rPr>
          <w:rFonts w:hint="eastAsia"/>
        </w:rPr>
        <w:t>场地清理包括植被清理和表土清挖。其范围包括永久和临时工程、存弃渣场等施工用地需要清理的全部区域的地表。</w:t>
      </w:r>
    </w:p>
    <w:p w:rsidR="00286D23">
      <w:pPr>
        <w:pStyle w:val="Normal0"/>
        <w:ind w:firstLine="480"/>
      </w:pPr>
      <w:r>
        <w:rPr>
          <w:rFonts w:hint="eastAsia"/>
        </w:rPr>
        <w:t>场地清理主要采用人工配合推土机和装载机推集，反铲装自卸汽车运输至渣场弃渣。场地清理前测量确定现场工作界线，并保护好所有规定保留和监理工程师指定保留的植物、腐殖土以及构造物。主体工程施工场地地表的植被清理必须延伸至离施工图所示最大开挖边线或建筑物基础边线(或填筑坡脚线)外侧至少2m的距离。植被清理，须予挖除树根的范围应延伸到离施工图所示最大开挖边线、填筑线或建筑物基础外侧2m的距离。</w:t>
      </w:r>
    </w:p>
    <w:p w:rsidR="00286D23">
      <w:pPr>
        <w:pStyle w:val="BodyTextIndent3"/>
        <w:spacing w:after="0" w:line="360" w:lineRule="auto"/>
        <w:ind w:left="0" w:firstLine="480" w:leftChars="0" w:firstLineChars="200"/>
        <w:rPr>
          <w:rFonts w:ascii="宋体" w:hAnsi="宋体"/>
          <w:sz w:val="24"/>
          <w:szCs w:val="24"/>
        </w:rPr>
      </w:pPr>
      <w:r>
        <w:rPr>
          <w:rFonts w:ascii="宋体" w:hAnsi="宋体" w:hint="eastAsia"/>
          <w:sz w:val="24"/>
          <w:szCs w:val="24"/>
        </w:rPr>
        <w:t>4、土方开挖施工</w:t>
      </w:r>
    </w:p>
    <w:p w:rsidR="00286D23">
      <w:pPr>
        <w:pStyle w:val="BodyTextIndent3"/>
        <w:spacing w:after="0" w:line="360" w:lineRule="auto"/>
        <w:ind w:left="0" w:firstLine="480" w:leftChars="0" w:firstLineChars="200"/>
        <w:rPr>
          <w:rFonts w:ascii="宋体" w:hAnsi="宋体"/>
          <w:sz w:val="24"/>
          <w:szCs w:val="24"/>
        </w:rPr>
      </w:pPr>
      <w:r>
        <w:rPr>
          <w:rFonts w:ascii="宋体" w:hAnsi="宋体" w:hint="eastAsia"/>
          <w:sz w:val="24"/>
          <w:szCs w:val="24"/>
        </w:rPr>
        <w:t>每一段场地清理完成后，根据各开挖部位特点，施工均采用平面分段，分段长度约200～300米左右，各段同时独立作业互不干扰；立面分层开挖的方法，上一层施工完成后进行下一层施工，土方开挖分层高度根据现场实际地形确定，以不宜超过</w:t>
      </w:r>
      <w:r>
        <w:rPr>
          <w:rFonts w:ascii="宋体" w:hAnsi="宋体"/>
          <w:sz w:val="24"/>
          <w:szCs w:val="24"/>
        </w:rPr>
        <w:t>3m</w:t>
      </w:r>
      <w:r>
        <w:rPr>
          <w:rFonts w:ascii="宋体" w:hAnsi="宋体" w:hint="eastAsia"/>
          <w:sz w:val="24"/>
          <w:szCs w:val="24"/>
        </w:rPr>
        <w:t>为宜；永久边坡部位一边开挖一边用反铲将边坡按设计坡比修整好，保证工作面平整，并留</w:t>
      </w:r>
      <w:r>
        <w:rPr>
          <w:rFonts w:ascii="宋体" w:hAnsi="宋体"/>
          <w:sz w:val="24"/>
          <w:szCs w:val="24"/>
        </w:rPr>
        <w:t>10</w:t>
      </w:r>
      <w:r>
        <w:rPr>
          <w:rFonts w:ascii="宋体" w:hAnsi="宋体" w:hint="eastAsia"/>
          <w:sz w:val="24"/>
          <w:szCs w:val="24"/>
        </w:rPr>
        <w:t>～20cm的保护层，保护层采用人工利用铁锹的开挖方式，其余土方开挖采用反铲装自卸车运至监理工程师指定的渣场堆放。</w:t>
      </w:r>
    </w:p>
    <w:p w:rsidR="00286D23">
      <w:pPr>
        <w:pStyle w:val="Heading3"/>
        <w:ind w:firstLine="482"/>
        <w:rPr>
          <w:sz w:val="24"/>
          <w:szCs w:val="24"/>
        </w:rPr>
      </w:pPr>
      <w:bookmarkStart w:id="162" w:name="_Toc427933262"/>
      <w:bookmarkStart w:id="163" w:name="_Toc429377631"/>
      <w:bookmarkStart w:id="164" w:name="_Toc425668513"/>
      <w:bookmarkStart w:id="165" w:name="_Toc425668604"/>
      <w:bookmarkStart w:id="166" w:name="_Toc430156050"/>
      <w:r>
        <w:rPr>
          <w:rFonts w:hint="eastAsia"/>
          <w:sz w:val="24"/>
          <w:szCs w:val="24"/>
        </w:rPr>
        <w:t>4.1.2  石方开挖</w:t>
      </w:r>
      <w:bookmarkEnd w:id="162"/>
      <w:bookmarkEnd w:id="163"/>
      <w:bookmarkEnd w:id="164"/>
      <w:bookmarkEnd w:id="165"/>
      <w:bookmarkEnd w:id="166"/>
    </w:p>
    <w:p w:rsidR="00286D23">
      <w:pPr>
        <w:pStyle w:val="Normal0"/>
        <w:ind w:firstLine="480"/>
      </w:pPr>
      <w:r>
        <w:rPr>
          <w:rFonts w:hint="eastAsia"/>
        </w:rPr>
        <w:t>本工程石方开挖主要工程项目包括：</w:t>
      </w:r>
      <w:r>
        <w:t>一般石方明挖及沟、槽、坑石方开挖。其</w:t>
      </w:r>
    </w:p>
    <w:p w:rsidR="00286D23">
      <w:pPr>
        <w:pStyle w:val="Normal0"/>
        <w:ind w:firstLine="0" w:firstLineChars="0"/>
      </w:pPr>
      <w:r>
        <w:t>开挖工作内容包括：准备工作、场地清理、施工期排水、钻孔爆破、石渣运输和堆存、边坡临时监测、完工验收前的维护以及对废弃的料场进行清理等工作</w:t>
      </w:r>
      <w:r>
        <w:rPr>
          <w:rFonts w:hint="eastAsia"/>
        </w:rPr>
        <w:t>。第中兴支渠渠道石方开挖量约为8000方。</w:t>
      </w:r>
    </w:p>
    <w:p w:rsidR="00286D23">
      <w:pPr>
        <w:pStyle w:val="Normal0"/>
        <w:ind w:firstLine="480"/>
      </w:pPr>
      <w:r>
        <w:rPr>
          <w:rFonts w:hint="eastAsia"/>
        </w:rPr>
        <w:t>渠道石方开挖分为渠顶以上岩石部分，渠顶以下部分开挖，两部分均预留20cm保护层人工挖除，确保渠道成型。</w:t>
      </w:r>
    </w:p>
    <w:p w:rsidR="00286D23">
      <w:pPr>
        <w:pStyle w:val="Normal0"/>
        <w:ind w:firstLine="480"/>
        <w:sectPr>
          <w:type w:val="nextPage"/>
          <w:pgSz w:w="11906" w:h="16838"/>
          <w:pgMar w:top="1418" w:right="1418" w:bottom="1418" w:left="1701" w:header="709" w:footer="709" w:gutter="0"/>
          <w:pgNumType w:start="9"/>
          <w:cols w:space="720"/>
          <w:titlePg w:val="0"/>
          <w:docGrid w:linePitch="360"/>
        </w:sectPr>
      </w:pPr>
      <w:r>
        <w:rPr>
          <w:rFonts w:hint="eastAsia"/>
          <w:szCs w:val="24"/>
        </w:rPr>
        <w:t>根据设计地质资料，该段明渠的挖方段地质基本为粉砂质泥岩，渠道石方开挖均采用钻爆法进行石方开挖，</w:t>
      </w:r>
      <w:r>
        <w:rPr>
          <w:rFonts w:hint="eastAsia"/>
        </w:rPr>
        <w:t>渠道开挖采用自上而下分梯段开挖，钻孔为倾斜孔，倾斜钻孔使抵抗线分布比较均匀，爆破后不易产生大块和残留根底。</w:t>
      </w:r>
      <w:bookmarkStart w:id="167" w:name="_Toc252134715"/>
      <w:r>
        <w:rPr>
          <w:rFonts w:hint="eastAsia"/>
        </w:rPr>
        <w:t>石方爆破作业程序如下图4-1。</w:t>
      </w:r>
      <w:bookmarkEnd w:id="167"/>
      <w:r>
        <w:rPr>
          <w:rFonts w:hint="eastAsia"/>
        </w:rPr>
        <w:t>爆破方案详见后附《中兴支渠明渠松动爆破预案》</w:t>
      </w:r>
    </w:p>
    <w:p w:rsidR="00286D23">
      <w:pPr>
        <w:pStyle w:val="Normal0"/>
        <w:ind w:firstLine="480"/>
      </w:pPr>
      <w:r>
        <w:rPr>
          <w:rFonts w:hint="eastAsia"/>
        </w:rPr>
        <w:t>两侧边坡30cm范围内石方采用预裂爆破，中间石方开挖采用浅孔松动爆破，潜孔钻造孔，YT-28型手风钻辅助，1.0m</w:t>
      </w:r>
      <w:r>
        <w:rPr>
          <w:rFonts w:hint="eastAsia"/>
        </w:rPr>
        <w:t>³</w:t>
      </w:r>
      <w:r>
        <w:rPr>
          <w:rFonts w:hint="eastAsia"/>
        </w:rPr>
        <w:t>液压反铲挖装10t自卸汽车运输，部分直接运至填筑工作面，部分运至渣场。边坡采用预裂爆破，渠底采用预留保护层开挖。</w:t>
      </w:r>
    </w:p>
    <w:p w:rsidR="00286D23">
      <w:pPr>
        <w:pStyle w:val="BodyTextIndent3"/>
        <w:spacing w:after="0" w:line="360" w:lineRule="auto"/>
        <w:ind w:left="0" w:firstLine="480" w:leftChars="0" w:firstLineChars="200"/>
        <w:rPr>
          <w:rFonts w:ascii="宋体" w:hAnsi="宋体"/>
          <w:sz w:val="24"/>
          <w:szCs w:val="24"/>
        </w:rPr>
      </w:pPr>
      <w:r>
        <w:rPr>
          <w:rFonts w:ascii="宋体" w:hAnsi="宋体" w:hint="eastAsia"/>
          <w:sz w:val="24"/>
          <w:szCs w:val="24"/>
        </w:rPr>
        <w:t>经监理工程师检定，开挖可利用洞渣料采用反铲装自卸车运至填筑部位进行碾压填筑，其他开挖料采用反铲装自卸车运至指定的渣场堆放。永久边坡部位一边开挖一边用反铲将边坡按设计坡比修整好，保证工作面平整，并留20cm左右的保护层，保护层采用人工配合反铲进行开挖，在测量人员的指挥下，用反铲在坡面上每隔</w:t>
      </w:r>
      <w:r>
        <w:rPr>
          <w:rFonts w:ascii="宋体" w:hAnsi="宋体"/>
          <w:sz w:val="24"/>
          <w:szCs w:val="24"/>
        </w:rPr>
        <w:t>10m</w:t>
      </w:r>
      <w:r>
        <w:rPr>
          <w:rFonts w:ascii="宋体" w:hAnsi="宋体" w:hint="eastAsia"/>
          <w:sz w:val="24"/>
          <w:szCs w:val="24"/>
        </w:rPr>
        <w:t>开挖出样槽，由有经验的反铲操作人员按样槽进行保护层开挖，反铲开挖方向垂直于渠道轴线，由上至下顺坡进行开挖。</w:t>
      </w:r>
    </w:p>
    <w:p w:rsidR="00286D23">
      <w:pPr>
        <w:pStyle w:val="Normal0"/>
        <w:ind w:firstLine="480"/>
      </w:pPr>
      <w:bookmarkStart w:id="168" w:name="_Toc252134711"/>
      <w:r>
        <w:rPr>
          <w:rFonts w:hint="eastAsia"/>
        </w:rPr>
        <w:t>施工时，根据实际地形、地质及开挖断面，合理确定开挖方式；对于面层风化岩、软岩用挖掘机开挖；较为零散，石方段采用</w:t>
      </w:r>
      <w:r>
        <w:t>YT-28型手风钻</w:t>
      </w:r>
      <w:r>
        <w:rPr>
          <w:rFonts w:hint="eastAsia"/>
        </w:rPr>
        <w:t>钻孔放小炮开挖；对于开挖断面小，边坡高在5m以下的石方地段，采用风钻钻孔，浅孔松动爆破；对于开挖高度在5m以上，岩石整体性好的地段，采用液压潜孔钻钻孔，进行梯段分层深孔松动微差爆破；永久边坡开挖采用预裂爆破，建基面采用保护层开挖。</w:t>
      </w:r>
      <w:bookmarkEnd w:id="168"/>
    </w:p>
    <w:p w:rsidR="00286D23">
      <w:pPr>
        <w:pStyle w:val="Normal0"/>
        <w:ind w:firstLine="480"/>
      </w:pPr>
      <w:bookmarkStart w:id="169" w:name="_Toc252134712"/>
      <w:r>
        <w:rPr>
          <w:rFonts w:hint="eastAsia"/>
        </w:rPr>
        <w:t>边坡采取预裂爆破，用液压潜孔钻钻孔，达到设计坡比，随着边坡开挖高程的下降，及时进行测量检查以防止偏离设计开挖线，避免在形成高边坡后进行处理，且随开挖随进行边坡支护。明渠底板建基面采取预留保护层开挖。</w:t>
      </w:r>
      <w:bookmarkStart w:id="170" w:name="_Toc252134713"/>
      <w:bookmarkEnd w:id="169"/>
      <w:r>
        <w:rPr>
          <w:rFonts w:hint="eastAsia"/>
        </w:rPr>
        <w:t>爆破石渣采用推土机集料，1.0m</w:t>
      </w:r>
      <w:r>
        <w:rPr>
          <w:vertAlign w:val="superscript"/>
        </w:rPr>
        <w:t>3</w:t>
      </w:r>
      <w:r>
        <w:rPr>
          <w:rFonts w:hint="eastAsia"/>
        </w:rPr>
        <w:t>挖掘机挖装，10t自卸汽车运至弃渣场。</w:t>
      </w:r>
      <w:bookmarkEnd w:id="170"/>
    </w:p>
    <w:p w:rsidR="00286D23">
      <w:pPr>
        <w:pStyle w:val="Normal0"/>
        <w:ind w:firstLine="437" w:firstLineChars="182"/>
        <w:rPr>
          <w:rFonts w:hint="eastAsia"/>
        </w:rPr>
      </w:pPr>
      <w:r>
        <w:rPr>
          <w:rFonts w:hint="eastAsia"/>
        </w:rPr>
        <w:t>渠道开挖采用自上而下分梯段开挖，钻孔为倾斜孔，倾斜钻孔使抵抗线分布比较均匀，爆破后不易产生大块和残留根底。</w:t>
      </w:r>
    </w:p>
    <w:p w:rsidR="00286D23">
      <w:pPr>
        <w:pStyle w:val="Normal0"/>
        <w:ind w:firstLine="437" w:firstLineChars="182"/>
        <w:rPr>
          <w:rFonts w:hint="eastAsia"/>
        </w:rPr>
      </w:pPr>
    </w:p>
    <w:p w:rsidR="00286D23">
      <w:pPr>
        <w:pStyle w:val="Normal0"/>
        <w:ind w:firstLine="437" w:firstLineChars="182"/>
        <w:rPr>
          <w:rFonts w:hint="eastAsia"/>
        </w:rPr>
      </w:pPr>
    </w:p>
    <w:p w:rsidR="00286D23">
      <w:pPr>
        <w:pStyle w:val="Normal0"/>
        <w:ind w:firstLine="437" w:firstLineChars="182"/>
        <w:rPr>
          <w:rFonts w:hint="eastAsia"/>
        </w:rPr>
      </w:pPr>
    </w:p>
    <w:p w:rsidR="00286D23">
      <w:pPr>
        <w:pStyle w:val="Normal0"/>
        <w:ind w:firstLine="437" w:firstLineChars="182"/>
        <w:rPr>
          <w:rFonts w:hint="eastAsia"/>
        </w:rPr>
      </w:pPr>
    </w:p>
    <w:p w:rsidR="00286D23">
      <w:pPr>
        <w:pStyle w:val="Normal0"/>
        <w:ind w:firstLine="437" w:firstLineChars="182"/>
        <w:rPr>
          <w:rFonts w:hint="eastAsia"/>
        </w:rPr>
      </w:pPr>
    </w:p>
    <w:p w:rsidR="00286D23">
      <w:pPr>
        <w:pStyle w:val="Normal0"/>
        <w:ind w:firstLine="437" w:firstLineChars="182"/>
        <w:rPr>
          <w:rFonts w:hint="eastAsia"/>
        </w:rPr>
        <w:sectPr>
          <w:type w:val="nextPage"/>
          <w:pgSz w:w="11906" w:h="16838"/>
          <w:pgMar w:top="1418" w:right="1418" w:bottom="1418" w:left="1701" w:header="709" w:footer="709" w:gutter="0"/>
          <w:pgNumType w:start="10"/>
          <w:cols w:space="720"/>
          <w:titlePg w:val="0"/>
          <w:docGrid w:linePitch="360"/>
        </w:sectPr>
      </w:pPr>
    </w:p>
    <w:p w:rsidR="00286D23">
      <w:pPr>
        <w:pStyle w:val="Normal0"/>
        <w:ind w:firstLine="437" w:firstLineChars="182"/>
        <w:rPr>
          <w:rFonts w:hint="eastAsia"/>
        </w:rPr>
      </w:pPr>
    </w:p>
    <w:p w:rsidR="00286D23">
      <w:pPr>
        <w:pStyle w:val="Normal0"/>
        <w:ind w:firstLine="480"/>
        <w:rPr>
          <w:rFonts w:ascii="Times New Roman" w:hAnsi="Times New Roman"/>
          <w:color w:val="000000"/>
        </w:rPr>
      </w:pPr>
      <w:r>
        <w:rPr>
          <w:rFonts w:ascii="Times New Roman" w:hAnsi="Times New Roman"/>
          <w:color w:val="000000"/>
        </w:rPr>
        <w:pict>
          <v:shape id="图片 34" o:spid="_x0000_s1026" type="#_x0000_t75" style="width:423.75pt;height:612pt;margin-top:2.15pt;margin-left:-3.3pt;position:absolute;z-index:-251657216" filled="f" stroked="f">
            <v:imagedata r:id="rId6" o:title=""/>
            <o:lock v:ext="edit" aspectratio="t"/>
          </v:shape>
        </w:pict>
      </w:r>
    </w:p>
    <w:p w:rsidR="00286D23">
      <w:pPr>
        <w:pStyle w:val="Normal0"/>
        <w:ind w:firstLine="480"/>
        <w:rPr>
          <w:rFonts w:ascii="Times New Roman" w:hAnsi="Times New Roman"/>
          <w:color w:val="000000"/>
        </w:rPr>
      </w:pPr>
    </w:p>
    <w:p w:rsidR="00286D23">
      <w:pPr>
        <w:pStyle w:val="Normal0"/>
        <w:ind w:firstLine="480"/>
        <w:rPr>
          <w:rFonts w:ascii="Times New Roman" w:hAnsi="Times New Roman"/>
          <w:color w:val="000000"/>
        </w:rPr>
      </w:pPr>
    </w:p>
    <w:p w:rsidR="00286D23">
      <w:pPr>
        <w:pStyle w:val="Normal0"/>
        <w:ind w:firstLine="480"/>
        <w:rPr>
          <w:rFonts w:ascii="Times New Roman" w:hAnsi="Times New Roman"/>
          <w:color w:val="000000"/>
        </w:rPr>
      </w:pPr>
    </w:p>
    <w:p w:rsidR="00286D23">
      <w:pPr>
        <w:pStyle w:val="Normal0"/>
        <w:ind w:firstLine="480"/>
        <w:rPr>
          <w:rFonts w:ascii="Times New Roman" w:hAnsi="Times New Roman"/>
          <w:color w:val="000000"/>
        </w:rPr>
      </w:pPr>
    </w:p>
    <w:p w:rsidR="00286D23">
      <w:pPr>
        <w:pStyle w:val="Normal0"/>
        <w:ind w:firstLine="0" w:firstLineChars="0"/>
        <w:rPr>
          <w:rFonts w:ascii="Times New Roman" w:hAnsi="Times New Roman"/>
          <w:b/>
          <w:color w:val="000000"/>
        </w:rPr>
      </w:pPr>
      <w:r>
        <w:rPr>
          <w:rFonts w:ascii="Times New Roman" w:hAnsi="Times New Roman" w:cs="宋体" w:hint="eastAsia"/>
          <w:b/>
          <w:color w:val="000000"/>
        </w:rPr>
        <w:t xml:space="preserve">   </w:t>
      </w:r>
      <w:r>
        <w:rPr>
          <w:rFonts w:ascii="Times New Roman" w:hAnsi="Times New Roman" w:hint="eastAsia"/>
          <w:b/>
          <w:color w:val="000000"/>
        </w:rPr>
        <w:t xml:space="preserve">  </w:t>
      </w: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482"/>
        <w:jc w:val="center"/>
        <w:rPr>
          <w:rFonts w:ascii="Times New Roman" w:hAnsi="Times New Roman"/>
          <w:b/>
          <w:color w:val="000000"/>
        </w:rPr>
      </w:pPr>
    </w:p>
    <w:p w:rsidR="00286D23">
      <w:pPr>
        <w:pStyle w:val="Normal0"/>
        <w:ind w:firstLine="2714" w:firstLineChars="1131"/>
        <w:rPr>
          <w:rFonts w:ascii="Times New Roman"/>
        </w:rPr>
      </w:pPr>
    </w:p>
    <w:p w:rsidR="00286D23">
      <w:pPr>
        <w:pStyle w:val="Normal0"/>
        <w:ind w:firstLine="2714" w:firstLineChars="1131"/>
        <w:rPr>
          <w:rFonts w:ascii="Times New Roman"/>
        </w:rPr>
      </w:pPr>
    </w:p>
    <w:p w:rsidR="00286D23">
      <w:pPr>
        <w:pStyle w:val="Normal0"/>
        <w:ind w:firstLine="2714" w:firstLineChars="1131"/>
        <w:rPr>
          <w:rFonts w:ascii="Times New Roman"/>
        </w:rPr>
        <w:sectPr>
          <w:type w:val="nextPage"/>
          <w:pgSz w:w="11906" w:h="16838"/>
          <w:pgMar w:top="1418" w:right="1418" w:bottom="1418" w:left="1701" w:header="709" w:footer="709" w:gutter="0"/>
          <w:pgNumType w:start="11"/>
          <w:cols w:space="720"/>
          <w:titlePg w:val="0"/>
          <w:docGrid w:linePitch="360"/>
        </w:sectPr>
      </w:pPr>
    </w:p>
    <w:p w:rsidR="00286D23">
      <w:pPr>
        <w:pStyle w:val="Normal0"/>
        <w:spacing w:after="240" w:afterLines="100"/>
        <w:ind w:firstLine="2714" w:firstLineChars="1131"/>
        <w:rPr>
          <w:rFonts w:ascii="Times New Roman"/>
        </w:rPr>
      </w:pPr>
    </w:p>
    <w:p w:rsidR="00286D23">
      <w:pPr>
        <w:pStyle w:val="Normal0"/>
        <w:spacing w:after="240" w:afterLines="100"/>
        <w:ind w:firstLine="2714" w:firstLineChars="1131"/>
        <w:rPr>
          <w:rFonts w:ascii="Times New Roman"/>
        </w:rPr>
      </w:pPr>
    </w:p>
    <w:p w:rsidR="00286D23">
      <w:pPr>
        <w:pStyle w:val="Normal0"/>
        <w:spacing w:after="240" w:afterLines="100"/>
        <w:ind w:firstLine="2714" w:firstLineChars="1131"/>
        <w:rPr>
          <w:rFonts w:ascii="Times New Roman"/>
        </w:rPr>
      </w:pPr>
    </w:p>
    <w:p w:rsidR="00286D23">
      <w:pPr>
        <w:pStyle w:val="Normal0"/>
        <w:spacing w:after="240" w:afterLines="100"/>
        <w:ind w:firstLine="2714" w:firstLineChars="1131"/>
        <w:rPr>
          <w:rFonts w:ascii="Times New Roman"/>
        </w:rPr>
      </w:pPr>
    </w:p>
    <w:p w:rsidR="00286D23">
      <w:pPr>
        <w:pStyle w:val="Normal0"/>
        <w:spacing w:after="240" w:afterLines="100"/>
        <w:ind w:firstLine="2714" w:firstLineChars="1131"/>
        <w:rPr>
          <w:rFonts w:ascii="Times New Roman"/>
        </w:rPr>
      </w:pPr>
    </w:p>
    <w:p w:rsidR="00286D23">
      <w:pPr>
        <w:pStyle w:val="Normal0"/>
        <w:spacing w:after="240" w:afterLines="100"/>
        <w:ind w:firstLine="2714" w:firstLineChars="1131"/>
        <w:rPr>
          <w:rFonts w:cs="宋体"/>
          <w:b/>
          <w:color w:val="000000"/>
        </w:rPr>
      </w:pPr>
      <w:r>
        <w:rPr>
          <w:rFonts w:hint="eastAsia"/>
          <w:b/>
        </w:rPr>
        <w:t>图4-1  石方爆破作</w:t>
      </w:r>
      <w:r>
        <w:rPr>
          <w:rFonts w:cs="宋体" w:hint="eastAsia"/>
          <w:b/>
        </w:rPr>
        <w:t>业</w:t>
      </w:r>
      <w:r>
        <w:rPr>
          <w:rFonts w:cs="Batang" w:hint="eastAsia"/>
          <w:b/>
        </w:rPr>
        <w:t>程序</w:t>
      </w:r>
      <w:r>
        <w:rPr>
          <w:rFonts w:cs="宋体" w:hint="eastAsia"/>
          <w:b/>
        </w:rPr>
        <w:t>图</w:t>
      </w:r>
      <w:bookmarkStart w:id="171" w:name="_Toc402795100"/>
      <w:bookmarkStart w:id="172" w:name="_Toc421542555"/>
    </w:p>
    <w:p w:rsidR="00286D23">
      <w:pPr>
        <w:pStyle w:val="Heading2"/>
        <w:ind w:firstLine="482"/>
        <w:rPr>
          <w:rFonts w:ascii="宋体" w:hAnsi="宋体"/>
          <w:sz w:val="24"/>
          <w:szCs w:val="24"/>
        </w:rPr>
      </w:pPr>
      <w:bookmarkStart w:id="173" w:name="_Toc425667822"/>
      <w:bookmarkStart w:id="174" w:name="_Toc425668150"/>
      <w:bookmarkStart w:id="175" w:name="_Toc425668386"/>
      <w:bookmarkStart w:id="176" w:name="_Toc425668514"/>
      <w:bookmarkStart w:id="177" w:name="_Toc425668605"/>
      <w:bookmarkStart w:id="178" w:name="_Toc427933263"/>
      <w:bookmarkStart w:id="179" w:name="_Toc429377632"/>
      <w:bookmarkStart w:id="180" w:name="_Toc432513751"/>
      <w:r>
        <w:rPr>
          <w:rFonts w:ascii="宋体" w:hAnsi="宋体" w:hint="eastAsia"/>
          <w:sz w:val="24"/>
          <w:szCs w:val="24"/>
        </w:rPr>
        <w:t>4.2  支护施工</w:t>
      </w:r>
      <w:bookmarkEnd w:id="171"/>
      <w:bookmarkEnd w:id="172"/>
      <w:bookmarkEnd w:id="173"/>
      <w:bookmarkEnd w:id="174"/>
      <w:bookmarkEnd w:id="175"/>
      <w:bookmarkEnd w:id="176"/>
      <w:bookmarkEnd w:id="177"/>
      <w:bookmarkEnd w:id="178"/>
      <w:bookmarkEnd w:id="179"/>
      <w:bookmarkEnd w:id="180"/>
    </w:p>
    <w:p w:rsidR="00286D23">
      <w:pPr>
        <w:pStyle w:val="Normal0"/>
        <w:ind w:firstLine="600" w:firstLineChars="250"/>
      </w:pPr>
      <w:r>
        <w:rPr>
          <w:rFonts w:hint="eastAsia"/>
        </w:rPr>
        <w:t>明渠支护施工严格按照设计图纸进行：</w:t>
      </w:r>
    </w:p>
    <w:p w:rsidR="00286D23">
      <w:pPr>
        <w:pStyle w:val="Normal0"/>
        <w:ind w:firstLine="600" w:firstLineChars="250"/>
      </w:pPr>
      <w:r>
        <w:rPr>
          <w:rFonts w:hint="eastAsia"/>
        </w:rPr>
        <w:t>土质边坡斜长大于5m采用C20混凝土框架梁草皮护坡，土质边坡斜长小5m的</w:t>
      </w:r>
    </w:p>
    <w:p w:rsidR="00286D23">
      <w:pPr>
        <w:pStyle w:val="Normal0"/>
        <w:ind w:firstLine="0" w:firstLineChars="0"/>
      </w:pPr>
      <w:r>
        <w:rPr>
          <w:rFonts w:hint="eastAsia"/>
        </w:rPr>
        <w:t>直接采用草皮护坡。</w:t>
      </w:r>
    </w:p>
    <w:p w:rsidR="00286D23">
      <w:pPr>
        <w:pStyle w:val="Normal0"/>
        <w:ind w:firstLine="480"/>
      </w:pPr>
      <w:r>
        <w:rPr>
          <w:rFonts w:hint="eastAsia"/>
        </w:rPr>
        <w:t>挖方段及半挖半填段边坡主要支护型式：随机锚杆</w:t>
      </w:r>
      <w:r>
        <w:rPr>
          <w:rFonts w:hint="eastAsia"/>
        </w:rPr>
        <w:t>Ф</w:t>
      </w:r>
      <w:r>
        <w:rPr>
          <w:rFonts w:hint="eastAsia"/>
        </w:rPr>
        <w:t>22、L=3m、间排距3m；喷C20混凝土（t=8cm）支护；挂</w:t>
      </w:r>
      <w:r>
        <w:rPr>
          <w:rFonts w:hint="eastAsia"/>
        </w:rPr>
        <w:t>Ф</w:t>
      </w:r>
      <w:r>
        <w:rPr>
          <w:rFonts w:hint="eastAsia"/>
        </w:rPr>
        <w:t>6.5@20cm钢筋网、喷C20混凝土（t=8cm）；</w:t>
      </w:r>
      <w:r>
        <w:rPr>
          <w:rFonts w:hint="eastAsia"/>
        </w:rPr>
        <w:t>Ф</w:t>
      </w:r>
      <w:r>
        <w:rPr>
          <w:rFonts w:hint="eastAsia"/>
        </w:rPr>
        <w:t>5cmPVC排水管 (L=2m)、间排距3m等。</w:t>
      </w:r>
    </w:p>
    <w:p w:rsidR="00286D23">
      <w:pPr>
        <w:pStyle w:val="Normal0"/>
        <w:ind w:firstLine="480"/>
      </w:pPr>
      <w:r>
        <w:rPr>
          <w:rFonts w:hint="eastAsia"/>
        </w:rPr>
        <w:t>填方段边坡主要支护型式：草皮护坡，C20混凝土框架梁草皮护坡。</w:t>
      </w:r>
    </w:p>
    <w:p w:rsidR="00286D23">
      <w:pPr>
        <w:pStyle w:val="Heading3"/>
        <w:ind w:firstLine="482"/>
        <w:rPr>
          <w:sz w:val="24"/>
          <w:szCs w:val="24"/>
        </w:rPr>
      </w:pPr>
      <w:bookmarkStart w:id="181" w:name="_Toc430156052"/>
      <w:bookmarkStart w:id="182" w:name="_Toc429377633"/>
      <w:bookmarkStart w:id="183" w:name="_Toc427933264"/>
      <w:bookmarkStart w:id="184" w:name="_Toc425668606"/>
      <w:bookmarkStart w:id="185" w:name="_Toc425668515"/>
      <w:bookmarkStart w:id="186" w:name="_Toc425668387"/>
      <w:bookmarkStart w:id="187" w:name="_Toc425668151"/>
      <w:bookmarkStart w:id="188" w:name="_Toc425667823"/>
      <w:r>
        <w:rPr>
          <w:rFonts w:hint="eastAsia"/>
          <w:sz w:val="24"/>
          <w:szCs w:val="24"/>
        </w:rPr>
        <w:t>4.2.1  锚杆施工</w:t>
      </w:r>
      <w:bookmarkEnd w:id="181"/>
      <w:bookmarkEnd w:id="182"/>
      <w:bookmarkEnd w:id="183"/>
      <w:bookmarkEnd w:id="184"/>
      <w:bookmarkEnd w:id="185"/>
      <w:bookmarkEnd w:id="186"/>
      <w:bookmarkEnd w:id="187"/>
      <w:bookmarkEnd w:id="188"/>
    </w:p>
    <w:p w:rsidR="00286D23">
      <w:pPr>
        <w:pStyle w:val="Normal0"/>
        <w:ind w:firstLine="480"/>
      </w:pPr>
      <w:r>
        <w:rPr>
          <w:rFonts w:hint="eastAsia"/>
        </w:rPr>
        <w:t>锚杆采用</w:t>
      </w:r>
      <w:r>
        <w:rPr>
          <w:rFonts w:hint="eastAsia"/>
        </w:rPr>
        <w:t>“</w:t>
      </w:r>
      <w:r>
        <w:rPr>
          <w:rFonts w:hint="eastAsia"/>
        </w:rPr>
        <w:t>先注浆后安装锚杆</w:t>
      </w:r>
      <w:r>
        <w:rPr>
          <w:rFonts w:hint="eastAsia"/>
        </w:rPr>
        <w:t>”</w:t>
      </w:r>
      <w:r>
        <w:rPr>
          <w:rFonts w:hint="eastAsia"/>
        </w:rPr>
        <w:t>的方法进行施工。</w:t>
      </w:r>
    </w:p>
    <w:p w:rsidR="00286D23">
      <w:pPr>
        <w:pStyle w:val="Normal0"/>
        <w:ind w:firstLine="480"/>
        <w:rPr>
          <w:szCs w:val="24"/>
        </w:rPr>
      </w:pPr>
      <w:r>
        <w:rPr>
          <w:rFonts w:hint="eastAsia"/>
          <w:szCs w:val="24"/>
        </w:rPr>
        <w:t>1、</w:t>
      </w:r>
      <w:r>
        <w:rPr>
          <w:szCs w:val="24"/>
        </w:rPr>
        <w:t>材料</w:t>
      </w:r>
    </w:p>
    <w:p w:rsidR="00286D23">
      <w:pPr>
        <w:pStyle w:val="Normal0"/>
        <w:ind w:firstLine="480"/>
        <w:rPr>
          <w:szCs w:val="24"/>
        </w:rPr>
      </w:pPr>
      <w:r>
        <w:rPr>
          <w:rFonts w:hint="eastAsia"/>
          <w:szCs w:val="24"/>
        </w:rPr>
        <w:t>（1）</w:t>
      </w:r>
      <w:r>
        <w:rPr>
          <w:szCs w:val="24"/>
        </w:rPr>
        <w:t>锚杆：</w:t>
      </w:r>
      <w:r>
        <w:t>选用</w:t>
      </w:r>
      <w:r>
        <w:rPr>
          <w:rFonts w:hint="eastAsia"/>
          <w:u w:val="single"/>
        </w:rPr>
        <w:t>Ф</w:t>
      </w:r>
      <w:r>
        <w:rPr>
          <w:rFonts w:hint="eastAsia"/>
        </w:rPr>
        <w:t>22的</w:t>
      </w:r>
      <w:r>
        <w:t>螺纹钢筋</w:t>
      </w:r>
      <w:r>
        <w:rPr>
          <w:rFonts w:hint="eastAsia"/>
        </w:rPr>
        <w:t>制作</w:t>
      </w:r>
      <w:r>
        <w:rPr>
          <w:szCs w:val="24"/>
        </w:rPr>
        <w:t>。</w:t>
      </w:r>
    </w:p>
    <w:p w:rsidR="00286D23">
      <w:pPr>
        <w:pStyle w:val="Normal0"/>
        <w:ind w:firstLine="480"/>
        <w:rPr>
          <w:szCs w:val="24"/>
        </w:rPr>
      </w:pPr>
      <w:r>
        <w:rPr>
          <w:rFonts w:hint="eastAsia"/>
          <w:szCs w:val="24"/>
        </w:rPr>
        <w:t>（2）</w:t>
      </w:r>
      <w:r>
        <w:rPr>
          <w:szCs w:val="24"/>
        </w:rPr>
        <w:t>水泥：采用标号不低于</w:t>
      </w:r>
      <w:r>
        <w:rPr>
          <w:rFonts w:hint="eastAsia"/>
          <w:szCs w:val="24"/>
        </w:rPr>
        <w:t>3</w:t>
      </w:r>
      <w:r>
        <w:rPr>
          <w:szCs w:val="24"/>
        </w:rPr>
        <w:t>2.5级的普通硅酸盐水泥。</w:t>
      </w:r>
    </w:p>
    <w:p w:rsidR="00286D23">
      <w:pPr>
        <w:pStyle w:val="Normal0"/>
        <w:ind w:firstLine="480"/>
        <w:rPr>
          <w:szCs w:val="24"/>
        </w:rPr>
      </w:pPr>
      <w:r>
        <w:rPr>
          <w:rFonts w:hint="eastAsia"/>
          <w:szCs w:val="24"/>
        </w:rPr>
        <w:t>（3）</w:t>
      </w:r>
      <w:r>
        <w:rPr>
          <w:szCs w:val="24"/>
        </w:rPr>
        <w:t>水：取自</w:t>
      </w:r>
      <w:r>
        <w:rPr>
          <w:rFonts w:hint="eastAsia"/>
          <w:szCs w:val="24"/>
        </w:rPr>
        <w:t>附近水库的水或</w:t>
      </w:r>
      <w:r>
        <w:rPr>
          <w:rFonts w:hint="eastAsia"/>
        </w:rPr>
        <w:t>钻井取水</w:t>
      </w:r>
      <w:r>
        <w:rPr>
          <w:szCs w:val="24"/>
        </w:rPr>
        <w:t>。</w:t>
      </w:r>
    </w:p>
    <w:p w:rsidR="00286D23">
      <w:pPr>
        <w:pStyle w:val="Normal0"/>
        <w:ind w:firstLine="480"/>
        <w:rPr>
          <w:szCs w:val="24"/>
        </w:rPr>
        <w:sectPr>
          <w:type w:val="nextPage"/>
          <w:pgSz w:w="11906" w:h="16838"/>
          <w:pgMar w:top="1418" w:right="1418" w:bottom="1418" w:left="1701" w:header="709" w:footer="709" w:gutter="0"/>
          <w:pgNumType w:start="12"/>
          <w:cols w:space="720"/>
          <w:titlePg w:val="0"/>
          <w:docGrid w:linePitch="360"/>
        </w:sectPr>
      </w:pPr>
      <w:r>
        <w:rPr>
          <w:rFonts w:hint="eastAsia"/>
          <w:szCs w:val="24"/>
        </w:rPr>
        <w:t>（4）</w:t>
      </w:r>
      <w:r>
        <w:rPr>
          <w:szCs w:val="24"/>
        </w:rPr>
        <w:t>砂：采用中、细砂。</w:t>
      </w:r>
    </w:p>
    <w:p w:rsidR="00286D23">
      <w:pPr>
        <w:pStyle w:val="Normal0"/>
        <w:ind w:firstLine="480"/>
        <w:rPr>
          <w:szCs w:val="24"/>
        </w:rPr>
      </w:pPr>
      <w:r>
        <w:rPr>
          <w:rFonts w:hint="eastAsia"/>
          <w:szCs w:val="24"/>
        </w:rPr>
        <w:t>（5）</w:t>
      </w:r>
      <w:r>
        <w:rPr>
          <w:szCs w:val="24"/>
        </w:rPr>
        <w:t>外加剂：采用不含有对锚杆产生腐蚀作用成分的外加剂。</w:t>
      </w:r>
    </w:p>
    <w:p w:rsidR="00286D23">
      <w:pPr>
        <w:pStyle w:val="Normal0"/>
        <w:ind w:firstLine="480"/>
        <w:rPr>
          <w:szCs w:val="24"/>
        </w:rPr>
      </w:pPr>
      <w:r>
        <w:rPr>
          <w:rFonts w:hint="eastAsia"/>
          <w:szCs w:val="24"/>
        </w:rPr>
        <w:t>（6）</w:t>
      </w:r>
      <w:r>
        <w:rPr>
          <w:szCs w:val="24"/>
        </w:rPr>
        <w:t>水泥砂浆：</w:t>
      </w:r>
      <w:r>
        <w:rPr>
          <w:rFonts w:hint="eastAsia"/>
          <w:szCs w:val="24"/>
        </w:rPr>
        <w:t>水泥砂浆强度等级需满足设计要求，且</w:t>
      </w:r>
      <w:r>
        <w:rPr>
          <w:szCs w:val="24"/>
        </w:rPr>
        <w:t>强度等级不低于</w:t>
      </w:r>
      <w:r>
        <w:rPr>
          <w:rFonts w:hint="eastAsia"/>
          <w:szCs w:val="24"/>
        </w:rPr>
        <w:t>设计强度</w:t>
      </w:r>
      <w:r>
        <w:rPr>
          <w:szCs w:val="24"/>
        </w:rPr>
        <w:t>。</w:t>
      </w:r>
    </w:p>
    <w:p w:rsidR="00286D23">
      <w:pPr>
        <w:pStyle w:val="Normal0"/>
        <w:ind w:firstLine="600" w:firstLineChars="250"/>
        <w:rPr>
          <w:szCs w:val="24"/>
        </w:rPr>
      </w:pPr>
      <w:r>
        <w:rPr>
          <w:rFonts w:hint="eastAsia"/>
          <w:szCs w:val="24"/>
        </w:rPr>
        <w:t>2、</w:t>
      </w:r>
      <w:r>
        <w:rPr>
          <w:szCs w:val="24"/>
        </w:rPr>
        <w:t>施工工艺流程</w:t>
      </w:r>
    </w:p>
    <w:p w:rsidR="00286D23">
      <w:pPr>
        <w:pStyle w:val="Normal0"/>
        <w:ind w:firstLine="600" w:firstLineChars="250"/>
        <w:rPr>
          <w:szCs w:val="24"/>
        </w:rPr>
      </w:pPr>
      <w:r>
        <w:rPr>
          <w:rFonts w:hint="eastAsia"/>
          <w:szCs w:val="24"/>
        </w:rPr>
        <w:t>施工工艺流程如下图4-2。</w:t>
      </w:r>
    </w:p>
    <w:p w:rsidR="00286D23">
      <w:pPr>
        <w:pStyle w:val="Normal0"/>
        <w:ind w:firstLine="0" w:firstLineChars="0"/>
        <w:rPr>
          <w:rFonts w:ascii="Times New Roman" w:hAnsi="Times New Roman"/>
          <w:szCs w:val="24"/>
        </w:rPr>
      </w:pPr>
      <w:r>
        <w:rPr>
          <w:b/>
        </w:rPr>
        <w:pict>
          <v:group id="Group 459" o:spid="_x0000_s1027" style="width:360.55pt;height:3in;margin-top:20.2pt;margin-left:42.15pt;mso-height-relative:page;mso-width-relative:page;mso-wrap-distance-bottom:0;mso-wrap-distance-top:0;position:absolute;z-index:251660288" coordorigin="0,0" coordsize="7563,5159">
            <o:lock v:ext="edit" aspectratio="f"/>
            <v:shape id="Picture 460" o:spid="_x0000_s1028" type="#_x0000_t75" style="width:7563;height:5159;position:absolute" filled="f" stroked="f">
              <o:lock v:ext="edit" aspectratio="t" text="t"/>
            </v:shape>
            <v:rect id="Rectangle 461" o:spid="_x0000_s1029" style="width:1777;height:468;left:3059;position:absolute;top:8" filled="t" stroked="t">
              <o:lock v:ext="edit" aspectratio="f"/>
              <v:textbox>
                <w:txbxContent>
                  <w:p w:rsidR="00286D23">
                    <w:pPr>
                      <w:pStyle w:val="Normal0"/>
                      <w:ind w:firstLine="0" w:firstLineChars="0"/>
                      <w:jc w:val="center"/>
                      <w:rPr>
                        <w:rFonts w:cs="宋体"/>
                        <w:sz w:val="21"/>
                        <w:szCs w:val="21"/>
                      </w:rPr>
                    </w:pPr>
                    <w:r>
                      <w:rPr>
                        <w:rFonts w:cs="宋体" w:hint="eastAsia"/>
                        <w:sz w:val="21"/>
                        <w:szCs w:val="21"/>
                      </w:rPr>
                      <w:t>造    孔</w:t>
                    </w:r>
                  </w:p>
                  <w:p w:rsidR="00286D23">
                    <w:pPr>
                      <w:pStyle w:val="Normal0"/>
                      <w:ind w:firstLine="422"/>
                      <w:rPr>
                        <w:rFonts w:ascii="仿宋_GB2312" w:eastAsia="仿宋_GB2312"/>
                        <w:b/>
                        <w:sz w:val="21"/>
                        <w:szCs w:val="21"/>
                      </w:rPr>
                    </w:pPr>
                  </w:p>
                </w:txbxContent>
              </v:textbox>
            </v:rect>
            <v:rect id="Rectangle 462" o:spid="_x0000_s1030" style="width:1769;height:468;left:3067;position:absolute;top:785" filled="t" stroked="t">
              <o:lock v:ext="edit" aspectratio="f"/>
              <v:textbox>
                <w:txbxContent>
                  <w:p w:rsidR="00286D23">
                    <w:pPr>
                      <w:pStyle w:val="Normal0"/>
                      <w:ind w:firstLine="0" w:firstLineChars="0"/>
                      <w:jc w:val="center"/>
                      <w:rPr>
                        <w:rFonts w:cs="宋体"/>
                        <w:sz w:val="21"/>
                        <w:szCs w:val="21"/>
                      </w:rPr>
                    </w:pPr>
                    <w:r>
                      <w:rPr>
                        <w:rFonts w:cs="宋体" w:hint="eastAsia"/>
                        <w:sz w:val="21"/>
                        <w:szCs w:val="21"/>
                      </w:rPr>
                      <w:t>清    孔</w:t>
                    </w:r>
                  </w:p>
                  <w:p w:rsidR="00286D23">
                    <w:pPr>
                      <w:pStyle w:val="Normal0"/>
                      <w:ind w:firstLine="422"/>
                      <w:rPr>
                        <w:rFonts w:ascii="仿宋_GB2312" w:eastAsia="仿宋_GB2312"/>
                        <w:b/>
                        <w:sz w:val="21"/>
                        <w:szCs w:val="21"/>
                      </w:rPr>
                    </w:pPr>
                  </w:p>
                </w:txbxContent>
              </v:textbox>
            </v:rect>
            <v:rect id="Rectangle 463" o:spid="_x0000_s1031" style="width:1800;height:468;left:3051;position:absolute;top:1565" filled="t" stroked="t">
              <o:lock v:ext="edit" aspectratio="f"/>
              <v:textbox>
                <w:txbxContent>
                  <w:p w:rsidR="00286D23">
                    <w:pPr>
                      <w:pStyle w:val="Normal0"/>
                      <w:ind w:firstLine="0" w:firstLineChars="0"/>
                      <w:jc w:val="center"/>
                      <w:rPr>
                        <w:rFonts w:cs="宋体"/>
                        <w:sz w:val="21"/>
                        <w:szCs w:val="21"/>
                      </w:rPr>
                    </w:pPr>
                    <w:r>
                      <w:rPr>
                        <w:rFonts w:cs="宋体" w:hint="eastAsia"/>
                        <w:sz w:val="21"/>
                        <w:szCs w:val="21"/>
                      </w:rPr>
                      <w:t>验    孔</w:t>
                    </w:r>
                  </w:p>
                  <w:p w:rsidR="00286D23">
                    <w:pPr>
                      <w:pStyle w:val="Normal0"/>
                      <w:ind w:firstLine="422"/>
                      <w:rPr>
                        <w:rFonts w:ascii="仿宋_GB2312" w:eastAsia="仿宋_GB2312"/>
                        <w:b/>
                        <w:sz w:val="21"/>
                        <w:szCs w:val="21"/>
                      </w:rPr>
                    </w:pPr>
                  </w:p>
                </w:txbxContent>
              </v:textbox>
            </v:rect>
            <v:rect id="Rectangle 464" o:spid="_x0000_s1032" style="width:1800;height:468;left:3051;position:absolute;top:2345" filled="t" stroked="t">
              <o:lock v:ext="edit" aspectratio="f"/>
              <v:textbox>
                <w:txbxContent>
                  <w:p w:rsidR="00286D23">
                    <w:pPr>
                      <w:pStyle w:val="Normal0"/>
                      <w:ind w:firstLine="0" w:firstLineChars="0"/>
                      <w:jc w:val="center"/>
                      <w:rPr>
                        <w:rFonts w:cs="宋体"/>
                        <w:sz w:val="21"/>
                        <w:szCs w:val="21"/>
                      </w:rPr>
                    </w:pPr>
                    <w:r>
                      <w:rPr>
                        <w:rFonts w:cs="宋体" w:hint="eastAsia"/>
                        <w:sz w:val="21"/>
                        <w:szCs w:val="21"/>
                      </w:rPr>
                      <w:t>孔内注浆</w:t>
                    </w:r>
                  </w:p>
                  <w:p w:rsidR="00286D23">
                    <w:pPr>
                      <w:pStyle w:val="Normal0"/>
                      <w:ind w:firstLine="422"/>
                      <w:rPr>
                        <w:rFonts w:ascii="仿宋_GB2312" w:eastAsia="仿宋_GB2312"/>
                        <w:b/>
                        <w:sz w:val="21"/>
                        <w:szCs w:val="21"/>
                      </w:rPr>
                    </w:pPr>
                  </w:p>
                </w:txbxContent>
              </v:textbox>
            </v:rect>
            <v:rect id="Rectangle 465" o:spid="_x0000_s1033" style="width:1800;height:468;left:3051;position:absolute;top:3125" filled="t" stroked="t">
              <o:lock v:ext="edit" aspectratio="f"/>
              <v:textbox>
                <w:txbxContent>
                  <w:p w:rsidR="00286D23">
                    <w:pPr>
                      <w:pStyle w:val="Normal0"/>
                      <w:ind w:firstLine="0" w:firstLineChars="0"/>
                      <w:jc w:val="center"/>
                      <w:rPr>
                        <w:rFonts w:cs="宋体"/>
                        <w:sz w:val="21"/>
                        <w:szCs w:val="21"/>
                      </w:rPr>
                    </w:pPr>
                    <w:r>
                      <w:rPr>
                        <w:rFonts w:cs="宋体" w:hint="eastAsia"/>
                        <w:sz w:val="21"/>
                        <w:szCs w:val="21"/>
                      </w:rPr>
                      <w:t>安装锚杆</w:t>
                    </w:r>
                  </w:p>
                  <w:p w:rsidR="00286D23">
                    <w:pPr>
                      <w:pStyle w:val="Normal0"/>
                      <w:ind w:firstLine="422"/>
                      <w:rPr>
                        <w:rFonts w:ascii="仿宋_GB2312" w:eastAsia="仿宋_GB2312"/>
                        <w:b/>
                        <w:sz w:val="21"/>
                        <w:szCs w:val="21"/>
                      </w:rPr>
                    </w:pPr>
                  </w:p>
                </w:txbxContent>
              </v:textbox>
            </v:rect>
            <v:rect id="Rectangle 466" o:spid="_x0000_s1034" style="width:1800;height:466;left:3051;position:absolute;top:3905" filled="t" stroked="t">
              <o:lock v:ext="edit" aspectratio="f"/>
              <v:textbox>
                <w:txbxContent>
                  <w:p w:rsidR="00286D23">
                    <w:pPr>
                      <w:pStyle w:val="Normal0"/>
                      <w:ind w:firstLine="0" w:firstLineChars="0"/>
                      <w:jc w:val="center"/>
                      <w:rPr>
                        <w:rFonts w:cs="宋体"/>
                        <w:sz w:val="21"/>
                        <w:szCs w:val="21"/>
                      </w:rPr>
                    </w:pPr>
                    <w:r>
                      <w:rPr>
                        <w:rFonts w:cs="宋体" w:hint="eastAsia"/>
                        <w:sz w:val="21"/>
                        <w:szCs w:val="21"/>
                      </w:rPr>
                      <w:t>等    强</w:t>
                    </w:r>
                  </w:p>
                  <w:p w:rsidR="00286D23">
                    <w:pPr>
                      <w:pStyle w:val="Normal0"/>
                      <w:ind w:firstLine="422"/>
                      <w:rPr>
                        <w:rFonts w:ascii="仿宋_GB2312" w:eastAsia="仿宋_GB2312"/>
                        <w:b/>
                        <w:sz w:val="21"/>
                        <w:szCs w:val="21"/>
                      </w:rPr>
                    </w:pPr>
                  </w:p>
                </w:txbxContent>
              </v:textbox>
            </v:rect>
            <v:rect id="Rectangle 467" o:spid="_x0000_s1035" style="width:1888;height:468;left:5667;position:absolute;top:3125" filled="t" stroked="t">
              <o:lock v:ext="edit" aspectratio="f"/>
              <v:textbox>
                <w:txbxContent>
                  <w:p w:rsidR="00286D23">
                    <w:pPr>
                      <w:pStyle w:val="Normal0"/>
                      <w:ind w:firstLine="0" w:firstLineChars="0"/>
                      <w:jc w:val="center"/>
                      <w:rPr>
                        <w:rFonts w:cs="宋体"/>
                        <w:sz w:val="21"/>
                        <w:szCs w:val="21"/>
                      </w:rPr>
                    </w:pPr>
                    <w:r>
                      <w:rPr>
                        <w:rFonts w:cs="宋体" w:hint="eastAsia"/>
                        <w:sz w:val="21"/>
                        <w:szCs w:val="21"/>
                      </w:rPr>
                      <w:t>锚杆制作</w:t>
                    </w:r>
                  </w:p>
                  <w:p w:rsidR="00286D23">
                    <w:pPr>
                      <w:pStyle w:val="Normal0"/>
                      <w:ind w:firstLine="422"/>
                      <w:rPr>
                        <w:rFonts w:ascii="仿宋_GB2312" w:eastAsia="仿宋_GB2312"/>
                        <w:b/>
                        <w:sz w:val="21"/>
                        <w:szCs w:val="21"/>
                      </w:rPr>
                    </w:pPr>
                  </w:p>
                </w:txbxContent>
              </v:textbox>
            </v:rect>
            <v:rect id="Rectangle 468" o:spid="_x0000_s1036" style="width:1365;height:468;left:987;position:absolute;top:2345" filled="t" stroked="t">
              <o:lock v:ext="edit" aspectratio="f"/>
              <v:textbox>
                <w:txbxContent>
                  <w:p w:rsidR="00286D23">
                    <w:pPr>
                      <w:pStyle w:val="Normal0"/>
                      <w:ind w:firstLine="0" w:firstLineChars="0"/>
                      <w:jc w:val="center"/>
                      <w:rPr>
                        <w:rFonts w:cs="宋体"/>
                        <w:sz w:val="21"/>
                        <w:szCs w:val="21"/>
                      </w:rPr>
                    </w:pPr>
                    <w:r>
                      <w:rPr>
                        <w:rFonts w:cs="宋体" w:hint="eastAsia"/>
                        <w:sz w:val="21"/>
                        <w:szCs w:val="21"/>
                      </w:rPr>
                      <w:t>制   浆</w:t>
                    </w:r>
                  </w:p>
                  <w:p w:rsidR="00286D23">
                    <w:pPr>
                      <w:pStyle w:val="Normal0"/>
                      <w:ind w:firstLine="422"/>
                      <w:jc w:val="center"/>
                      <w:rPr>
                        <w:rFonts w:ascii="仿宋_GB2312" w:eastAsia="仿宋_GB2312"/>
                        <w:b/>
                        <w:sz w:val="21"/>
                        <w:szCs w:val="21"/>
                      </w:rPr>
                    </w:pPr>
                  </w:p>
                </w:txbxContent>
              </v:textbox>
            </v:rect>
            <v:rect id="Rectangle 469" o:spid="_x0000_s1037" style="width:2291;height:468;left:169;position:absolute;top:8" filled="t" stroked="t">
              <o:lock v:ext="edit" aspectratio="f"/>
              <v:textbox>
                <w:txbxContent>
                  <w:p w:rsidR="00286D23">
                    <w:pPr>
                      <w:pStyle w:val="Normal0"/>
                      <w:ind w:firstLine="0" w:firstLineChars="0"/>
                      <w:jc w:val="center"/>
                      <w:rPr>
                        <w:rFonts w:cs="宋体"/>
                        <w:sz w:val="21"/>
                        <w:szCs w:val="21"/>
                      </w:rPr>
                    </w:pPr>
                    <w:r>
                      <w:rPr>
                        <w:rFonts w:cs="宋体" w:hint="eastAsia"/>
                        <w:sz w:val="21"/>
                        <w:szCs w:val="21"/>
                      </w:rPr>
                      <w:t>施工准备</w:t>
                    </w:r>
                  </w:p>
                  <w:p w:rsidR="00286D23">
                    <w:pPr>
                      <w:pStyle w:val="Normal0"/>
                      <w:ind w:firstLine="422"/>
                      <w:jc w:val="center"/>
                      <w:rPr>
                        <w:rFonts w:ascii="仿宋_GB2312" w:eastAsia="仿宋_GB2312"/>
                        <w:b/>
                        <w:sz w:val="21"/>
                        <w:szCs w:val="21"/>
                      </w:rPr>
                    </w:pPr>
                  </w:p>
                </w:txbxContent>
              </v:textbox>
            </v:rect>
            <v:rect id="Rectangle 470" o:spid="_x0000_s1038" style="width:1769;height:466;left:3067;position:absolute;top:4685" filled="t" stroked="t">
              <o:lock v:ext="edit" aspectratio="f"/>
              <v:textbox>
                <w:txbxContent>
                  <w:p w:rsidR="00286D23">
                    <w:pPr>
                      <w:pStyle w:val="Normal0"/>
                      <w:ind w:firstLine="420"/>
                      <w:rPr>
                        <w:rFonts w:cs="宋体"/>
                        <w:sz w:val="21"/>
                        <w:szCs w:val="21"/>
                      </w:rPr>
                    </w:pPr>
                    <w:r>
                      <w:rPr>
                        <w:rFonts w:cs="宋体" w:hint="eastAsia"/>
                        <w:sz w:val="21"/>
                        <w:szCs w:val="21"/>
                      </w:rPr>
                      <w:t>质量检验</w:t>
                    </w:r>
                  </w:p>
                  <w:p w:rsidR="00286D23">
                    <w:pPr>
                      <w:pStyle w:val="Normal0"/>
                      <w:ind w:firstLine="422"/>
                      <w:rPr>
                        <w:rFonts w:ascii="仿宋_GB2312" w:eastAsia="仿宋_GB2312"/>
                        <w:b/>
                        <w:sz w:val="21"/>
                        <w:szCs w:val="21"/>
                      </w:rPr>
                    </w:pPr>
                  </w:p>
                </w:txbxContent>
              </v:textbox>
            </v:rect>
            <v:shapetype id="_x0000_t32" coordsize="21600,21600" o:spt="32" o:oned="t" path="m,l21600,21600e" filled="f">
              <v:path arrowok="t" fillok="f" o:connecttype="none"/>
              <o:lock v:ext="edit" shapetype="t"/>
            </v:shapetype>
            <v:shape id="AutoShape 471" o:spid="_x0000_s1039" type="#_x0000_t32" style="width:599;height:1;left:2460;position:absolute;top:242" filled="f" stroked="t">
              <v:stroke endarrow="block"/>
              <v:path arrowok="t"/>
              <o:lock v:ext="edit" aspectratio="f"/>
            </v:shape>
            <v:shape id="AutoShape 472" o:spid="_x0000_s1040" type="#_x0000_t32" style="width:4;height:309;left:3948;position:absolute;top:476" filled="f" stroked="t">
              <v:stroke endarrow="block"/>
              <v:path arrowok="t"/>
              <o:lock v:ext="edit" aspectratio="f"/>
            </v:shape>
            <v:shape id="AutoShape 473" o:spid="_x0000_s1041" type="#_x0000_t32" style="width:1;height:312;flip:x;left:3951;position:absolute;top:1253" filled="f" stroked="t">
              <v:stroke endarrow="block"/>
              <v:path arrowok="t"/>
              <o:lock v:ext="edit" aspectratio="f"/>
            </v:shape>
            <v:shape id="AutoShape 474" o:spid="_x0000_s1042" type="#_x0000_t32" style="width:1;height:312;left:3951;position:absolute;top:2033" filled="f" stroked="t">
              <v:stroke endarrow="block"/>
              <v:path arrowok="t"/>
              <o:lock v:ext="edit" aspectratio="f"/>
            </v:shape>
            <v:shape id="AutoShape 475" o:spid="_x0000_s1043" type="#_x0000_t32" style="width:1;height:312;left:3951;position:absolute;top:2813" filled="f" stroked="t">
              <v:stroke endarrow="block"/>
              <v:path arrowok="t"/>
              <o:lock v:ext="edit" aspectratio="f"/>
            </v:shape>
            <v:shape id="AutoShape 476" o:spid="_x0000_s1044" type="#_x0000_t32" style="width:1;height:312;left:3951;position:absolute;top:3593" filled="f" stroked="t">
              <v:stroke endarrow="block"/>
              <v:path arrowok="t"/>
              <o:lock v:ext="edit" aspectratio="f"/>
            </v:shape>
            <v:shape id="AutoShape 477" o:spid="_x0000_s1045" type="#_x0000_t32" style="width:1;height:314;left:3951;position:absolute;top:4371" filled="f" stroked="t">
              <v:stroke endarrow="block"/>
              <v:path arrowok="t"/>
              <o:lock v:ext="edit" aspectratio="f"/>
            </v:shape>
            <v:shape id="AutoShape 478" o:spid="_x0000_s1046" type="#_x0000_t32" style="width:699;height:1;left:2352;position:absolute;top:2579" filled="f" stroked="t">
              <v:stroke endarrow="block"/>
              <v:path arrowok="t"/>
              <o:lock v:ext="edit" aspectratio="f"/>
            </v:shape>
            <v:shape id="AutoShape 479" o:spid="_x0000_s1047" type="#_x0000_t32" style="width:816;height:1;flip:x;left:4851;position:absolute;top:3359" filled="f" stroked="t">
              <v:stroke endarrow="block"/>
              <v:path arrowok="t"/>
              <o:lock v:ext="edit" aspectratio="f"/>
            </v:shape>
            <w10:wrap type="topAndBottom"/>
          </v:group>
        </w:pict>
      </w:r>
    </w:p>
    <w:p w:rsidR="00286D23">
      <w:pPr>
        <w:pStyle w:val="Normal0"/>
        <w:spacing w:after="240" w:afterLines="100"/>
        <w:ind w:firstLine="0" w:firstLineChars="0"/>
        <w:jc w:val="center"/>
        <w:rPr>
          <w:rFonts w:ascii="Times New Roman" w:hAnsi="Times New Roman"/>
          <w:b/>
          <w:szCs w:val="24"/>
        </w:rPr>
      </w:pPr>
      <w:r>
        <w:rPr>
          <w:rFonts w:ascii="Times New Roman" w:hint="eastAsia"/>
          <w:b/>
          <w:szCs w:val="24"/>
        </w:rPr>
        <w:t>图</w:t>
      </w:r>
      <w:r>
        <w:rPr>
          <w:rFonts w:ascii="Times New Roman" w:hAnsi="Times New Roman" w:hint="eastAsia"/>
          <w:b/>
          <w:szCs w:val="24"/>
        </w:rPr>
        <w:t xml:space="preserve">4-2    </w:t>
      </w:r>
      <w:r>
        <w:rPr>
          <w:rFonts w:ascii="Times New Roman" w:hint="eastAsia"/>
          <w:b/>
          <w:szCs w:val="24"/>
        </w:rPr>
        <w:t>支护施工工艺流程图</w:t>
      </w:r>
    </w:p>
    <w:p w:rsidR="00286D23">
      <w:pPr>
        <w:pStyle w:val="Normal0"/>
        <w:ind w:firstLine="480"/>
      </w:pPr>
      <w:r>
        <w:rPr>
          <w:rFonts w:hint="eastAsia"/>
          <w:szCs w:val="24"/>
        </w:rPr>
        <w:t>3、</w:t>
      </w:r>
      <w:r>
        <w:rPr>
          <w:szCs w:val="24"/>
        </w:rPr>
        <w:t>施工工艺</w:t>
      </w:r>
      <w:r>
        <w:rPr>
          <w:rFonts w:hint="eastAsia"/>
          <w:szCs w:val="24"/>
        </w:rPr>
        <w:t>要求</w:t>
      </w:r>
    </w:p>
    <w:p w:rsidR="00286D23">
      <w:pPr>
        <w:pStyle w:val="Normal0"/>
        <w:ind w:firstLine="480"/>
        <w:rPr>
          <w:szCs w:val="24"/>
        </w:rPr>
      </w:pPr>
      <w:r>
        <w:rPr>
          <w:rFonts w:hint="eastAsia"/>
          <w:szCs w:val="24"/>
        </w:rPr>
        <w:t>（1）</w:t>
      </w:r>
      <w:r>
        <w:rPr>
          <w:szCs w:val="24"/>
        </w:rPr>
        <w:t>施工准备：首先将风水管、照明设施</w:t>
      </w:r>
      <w:r>
        <w:rPr>
          <w:rFonts w:hint="eastAsia"/>
          <w:szCs w:val="24"/>
        </w:rPr>
        <w:t>布置</w:t>
      </w:r>
      <w:r>
        <w:rPr>
          <w:szCs w:val="24"/>
        </w:rPr>
        <w:t>到位，准备钻具开钻，另一方面准备注浆设备，水泥、锚杆、砂等原材料。</w:t>
      </w:r>
    </w:p>
    <w:p w:rsidR="00286D23">
      <w:pPr>
        <w:pStyle w:val="Normal0"/>
        <w:ind w:firstLine="480"/>
      </w:pPr>
      <w:r>
        <w:rPr>
          <w:rFonts w:hint="eastAsia"/>
          <w:szCs w:val="24"/>
        </w:rPr>
        <w:t>（2）</w:t>
      </w:r>
      <w:r>
        <w:rPr>
          <w:szCs w:val="24"/>
        </w:rPr>
        <w:t>造孔：在</w:t>
      </w:r>
      <w:r>
        <w:rPr>
          <w:rFonts w:hint="eastAsia"/>
          <w:szCs w:val="24"/>
        </w:rPr>
        <w:t>脚手架搭设的平台上</w:t>
      </w:r>
      <w:r>
        <w:rPr>
          <w:szCs w:val="24"/>
        </w:rPr>
        <w:t>利用</w:t>
      </w:r>
      <w:r>
        <w:rPr>
          <w:rFonts w:hint="eastAsia"/>
        </w:rPr>
        <w:t>YT-28型</w:t>
      </w:r>
      <w:r>
        <w:rPr>
          <w:szCs w:val="24"/>
        </w:rPr>
        <w:t>手风钻造孔，</w:t>
      </w:r>
      <w:r>
        <w:rPr>
          <w:rFonts w:hint="eastAsia"/>
          <w:szCs w:val="24"/>
        </w:rPr>
        <w:t>造孔孔径为42mm，</w:t>
      </w:r>
      <w:r>
        <w:rPr>
          <w:szCs w:val="24"/>
        </w:rPr>
        <w:t>边造孔边逐一检查，其钻孔的孔径、孔位、孔轴方向、孔深必须符合设计要求，否则进行处理或重钻。</w:t>
      </w:r>
    </w:p>
    <w:p w:rsidR="00286D23">
      <w:pPr>
        <w:pStyle w:val="Normal0"/>
        <w:ind w:firstLine="480"/>
        <w:rPr>
          <w:szCs w:val="24"/>
        </w:rPr>
        <w:sectPr>
          <w:type w:val="nextPage"/>
          <w:pgSz w:w="11906" w:h="16838"/>
          <w:pgMar w:top="1418" w:right="1418" w:bottom="1418" w:left="1701" w:header="709" w:footer="709" w:gutter="0"/>
          <w:pgNumType w:start="13"/>
          <w:cols w:space="720"/>
          <w:titlePg w:val="0"/>
          <w:docGrid w:linePitch="360"/>
        </w:sectPr>
      </w:pPr>
      <w:r>
        <w:rPr>
          <w:rFonts w:hint="eastAsia"/>
          <w:szCs w:val="24"/>
        </w:rPr>
        <w:t>（3）</w:t>
      </w:r>
      <w:r>
        <w:rPr>
          <w:szCs w:val="24"/>
        </w:rPr>
        <w:t>清孔、验</w:t>
      </w:r>
      <w:r>
        <w:rPr>
          <w:rFonts w:hint="eastAsia"/>
          <w:szCs w:val="24"/>
        </w:rPr>
        <w:t>孔</w:t>
      </w:r>
      <w:r>
        <w:rPr>
          <w:szCs w:val="24"/>
        </w:rPr>
        <w:t>：钻孔完成后，采用吹管利用风</w:t>
      </w:r>
      <w:r>
        <w:rPr>
          <w:rFonts w:hint="eastAsia"/>
          <w:szCs w:val="24"/>
        </w:rPr>
        <w:t>、</w:t>
      </w:r>
      <w:r>
        <w:rPr>
          <w:szCs w:val="24"/>
        </w:rPr>
        <w:t>水将孔内积水和岩粉吹洗干净。</w:t>
      </w:r>
    </w:p>
    <w:p w:rsidR="00286D23">
      <w:pPr>
        <w:pStyle w:val="Normal0"/>
        <w:ind w:firstLine="480"/>
      </w:pPr>
      <w:r>
        <w:rPr>
          <w:rFonts w:hint="eastAsia"/>
          <w:szCs w:val="24"/>
        </w:rPr>
        <w:t>（4）</w:t>
      </w:r>
      <w:r>
        <w:rPr>
          <w:szCs w:val="24"/>
        </w:rPr>
        <w:t>锚杆制作和运输、制浆、孔内注浆、安装锚杆：选用除锈、除油、没有其它有害物质的平直钢筋按设计尺寸下料，</w:t>
      </w:r>
      <w:r>
        <w:rPr>
          <w:rFonts w:hint="eastAsia"/>
          <w:szCs w:val="24"/>
        </w:rPr>
        <w:t>采用5t自卸车</w:t>
      </w:r>
      <w:r>
        <w:rPr>
          <w:szCs w:val="24"/>
        </w:rPr>
        <w:t>至工作面。锚孔验收合格后</w:t>
      </w:r>
      <w:r>
        <w:rPr>
          <w:rFonts w:hint="eastAsia"/>
          <w:szCs w:val="24"/>
        </w:rPr>
        <w:t>，采用注浆机</w:t>
      </w:r>
      <w:r>
        <w:rPr>
          <w:szCs w:val="24"/>
        </w:rPr>
        <w:t>进行孔内注浆。注浆前，检查注浆器具的性能，采用水或稀水泥浆润滑注浆管路。将砂过筛后，严格按重量配合比配制，</w:t>
      </w:r>
      <w:r>
        <w:rPr>
          <w:rFonts w:hint="eastAsia"/>
          <w:szCs w:val="24"/>
        </w:rPr>
        <w:t>搅拌机</w:t>
      </w:r>
      <w:r>
        <w:rPr>
          <w:szCs w:val="24"/>
        </w:rPr>
        <w:t>搅拌砂浆</w:t>
      </w:r>
      <w:r>
        <w:rPr>
          <w:rFonts w:hint="eastAsia"/>
          <w:szCs w:val="24"/>
        </w:rPr>
        <w:t>时</w:t>
      </w:r>
      <w:r>
        <w:rPr>
          <w:szCs w:val="24"/>
        </w:rPr>
        <w:t>，砂浆要搅拌均匀，随拌随用，一次拌和的砂浆要在初凝前用完，要严防石块、杂物混入。注浆时，将注浆管插至距孔底50～100mm</w:t>
      </w:r>
      <w:r>
        <w:rPr>
          <w:rFonts w:hint="eastAsia"/>
          <w:szCs w:val="24"/>
        </w:rPr>
        <w:t>处</w:t>
      </w:r>
      <w:r>
        <w:rPr>
          <w:szCs w:val="24"/>
        </w:rPr>
        <w:t>，注浆管头部制成45º斜口，随砂浆的注入缓慢匀速拔出注浆管，严防拔管过快</w:t>
      </w:r>
      <w:r>
        <w:rPr>
          <w:rFonts w:hint="eastAsia"/>
          <w:szCs w:val="24"/>
        </w:rPr>
        <w:t>，</w:t>
      </w:r>
      <w:r>
        <w:rPr>
          <w:rFonts w:hint="eastAsia"/>
        </w:rPr>
        <w:t>注浆要饱满。</w:t>
      </w:r>
      <w:r>
        <w:rPr>
          <w:szCs w:val="24"/>
        </w:rPr>
        <w:t>孔内砂浆达到距孔口10cm</w:t>
      </w:r>
      <w:r>
        <w:rPr>
          <w:rFonts w:hint="eastAsia"/>
          <w:szCs w:val="24"/>
        </w:rPr>
        <w:t>左右</w:t>
      </w:r>
      <w:r>
        <w:rPr>
          <w:szCs w:val="24"/>
        </w:rPr>
        <w:t>时停止注浆，随之插入杆体，位置</w:t>
      </w:r>
      <w:r>
        <w:rPr>
          <w:rFonts w:hint="eastAsia"/>
          <w:szCs w:val="24"/>
        </w:rPr>
        <w:t>要</w:t>
      </w:r>
      <w:r>
        <w:rPr>
          <w:szCs w:val="24"/>
        </w:rPr>
        <w:t>居中。</w:t>
      </w:r>
      <w:r>
        <w:rPr>
          <w:rFonts w:hint="eastAsia"/>
        </w:rPr>
        <w:t>插杆时，孔内应有砂浆外溢，若孔口无水泥砂浆溢出，说明注浆不饱满，应采取相应补救措施或将锚杆拔出重新注浆。锚杆孔注浆后，在浆液凝固前不得敲击、碰撞和拉拔锚杆。</w:t>
      </w:r>
      <w:r>
        <w:t xml:space="preserve"> </w:t>
      </w:r>
    </w:p>
    <w:p w:rsidR="00286D23">
      <w:pPr>
        <w:pStyle w:val="Normal0"/>
        <w:ind w:firstLine="480"/>
        <w:rPr>
          <w:szCs w:val="24"/>
        </w:rPr>
      </w:pPr>
      <w:r>
        <w:rPr>
          <w:rFonts w:hint="eastAsia"/>
          <w:szCs w:val="24"/>
        </w:rPr>
        <w:t>（5）质量检验</w:t>
      </w:r>
      <w:r>
        <w:rPr>
          <w:szCs w:val="24"/>
        </w:rPr>
        <w:t>：</w:t>
      </w:r>
    </w:p>
    <w:p w:rsidR="00286D23">
      <w:pPr>
        <w:pStyle w:val="4"/>
        <w:spacing w:line="360" w:lineRule="auto"/>
        <w:ind w:firstLine="480"/>
        <w:rPr>
          <w:rFonts w:ascii="宋体" w:hAnsi="宋体"/>
          <w:color w:val="auto"/>
        </w:rPr>
      </w:pPr>
      <w:r>
        <w:rPr>
          <w:rFonts w:ascii="宋体" w:hAnsi="宋体" w:hint="eastAsia"/>
          <w:color w:val="auto"/>
        </w:rPr>
        <w:t>注浆密实度试验：选取与现场锚杆的锚杆孔直径和长度、锚孔孔径和倾斜度相同的塑料管（或钢管），采用与现场注浆相同的材料和配比拌制的砂浆，并按现场施工相同的注浆工艺进行注浆，养护</w:t>
      </w:r>
      <w:r>
        <w:rPr>
          <w:rFonts w:ascii="宋体" w:hAnsi="宋体"/>
          <w:color w:val="auto"/>
        </w:rPr>
        <w:t>7</w:t>
      </w:r>
      <w:r>
        <w:rPr>
          <w:rFonts w:ascii="宋体" w:hAnsi="宋体" w:hint="eastAsia"/>
          <w:color w:val="auto"/>
        </w:rPr>
        <w:t>天后剖管检查其密实度。</w:t>
      </w:r>
      <w:r>
        <w:rPr>
          <w:rFonts w:ascii="宋体" w:hAnsi="宋体"/>
          <w:color w:val="auto"/>
        </w:rPr>
        <w:t>按作业分区</w:t>
      </w:r>
      <w:r>
        <w:rPr>
          <w:rFonts w:ascii="宋体" w:hAnsi="宋体" w:hint="eastAsia"/>
          <w:color w:val="auto"/>
        </w:rPr>
        <w:t>1</w:t>
      </w:r>
      <w:r>
        <w:rPr>
          <w:rFonts w:ascii="宋体" w:hAnsi="宋体"/>
          <w:color w:val="auto"/>
        </w:rPr>
        <w:t>00根为1组（不足</w:t>
      </w:r>
      <w:r>
        <w:rPr>
          <w:rFonts w:ascii="宋体" w:hAnsi="宋体" w:hint="eastAsia"/>
          <w:color w:val="auto"/>
        </w:rPr>
        <w:t>1</w:t>
      </w:r>
      <w:r>
        <w:rPr>
          <w:rFonts w:ascii="宋体" w:hAnsi="宋体"/>
          <w:color w:val="auto"/>
        </w:rPr>
        <w:t>00根按1组计），由监理根据现场实际情况随机指定抽查，抽查比例不得低于锚杆总数的3%（每组不少于</w:t>
      </w:r>
      <w:r>
        <w:rPr>
          <w:rFonts w:ascii="宋体" w:hAnsi="宋体" w:hint="eastAsia"/>
          <w:color w:val="auto"/>
        </w:rPr>
        <w:t>3</w:t>
      </w:r>
      <w:r>
        <w:rPr>
          <w:rFonts w:ascii="宋体" w:hAnsi="宋体"/>
          <w:color w:val="auto"/>
        </w:rPr>
        <w:t>根）。锚杆注浆密实度最低不得低于</w:t>
      </w:r>
      <w:r>
        <w:rPr>
          <w:rFonts w:ascii="宋体" w:hAnsi="宋体" w:hint="eastAsia"/>
          <w:color w:val="auto"/>
        </w:rPr>
        <w:t>75</w:t>
      </w:r>
      <w:r>
        <w:rPr>
          <w:rFonts w:ascii="宋体" w:hAnsi="宋体"/>
          <w:color w:val="auto"/>
        </w:rPr>
        <w:t>%。</w:t>
      </w:r>
    </w:p>
    <w:p w:rsidR="00286D23">
      <w:pPr>
        <w:pStyle w:val="4"/>
        <w:spacing w:line="360" w:lineRule="auto"/>
        <w:ind w:firstLine="480"/>
        <w:rPr>
          <w:rFonts w:ascii="宋体" w:hAnsi="宋体"/>
          <w:color w:val="auto"/>
        </w:rPr>
      </w:pPr>
      <w:r>
        <w:rPr>
          <w:rFonts w:ascii="宋体" w:hAnsi="宋体"/>
          <w:color w:val="auto"/>
        </w:rPr>
        <w:t>锚杆长度检测</w:t>
      </w:r>
      <w:r>
        <w:rPr>
          <w:rFonts w:ascii="宋体" w:hAnsi="宋体" w:hint="eastAsia"/>
          <w:color w:val="auto"/>
        </w:rPr>
        <w:t>：</w:t>
      </w:r>
      <w:r>
        <w:rPr>
          <w:rFonts w:ascii="宋体" w:hAnsi="宋体"/>
          <w:color w:val="auto"/>
        </w:rPr>
        <w:t>采用无损检测法，抽检数量每作业区不小于3%，杆体孔内长度大于设计长度的95%为合格。</w:t>
      </w:r>
    </w:p>
    <w:p w:rsidR="00286D23">
      <w:pPr>
        <w:pStyle w:val="4"/>
        <w:spacing w:line="360" w:lineRule="auto"/>
        <w:ind w:firstLine="480"/>
        <w:rPr>
          <w:rFonts w:ascii="宋体" w:hAnsi="宋体"/>
          <w:color w:val="auto"/>
        </w:rPr>
      </w:pPr>
      <w:r>
        <w:rPr>
          <w:rFonts w:ascii="宋体" w:hAnsi="宋体" w:hint="eastAsia"/>
          <w:color w:val="auto"/>
        </w:rPr>
        <w:t>拉拔力试验：在砂浆锚杆养护</w:t>
      </w:r>
      <w:r>
        <w:rPr>
          <w:rFonts w:ascii="宋体" w:hAnsi="宋体"/>
          <w:color w:val="auto"/>
        </w:rPr>
        <w:t>28</w:t>
      </w:r>
      <w:r>
        <w:rPr>
          <w:rFonts w:ascii="宋体" w:hAnsi="宋体" w:hint="eastAsia"/>
          <w:color w:val="auto"/>
        </w:rPr>
        <w:t>天后，安装张拉设备逐级加载张拉，拉力方向应与锚杆轴线一致。拉拔试验</w:t>
      </w:r>
      <w:r>
        <w:rPr>
          <w:rFonts w:ascii="宋体" w:hAnsi="宋体"/>
          <w:color w:val="auto"/>
        </w:rPr>
        <w:t>每</w:t>
      </w:r>
      <w:r>
        <w:rPr>
          <w:rFonts w:ascii="宋体" w:hAnsi="宋体" w:hint="eastAsia"/>
          <w:color w:val="auto"/>
        </w:rPr>
        <w:t>300</w:t>
      </w:r>
      <w:r>
        <w:rPr>
          <w:rFonts w:ascii="宋体" w:hAnsi="宋体"/>
          <w:color w:val="auto"/>
        </w:rPr>
        <w:t>根</w:t>
      </w:r>
      <w:r>
        <w:rPr>
          <w:rFonts w:ascii="宋体" w:hAnsi="宋体" w:hint="eastAsia"/>
          <w:color w:val="auto"/>
        </w:rPr>
        <w:t>（包含总数少于300根）</w:t>
      </w:r>
      <w:r>
        <w:rPr>
          <w:rFonts w:ascii="宋体" w:hAnsi="宋体"/>
          <w:color w:val="auto"/>
        </w:rPr>
        <w:t>抽</w:t>
      </w:r>
      <w:r>
        <w:rPr>
          <w:rFonts w:ascii="宋体" w:hAnsi="宋体" w:hint="eastAsia"/>
          <w:color w:val="auto"/>
        </w:rPr>
        <w:t>样</w:t>
      </w:r>
      <w:r>
        <w:rPr>
          <w:rFonts w:ascii="宋体" w:hAnsi="宋体"/>
          <w:color w:val="auto"/>
        </w:rPr>
        <w:t>一组，</w:t>
      </w:r>
      <w:r>
        <w:rPr>
          <w:rFonts w:ascii="宋体" w:hAnsi="宋体" w:hint="eastAsia"/>
          <w:color w:val="auto"/>
        </w:rPr>
        <w:t>每组不少于3根，</w:t>
      </w:r>
      <w:r>
        <w:rPr>
          <w:rFonts w:ascii="宋体" w:hAnsi="宋体"/>
          <w:color w:val="auto"/>
        </w:rPr>
        <w:t>每组锚杆抗拉拔力平均值不低于锚固力设计值</w:t>
      </w:r>
      <w:r>
        <w:rPr>
          <w:rFonts w:ascii="宋体" w:hAnsi="宋体" w:hint="eastAsia"/>
          <w:color w:val="auto"/>
        </w:rPr>
        <w:t>。</w:t>
      </w:r>
    </w:p>
    <w:p w:rsidR="00286D23">
      <w:pPr>
        <w:pStyle w:val="Heading3"/>
        <w:ind w:firstLine="482"/>
        <w:rPr>
          <w:sz w:val="24"/>
          <w:szCs w:val="24"/>
        </w:rPr>
      </w:pPr>
      <w:bookmarkStart w:id="189" w:name="_Toc427933265"/>
      <w:bookmarkStart w:id="190" w:name="_Toc429377634"/>
      <w:bookmarkStart w:id="191" w:name="_Toc430156053"/>
      <w:bookmarkStart w:id="192" w:name="_Toc425668152"/>
      <w:bookmarkStart w:id="193" w:name="_Toc425668388"/>
      <w:bookmarkStart w:id="194" w:name="_Toc425667824"/>
      <w:bookmarkStart w:id="195" w:name="_Toc425668516"/>
      <w:bookmarkStart w:id="196" w:name="_Toc425668607"/>
      <w:r>
        <w:rPr>
          <w:rFonts w:hint="eastAsia"/>
          <w:sz w:val="24"/>
          <w:szCs w:val="24"/>
        </w:rPr>
        <w:t>4.2.2  喷混凝土施工</w:t>
      </w:r>
      <w:bookmarkEnd w:id="189"/>
      <w:bookmarkEnd w:id="190"/>
      <w:bookmarkEnd w:id="191"/>
      <w:bookmarkEnd w:id="192"/>
      <w:bookmarkEnd w:id="193"/>
      <w:bookmarkEnd w:id="194"/>
      <w:bookmarkEnd w:id="195"/>
      <w:bookmarkEnd w:id="196"/>
    </w:p>
    <w:p w:rsidR="00286D23">
      <w:pPr>
        <w:pStyle w:val="Normal0"/>
        <w:ind w:firstLine="480"/>
        <w:rPr>
          <w:szCs w:val="24"/>
        </w:rPr>
      </w:pPr>
      <w:r>
        <w:rPr>
          <w:rFonts w:hint="eastAsia"/>
          <w:szCs w:val="24"/>
        </w:rPr>
        <w:t>1、</w:t>
      </w:r>
      <w:r>
        <w:rPr>
          <w:szCs w:val="24"/>
        </w:rPr>
        <w:t>材料</w:t>
      </w:r>
    </w:p>
    <w:p w:rsidR="00286D23">
      <w:pPr>
        <w:pStyle w:val="Normal0"/>
        <w:ind w:firstLine="480"/>
        <w:rPr>
          <w:szCs w:val="24"/>
        </w:rPr>
      </w:pPr>
      <w:r>
        <w:rPr>
          <w:rFonts w:hint="eastAsia"/>
          <w:szCs w:val="24"/>
        </w:rPr>
        <w:t>（1）</w:t>
      </w:r>
      <w:r>
        <w:rPr>
          <w:szCs w:val="24"/>
        </w:rPr>
        <w:t>水泥：采用</w:t>
      </w:r>
      <w:r>
        <w:rPr>
          <w:rFonts w:hint="eastAsia"/>
          <w:szCs w:val="24"/>
        </w:rPr>
        <w:t>水泥强度满足设计要求的</w:t>
      </w:r>
      <w:r>
        <w:rPr>
          <w:szCs w:val="24"/>
        </w:rPr>
        <w:t>普通硅酸盐水泥。</w:t>
      </w:r>
    </w:p>
    <w:p w:rsidR="00286D23">
      <w:pPr>
        <w:pStyle w:val="Normal0"/>
        <w:ind w:firstLine="480"/>
        <w:rPr>
          <w:szCs w:val="24"/>
        </w:rPr>
        <w:sectPr>
          <w:type w:val="nextPage"/>
          <w:pgSz w:w="11906" w:h="16838"/>
          <w:pgMar w:top="1418" w:right="1418" w:bottom="1418" w:left="1701" w:header="709" w:footer="709" w:gutter="0"/>
          <w:pgNumType w:start="14"/>
          <w:cols w:space="720"/>
          <w:titlePg w:val="0"/>
          <w:docGrid w:linePitch="360"/>
        </w:sectPr>
      </w:pPr>
      <w:r>
        <w:rPr>
          <w:rFonts w:hint="eastAsia"/>
          <w:szCs w:val="24"/>
        </w:rPr>
        <w:t>（2）</w:t>
      </w:r>
      <w:r>
        <w:rPr>
          <w:szCs w:val="24"/>
        </w:rPr>
        <w:t>水：取自</w:t>
      </w:r>
      <w:r>
        <w:rPr>
          <w:rFonts w:hint="eastAsia"/>
          <w:szCs w:val="24"/>
        </w:rPr>
        <w:t>附近水库的水或</w:t>
      </w:r>
      <w:r>
        <w:rPr>
          <w:rFonts w:hint="eastAsia"/>
        </w:rPr>
        <w:t>钻井取水</w:t>
      </w:r>
      <w:r>
        <w:rPr>
          <w:szCs w:val="24"/>
        </w:rPr>
        <w:t>。</w:t>
      </w:r>
    </w:p>
    <w:p w:rsidR="00286D23">
      <w:pPr>
        <w:pStyle w:val="Normal0"/>
        <w:ind w:firstLine="480"/>
        <w:rPr>
          <w:szCs w:val="24"/>
        </w:rPr>
      </w:pPr>
      <w:r>
        <w:rPr>
          <w:rFonts w:hint="eastAsia"/>
          <w:szCs w:val="24"/>
        </w:rPr>
        <w:t>（3）</w:t>
      </w:r>
      <w:r>
        <w:rPr>
          <w:szCs w:val="24"/>
        </w:rPr>
        <w:t>骨料：</w:t>
      </w:r>
      <w:r>
        <w:rPr>
          <w:rFonts w:hint="eastAsia"/>
          <w:szCs w:val="24"/>
        </w:rPr>
        <w:t>细骨料采用坚硬耐久的粗、中砂，细度模数为</w:t>
      </w:r>
      <w:r>
        <w:rPr>
          <w:rFonts w:hint="eastAsia"/>
        </w:rPr>
        <w:t>2.4～2.8</w:t>
      </w:r>
      <w:r>
        <w:rPr>
          <w:rFonts w:hint="eastAsia"/>
          <w:szCs w:val="24"/>
        </w:rPr>
        <w:t>，使用时的含水率控制在5%～7%</w:t>
      </w:r>
      <w:r>
        <w:rPr>
          <w:szCs w:val="24"/>
        </w:rPr>
        <w:t>；</w:t>
      </w:r>
      <w:r>
        <w:rPr>
          <w:rFonts w:hint="eastAsia"/>
          <w:szCs w:val="24"/>
        </w:rPr>
        <w:t>粗骨料采用耐久的卵石或碎石，；喷射混凝土中不得使用含有活性二氧化硅的骨料</w:t>
      </w:r>
      <w:r>
        <w:rPr>
          <w:szCs w:val="24"/>
        </w:rPr>
        <w:t>。</w:t>
      </w:r>
    </w:p>
    <w:p w:rsidR="00286D23">
      <w:pPr>
        <w:pStyle w:val="Normal0"/>
        <w:ind w:firstLine="480"/>
        <w:rPr>
          <w:szCs w:val="24"/>
        </w:rPr>
      </w:pPr>
      <w:r>
        <w:rPr>
          <w:rFonts w:hint="eastAsia"/>
          <w:szCs w:val="24"/>
        </w:rPr>
        <w:t>（4）</w:t>
      </w:r>
      <w:r>
        <w:rPr>
          <w:szCs w:val="24"/>
        </w:rPr>
        <w:t>外加剂：</w:t>
      </w:r>
      <w:r>
        <w:rPr>
          <w:rFonts w:hint="eastAsia"/>
          <w:szCs w:val="24"/>
        </w:rPr>
        <w:t>速凝剂的质量符合施工合同、设计图纸和相关规范的要求并有生产厂的质量证明书，初凝时间不大于</w:t>
      </w:r>
      <w:r>
        <w:rPr>
          <w:szCs w:val="24"/>
        </w:rPr>
        <w:t>5min</w:t>
      </w:r>
      <w:r>
        <w:rPr>
          <w:rFonts w:hint="eastAsia"/>
          <w:szCs w:val="24"/>
        </w:rPr>
        <w:t>，终凝时间不大于</w:t>
      </w:r>
      <w:r>
        <w:rPr>
          <w:szCs w:val="24"/>
        </w:rPr>
        <w:t>10min</w:t>
      </w:r>
      <w:r>
        <w:rPr>
          <w:rFonts w:hint="eastAsia"/>
          <w:szCs w:val="24"/>
        </w:rPr>
        <w:t>，选用的外加剂需经监理人批准。</w:t>
      </w:r>
    </w:p>
    <w:p w:rsidR="00286D23">
      <w:pPr>
        <w:pStyle w:val="Normal0"/>
        <w:ind w:firstLine="480"/>
        <w:rPr>
          <w:szCs w:val="24"/>
        </w:rPr>
      </w:pPr>
      <w:r>
        <w:rPr>
          <w:rFonts w:hint="eastAsia"/>
          <w:szCs w:val="24"/>
        </w:rPr>
        <w:t>2、</w:t>
      </w:r>
      <w:r>
        <w:rPr>
          <w:rFonts w:hint="eastAsia"/>
        </w:rPr>
        <w:t>喷混凝土</w:t>
      </w:r>
      <w:r>
        <w:rPr>
          <w:szCs w:val="24"/>
        </w:rPr>
        <w:t>施工工艺流程</w:t>
      </w:r>
    </w:p>
    <w:p w:rsidR="00286D23">
      <w:pPr>
        <w:pStyle w:val="Normal0"/>
        <w:ind w:firstLine="480"/>
        <w:rPr>
          <w:szCs w:val="24"/>
        </w:rPr>
      </w:pPr>
      <w:r>
        <w:rPr>
          <w:rFonts w:hint="eastAsia"/>
          <w:szCs w:val="24"/>
        </w:rPr>
        <w:t>喷混凝土施工工艺流程如下图4-3。</w:t>
      </w:r>
    </w:p>
    <w:p w:rsidR="00286D23">
      <w:pPr>
        <w:pStyle w:val="Normal0"/>
        <w:ind w:firstLine="480"/>
        <w:rPr>
          <w:rFonts w:ascii="Times New Roman" w:hAnsi="Times New Roman"/>
          <w:szCs w:val="24"/>
        </w:rPr>
      </w:pPr>
    </w:p>
    <w:p w:rsidR="00286D23">
      <w:pPr>
        <w:pStyle w:val="Normal0"/>
        <w:ind w:firstLine="2479" w:firstLineChars="1033"/>
        <w:rPr>
          <w:rFonts w:ascii="Times New Roman" w:hAnsi="Times New Roman"/>
          <w:szCs w:val="24"/>
        </w:rPr>
      </w:pPr>
      <w:bookmarkStart w:id="197" w:name="_Toc425667825"/>
      <w:r>
        <w:rPr>
          <w:rFonts w:ascii="Times New Roman" w:hAnsi="Times New Roman"/>
          <w:b/>
          <w:szCs w:val="24"/>
        </w:rPr>
        <w:pict>
          <v:group id="Group 492" o:spid="_x0000_s1048" style="width:451.25pt;height:195.9pt;margin-top:0;margin-left:-8.4pt;mso-height-relative:page;mso-width-relative:page;mso-wrap-distance-bottom:0;mso-wrap-distance-top:0;position:absolute;z-index:251661312" coordorigin="0,0" coordsize="9025,3918" o:allowoverlap="f">
            <o:lock v:ext="edit" aspectratio="f"/>
            <v:shape id="Picture 493" o:spid="_x0000_s1049" type="#_x0000_t75" style="width:9025;height:3918;position:absolute" filled="f" stroked="f">
              <o:lock v:ext="edit" aspectratio="t" text="t"/>
            </v:shape>
            <v:rect id="Rectangle 494" o:spid="_x0000_s1050" style="width:1081;height:468;left:6307;position:absolute;top:476" filled="t" stroked="t">
              <o:lock v:ext="edit" aspectratio="f"/>
              <v:textbox>
                <w:txbxContent>
                  <w:p w:rsidR="00286D23">
                    <w:pPr>
                      <w:pStyle w:val="Normal0"/>
                      <w:ind w:firstLine="0" w:firstLineChars="0"/>
                      <w:jc w:val="center"/>
                      <w:rPr>
                        <w:sz w:val="21"/>
                        <w:szCs w:val="21"/>
                      </w:rPr>
                    </w:pPr>
                    <w:r>
                      <w:rPr>
                        <w:rFonts w:hint="eastAsia"/>
                        <w:sz w:val="21"/>
                        <w:szCs w:val="21"/>
                      </w:rPr>
                      <w:t>砂石料</w:t>
                    </w:r>
                  </w:p>
                </w:txbxContent>
              </v:textbox>
            </v:rect>
            <v:rect id="Rectangle 495" o:spid="_x0000_s1051" style="width:2511;height:468;left:196;position:absolute;top:163" filled="t" stroked="t">
              <o:lock v:ext="edit" aspectratio="f"/>
              <v:textbox>
                <w:txbxContent>
                  <w:p w:rsidR="00286D23">
                    <w:pPr>
                      <w:pStyle w:val="Normal0"/>
                      <w:widowControl w:val="0"/>
                      <w:ind w:firstLine="0" w:firstLineChars="0"/>
                      <w:jc w:val="center"/>
                      <w:rPr>
                        <w:sz w:val="21"/>
                        <w:szCs w:val="21"/>
                      </w:rPr>
                    </w:pPr>
                    <w:r>
                      <w:rPr>
                        <w:rFonts w:hint="eastAsia"/>
                        <w:sz w:val="21"/>
                        <w:szCs w:val="21"/>
                      </w:rPr>
                      <w:t>施工准备、基面处理</w:t>
                    </w:r>
                  </w:p>
                  <w:p w:rsidR="00286D23">
                    <w:pPr>
                      <w:pStyle w:val="Normal0"/>
                      <w:widowControl w:val="0"/>
                      <w:ind w:firstLine="422"/>
                      <w:jc w:val="center"/>
                      <w:rPr>
                        <w:rFonts w:ascii="仿宋_GB2312" w:eastAsia="仿宋_GB2312"/>
                        <w:b/>
                        <w:sz w:val="21"/>
                        <w:szCs w:val="21"/>
                      </w:rPr>
                    </w:pPr>
                  </w:p>
                </w:txbxContent>
              </v:textbox>
            </v:rect>
            <v:rect id="Rectangle 496" o:spid="_x0000_s1052" style="width:2511;height:468;left:196;position:absolute;top:939" filled="t" stroked="t">
              <o:lock v:ext="edit" aspectratio="f"/>
              <v:textbox>
                <w:txbxContent>
                  <w:p w:rsidR="00286D23">
                    <w:pPr>
                      <w:pStyle w:val="Normal0"/>
                      <w:ind w:firstLine="0" w:firstLineChars="0"/>
                      <w:jc w:val="center"/>
                      <w:rPr>
                        <w:sz w:val="21"/>
                        <w:szCs w:val="21"/>
                      </w:rPr>
                    </w:pPr>
                    <w:r>
                      <w:rPr>
                        <w:rFonts w:hint="eastAsia"/>
                        <w:sz w:val="21"/>
                        <w:szCs w:val="21"/>
                      </w:rPr>
                      <w:t>验收合格</w:t>
                    </w:r>
                  </w:p>
                  <w:p w:rsidR="00286D23">
                    <w:pPr>
                      <w:pStyle w:val="Normal0"/>
                      <w:ind w:firstLine="422"/>
                      <w:jc w:val="center"/>
                      <w:rPr>
                        <w:rFonts w:ascii="仿宋_GB2312" w:eastAsia="仿宋_GB2312"/>
                        <w:b/>
                        <w:sz w:val="21"/>
                        <w:szCs w:val="21"/>
                      </w:rPr>
                    </w:pPr>
                  </w:p>
                </w:txbxContent>
              </v:textbox>
            </v:rect>
            <v:rect id="Rectangle 497" o:spid="_x0000_s1053" style="width:2520;height:468;left:187;position:absolute;top:1726" filled="t" stroked="t">
              <o:lock v:ext="edit" aspectratio="f"/>
              <v:textbox>
                <w:txbxContent>
                  <w:p w:rsidR="00286D23">
                    <w:pPr>
                      <w:pStyle w:val="Normal0"/>
                      <w:ind w:firstLine="0" w:firstLineChars="0"/>
                      <w:jc w:val="center"/>
                      <w:rPr>
                        <w:sz w:val="21"/>
                        <w:szCs w:val="21"/>
                      </w:rPr>
                    </w:pPr>
                    <w:r>
                      <w:rPr>
                        <w:rFonts w:hint="eastAsia"/>
                        <w:sz w:val="21"/>
                        <w:szCs w:val="21"/>
                      </w:rPr>
                      <w:t>喷混凝土</w:t>
                    </w:r>
                  </w:p>
                  <w:p w:rsidR="00286D23">
                    <w:pPr>
                      <w:pStyle w:val="Normal0"/>
                      <w:ind w:firstLine="422"/>
                      <w:jc w:val="center"/>
                      <w:rPr>
                        <w:rFonts w:ascii="仿宋_GB2312" w:eastAsia="仿宋_GB2312"/>
                        <w:b/>
                        <w:sz w:val="21"/>
                        <w:szCs w:val="21"/>
                      </w:rPr>
                    </w:pPr>
                  </w:p>
                </w:txbxContent>
              </v:textbox>
            </v:rect>
            <v:rect id="Rectangle 498" o:spid="_x0000_s1054" style="width:2520;height:468;left:187;position:absolute;top:2506" filled="t" stroked="t">
              <o:lock v:ext="edit" aspectratio="f"/>
              <v:textbox>
                <w:txbxContent>
                  <w:p w:rsidR="00286D23">
                    <w:pPr>
                      <w:pStyle w:val="Normal0"/>
                      <w:ind w:firstLine="0" w:firstLineChars="0"/>
                      <w:jc w:val="center"/>
                      <w:rPr>
                        <w:sz w:val="21"/>
                        <w:szCs w:val="21"/>
                      </w:rPr>
                    </w:pPr>
                    <w:r>
                      <w:rPr>
                        <w:rFonts w:hint="eastAsia"/>
                        <w:sz w:val="21"/>
                        <w:szCs w:val="21"/>
                      </w:rPr>
                      <w:t>检查合格</w:t>
                    </w:r>
                  </w:p>
                </w:txbxContent>
              </v:textbox>
            </v:rect>
            <v:rect id="Rectangle 499" o:spid="_x0000_s1055" style="width:2520;height:468;left:187;position:absolute;top:3287" filled="t" stroked="t">
              <o:lock v:ext="edit" aspectratio="f"/>
              <v:textbox>
                <w:txbxContent>
                  <w:p w:rsidR="00286D23">
                    <w:pPr>
                      <w:pStyle w:val="Normal0"/>
                      <w:ind w:firstLine="0" w:firstLineChars="0"/>
                      <w:jc w:val="center"/>
                      <w:rPr>
                        <w:sz w:val="21"/>
                        <w:szCs w:val="21"/>
                      </w:rPr>
                    </w:pPr>
                    <w:r>
                      <w:rPr>
                        <w:rFonts w:hint="eastAsia"/>
                        <w:sz w:val="21"/>
                        <w:szCs w:val="21"/>
                      </w:rPr>
                      <w:t>养   护</w:t>
                    </w:r>
                  </w:p>
                  <w:p w:rsidR="00286D23">
                    <w:pPr>
                      <w:pStyle w:val="Normal0"/>
                      <w:ind w:firstLine="422"/>
                      <w:jc w:val="center"/>
                      <w:rPr>
                        <w:rFonts w:ascii="仿宋_GB2312" w:eastAsia="仿宋_GB2312"/>
                        <w:b/>
                        <w:sz w:val="21"/>
                        <w:szCs w:val="21"/>
                      </w:rPr>
                    </w:pPr>
                  </w:p>
                </w:txbxContent>
              </v:textbox>
            </v:rect>
            <v:rect id="Rectangle 500" o:spid="_x0000_s1056" style="width:2219;height:468;left:4332;position:absolute;top:2497" filled="t" stroked="t">
              <o:lock v:ext="edit" aspectratio="f"/>
              <v:textbox>
                <w:txbxContent>
                  <w:p w:rsidR="00286D23">
                    <w:pPr>
                      <w:pStyle w:val="Normal0"/>
                      <w:ind w:firstLine="0" w:firstLineChars="0"/>
                      <w:jc w:val="center"/>
                      <w:rPr>
                        <w:sz w:val="21"/>
                        <w:szCs w:val="21"/>
                      </w:rPr>
                    </w:pPr>
                    <w:r>
                      <w:rPr>
                        <w:rFonts w:hint="eastAsia"/>
                        <w:sz w:val="21"/>
                        <w:szCs w:val="21"/>
                      </w:rPr>
                      <w:t>混凝土喷射机</w:t>
                    </w:r>
                  </w:p>
                </w:txbxContent>
              </v:textbox>
            </v:rect>
            <v:rect id="Rectangle 501" o:spid="_x0000_s1057" style="width:631;height:468;left:3769;position:absolute;top:476" filled="t" stroked="t">
              <o:lock v:ext="edit" aspectratio="f"/>
              <v:textbox>
                <w:txbxContent>
                  <w:p w:rsidR="00286D23">
                    <w:pPr>
                      <w:pStyle w:val="Normal0"/>
                      <w:ind w:firstLine="0" w:firstLineChars="0"/>
                      <w:jc w:val="center"/>
                      <w:rPr>
                        <w:sz w:val="21"/>
                        <w:szCs w:val="21"/>
                      </w:rPr>
                    </w:pPr>
                    <w:r>
                      <w:rPr>
                        <w:rFonts w:hint="eastAsia"/>
                        <w:sz w:val="21"/>
                        <w:szCs w:val="21"/>
                      </w:rPr>
                      <w:t>水</w:t>
                    </w:r>
                  </w:p>
                  <w:p w:rsidR="00286D23">
                    <w:pPr>
                      <w:pStyle w:val="Normal0"/>
                      <w:ind w:firstLine="422"/>
                      <w:jc w:val="center"/>
                      <w:rPr>
                        <w:rFonts w:ascii="仿宋_GB2312" w:eastAsia="仿宋_GB2312"/>
                        <w:b/>
                        <w:sz w:val="21"/>
                        <w:szCs w:val="21"/>
                      </w:rPr>
                    </w:pPr>
                  </w:p>
                </w:txbxContent>
              </v:textbox>
            </v:rect>
            <v:rect id="Rectangle 502" o:spid="_x0000_s1058" style="width:806;height:468;left:5035;position:absolute;top:476" filled="t" stroked="t">
              <o:lock v:ext="edit" aspectratio="f"/>
              <v:textbox>
                <w:txbxContent>
                  <w:p w:rsidR="00286D23">
                    <w:pPr>
                      <w:pStyle w:val="Normal0"/>
                      <w:ind w:firstLine="0" w:firstLineChars="0"/>
                      <w:rPr>
                        <w:sz w:val="21"/>
                        <w:szCs w:val="21"/>
                      </w:rPr>
                    </w:pPr>
                    <w:r>
                      <w:rPr>
                        <w:sz w:val="21"/>
                        <w:szCs w:val="21"/>
                      </w:rPr>
                      <w:t>水泥</w:t>
                    </w:r>
                  </w:p>
                  <w:p w:rsidR="00286D23">
                    <w:pPr>
                      <w:pStyle w:val="Normal0"/>
                      <w:ind w:firstLine="422"/>
                      <w:jc w:val="center"/>
                      <w:rPr>
                        <w:rFonts w:ascii="仿宋_GB2312" w:eastAsia="仿宋_GB2312"/>
                        <w:b/>
                        <w:sz w:val="21"/>
                        <w:szCs w:val="21"/>
                      </w:rPr>
                    </w:pPr>
                  </w:p>
                </w:txbxContent>
              </v:textbox>
            </v:rect>
            <v:rect id="Rectangle 503" o:spid="_x0000_s1059" style="width:2219;height:467;left:4332;position:absolute;top:1719" filled="t" stroked="t">
              <o:lock v:ext="edit" aspectratio="f"/>
              <v:textbox>
                <w:txbxContent>
                  <w:p w:rsidR="00286D23">
                    <w:pPr>
                      <w:pStyle w:val="Normal0"/>
                      <w:ind w:firstLine="0" w:firstLineChars="0"/>
                      <w:jc w:val="center"/>
                      <w:rPr>
                        <w:sz w:val="21"/>
                        <w:szCs w:val="21"/>
                      </w:rPr>
                    </w:pPr>
                    <w:r>
                      <w:rPr>
                        <w:rFonts w:hint="eastAsia"/>
                        <w:sz w:val="21"/>
                        <w:szCs w:val="21"/>
                      </w:rPr>
                      <w:t>拌和站拌和、运输</w:t>
                    </w:r>
                  </w:p>
                  <w:p w:rsidR="00286D23">
                    <w:pPr>
                      <w:pStyle w:val="Normal0"/>
                      <w:ind w:firstLine="422"/>
                      <w:jc w:val="center"/>
                      <w:rPr>
                        <w:rFonts w:ascii="仿宋_GB2312" w:eastAsia="仿宋_GB2312"/>
                        <w:b/>
                        <w:sz w:val="21"/>
                        <w:szCs w:val="21"/>
                      </w:rPr>
                    </w:pPr>
                  </w:p>
                </w:txbxContent>
              </v:textbox>
            </v:rect>
            <v:rect id="Rectangle 504" o:spid="_x0000_s1060" style="width:1653;height:468;left:7066;position:absolute;top:2505" filled="t" stroked="t">
              <o:lock v:ext="edit" aspectratio="f"/>
              <v:textbox>
                <w:txbxContent>
                  <w:p w:rsidR="00286D23">
                    <w:pPr>
                      <w:pStyle w:val="Normal0"/>
                      <w:ind w:firstLine="0" w:firstLineChars="0"/>
                      <w:jc w:val="center"/>
                      <w:rPr>
                        <w:sz w:val="21"/>
                        <w:szCs w:val="21"/>
                      </w:rPr>
                    </w:pPr>
                    <w:r>
                      <w:rPr>
                        <w:rFonts w:hint="eastAsia"/>
                        <w:sz w:val="21"/>
                        <w:szCs w:val="21"/>
                      </w:rPr>
                      <w:t>空压机供风</w:t>
                    </w:r>
                  </w:p>
                </w:txbxContent>
              </v:textbox>
            </v:rect>
            <v:shape id="AutoShape 505" o:spid="_x0000_s1061" type="#_x0000_t32" style="width:1;height:308;left:1452;position:absolute;top:631" filled="f" stroked="t">
              <v:stroke endarrow="block"/>
              <v:path arrowok="t"/>
              <o:lock v:ext="edit" aspectratio="f"/>
            </v:shape>
            <v:shape id="AutoShape 506" o:spid="_x0000_s1062" type="#_x0000_t32" style="width:1;height:312;left:1447;position:absolute;top:2194" filled="f" stroked="t">
              <v:stroke endarrow="block"/>
              <v:path arrowok="t"/>
              <o:lock v:ext="edit" aspectratio="f"/>
            </v:shape>
            <v:shape id="AutoShape 507" o:spid="_x0000_s1063" type="#_x0000_t32" style="width:1;height:313;left:1447;position:absolute;top:2974" filled="f" stroked="t">
              <v:stroke endarrow="block"/>
              <v:path arrowok="t"/>
              <o:lock v:ext="edit" aspectratio="f"/>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508" o:spid="_x0000_s1064" type="#_x0000_t34" style="width:775;height:1406;left:5755;position:absolute;top:627" adj="10786" filled="f" stroked="t">
              <v:stroke endarrow="block"/>
              <v:path arrowok="t"/>
              <o:lock v:ext="edit" aspectratio="f"/>
            </v:shape>
            <v:shape id="AutoShape 509" o:spid="_x0000_s1065" type="#_x0000_t34" style="width:775;height:1357;flip:x;left:4374;position:absolute;top:651" adj="10786" filled="f" stroked="t">
              <v:stroke endarrow="block"/>
              <v:path arrowok="t"/>
              <o:lock v:ext="edit" aspectratio="f"/>
            </v:shape>
            <v:shape id="AutoShape 510" o:spid="_x0000_s1066" type="#_x0000_t34" style="width:775;height:4;flip:x;left:5050;position:absolute;top:1328" adj="10786" filled="f" stroked="t">
              <v:stroke endarrow="block"/>
              <v:path arrowok="t"/>
              <o:lock v:ext="edit" aspectratio="f"/>
            </v:shape>
            <v:shape id="AutoShape 511" o:spid="_x0000_s1067" type="#_x0000_t32" style="width:0;height:311;left:5442;position:absolute;top:2186" filled="f" stroked="t">
              <v:stroke endarrow="block"/>
              <v:path arrowok="t"/>
              <o:lock v:ext="edit" aspectratio="f"/>
            </v:shape>
            <v:shape id="AutoShape 512" o:spid="_x0000_s1068" type="#_x0000_t32" style="width:515;height:8;flip:x y;left:6551;position:absolute;top:2731" filled="f" stroked="t">
              <v:stroke endarrow="block"/>
              <v:path arrowok="t"/>
              <o:lock v:ext="edit" aspectratio="f"/>
            </v:shape>
            <v:rect id="Rectangle 513" o:spid="_x0000_s1069" style="width:1452;height:469;left:4316;position:absolute;top:3279" filled="t" stroked="t">
              <o:lock v:ext="edit" aspectratio="f"/>
              <v:textbox>
                <w:txbxContent>
                  <w:p w:rsidR="00286D23">
                    <w:pPr>
                      <w:pStyle w:val="Normal0"/>
                      <w:ind w:firstLine="0" w:firstLineChars="0"/>
                      <w:jc w:val="center"/>
                      <w:rPr>
                        <w:sz w:val="21"/>
                        <w:szCs w:val="21"/>
                      </w:rPr>
                    </w:pPr>
                    <w:r>
                      <w:rPr>
                        <w:rFonts w:hint="eastAsia"/>
                        <w:sz w:val="21"/>
                        <w:szCs w:val="21"/>
                      </w:rPr>
                      <w:t>速凝剂</w:t>
                    </w:r>
                  </w:p>
                  <w:p w:rsidR="00286D23">
                    <w:pPr>
                      <w:pStyle w:val="Normal0"/>
                      <w:ind w:firstLine="422"/>
                      <w:jc w:val="center"/>
                      <w:rPr>
                        <w:rFonts w:ascii="仿宋_GB2312" w:eastAsia="仿宋_GB2312"/>
                        <w:b/>
                        <w:sz w:val="21"/>
                        <w:szCs w:val="21"/>
                      </w:rPr>
                    </w:pPr>
                  </w:p>
                </w:txbxContent>
              </v:textbox>
            </v:rect>
            <v:rect id="Rectangle 514" o:spid="_x0000_s1070" style="width:957;height:467;left:3011;position:absolute;top:1720" filled="t" stroked="t">
              <o:lock v:ext="edit" aspectratio="f"/>
              <v:textbox>
                <w:txbxContent>
                  <w:p w:rsidR="00286D23">
                    <w:pPr>
                      <w:pStyle w:val="Normal0"/>
                      <w:ind w:firstLine="0" w:firstLineChars="0"/>
                      <w:jc w:val="center"/>
                      <w:rPr>
                        <w:sz w:val="21"/>
                        <w:szCs w:val="21"/>
                      </w:rPr>
                    </w:pPr>
                    <w:r>
                      <w:rPr>
                        <w:rFonts w:hint="eastAsia"/>
                        <w:sz w:val="21"/>
                        <w:szCs w:val="21"/>
                      </w:rPr>
                      <w:t>喷头</w:t>
                    </w:r>
                  </w:p>
                  <w:p w:rsidR="00286D23">
                    <w:pPr>
                      <w:pStyle w:val="Normal0"/>
                      <w:ind w:firstLine="422"/>
                      <w:jc w:val="center"/>
                      <w:rPr>
                        <w:rFonts w:ascii="仿宋_GB2312" w:eastAsia="仿宋_GB2312"/>
                        <w:b/>
                        <w:sz w:val="21"/>
                        <w:szCs w:val="21"/>
                      </w:rPr>
                    </w:pPr>
                  </w:p>
                </w:txbxContent>
              </v:textbox>
            </v:rect>
            <v:shapetype id="_x0000_t33" coordsize="21600,21600" o:spt="33" o:oned="t" path="m,l21600,r,21600e" filled="f">
              <v:stroke joinstyle="miter"/>
              <v:path arrowok="t" fillok="f" o:connecttype="none"/>
              <o:lock v:ext="edit" shapetype="t"/>
            </v:shapetype>
            <v:shape id="AutoShape 515" o:spid="_x0000_s1071" type="#_x0000_t33" style="width:842;height:544;left:3490;position:absolute;top:2187" filled="f" stroked="t">
              <v:stroke endarrow="block"/>
              <v:path arrowok="t"/>
              <o:lock v:ext="edit" aspectratio="f"/>
            </v:shape>
            <v:shape id="AutoShape 516" o:spid="_x0000_s1072" type="#_x0000_t32" style="width:304;height:6;flip:x;left:2707;position:absolute;top:1954" filled="f" stroked="t">
              <v:stroke endarrow="block"/>
              <v:path arrowok="t"/>
              <o:lock v:ext="edit" aspectratio="f"/>
            </v:shape>
            <v:shape id="AutoShape 517" o:spid="_x0000_s1073" type="#_x0000_t33" style="width:826;height:1327;left:3490;position:absolute;top:2187" filled="f" stroked="t">
              <v:stroke endarrow="block"/>
              <v:path arrowok="t"/>
              <o:lock v:ext="edit" aspectratio="f"/>
            </v:shape>
            <v:shape id="AutoShape 518" o:spid="_x0000_s1074" type="#_x0000_t32" style="width:5;height:319;flip:x;left:1447;position:absolute;top:1407" filled="f" stroked="t">
              <v:stroke endarrow="block"/>
              <v:path arrowok="t"/>
              <o:lock v:ext="edit" aspectratio="f"/>
            </v:shape>
            <v:rect id="Rectangle 519" o:spid="_x0000_s1075" style="width:1081;height:468;left:7757;position:absolute;top:473" filled="t" stroked="t">
              <o:lock v:ext="edit" aspectratio="f"/>
              <v:textbox>
                <w:txbxContent>
                  <w:p w:rsidR="00286D23">
                    <w:pPr>
                      <w:pStyle w:val="Normal0"/>
                      <w:ind w:firstLine="0" w:firstLineChars="0"/>
                      <w:jc w:val="center"/>
                      <w:rPr>
                        <w:sz w:val="21"/>
                        <w:szCs w:val="21"/>
                      </w:rPr>
                    </w:pPr>
                    <w:r>
                      <w:rPr>
                        <w:rFonts w:hint="eastAsia"/>
                        <w:sz w:val="21"/>
                        <w:szCs w:val="21"/>
                      </w:rPr>
                      <w:t>外加剂</w:t>
                    </w:r>
                  </w:p>
                </w:txbxContent>
              </v:textbox>
            </v:rect>
            <v:line id="Line 520" o:spid="_x0000_s1076" style="position:absolute" from="0,0" to="1000,1000" stroked="t">
              <o:lock v:ext="edit" aspectratio="f"/>
            </v:line>
            <v:line id="Line 521" o:spid="_x0000_s1077" style="position:absolute" from="0,0" to="1000,1000" stroked="t">
              <o:lock v:ext="edit" aspectratio="f"/>
            </v:line>
            <v:line id="Line 522" o:spid="_x0000_s1078" style="flip:x;position:absolute" from="0,0" to="1000,1000" stroked="t">
              <o:lock v:ext="edit" aspectratio="f"/>
            </v:line>
            <w10:wrap type="topAndBottom"/>
          </v:group>
        </w:pict>
      </w:r>
      <w:r>
        <w:rPr>
          <w:rFonts w:ascii="Times New Roman" w:hint="eastAsia"/>
          <w:b/>
          <w:szCs w:val="24"/>
        </w:rPr>
        <w:t>图</w:t>
      </w:r>
      <w:r>
        <w:rPr>
          <w:rFonts w:ascii="Times New Roman" w:hAnsi="Times New Roman" w:hint="eastAsia"/>
          <w:b/>
          <w:szCs w:val="24"/>
        </w:rPr>
        <w:t xml:space="preserve">4-3  </w:t>
      </w:r>
      <w:r>
        <w:rPr>
          <w:rFonts w:ascii="Times New Roman" w:hint="eastAsia"/>
          <w:b/>
          <w:szCs w:val="24"/>
        </w:rPr>
        <w:t>喷混凝土施工工艺流程图</w:t>
      </w:r>
      <w:bookmarkEnd w:id="197"/>
    </w:p>
    <w:p w:rsidR="00286D23">
      <w:pPr>
        <w:pStyle w:val="Normal0"/>
        <w:ind w:firstLine="480"/>
        <w:rPr>
          <w:szCs w:val="24"/>
        </w:rPr>
      </w:pPr>
      <w:r>
        <w:rPr>
          <w:rFonts w:hint="eastAsia"/>
          <w:szCs w:val="24"/>
        </w:rPr>
        <w:t>3、</w:t>
      </w:r>
      <w:r>
        <w:rPr>
          <w:szCs w:val="24"/>
        </w:rPr>
        <w:t>施工工艺</w:t>
      </w:r>
    </w:p>
    <w:p w:rsidR="00286D23">
      <w:pPr>
        <w:pStyle w:val="Normal0"/>
        <w:ind w:firstLine="480"/>
        <w:rPr>
          <w:szCs w:val="24"/>
        </w:rPr>
      </w:pPr>
      <w:r>
        <w:rPr>
          <w:rFonts w:hint="eastAsia"/>
          <w:szCs w:val="24"/>
        </w:rPr>
        <w:t>（1）</w:t>
      </w:r>
      <w:r>
        <w:rPr>
          <w:szCs w:val="24"/>
        </w:rPr>
        <w:t>施工准备、基面处理、验收</w:t>
      </w:r>
    </w:p>
    <w:p w:rsidR="00286D23">
      <w:pPr>
        <w:pStyle w:val="Normal0"/>
        <w:adjustRightInd/>
        <w:snapToGrid/>
        <w:ind w:firstLine="480"/>
        <w:rPr>
          <w:szCs w:val="24"/>
        </w:rPr>
      </w:pPr>
      <w:r>
        <w:rPr>
          <w:szCs w:val="24"/>
        </w:rPr>
        <w:t>清除受喷面的浮</w:t>
      </w:r>
      <w:r>
        <w:rPr>
          <w:rFonts w:hint="eastAsia"/>
          <w:szCs w:val="24"/>
        </w:rPr>
        <w:t>渣</w:t>
      </w:r>
      <w:r>
        <w:rPr>
          <w:szCs w:val="24"/>
        </w:rPr>
        <w:t>、堆积物</w:t>
      </w:r>
      <w:r>
        <w:rPr>
          <w:rFonts w:hint="eastAsia"/>
          <w:szCs w:val="24"/>
        </w:rPr>
        <w:t>，</w:t>
      </w:r>
      <w:r>
        <w:rPr>
          <w:szCs w:val="24"/>
        </w:rPr>
        <w:t>用高压风水枪冲洗受喷面，对遇水易潮解的泥化带，使用高压风清扫受喷面；埋设好厚度检验钢筋条；对机械设备、风水管线及电</w:t>
      </w:r>
    </w:p>
    <w:p w:rsidR="00286D23">
      <w:pPr>
        <w:pStyle w:val="Normal0"/>
        <w:adjustRightInd/>
        <w:snapToGrid/>
        <w:ind w:firstLine="0" w:firstLineChars="0"/>
        <w:rPr>
          <w:szCs w:val="24"/>
        </w:rPr>
      </w:pPr>
      <w:r>
        <w:rPr>
          <w:szCs w:val="24"/>
        </w:rPr>
        <w:t>源线等进行检查和试运行。在受喷面滴水部位按设计要求预先埋设导管排水，</w:t>
      </w:r>
      <w:r>
        <w:rPr>
          <w:rFonts w:hint="eastAsia"/>
          <w:szCs w:val="24"/>
        </w:rPr>
        <w:t>导水</w:t>
      </w:r>
    </w:p>
    <w:p w:rsidR="00286D23">
      <w:pPr>
        <w:pStyle w:val="Normal0"/>
        <w:adjustRightInd/>
        <w:snapToGrid/>
        <w:ind w:firstLine="0" w:firstLineChars="0"/>
        <w:rPr>
          <w:szCs w:val="24"/>
        </w:rPr>
        <w:sectPr>
          <w:type w:val="nextPage"/>
          <w:pgSz w:w="11906" w:h="16838"/>
          <w:pgMar w:top="1418" w:right="1418" w:bottom="1418" w:left="1701" w:header="709" w:footer="709" w:gutter="0"/>
          <w:pgNumType w:start="15"/>
          <w:cols w:space="720"/>
          <w:titlePg w:val="0"/>
          <w:docGrid w:linePitch="360"/>
        </w:sectPr>
      </w:pPr>
      <w:r>
        <w:rPr>
          <w:szCs w:val="24"/>
        </w:rPr>
        <w:t>果不好的含水层设排水盲沟，对淋水处可设截水圈排水。</w:t>
      </w:r>
    </w:p>
    <w:p w:rsidR="00286D23">
      <w:pPr>
        <w:pStyle w:val="Normal0"/>
        <w:tabs>
          <w:tab w:val="left" w:pos="8460"/>
        </w:tabs>
        <w:ind w:firstLine="480"/>
        <w:rPr>
          <w:szCs w:val="24"/>
        </w:rPr>
      </w:pPr>
      <w:r>
        <w:rPr>
          <w:rFonts w:hint="eastAsia"/>
          <w:szCs w:val="24"/>
        </w:rPr>
        <w:t>（2）混凝土</w:t>
      </w:r>
      <w:r>
        <w:rPr>
          <w:szCs w:val="24"/>
        </w:rPr>
        <w:t>拌和、运输</w:t>
      </w:r>
    </w:p>
    <w:p w:rsidR="00286D23">
      <w:pPr>
        <w:pStyle w:val="Normal0"/>
        <w:tabs>
          <w:tab w:val="left" w:pos="8460"/>
        </w:tabs>
        <w:ind w:firstLine="480"/>
        <w:rPr>
          <w:szCs w:val="24"/>
        </w:rPr>
      </w:pPr>
      <w:r>
        <w:rPr>
          <w:szCs w:val="24"/>
        </w:rPr>
        <w:t>按室内试验和现场试验选定的</w:t>
      </w:r>
      <w:r>
        <w:rPr>
          <w:rFonts w:hint="eastAsia"/>
          <w:szCs w:val="24"/>
        </w:rPr>
        <w:t>并经监理批准的</w:t>
      </w:r>
      <w:r>
        <w:rPr>
          <w:szCs w:val="24"/>
        </w:rPr>
        <w:t>配合比配料，</w:t>
      </w:r>
      <w:r>
        <w:rPr>
          <w:rFonts w:hint="eastAsia"/>
          <w:szCs w:val="24"/>
        </w:rPr>
        <w:t>在拌和站进行</w:t>
      </w:r>
      <w:r>
        <w:rPr>
          <w:szCs w:val="24"/>
        </w:rPr>
        <w:t>搅拌</w:t>
      </w:r>
      <w:r>
        <w:rPr>
          <w:rFonts w:hint="eastAsia"/>
          <w:szCs w:val="24"/>
        </w:rPr>
        <w:t>，混凝土罐车</w:t>
      </w:r>
      <w:r>
        <w:rPr>
          <w:szCs w:val="24"/>
        </w:rPr>
        <w:t>运输</w:t>
      </w:r>
      <w:r>
        <w:rPr>
          <w:rFonts w:hint="eastAsia"/>
          <w:szCs w:val="24"/>
        </w:rPr>
        <w:t>。混凝土在</w:t>
      </w:r>
      <w:r>
        <w:rPr>
          <w:szCs w:val="24"/>
        </w:rPr>
        <w:t>存放过程中，要严防雨淋、滴水及大块石等杂物混入。</w:t>
      </w:r>
    </w:p>
    <w:p w:rsidR="00286D23">
      <w:pPr>
        <w:pStyle w:val="Normal0"/>
        <w:ind w:firstLine="480"/>
        <w:rPr>
          <w:szCs w:val="24"/>
        </w:rPr>
      </w:pPr>
      <w:r>
        <w:rPr>
          <w:rFonts w:hint="eastAsia"/>
          <w:szCs w:val="24"/>
        </w:rPr>
        <w:t>（3）</w:t>
      </w:r>
      <w:r>
        <w:rPr>
          <w:szCs w:val="24"/>
        </w:rPr>
        <w:t>喷混凝土</w:t>
      </w:r>
    </w:p>
    <w:p w:rsidR="00286D23">
      <w:pPr>
        <w:pStyle w:val="Normal0"/>
        <w:ind w:firstLine="480"/>
        <w:rPr>
          <w:szCs w:val="24"/>
        </w:rPr>
      </w:pPr>
      <w:r>
        <w:rPr>
          <w:szCs w:val="24"/>
        </w:rPr>
        <w:t>喷混凝土</w:t>
      </w:r>
      <w:r>
        <w:rPr>
          <w:rFonts w:hint="eastAsia"/>
          <w:szCs w:val="24"/>
        </w:rPr>
        <w:t>施工在作业平台上进行，</w:t>
      </w:r>
      <w:r>
        <w:rPr>
          <w:szCs w:val="24"/>
        </w:rPr>
        <w:t>喷混凝土时要分段分片依次进行，每段长度一般不超过6m，喷射顺序自下而上。分层喷射混凝土，后一层在前一层混凝土终凝后进行，若终凝超过1h再行喷射，要先用风</w:t>
      </w:r>
      <w:r>
        <w:rPr>
          <w:rFonts w:hint="eastAsia"/>
          <w:szCs w:val="24"/>
        </w:rPr>
        <w:t>、</w:t>
      </w:r>
      <w:r>
        <w:rPr>
          <w:szCs w:val="24"/>
        </w:rPr>
        <w:t>水清洗喷层面。喷射开始时，要先送风，后开机，再给料；结束时要待料喷完再关风。喷射时，喷嘴要正对受喷面作均匀的螺旋转动，螺旋直径以30cm为宜，喷头与受喷面保持0.60～</w:t>
      </w:r>
      <w:r>
        <w:rPr>
          <w:rFonts w:hint="eastAsia"/>
          <w:szCs w:val="24"/>
        </w:rPr>
        <w:t>1.0</w:t>
      </w:r>
      <w:r>
        <w:rPr>
          <w:szCs w:val="24"/>
        </w:rPr>
        <w:t>m的距离。当岩面有较大坑洼时，应先喷凹处，然后找平。喷射时，要保证喷头处0.1MPa的稳定风压，连续均匀地向喷射机供料，在机器正常运转时料斗内要保持足够的存料。喷射作业完毕或因故中断喷射时，必须将喷射机和输料管内的积料清除干净。</w:t>
      </w:r>
    </w:p>
    <w:p w:rsidR="00286D23">
      <w:pPr>
        <w:pStyle w:val="Normal0"/>
        <w:autoSpaceDE w:val="0"/>
        <w:autoSpaceDN w:val="0"/>
        <w:ind w:firstLine="480"/>
        <w:rPr>
          <w:rFonts w:cs="宋体"/>
          <w:szCs w:val="24"/>
          <w:lang w:val="zh-CN"/>
        </w:rPr>
      </w:pPr>
      <w:r>
        <w:rPr>
          <w:rFonts w:hint="eastAsia"/>
          <w:szCs w:val="24"/>
        </w:rPr>
        <w:t>（4）</w:t>
      </w:r>
      <w:r>
        <w:rPr>
          <w:rFonts w:cs="宋体" w:hint="eastAsia"/>
          <w:szCs w:val="24"/>
          <w:lang w:val="zh-CN"/>
        </w:rPr>
        <w:t>在受喷面滴水、淋水部位采用如下方法控制</w:t>
      </w:r>
    </w:p>
    <w:p w:rsidR="00286D23">
      <w:pPr>
        <w:pStyle w:val="Normal0"/>
        <w:autoSpaceDE w:val="0"/>
        <w:autoSpaceDN w:val="0"/>
        <w:ind w:firstLine="480"/>
        <w:rPr>
          <w:rFonts w:cs="宋体"/>
          <w:szCs w:val="24"/>
          <w:lang w:val="zh-CN"/>
        </w:rPr>
      </w:pPr>
      <w:r>
        <w:rPr>
          <w:rFonts w:cs="宋体" w:hint="eastAsia"/>
          <w:szCs w:val="24"/>
          <w:lang w:val="zh-CN"/>
        </w:rPr>
        <w:t>滴水地段如地下水压力较小，施工中采用以堵为主方针，进行喷混凝土时，分两次进行，第一层喷射只要求将混凝土射入滴水部位的裂隙中，提高受喷面的凝结作用，止住滴水，第二层施喷紧跟第一层喷射面，适当增加混凝土用量，并达到设计要求；如地下水压力较大，则采取在穿越透水层部位布置一定数量的排水孔，插入导管，将水沿坡面导出。导管与排水孔间用掺速凝剂的砂浆封闭。在地下水集中由导管排出后，即可进行喷混凝土。</w:t>
      </w:r>
    </w:p>
    <w:p w:rsidR="00286D23">
      <w:pPr>
        <w:pStyle w:val="Normal0"/>
        <w:ind w:firstLine="480"/>
        <w:rPr>
          <w:szCs w:val="24"/>
        </w:rPr>
      </w:pPr>
      <w:r>
        <w:rPr>
          <w:rFonts w:hint="eastAsia"/>
          <w:szCs w:val="24"/>
        </w:rPr>
        <w:t>（5）</w:t>
      </w:r>
      <w:r>
        <w:rPr>
          <w:szCs w:val="24"/>
        </w:rPr>
        <w:t>检查、养护</w:t>
      </w:r>
    </w:p>
    <w:p w:rsidR="00286D23">
      <w:pPr>
        <w:pStyle w:val="Normal0"/>
        <w:ind w:firstLine="480"/>
        <w:sectPr>
          <w:type w:val="nextPage"/>
          <w:pgSz w:w="11906" w:h="16838"/>
          <w:pgMar w:top="1418" w:right="1418" w:bottom="1418" w:left="1701" w:header="709" w:footer="709" w:gutter="0"/>
          <w:pgNumType w:start="16"/>
          <w:cols w:space="720"/>
          <w:titlePg w:val="0"/>
          <w:docGrid w:linePitch="360"/>
        </w:sectPr>
      </w:pPr>
      <w:r>
        <w:rPr>
          <w:rFonts w:hint="eastAsia"/>
        </w:rPr>
        <w:t>喷射混凝土完成并终凝后，即进行厚度检查，厚度检查以预埋的厚度检验控制钢筋为主，造孔检查为辅，经检查，喷射混凝土厚度未达到施工图纸要求的厚度，按监理指示进行补喷，检查合格后割除检验钢筋条残余段。喷射混凝土与受喷面间的粘结力以及喷层之间的粘结力，按监理的指示钻取直径</w:t>
      </w:r>
      <w:r>
        <w:t>100mm</w:t>
      </w:r>
    </w:p>
    <w:p w:rsidR="00286D23">
      <w:pPr>
        <w:pStyle w:val="Normal0"/>
        <w:ind w:firstLine="480"/>
      </w:pPr>
      <w:r>
        <w:rPr>
          <w:rFonts w:hint="eastAsia"/>
        </w:rPr>
        <w:t>的芯样作抗拉试验，试验成果资料应报送监理。所有钻取试件的造孔，施工人员用干硬性水泥砂浆回填。经检查如喷射的混凝土中有鼓皮、剥落、强度偏低或有其它缺陷的部位，施工人员及时予以清理和修补。喷射的混凝土终凝</w:t>
      </w:r>
      <w:r>
        <w:t>2h</w:t>
      </w:r>
      <w:r>
        <w:rPr>
          <w:rFonts w:hint="eastAsia"/>
        </w:rPr>
        <w:t>后喷水养护，当喷射混凝土周围的空气湿度达到或超过</w:t>
      </w:r>
      <w:r>
        <w:t>85%</w:t>
      </w:r>
      <w:r>
        <w:rPr>
          <w:rFonts w:hint="eastAsia"/>
        </w:rPr>
        <w:t>时，经监理同意，可进行自然养护。</w:t>
      </w:r>
    </w:p>
    <w:p w:rsidR="00286D23">
      <w:pPr>
        <w:pStyle w:val="Heading3"/>
        <w:ind w:firstLine="482"/>
        <w:rPr>
          <w:sz w:val="24"/>
          <w:szCs w:val="24"/>
        </w:rPr>
      </w:pPr>
      <w:bookmarkStart w:id="198" w:name="_Toc429377635"/>
      <w:bookmarkStart w:id="199" w:name="_Toc425667826"/>
      <w:bookmarkStart w:id="200" w:name="_Toc430156054"/>
      <w:bookmarkStart w:id="201" w:name="_Toc425668608"/>
      <w:bookmarkStart w:id="202" w:name="_Toc427933266"/>
      <w:bookmarkStart w:id="203" w:name="_Toc425668517"/>
      <w:bookmarkStart w:id="204" w:name="_Toc425668153"/>
      <w:bookmarkStart w:id="205" w:name="_Toc425668389"/>
      <w:r>
        <w:rPr>
          <w:rFonts w:hint="eastAsia"/>
          <w:sz w:val="24"/>
          <w:szCs w:val="24"/>
        </w:rPr>
        <w:t>4.2.3  挂网喷混凝土施工</w:t>
      </w:r>
      <w:bookmarkEnd w:id="198"/>
      <w:bookmarkEnd w:id="199"/>
      <w:bookmarkEnd w:id="200"/>
      <w:bookmarkEnd w:id="201"/>
      <w:bookmarkEnd w:id="202"/>
      <w:bookmarkEnd w:id="203"/>
      <w:bookmarkEnd w:id="204"/>
      <w:bookmarkEnd w:id="205"/>
    </w:p>
    <w:p w:rsidR="00286D23">
      <w:pPr>
        <w:pStyle w:val="Normal0"/>
        <w:ind w:firstLine="499" w:firstLineChars="208"/>
      </w:pPr>
      <w:r>
        <w:rPr>
          <w:rFonts w:hint="eastAsia"/>
        </w:rPr>
        <w:t>1、施工工艺流程</w:t>
      </w:r>
    </w:p>
    <w:p w:rsidR="00286D23">
      <w:pPr>
        <w:pStyle w:val="a"/>
        <w:spacing w:line="360" w:lineRule="auto"/>
        <w:jc w:val="left"/>
        <w:rPr>
          <w:rFonts w:ascii="Times New Roman" w:hAnsi="Times New Roman"/>
        </w:rPr>
      </w:pPr>
      <w:r>
        <w:rPr>
          <w:rFonts w:ascii="Times New Roman" w:hAnsi="Times New Roman"/>
          <w:snapToGrid/>
        </w:rPr>
        <w:pict>
          <v:group id="Group 480" o:spid="_x0000_s1079" style="width:450pt;height:23.4pt;margin-top:7.95pt;margin-left:-9pt;mso-height-relative:page;mso-width-relative:page;position:absolute;z-index:251662336" coordorigin="0,0" coordsize="9000,468">
            <v:shapetype id="_x0000_t202" coordsize="21600,21600" o:spt="202" path="m,l,21600r21600,l21600,xe">
              <v:stroke joinstyle="miter"/>
              <v:path gradientshapeok="t" o:connecttype="rect"/>
            </v:shapetype>
            <v:shape id="Text Box 481" o:spid="_x0000_s1080" type="#_x0000_t202" style="width:1260;height:468;position:absolute">
              <v:textbox inset="0,0,0,0">
                <w:txbxContent>
                  <w:p w:rsidR="00286D23">
                    <w:pPr>
                      <w:pStyle w:val="a"/>
                      <w:spacing w:before="72" w:beforeLines="30"/>
                      <w:jc w:val="center"/>
                      <w:rPr>
                        <w:sz w:val="21"/>
                        <w:szCs w:val="21"/>
                      </w:rPr>
                    </w:pPr>
                    <w:r>
                      <w:rPr>
                        <w:rFonts w:hint="eastAsia"/>
                        <w:sz w:val="21"/>
                        <w:szCs w:val="21"/>
                      </w:rPr>
                      <w:t>施工准备</w:t>
                    </w:r>
                  </w:p>
                </w:txbxContent>
              </v:textbox>
            </v:shape>
            <v:shape id="Text Box 482" o:spid="_x0000_s1081" type="#_x0000_t202" style="width:1260;height:468;left:1620;position:absolute">
              <v:textbox inset="0,0,0,0">
                <w:txbxContent>
                  <w:p w:rsidR="00286D23">
                    <w:pPr>
                      <w:pStyle w:val="a"/>
                      <w:spacing w:before="72" w:beforeLines="30"/>
                      <w:jc w:val="center"/>
                      <w:rPr>
                        <w:sz w:val="21"/>
                        <w:szCs w:val="21"/>
                      </w:rPr>
                    </w:pPr>
                    <w:r>
                      <w:rPr>
                        <w:rFonts w:hint="eastAsia"/>
                        <w:sz w:val="21"/>
                        <w:szCs w:val="21"/>
                      </w:rPr>
                      <w:t>受喷面处理</w:t>
                    </w:r>
                  </w:p>
                </w:txbxContent>
              </v:textbox>
            </v:shape>
            <v:shape id="Text Box 483" o:spid="_x0000_s1082" type="#_x0000_t202" style="width:1080;height:468;left:3240;position:absolute">
              <v:textbox inset="0,0,0,0">
                <w:txbxContent>
                  <w:p w:rsidR="00286D23">
                    <w:pPr>
                      <w:pStyle w:val="a"/>
                      <w:spacing w:before="72" w:beforeLines="30"/>
                      <w:jc w:val="center"/>
                      <w:rPr>
                        <w:sz w:val="21"/>
                        <w:szCs w:val="21"/>
                      </w:rPr>
                    </w:pPr>
                    <w:r>
                      <w:rPr>
                        <w:rFonts w:hint="eastAsia"/>
                        <w:sz w:val="21"/>
                        <w:szCs w:val="21"/>
                      </w:rPr>
                      <w:t>验收合格</w:t>
                    </w:r>
                  </w:p>
                </w:txbxContent>
              </v:textbox>
            </v:shape>
            <v:shape id="Text Box 484" o:spid="_x0000_s1083" type="#_x0000_t202" style="width:1620;height:468;left:4680;position:absolute">
              <v:textbox inset="0,0,0,0">
                <w:txbxContent>
                  <w:p w:rsidR="00286D23">
                    <w:pPr>
                      <w:pStyle w:val="a"/>
                      <w:spacing w:before="72" w:beforeLines="30"/>
                      <w:jc w:val="center"/>
                      <w:rPr>
                        <w:sz w:val="21"/>
                        <w:szCs w:val="21"/>
                      </w:rPr>
                    </w:pPr>
                    <w:r>
                      <w:rPr>
                        <w:rFonts w:hint="eastAsia"/>
                        <w:sz w:val="21"/>
                        <w:szCs w:val="21"/>
                      </w:rPr>
                      <w:t>分层挂网施喷</w:t>
                    </w:r>
                  </w:p>
                </w:txbxContent>
              </v:textbox>
            </v:shape>
            <v:shape id="Text Box 485" o:spid="_x0000_s1084" type="#_x0000_t202" style="width:720;height:468;left:6660;position:absolute">
              <v:textbox inset="0,0,0,0">
                <w:txbxContent>
                  <w:p w:rsidR="00286D23">
                    <w:pPr>
                      <w:pStyle w:val="a"/>
                      <w:spacing w:before="72" w:beforeLines="30"/>
                      <w:jc w:val="center"/>
                      <w:rPr>
                        <w:sz w:val="21"/>
                        <w:szCs w:val="21"/>
                      </w:rPr>
                    </w:pPr>
                    <w:r>
                      <w:rPr>
                        <w:rFonts w:hint="eastAsia"/>
                        <w:sz w:val="21"/>
                        <w:szCs w:val="21"/>
                      </w:rPr>
                      <w:t>养护</w:t>
                    </w:r>
                  </w:p>
                  <w:p w:rsidR="00286D23">
                    <w:pPr>
                      <w:pStyle w:val="Normal0"/>
                      <w:ind w:firstLine="480"/>
                    </w:pPr>
                  </w:p>
                </w:txbxContent>
              </v:textbox>
            </v:shape>
            <v:shape id="Text Box 486" o:spid="_x0000_s1085" type="#_x0000_t202" style="width:1260;height:468;left:7740;position:absolute">
              <v:textbox inset="0,0,0,0">
                <w:txbxContent>
                  <w:p w:rsidR="00286D23">
                    <w:pPr>
                      <w:pStyle w:val="a"/>
                      <w:spacing w:before="72" w:beforeLines="30"/>
                      <w:jc w:val="center"/>
                      <w:rPr>
                        <w:sz w:val="21"/>
                        <w:szCs w:val="21"/>
                      </w:rPr>
                    </w:pPr>
                    <w:r>
                      <w:rPr>
                        <w:rFonts w:hint="eastAsia"/>
                        <w:sz w:val="21"/>
                        <w:szCs w:val="21"/>
                      </w:rPr>
                      <w:t>质检验收</w:t>
                    </w:r>
                  </w:p>
                </w:txbxContent>
              </v:textbox>
            </v:shape>
            <v:line id="Line 487" o:spid="_x0000_s1086" style="position:absolute" from="0,0" to="1000,1000">
              <v:stroke endarrow="block"/>
            </v:line>
            <v:line id="Line 488" o:spid="_x0000_s1087" style="position:absolute" from="0,0" to="1000,1000">
              <v:stroke endarrow="block"/>
            </v:line>
            <v:line id="Line 489" o:spid="_x0000_s1088" style="position:absolute" from="0,0" to="1000,1000">
              <v:stroke endarrow="block"/>
            </v:line>
            <v:line id="Line 490" o:spid="_x0000_s1089" style="position:absolute" from="0,0" to="1000,1000">
              <v:stroke endarrow="block"/>
            </v:line>
            <v:line id="Line 491" o:spid="_x0000_s1090" style="position:absolute" from="0,0" to="1000,1000">
              <v:stroke endarrow="block"/>
            </v:line>
          </v:group>
        </w:pict>
      </w:r>
    </w:p>
    <w:p w:rsidR="00286D23">
      <w:pPr>
        <w:pStyle w:val="Normal0"/>
        <w:ind w:firstLine="480"/>
        <w:jc w:val="left"/>
        <w:rPr>
          <w:rFonts w:ascii="Times New Roman" w:hAnsi="Times New Roman"/>
          <w:color w:val="FF0000"/>
        </w:rPr>
      </w:pPr>
    </w:p>
    <w:p w:rsidR="00286D23">
      <w:pPr>
        <w:pStyle w:val="Normal0"/>
        <w:ind w:firstLine="482"/>
        <w:jc w:val="center"/>
        <w:rPr>
          <w:b/>
        </w:rPr>
      </w:pPr>
      <w:r>
        <w:rPr>
          <w:rFonts w:hint="eastAsia"/>
          <w:b/>
        </w:rPr>
        <w:t>图4-4  挂网喷混凝土施工工艺流程框图</w:t>
      </w:r>
    </w:p>
    <w:p w:rsidR="00286D23">
      <w:pPr>
        <w:pStyle w:val="Normal0"/>
        <w:ind w:firstLine="480"/>
        <w:jc w:val="left"/>
      </w:pPr>
      <w:r>
        <w:rPr>
          <w:rFonts w:hint="eastAsia"/>
        </w:rPr>
        <w:t>2、挂网喷混凝土施工工艺</w:t>
      </w:r>
    </w:p>
    <w:p w:rsidR="00286D23">
      <w:pPr>
        <w:pStyle w:val="Normal0"/>
        <w:ind w:firstLine="480"/>
        <w:jc w:val="left"/>
      </w:pPr>
      <w:r>
        <w:rPr>
          <w:rFonts w:hint="eastAsia"/>
        </w:rPr>
        <w:t>初喷混凝土后，进行钢筋网的安装(保护层厚度不小于2cm),安装完后再进行分层复喷至设计要求，并作好养护工作。</w:t>
      </w:r>
    </w:p>
    <w:p w:rsidR="00286D23">
      <w:pPr>
        <w:pStyle w:val="4"/>
        <w:spacing w:line="360" w:lineRule="auto"/>
        <w:ind w:firstLine="480"/>
        <w:rPr>
          <w:rFonts w:ascii="宋体" w:hAnsi="宋体"/>
          <w:color w:val="auto"/>
        </w:rPr>
      </w:pPr>
      <w:r>
        <w:rPr>
          <w:rFonts w:ascii="宋体" w:hAnsi="宋体" w:hint="eastAsia"/>
          <w:color w:val="auto"/>
        </w:rPr>
        <w:t>喷射混凝土采用的钢筋网应按监理人的指示，在指定部位进行布设钢筋网。钢筋网在加工厂进行编焊，运至工作面后，人工在脚手架平台上铺挂，利用锚杆头点焊固定，中间用膨胀螺栓加密固定，网间用铁丝扎牢。喷混凝土的施工方法与</w:t>
      </w:r>
      <w:r>
        <w:rPr>
          <w:rFonts w:ascii="宋体" w:hAnsi="宋体" w:hint="eastAsia"/>
          <w:color w:val="auto"/>
        </w:rPr>
        <w:t>“</w:t>
      </w:r>
      <w:r>
        <w:rPr>
          <w:rFonts w:ascii="宋体" w:hAnsi="宋体" w:hint="eastAsia"/>
          <w:color w:val="auto"/>
        </w:rPr>
        <w:t>4.2.2喷混凝土施工工艺</w:t>
      </w:r>
      <w:r>
        <w:rPr>
          <w:rFonts w:ascii="宋体" w:hAnsi="宋体" w:hint="eastAsia"/>
          <w:color w:val="auto"/>
        </w:rPr>
        <w:t>”</w:t>
      </w:r>
      <w:r>
        <w:rPr>
          <w:rFonts w:ascii="宋体" w:hAnsi="宋体" w:hint="eastAsia"/>
          <w:color w:val="auto"/>
        </w:rPr>
        <w:t>相同。</w:t>
      </w:r>
    </w:p>
    <w:p w:rsidR="00286D23">
      <w:pPr>
        <w:pStyle w:val="Heading3"/>
        <w:ind w:firstLine="482"/>
        <w:rPr>
          <w:sz w:val="24"/>
          <w:szCs w:val="24"/>
        </w:rPr>
      </w:pPr>
      <w:bookmarkStart w:id="206" w:name="_Toc425668390"/>
      <w:bookmarkStart w:id="207" w:name="_Toc425668154"/>
      <w:bookmarkStart w:id="208" w:name="_Toc425667827"/>
      <w:bookmarkStart w:id="209" w:name="_Toc430156055"/>
      <w:bookmarkStart w:id="210" w:name="_Toc429377636"/>
      <w:bookmarkStart w:id="211" w:name="_Toc427933267"/>
      <w:bookmarkStart w:id="212" w:name="_Toc425668609"/>
      <w:bookmarkStart w:id="213" w:name="_Toc425668518"/>
      <w:r>
        <w:rPr>
          <w:rFonts w:hint="eastAsia"/>
          <w:sz w:val="24"/>
          <w:szCs w:val="24"/>
        </w:rPr>
        <w:t>4.2.4  排水管施工</w:t>
      </w:r>
      <w:bookmarkEnd w:id="206"/>
      <w:bookmarkEnd w:id="207"/>
      <w:bookmarkEnd w:id="208"/>
      <w:bookmarkEnd w:id="209"/>
      <w:bookmarkEnd w:id="210"/>
      <w:bookmarkEnd w:id="211"/>
      <w:bookmarkEnd w:id="212"/>
      <w:bookmarkEnd w:id="213"/>
    </w:p>
    <w:p w:rsidR="00286D23">
      <w:pPr>
        <w:pStyle w:val="4"/>
        <w:spacing w:line="360" w:lineRule="auto"/>
        <w:ind w:firstLine="480"/>
        <w:rPr>
          <w:rFonts w:ascii="宋体" w:hAnsi="宋体"/>
          <w:color w:val="FF0000"/>
        </w:rPr>
      </w:pPr>
      <w:r>
        <w:rPr>
          <w:rFonts w:ascii="宋体" w:hAnsi="宋体" w:hint="eastAsia"/>
          <w:color w:val="auto"/>
        </w:rPr>
        <w:t xml:space="preserve">1、排水管的规格型号及布置形式： </w:t>
      </w:r>
      <w:r>
        <w:rPr>
          <w:rFonts w:ascii="宋体" w:hAnsi="宋体" w:hint="eastAsia"/>
          <w:color w:val="auto"/>
        </w:rPr>
        <w:t>Ф</w:t>
      </w:r>
      <w:r>
        <w:rPr>
          <w:rFonts w:ascii="宋体" w:hAnsi="宋体" w:hint="eastAsia"/>
          <w:color w:val="auto"/>
        </w:rPr>
        <w:t>7.5cm，间排距3m 。</w:t>
      </w:r>
    </w:p>
    <w:p w:rsidR="00286D23">
      <w:pPr>
        <w:pStyle w:val="Normal0"/>
        <w:ind w:firstLine="480"/>
        <w:rPr>
          <w:szCs w:val="24"/>
        </w:rPr>
      </w:pPr>
      <w:r>
        <w:rPr>
          <w:rFonts w:hint="eastAsia"/>
        </w:rPr>
        <w:t>2、现场技术人员严格按照设计图纸布孔，并用明显的标记布出孔位，</w:t>
      </w:r>
      <w:r>
        <w:rPr>
          <w:rFonts w:hint="eastAsia"/>
          <w:szCs w:val="24"/>
        </w:rPr>
        <w:t>排水孔的施工</w:t>
      </w:r>
      <w:r>
        <w:rPr>
          <w:szCs w:val="24"/>
        </w:rPr>
        <w:t>在</w:t>
      </w:r>
      <w:r>
        <w:rPr>
          <w:rFonts w:hint="eastAsia"/>
          <w:szCs w:val="24"/>
        </w:rPr>
        <w:t>脚手架搭设的平台上</w:t>
      </w:r>
      <w:r>
        <w:rPr>
          <w:szCs w:val="24"/>
        </w:rPr>
        <w:t>利用手风钻造孔，边造孔边逐一检查，其钻孔的孔径、孔位、孔轴方向、孔深</w:t>
      </w:r>
      <w:r>
        <w:rPr>
          <w:rFonts w:hint="eastAsia"/>
          <w:szCs w:val="24"/>
        </w:rPr>
        <w:t>、间排距等</w:t>
      </w:r>
      <w:r>
        <w:rPr>
          <w:szCs w:val="24"/>
        </w:rPr>
        <w:t>必须符合设计要求，否则进行处理或重钻。</w:t>
      </w:r>
    </w:p>
    <w:p w:rsidR="00286D23">
      <w:pPr>
        <w:pStyle w:val="Normal0"/>
        <w:ind w:firstLine="480"/>
        <w:rPr>
          <w:szCs w:val="24"/>
        </w:rPr>
        <w:sectPr>
          <w:type w:val="nextPage"/>
          <w:pgSz w:w="11906" w:h="16838"/>
          <w:pgMar w:top="1418" w:right="1418" w:bottom="1418" w:left="1701" w:header="709" w:footer="709" w:gutter="0"/>
          <w:pgNumType w:start="17"/>
          <w:cols w:space="720"/>
          <w:titlePg w:val="0"/>
          <w:docGrid w:linePitch="360"/>
        </w:sectPr>
      </w:pPr>
      <w:r>
        <w:rPr>
          <w:rFonts w:hint="eastAsia"/>
          <w:szCs w:val="24"/>
        </w:rPr>
        <w:t>3、造孔达到设计孔深后，用风水连动的方式进行孔壁冲洗，并对孔口进行有效的保护</w:t>
      </w:r>
      <w:r>
        <w:rPr>
          <w:rFonts w:hint="eastAsia"/>
        </w:rPr>
        <w:t>，以防孔内落入异物导致堵孔。</w:t>
      </w:r>
      <w:r>
        <w:rPr>
          <w:rFonts w:hint="eastAsia"/>
          <w:szCs w:val="24"/>
        </w:rPr>
        <w:t>造孔结束后，及时报请监理工程师进行检查验收，检查不合格及时处理，检查合格后及时保护，保证排水孔通畅。</w:t>
      </w:r>
    </w:p>
    <w:p w:rsidR="00286D23">
      <w:pPr>
        <w:pStyle w:val="Heading3"/>
        <w:ind w:firstLine="482"/>
        <w:rPr>
          <w:sz w:val="24"/>
          <w:szCs w:val="24"/>
        </w:rPr>
      </w:pPr>
      <w:bookmarkStart w:id="214" w:name="_Toc427933268"/>
      <w:bookmarkStart w:id="215" w:name="_Toc425668610"/>
      <w:bookmarkStart w:id="216" w:name="_Toc425668519"/>
      <w:bookmarkStart w:id="217" w:name="_Toc425668391"/>
      <w:bookmarkStart w:id="218" w:name="_Toc425667828"/>
      <w:bookmarkStart w:id="219" w:name="_Toc425668155"/>
      <w:bookmarkStart w:id="220" w:name="_Toc429377637"/>
      <w:bookmarkStart w:id="221" w:name="_Toc430156056"/>
      <w:r>
        <w:rPr>
          <w:rFonts w:hint="eastAsia"/>
          <w:sz w:val="24"/>
          <w:szCs w:val="24"/>
        </w:rPr>
        <w:t>4.2.5  草皮护坡施工</w:t>
      </w:r>
      <w:bookmarkEnd w:id="214"/>
      <w:bookmarkEnd w:id="215"/>
      <w:bookmarkEnd w:id="216"/>
      <w:bookmarkEnd w:id="217"/>
      <w:bookmarkEnd w:id="218"/>
      <w:bookmarkEnd w:id="219"/>
      <w:bookmarkEnd w:id="220"/>
      <w:bookmarkEnd w:id="221"/>
    </w:p>
    <w:p w:rsidR="00286D23">
      <w:pPr>
        <w:pStyle w:val="Normal0"/>
        <w:ind w:firstLine="480"/>
      </w:pPr>
      <w:r>
        <w:rPr>
          <w:rFonts w:hint="eastAsia"/>
        </w:rPr>
        <w:t>明渠填方段外边坡采用草皮护坡，草皮种植要选在气温相对较低的气温时施工，并且注意洒水养护。</w:t>
      </w:r>
    </w:p>
    <w:p w:rsidR="00286D23">
      <w:pPr>
        <w:pStyle w:val="Normal0"/>
        <w:ind w:firstLine="480"/>
      </w:pPr>
      <w:r>
        <w:t>1</w:t>
      </w:r>
      <w:r>
        <w:rPr>
          <w:rFonts w:hint="eastAsia"/>
        </w:rPr>
        <w:t>、施工程序</w:t>
      </w:r>
    </w:p>
    <w:p w:rsidR="00286D23">
      <w:pPr>
        <w:pStyle w:val="Normal0"/>
        <w:ind w:firstLine="480"/>
      </w:pPr>
      <w:r>
        <w:rPr>
          <w:rFonts w:hint="eastAsia"/>
        </w:rPr>
        <w:t>边坡修整</w:t>
      </w:r>
      <w:r>
        <w:rPr>
          <w:rFonts w:hint="eastAsia"/>
        </w:rPr>
        <w:t>→</w:t>
      </w:r>
      <w:r>
        <w:rPr>
          <w:rFonts w:hint="eastAsia"/>
        </w:rPr>
        <w:t>铺筑耕植土</w:t>
      </w:r>
      <w:r>
        <w:rPr>
          <w:rFonts w:hint="eastAsia"/>
        </w:rPr>
        <w:t>→</w:t>
      </w:r>
      <w:r>
        <w:rPr>
          <w:rFonts w:hint="eastAsia"/>
        </w:rPr>
        <w:t>种植覆盖</w:t>
      </w:r>
      <w:r>
        <w:rPr>
          <w:rFonts w:hint="eastAsia"/>
        </w:rPr>
        <w:t>→</w:t>
      </w:r>
      <w:r>
        <w:rPr>
          <w:rFonts w:hint="eastAsia"/>
        </w:rPr>
        <w:t>施肥养护。</w:t>
      </w:r>
    </w:p>
    <w:p w:rsidR="00286D23">
      <w:pPr>
        <w:pStyle w:val="Normal0"/>
        <w:ind w:firstLine="480"/>
      </w:pPr>
      <w:r>
        <w:t>2</w:t>
      </w:r>
      <w:r>
        <w:rPr>
          <w:rFonts w:hint="eastAsia"/>
        </w:rPr>
        <w:t>、施工方法</w:t>
      </w:r>
    </w:p>
    <w:p w:rsidR="00286D23">
      <w:pPr>
        <w:pStyle w:val="Normal0"/>
        <w:ind w:firstLine="480"/>
      </w:pPr>
      <w:r>
        <w:rPr>
          <w:rFonts w:hint="eastAsia"/>
        </w:rPr>
        <w:t>（</w:t>
      </w:r>
      <w:r>
        <w:t>1</w:t>
      </w:r>
      <w:r>
        <w:rPr>
          <w:rFonts w:hint="eastAsia"/>
        </w:rPr>
        <w:t>）边坡修整：回填施工完工后，应进行人工边坡修整，以达到设计要求的边坡及平整度的要求。</w:t>
      </w:r>
    </w:p>
    <w:p w:rsidR="00286D23">
      <w:pPr>
        <w:pStyle w:val="Normal0"/>
        <w:ind w:firstLine="480"/>
      </w:pPr>
      <w:r>
        <w:rPr>
          <w:rFonts w:hint="eastAsia"/>
        </w:rPr>
        <w:t>（</w:t>
      </w:r>
      <w:r>
        <w:t>2</w:t>
      </w:r>
      <w:r>
        <w:rPr>
          <w:rFonts w:hint="eastAsia"/>
        </w:rPr>
        <w:t>）铺筑耕植土：边坡修整好后，用人工在坡面上铺筑耕植土，耕植土的厚度应满足设计要求。</w:t>
      </w:r>
    </w:p>
    <w:p w:rsidR="00286D23">
      <w:pPr>
        <w:pStyle w:val="Normal0"/>
        <w:ind w:firstLine="480"/>
      </w:pPr>
      <w:r>
        <w:rPr>
          <w:rFonts w:hint="eastAsia"/>
        </w:rPr>
        <w:t>（</w:t>
      </w:r>
      <w:r>
        <w:t>3</w:t>
      </w:r>
      <w:r>
        <w:rPr>
          <w:rFonts w:hint="eastAsia"/>
        </w:rPr>
        <w:t>）撒种覆盖</w:t>
      </w:r>
    </w:p>
    <w:p w:rsidR="00286D23">
      <w:pPr>
        <w:pStyle w:val="Normal0"/>
        <w:ind w:firstLine="480"/>
      </w:pPr>
      <w:r>
        <w:t>1</w:t>
      </w:r>
      <w:r>
        <w:rPr>
          <w:rFonts w:hint="eastAsia"/>
        </w:rPr>
        <w:t>）草种选择：护坡的草种应选用生产快，耐旱、耐高温、耐水淹、耐贫瘠、耐酸性、耐碱性，能安全越冬的草种。同时要求生长出来的草坪根系发达、强劲、密集交叉、覆盖性好。具体草种应按照设计或监理工程师的指示进行购买。</w:t>
      </w:r>
    </w:p>
    <w:p w:rsidR="00286D23">
      <w:pPr>
        <w:pStyle w:val="Normal0"/>
        <w:ind w:firstLine="480"/>
      </w:pPr>
      <w:r>
        <w:t>2</w:t>
      </w:r>
      <w:r>
        <w:rPr>
          <w:rFonts w:hint="eastAsia"/>
        </w:rPr>
        <w:t>）播种方法：如设计没有明确要求，可考虑采用撒草籽或铺砌草皮两种方式完成草皮护坡工程施工。</w:t>
      </w:r>
    </w:p>
    <w:p w:rsidR="00286D23">
      <w:pPr>
        <w:pStyle w:val="Normal0"/>
        <w:ind w:firstLine="480"/>
      </w:pPr>
      <w:r>
        <w:rPr>
          <w:rFonts w:hint="eastAsia"/>
        </w:rPr>
        <w:t>采用人工撒播法时，撒播前将草种按一定的比例混合均匀，撒种前，沿渠坡横向整排撒播推进。以</w:t>
      </w:r>
      <w:r>
        <w:t>50m</w:t>
      </w:r>
      <w:r>
        <w:rPr>
          <w:rFonts w:hint="eastAsia"/>
        </w:rPr>
        <w:t>为一播段，撒播过种中严格遵循设计及监理工程师的要求。</w:t>
      </w:r>
    </w:p>
    <w:p w:rsidR="00286D23">
      <w:pPr>
        <w:pStyle w:val="Normal0"/>
        <w:ind w:firstLine="480"/>
      </w:pPr>
      <w:r>
        <w:t>3</w:t>
      </w:r>
      <w:r>
        <w:rPr>
          <w:rFonts w:hint="eastAsia"/>
        </w:rPr>
        <w:t>）草种覆盖，每播段完工后，采用人工及时对坡面进行拍压，以使草种稳定，不流失。</w:t>
      </w:r>
    </w:p>
    <w:p w:rsidR="00286D23">
      <w:pPr>
        <w:pStyle w:val="Normal0"/>
        <w:ind w:firstLine="480"/>
      </w:pPr>
      <w:r>
        <w:rPr>
          <w:rFonts w:hint="eastAsia"/>
        </w:rPr>
        <w:t>（</w:t>
      </w:r>
      <w:r>
        <w:t>4</w:t>
      </w:r>
      <w:r>
        <w:rPr>
          <w:rFonts w:hint="eastAsia"/>
        </w:rPr>
        <w:t>）施肥、养护</w:t>
      </w:r>
    </w:p>
    <w:p w:rsidR="00286D23">
      <w:pPr>
        <w:pStyle w:val="Normal0"/>
        <w:ind w:firstLine="480"/>
      </w:pPr>
      <w:r>
        <w:rPr>
          <w:rFonts w:hint="eastAsia"/>
        </w:rPr>
        <w:t>种草完成后，在规定的时间内应进行施肥和养护，以保证当年出苗率和成活率在</w:t>
      </w:r>
      <w:r>
        <w:t>80%</w:t>
      </w:r>
      <w:r>
        <w:rPr>
          <w:rFonts w:hint="eastAsia"/>
        </w:rPr>
        <w:t>以上。</w:t>
      </w:r>
    </w:p>
    <w:p w:rsidR="00286D23">
      <w:pPr>
        <w:pStyle w:val="Normal0"/>
        <w:ind w:firstLine="480"/>
        <w:sectPr>
          <w:type w:val="nextPage"/>
          <w:pgSz w:w="11906" w:h="16838"/>
          <w:pgMar w:top="1418" w:right="1418" w:bottom="1418" w:left="1701" w:header="709" w:footer="709" w:gutter="0"/>
          <w:pgNumType w:start="18"/>
          <w:cols w:space="720"/>
          <w:titlePg w:val="0"/>
          <w:docGrid w:linePitch="360"/>
        </w:sectPr>
      </w:pPr>
      <w:r>
        <w:rPr>
          <w:rFonts w:hint="eastAsia"/>
        </w:rPr>
        <w:t>（</w:t>
      </w:r>
      <w:r>
        <w:t>5</w:t>
      </w:r>
      <w:r>
        <w:rPr>
          <w:rFonts w:hint="eastAsia"/>
        </w:rPr>
        <w:t>）冬季低温播种时，应采用塑料薄膜保温促苗，防止幼苗冻伤。</w:t>
      </w:r>
    </w:p>
    <w:p w:rsidR="00286D23">
      <w:pPr>
        <w:pStyle w:val="Normal0"/>
        <w:ind w:firstLine="480"/>
      </w:pPr>
      <w:r>
        <w:rPr>
          <w:rFonts w:hint="eastAsia"/>
        </w:rPr>
        <w:t>（</w:t>
      </w:r>
      <w:r>
        <w:t>6</w:t>
      </w:r>
      <w:r>
        <w:rPr>
          <w:rFonts w:hint="eastAsia"/>
        </w:rPr>
        <w:t>）草块移植铺设法</w:t>
      </w:r>
    </w:p>
    <w:p w:rsidR="00286D23">
      <w:pPr>
        <w:pStyle w:val="Normal0"/>
        <w:ind w:firstLine="480"/>
      </w:pPr>
      <w:r>
        <w:t>1</w:t>
      </w:r>
      <w:r>
        <w:rPr>
          <w:rFonts w:hint="eastAsia"/>
        </w:rPr>
        <w:t>）铺设草皮的草源应生长良好，密度高，而且有足够面积的草。</w:t>
      </w:r>
    </w:p>
    <w:p w:rsidR="00286D23">
      <w:pPr>
        <w:pStyle w:val="Normal0"/>
        <w:ind w:firstLine="480"/>
      </w:pPr>
      <w:r>
        <w:t>2</w:t>
      </w:r>
      <w:r>
        <w:rPr>
          <w:rFonts w:hint="eastAsia"/>
        </w:rPr>
        <w:t>）草块切成</w:t>
      </w:r>
      <w:r>
        <w:t>30cm</w:t>
      </w:r>
      <w:r>
        <w:rPr>
          <w:rFonts w:hint="eastAsia"/>
        </w:rPr>
        <w:t>×</w:t>
      </w:r>
      <w:r>
        <w:t>30cm</w:t>
      </w:r>
      <w:r>
        <w:rPr>
          <w:rFonts w:hint="eastAsia"/>
        </w:rPr>
        <w:t>，厚</w:t>
      </w:r>
      <w:r>
        <w:t>2</w:t>
      </w:r>
      <w:r>
        <w:rPr>
          <w:rFonts w:hint="eastAsia"/>
        </w:rPr>
        <w:t>~</w:t>
      </w:r>
      <w:r>
        <w:t>3cm</w:t>
      </w:r>
      <w:r>
        <w:rPr>
          <w:rFonts w:hint="eastAsia"/>
        </w:rPr>
        <w:t>的方块。</w:t>
      </w:r>
    </w:p>
    <w:p w:rsidR="00286D23">
      <w:pPr>
        <w:pStyle w:val="Normal0"/>
        <w:ind w:firstLine="480"/>
      </w:pPr>
      <w:r>
        <w:t>3</w:t>
      </w:r>
      <w:r>
        <w:rPr>
          <w:rFonts w:hint="eastAsia"/>
        </w:rPr>
        <w:t>）铺设草块可采取密铺或间铺，密铺应互相街接不留缝隙，要求快速成坪；间铺草块，各草块间的缝隙不得超过</w:t>
      </w:r>
      <w:r>
        <w:t>4</w:t>
      </w:r>
      <w:r>
        <w:rPr>
          <w:rFonts w:hint="eastAsia"/>
        </w:rPr>
        <w:t>~</w:t>
      </w:r>
      <w:r>
        <w:t>6cm</w:t>
      </w:r>
      <w:r>
        <w:rPr>
          <w:rFonts w:hint="eastAsia"/>
        </w:rPr>
        <w:t>，草块铺设后应压实，浇水。</w:t>
      </w:r>
    </w:p>
    <w:p w:rsidR="00286D23">
      <w:pPr>
        <w:pStyle w:val="Heading2"/>
        <w:ind w:firstLine="482"/>
        <w:rPr>
          <w:rFonts w:ascii="宋体" w:hAnsi="宋体"/>
          <w:sz w:val="24"/>
          <w:szCs w:val="24"/>
        </w:rPr>
      </w:pPr>
      <w:bookmarkStart w:id="222" w:name="_Toc288077399"/>
      <w:bookmarkStart w:id="223" w:name="_Toc421542556"/>
      <w:bookmarkStart w:id="224" w:name="_Toc425667829"/>
      <w:bookmarkStart w:id="225" w:name="_Toc425668156"/>
      <w:bookmarkStart w:id="226" w:name="_Toc425668392"/>
      <w:bookmarkStart w:id="227" w:name="_Toc425668520"/>
      <w:bookmarkStart w:id="228" w:name="_Toc425668611"/>
      <w:bookmarkStart w:id="229" w:name="_Toc429377638"/>
      <w:bookmarkStart w:id="230" w:name="_Toc427933269"/>
      <w:bookmarkStart w:id="231" w:name="_Toc432513752"/>
      <w:r>
        <w:rPr>
          <w:rFonts w:ascii="宋体" w:hAnsi="宋体" w:hint="eastAsia"/>
          <w:sz w:val="24"/>
          <w:szCs w:val="24"/>
        </w:rPr>
        <w:t>4.3  填筑</w:t>
      </w:r>
      <w:bookmarkEnd w:id="222"/>
      <w:r>
        <w:rPr>
          <w:rFonts w:ascii="宋体" w:hAnsi="宋体" w:hint="eastAsia"/>
          <w:sz w:val="24"/>
          <w:szCs w:val="24"/>
        </w:rPr>
        <w:t>施工</w:t>
      </w:r>
      <w:bookmarkEnd w:id="223"/>
      <w:bookmarkEnd w:id="224"/>
      <w:bookmarkEnd w:id="225"/>
      <w:bookmarkEnd w:id="226"/>
      <w:bookmarkEnd w:id="227"/>
      <w:bookmarkEnd w:id="228"/>
      <w:bookmarkEnd w:id="229"/>
      <w:bookmarkEnd w:id="230"/>
      <w:bookmarkEnd w:id="231"/>
    </w:p>
    <w:p w:rsidR="00286D23">
      <w:pPr>
        <w:pStyle w:val="Heading3"/>
        <w:ind w:firstLine="482"/>
        <w:rPr>
          <w:sz w:val="24"/>
          <w:szCs w:val="24"/>
        </w:rPr>
      </w:pPr>
      <w:bookmarkStart w:id="232" w:name="_Toc421542557"/>
      <w:bookmarkStart w:id="233" w:name="_Toc425667830"/>
      <w:bookmarkStart w:id="234" w:name="_Toc425668157"/>
      <w:bookmarkStart w:id="235" w:name="_Toc425668393"/>
      <w:bookmarkStart w:id="236" w:name="_Toc425668521"/>
      <w:bookmarkStart w:id="237" w:name="_Toc425668612"/>
      <w:bookmarkStart w:id="238" w:name="_Toc427933270"/>
      <w:bookmarkStart w:id="239" w:name="_Toc429377639"/>
      <w:bookmarkStart w:id="240" w:name="_Toc430156058"/>
      <w:r>
        <w:rPr>
          <w:rFonts w:hint="eastAsia"/>
          <w:sz w:val="24"/>
          <w:szCs w:val="24"/>
        </w:rPr>
        <w:t>4.3.1  概述</w:t>
      </w:r>
      <w:bookmarkEnd w:id="232"/>
      <w:bookmarkEnd w:id="233"/>
      <w:bookmarkEnd w:id="234"/>
      <w:bookmarkEnd w:id="235"/>
      <w:bookmarkEnd w:id="236"/>
      <w:bookmarkEnd w:id="237"/>
      <w:bookmarkEnd w:id="238"/>
      <w:bookmarkEnd w:id="239"/>
      <w:bookmarkEnd w:id="240"/>
    </w:p>
    <w:p w:rsidR="00286D23">
      <w:pPr>
        <w:pStyle w:val="BodyTextIndent3"/>
        <w:spacing w:after="0" w:line="360" w:lineRule="auto"/>
        <w:ind w:left="0" w:firstLine="420" w:leftChars="0"/>
        <w:rPr>
          <w:rFonts w:ascii="宋体" w:hAnsi="宋体"/>
          <w:sz w:val="24"/>
          <w:szCs w:val="24"/>
        </w:rPr>
      </w:pPr>
      <w:r>
        <w:rPr>
          <w:rFonts w:ascii="宋体" w:hAnsi="宋体" w:hint="eastAsia"/>
          <w:sz w:val="24"/>
          <w:szCs w:val="24"/>
        </w:rPr>
        <w:t>本段明渠的半挖半填渠道和填方渠道均利用石渣进行填筑，填筑时要求碾压密实，碾压指标按照压实度不小于96%控制，填筑边坡坡比为1:1.5，加筋石渣填筑边坡坡比1:1。</w:t>
      </w:r>
    </w:p>
    <w:p w:rsidR="00286D23">
      <w:pPr>
        <w:pStyle w:val="Heading3"/>
        <w:ind w:firstLine="482"/>
        <w:rPr>
          <w:sz w:val="24"/>
          <w:szCs w:val="24"/>
        </w:rPr>
      </w:pPr>
      <w:bookmarkStart w:id="241" w:name="_Toc421542558"/>
      <w:bookmarkStart w:id="242" w:name="_Toc425667831"/>
      <w:bookmarkStart w:id="243" w:name="_Toc425668158"/>
      <w:bookmarkStart w:id="244" w:name="_Toc425668394"/>
      <w:bookmarkStart w:id="245" w:name="_Toc425668522"/>
      <w:bookmarkStart w:id="246" w:name="_Toc425668613"/>
      <w:bookmarkStart w:id="247" w:name="_Toc427933271"/>
      <w:bookmarkStart w:id="248" w:name="_Toc429377640"/>
      <w:bookmarkStart w:id="249" w:name="_Toc430156059"/>
      <w:r>
        <w:rPr>
          <w:rFonts w:hint="eastAsia"/>
          <w:sz w:val="24"/>
          <w:szCs w:val="24"/>
        </w:rPr>
        <w:t>4.3.2  填筑现场试验</w:t>
      </w:r>
      <w:bookmarkEnd w:id="241"/>
      <w:bookmarkEnd w:id="242"/>
      <w:bookmarkEnd w:id="243"/>
      <w:bookmarkEnd w:id="244"/>
      <w:bookmarkEnd w:id="245"/>
      <w:bookmarkEnd w:id="246"/>
      <w:bookmarkEnd w:id="247"/>
      <w:bookmarkEnd w:id="248"/>
      <w:bookmarkEnd w:id="249"/>
    </w:p>
    <w:p w:rsidR="00286D23">
      <w:pPr>
        <w:pStyle w:val="11"/>
        <w:spacing w:beforeLines="0"/>
        <w:rPr>
          <w:rFonts w:ascii="宋体" w:hAnsi="宋体"/>
        </w:rPr>
      </w:pPr>
      <w:r>
        <w:rPr>
          <w:rFonts w:ascii="宋体" w:hAnsi="宋体" w:hint="eastAsia"/>
        </w:rPr>
        <w:t>1、确定碾压试验场地：碾压试验前首先在施工现场选择有代表性的地段进行试验，试验地段既有代表性，又不影响正常的填筑施工。试验场地一般为15</w:t>
      </w:r>
      <w:r>
        <w:rPr>
          <w:rFonts w:ascii="宋体" w:hAnsi="宋体" w:hint="eastAsia"/>
        </w:rPr>
        <w:t>×</w:t>
      </w:r>
      <w:r>
        <w:rPr>
          <w:rFonts w:ascii="宋体" w:hAnsi="宋体" w:hint="eastAsia"/>
        </w:rPr>
        <w:t>20m，在试验前，需对试验场进行抄平，并碾压密实。</w:t>
      </w:r>
    </w:p>
    <w:p w:rsidR="00286D23">
      <w:pPr>
        <w:pStyle w:val="11"/>
        <w:spacing w:beforeLines="0"/>
        <w:rPr>
          <w:rFonts w:ascii="宋体" w:hAnsi="宋体"/>
        </w:rPr>
      </w:pPr>
      <w:r>
        <w:rPr>
          <w:rFonts w:ascii="宋体" w:hAnsi="宋体" w:hint="eastAsia"/>
        </w:rPr>
        <w:t>2、设备选择：对于本段明渠，拟投入的碾压设备型号和性能见下表：</w:t>
      </w:r>
    </w:p>
    <w:p w:rsidR="00286D23">
      <w:pPr>
        <w:pStyle w:val="a0"/>
        <w:widowControl w:val="0"/>
        <w:spacing w:before="0" w:after="0" w:line="520" w:lineRule="exact"/>
        <w:ind w:firstLine="360" w:firstLineChars="150"/>
        <w:jc w:val="both"/>
        <w:rPr>
          <w:caps w:val="0"/>
          <w:kern w:val="2"/>
          <w:szCs w:val="24"/>
        </w:rPr>
      </w:pPr>
      <w:r>
        <w:rPr>
          <w:rFonts w:hAnsi="宋体" w:hint="eastAsia"/>
          <w:bCs w:val="0"/>
          <w:szCs w:val="24"/>
        </w:rPr>
        <w:t>表</w:t>
      </w:r>
      <w:r>
        <w:rPr>
          <w:rFonts w:hint="eastAsia"/>
          <w:bCs w:val="0"/>
          <w:szCs w:val="24"/>
        </w:rPr>
        <w:t xml:space="preserve">4.1                                  </w:t>
      </w:r>
      <w:r>
        <w:rPr>
          <w:rFonts w:hAnsi="宋体" w:hint="eastAsia"/>
          <w:caps w:val="0"/>
          <w:kern w:val="2"/>
          <w:szCs w:val="24"/>
        </w:rPr>
        <w:t>碾压设备型号及性能参数表</w:t>
      </w:r>
    </w:p>
    <w:tbl>
      <w:tblPr>
        <w:tblStyle w:val="TableNormal"/>
        <w:tblW w:w="900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3623"/>
        <w:gridCol w:w="5380"/>
      </w:tblGrid>
      <w:tr>
        <w:tblPrEx>
          <w:tblW w:w="900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hRule="exact" w:val="624"/>
          <w:jc w:val="center"/>
        </w:trPr>
        <w:tc>
          <w:tcPr>
            <w:tcW w:w="3623" w:type="dxa"/>
            <w:tcBorders>
              <w:top w:val="single" w:sz="12" w:space="0" w:color="auto"/>
              <w:left w:val="single" w:sz="12" w:space="0" w:color="auto"/>
            </w:tcBorders>
            <w:vAlign w:val="center"/>
          </w:tcPr>
          <w:p w:rsidR="00286D23">
            <w:pPr>
              <w:pStyle w:val="Normal0"/>
              <w:adjustRightInd w:val="0"/>
              <w:snapToGrid w:val="0"/>
              <w:spacing w:after="200" w:line="240" w:lineRule="auto"/>
              <w:ind w:firstLine="0" w:firstLineChars="0"/>
              <w:jc w:val="center"/>
              <w:rPr>
                <w:rFonts w:ascii="Times New Roman" w:eastAsia="宋体" w:hAnsi="Times New Roman"/>
                <w:b/>
                <w:bCs/>
                <w:szCs w:val="21"/>
              </w:rPr>
            </w:pPr>
            <w:bookmarkStart w:id="250" w:name="_Toc425667832"/>
            <w:bookmarkStart w:id="251" w:name="_Toc425668395"/>
            <w:bookmarkStart w:id="252" w:name="_Toc425668159"/>
            <w:bookmarkStart w:id="253" w:name="_Toc425668523"/>
            <w:r>
              <w:rPr>
                <w:rFonts w:ascii="Times New Roman" w:eastAsia="宋体" w:hAnsi="宋体" w:hint="eastAsia"/>
                <w:b/>
                <w:bCs/>
                <w:sz w:val="24"/>
                <w:szCs w:val="21"/>
                <w:lang w:val="en-US" w:eastAsia="zh-CN" w:bidi="ar-SA"/>
              </w:rPr>
              <w:t>型</w:t>
            </w:r>
            <w:r>
              <w:rPr>
                <w:rFonts w:ascii="Times New Roman" w:eastAsia="宋体" w:hAnsi="Times New Roman" w:hint="eastAsia"/>
                <w:b/>
                <w:bCs/>
                <w:sz w:val="24"/>
                <w:szCs w:val="21"/>
                <w:lang w:val="en-US" w:eastAsia="zh-CN" w:bidi="ar-SA"/>
              </w:rPr>
              <w:t xml:space="preserve">         </w:t>
            </w:r>
            <w:r>
              <w:rPr>
                <w:rFonts w:ascii="Times New Roman" w:eastAsia="宋体" w:hAnsi="宋体" w:hint="eastAsia"/>
                <w:b/>
                <w:bCs/>
                <w:sz w:val="24"/>
                <w:szCs w:val="21"/>
                <w:lang w:val="en-US" w:eastAsia="zh-CN" w:bidi="ar-SA"/>
              </w:rPr>
              <w:t>号</w:t>
            </w:r>
            <w:bookmarkEnd w:id="250"/>
            <w:bookmarkEnd w:id="251"/>
            <w:bookmarkEnd w:id="252"/>
            <w:bookmarkEnd w:id="253"/>
          </w:p>
        </w:tc>
        <w:tc>
          <w:tcPr>
            <w:tcW w:w="5380" w:type="dxa"/>
            <w:tcBorders>
              <w:top w:val="single" w:sz="12" w:space="0" w:color="auto"/>
              <w:right w:val="single" w:sz="12" w:space="0" w:color="auto"/>
            </w:tcBorders>
            <w:vAlign w:val="center"/>
          </w:tcPr>
          <w:p w:rsidR="00286D23">
            <w:pPr>
              <w:pStyle w:val="Normal0"/>
              <w:adjustRightInd w:val="0"/>
              <w:snapToGrid w:val="0"/>
              <w:spacing w:after="200" w:line="240" w:lineRule="auto"/>
              <w:ind w:firstLine="120" w:firstLineChars="50"/>
              <w:jc w:val="center"/>
              <w:rPr>
                <w:rFonts w:ascii="Times New Roman" w:eastAsia="宋体" w:hAnsi="Times New Roman"/>
                <w:b/>
                <w:bCs/>
                <w:szCs w:val="21"/>
              </w:rPr>
            </w:pPr>
            <w:bookmarkStart w:id="254" w:name="_Toc425668524"/>
            <w:bookmarkStart w:id="255" w:name="_Toc425668396"/>
            <w:bookmarkStart w:id="256" w:name="_Toc425668160"/>
            <w:bookmarkStart w:id="257" w:name="_Toc425667833"/>
            <w:r>
              <w:rPr>
                <w:rFonts w:ascii="Times New Roman" w:eastAsia="宋体" w:hAnsi="Times New Roman" w:hint="eastAsia"/>
                <w:b/>
                <w:bCs/>
                <w:sz w:val="24"/>
                <w:szCs w:val="21"/>
                <w:lang w:val="en-US" w:eastAsia="zh-CN" w:bidi="ar-SA"/>
              </w:rPr>
              <w:t>G522B</w:t>
            </w:r>
            <w:r>
              <w:rPr>
                <w:rFonts w:ascii="Times New Roman" w:eastAsia="宋体" w:hAnsi="宋体" w:hint="eastAsia"/>
                <w:b/>
                <w:bCs/>
                <w:sz w:val="24"/>
                <w:szCs w:val="21"/>
                <w:lang w:val="en-US" w:eastAsia="zh-CN" w:bidi="ar-SA"/>
              </w:rPr>
              <w:t>振</w:t>
            </w:r>
            <w:r>
              <w:rPr>
                <w:rFonts w:ascii="Times New Roman" w:eastAsia="宋体" w:hAnsi="Times New Roman" w:hint="eastAsia"/>
                <w:b/>
                <w:bCs/>
                <w:sz w:val="24"/>
                <w:szCs w:val="21"/>
                <w:lang w:val="en-US" w:eastAsia="zh-CN" w:bidi="ar-SA"/>
              </w:rPr>
              <w:t xml:space="preserve"> </w:t>
            </w:r>
            <w:r>
              <w:rPr>
                <w:rFonts w:ascii="Times New Roman" w:eastAsia="宋体" w:hAnsi="宋体" w:hint="eastAsia"/>
                <w:b/>
                <w:bCs/>
                <w:sz w:val="24"/>
                <w:szCs w:val="21"/>
                <w:lang w:val="en-US" w:eastAsia="zh-CN" w:bidi="ar-SA"/>
              </w:rPr>
              <w:t>动</w:t>
            </w:r>
            <w:r>
              <w:rPr>
                <w:rFonts w:ascii="Times New Roman" w:eastAsia="宋体" w:hAnsi="Times New Roman" w:hint="eastAsia"/>
                <w:b/>
                <w:bCs/>
                <w:sz w:val="24"/>
                <w:szCs w:val="21"/>
                <w:lang w:val="en-US" w:eastAsia="zh-CN" w:bidi="ar-SA"/>
              </w:rPr>
              <w:t xml:space="preserve"> </w:t>
            </w:r>
            <w:r>
              <w:rPr>
                <w:rFonts w:ascii="Times New Roman" w:eastAsia="宋体" w:hAnsi="宋体" w:hint="eastAsia"/>
                <w:b/>
                <w:bCs/>
                <w:sz w:val="24"/>
                <w:szCs w:val="21"/>
                <w:lang w:val="en-US" w:eastAsia="zh-CN" w:bidi="ar-SA"/>
              </w:rPr>
              <w:t>碾</w:t>
            </w:r>
            <w:bookmarkEnd w:id="254"/>
            <w:bookmarkEnd w:id="255"/>
            <w:bookmarkEnd w:id="256"/>
            <w:bookmarkEnd w:id="257"/>
          </w:p>
        </w:tc>
      </w:tr>
      <w:tr>
        <w:tblPrEx>
          <w:tblW w:w="9003" w:type="dxa"/>
          <w:jc w:val="center"/>
          <w:tblInd w:w="0" w:type="dxa"/>
          <w:tblLayout w:type="fixed"/>
          <w:tblCellMar>
            <w:top w:w="0" w:type="dxa"/>
            <w:left w:w="108" w:type="dxa"/>
            <w:bottom w:w="0" w:type="dxa"/>
            <w:right w:w="108" w:type="dxa"/>
          </w:tblCellMar>
          <w:tblLook w:val="04A0"/>
        </w:tblPrEx>
        <w:trPr>
          <w:trHeight w:hRule="exact" w:val="624"/>
          <w:jc w:val="center"/>
        </w:trPr>
        <w:tc>
          <w:tcPr>
            <w:tcW w:w="3623" w:type="dxa"/>
            <w:tcBorders>
              <w:left w:val="single" w:sz="12" w:space="0" w:color="auto"/>
            </w:tcBorders>
            <w:vAlign w:val="center"/>
          </w:tcPr>
          <w:p w:rsidR="00286D23">
            <w:pPr>
              <w:pStyle w:val="Normal0"/>
              <w:adjustRightInd w:val="0"/>
              <w:snapToGrid w:val="0"/>
              <w:spacing w:after="200" w:line="240" w:lineRule="auto"/>
              <w:ind w:firstLine="0" w:firstLineChars="0"/>
              <w:jc w:val="center"/>
              <w:rPr>
                <w:rFonts w:ascii="Times New Roman" w:eastAsia="宋体" w:hAnsi="Times New Roman"/>
                <w:b/>
                <w:bCs/>
                <w:szCs w:val="21"/>
              </w:rPr>
            </w:pPr>
            <w:bookmarkStart w:id="258" w:name="_Toc425667835"/>
            <w:bookmarkStart w:id="259" w:name="_Toc425668162"/>
            <w:bookmarkStart w:id="260" w:name="_Toc425668526"/>
            <w:bookmarkStart w:id="261" w:name="_Toc425668398"/>
            <w:r>
              <w:rPr>
                <w:rFonts w:ascii="Times New Roman" w:eastAsia="宋体" w:hAnsi="宋体" w:hint="eastAsia"/>
                <w:sz w:val="24"/>
                <w:szCs w:val="21"/>
                <w:lang w:val="en-US" w:eastAsia="zh-CN" w:bidi="ar-SA"/>
              </w:rPr>
              <w:t>自重（</w:t>
            </w:r>
            <w:r>
              <w:rPr>
                <w:rFonts w:ascii="Times New Roman" w:eastAsia="宋体" w:hAnsi="Times New Roman" w:hint="eastAsia"/>
                <w:sz w:val="24"/>
                <w:szCs w:val="21"/>
                <w:lang w:val="en-US" w:eastAsia="zh-CN" w:bidi="ar-SA"/>
              </w:rPr>
              <w:t>kg</w:t>
            </w:r>
            <w:r>
              <w:rPr>
                <w:rFonts w:ascii="Times New Roman" w:eastAsia="宋体" w:hAnsi="宋体" w:hint="eastAsia"/>
                <w:sz w:val="24"/>
                <w:szCs w:val="21"/>
                <w:lang w:val="en-US" w:eastAsia="zh-CN" w:bidi="ar-SA"/>
              </w:rPr>
              <w:t>）</w:t>
            </w:r>
            <w:bookmarkEnd w:id="258"/>
            <w:bookmarkEnd w:id="259"/>
            <w:bookmarkEnd w:id="260"/>
            <w:bookmarkEnd w:id="261"/>
          </w:p>
        </w:tc>
        <w:tc>
          <w:tcPr>
            <w:tcW w:w="5380" w:type="dxa"/>
            <w:tcBorders>
              <w:right w:val="single" w:sz="12" w:space="0" w:color="auto"/>
            </w:tcBorders>
            <w:vAlign w:val="center"/>
          </w:tcPr>
          <w:p w:rsidR="00286D23">
            <w:pPr>
              <w:pStyle w:val="Normal0"/>
              <w:adjustRightInd w:val="0"/>
              <w:snapToGrid w:val="0"/>
              <w:spacing w:after="200" w:line="240" w:lineRule="auto"/>
              <w:ind w:firstLine="0" w:firstLineChars="0"/>
              <w:jc w:val="center"/>
              <w:rPr>
                <w:rFonts w:ascii="Times New Roman" w:eastAsia="宋体" w:hAnsi="Times New Roman"/>
                <w:b/>
                <w:sz w:val="21"/>
                <w:szCs w:val="21"/>
              </w:rPr>
            </w:pPr>
            <w:bookmarkStart w:id="262" w:name="_Toc425667836"/>
            <w:bookmarkStart w:id="263" w:name="_Toc425668163"/>
            <w:bookmarkStart w:id="264" w:name="_Toc425668399"/>
            <w:bookmarkStart w:id="265" w:name="_Toc425668527"/>
            <w:r>
              <w:rPr>
                <w:rFonts w:ascii="Times New Roman" w:eastAsia="宋体" w:hAnsi="Times New Roman" w:hint="eastAsia"/>
                <w:sz w:val="24"/>
                <w:szCs w:val="21"/>
                <w:lang w:val="en-US" w:eastAsia="zh-CN" w:bidi="ar-SA"/>
              </w:rPr>
              <w:t>18000</w:t>
            </w:r>
            <w:bookmarkEnd w:id="262"/>
            <w:bookmarkEnd w:id="263"/>
            <w:bookmarkEnd w:id="264"/>
            <w:bookmarkEnd w:id="265"/>
          </w:p>
        </w:tc>
      </w:tr>
      <w:tr>
        <w:tblPrEx>
          <w:tblW w:w="9003" w:type="dxa"/>
          <w:jc w:val="center"/>
          <w:tblInd w:w="0" w:type="dxa"/>
          <w:tblLayout w:type="fixed"/>
          <w:tblCellMar>
            <w:top w:w="0" w:type="dxa"/>
            <w:left w:w="108" w:type="dxa"/>
            <w:bottom w:w="0" w:type="dxa"/>
            <w:right w:w="108" w:type="dxa"/>
          </w:tblCellMar>
          <w:tblLook w:val="04A0"/>
        </w:tblPrEx>
        <w:trPr>
          <w:trHeight w:hRule="exact" w:val="624"/>
          <w:jc w:val="center"/>
        </w:trPr>
        <w:tc>
          <w:tcPr>
            <w:tcW w:w="3623" w:type="dxa"/>
            <w:tcBorders>
              <w:left w:val="single" w:sz="12" w:space="0" w:color="auto"/>
              <w:bottom w:val="single" w:sz="12" w:space="0" w:color="auto"/>
            </w:tcBorders>
            <w:vAlign w:val="center"/>
          </w:tcPr>
          <w:p w:rsidR="00286D23">
            <w:pPr>
              <w:pStyle w:val="Normal0"/>
              <w:adjustRightInd w:val="0"/>
              <w:snapToGrid w:val="0"/>
              <w:spacing w:after="200" w:line="240" w:lineRule="auto"/>
              <w:ind w:firstLine="0" w:firstLineChars="0"/>
              <w:jc w:val="center"/>
              <w:rPr>
                <w:rFonts w:ascii="Times New Roman" w:eastAsia="宋体" w:hAnsi="Times New Roman"/>
                <w:szCs w:val="21"/>
              </w:rPr>
            </w:pPr>
            <w:bookmarkStart w:id="266" w:name="_Toc425667838"/>
            <w:bookmarkStart w:id="267" w:name="_Toc425668165"/>
            <w:bookmarkStart w:id="268" w:name="_Toc425668401"/>
            <w:bookmarkStart w:id="269" w:name="_Toc425668529"/>
            <w:r>
              <w:rPr>
                <w:rFonts w:ascii="Times New Roman" w:eastAsia="宋体" w:hAnsi="宋体" w:hint="eastAsia"/>
                <w:sz w:val="24"/>
                <w:szCs w:val="21"/>
                <w:lang w:val="en-US" w:eastAsia="zh-CN" w:bidi="ar-SA"/>
              </w:rPr>
              <w:t>功率（</w:t>
            </w:r>
            <w:r>
              <w:rPr>
                <w:rFonts w:ascii="Times New Roman" w:eastAsia="宋体" w:hAnsi="Times New Roman" w:hint="eastAsia"/>
                <w:sz w:val="24"/>
                <w:szCs w:val="21"/>
                <w:lang w:val="en-US" w:eastAsia="zh-CN" w:bidi="ar-SA"/>
              </w:rPr>
              <w:t>kw</w:t>
            </w:r>
            <w:r>
              <w:rPr>
                <w:rFonts w:ascii="Times New Roman" w:eastAsia="宋体" w:hAnsi="宋体" w:hint="eastAsia"/>
                <w:sz w:val="24"/>
                <w:szCs w:val="21"/>
                <w:lang w:val="en-US" w:eastAsia="zh-CN" w:bidi="ar-SA"/>
              </w:rPr>
              <w:t>）</w:t>
            </w:r>
            <w:bookmarkEnd w:id="266"/>
            <w:bookmarkEnd w:id="267"/>
            <w:bookmarkEnd w:id="268"/>
            <w:bookmarkEnd w:id="269"/>
          </w:p>
        </w:tc>
        <w:tc>
          <w:tcPr>
            <w:tcW w:w="5380" w:type="dxa"/>
            <w:tcBorders>
              <w:bottom w:val="single" w:sz="12" w:space="0" w:color="auto"/>
              <w:right w:val="single" w:sz="12" w:space="0" w:color="auto"/>
            </w:tcBorders>
            <w:vAlign w:val="center"/>
          </w:tcPr>
          <w:p w:rsidR="00286D23">
            <w:pPr>
              <w:pStyle w:val="Normal0"/>
              <w:adjustRightInd w:val="0"/>
              <w:snapToGrid w:val="0"/>
              <w:spacing w:after="200" w:line="240" w:lineRule="auto"/>
              <w:ind w:firstLine="0" w:firstLineChars="0"/>
              <w:jc w:val="center"/>
              <w:rPr>
                <w:rFonts w:ascii="Times New Roman" w:eastAsia="宋体" w:hAnsi="Times New Roman"/>
                <w:szCs w:val="21"/>
              </w:rPr>
            </w:pPr>
            <w:bookmarkStart w:id="270" w:name="_Toc425667839"/>
            <w:bookmarkStart w:id="271" w:name="_Toc425668166"/>
            <w:bookmarkStart w:id="272" w:name="_Toc425668402"/>
            <w:bookmarkStart w:id="273" w:name="_Toc425668530"/>
            <w:r>
              <w:rPr>
                <w:rFonts w:ascii="Times New Roman" w:eastAsia="宋体" w:hAnsi="Times New Roman" w:hint="eastAsia"/>
                <w:sz w:val="24"/>
                <w:szCs w:val="21"/>
                <w:lang w:val="en-US" w:eastAsia="zh-CN" w:bidi="ar-SA"/>
              </w:rPr>
              <w:t>132</w:t>
            </w:r>
            <w:bookmarkEnd w:id="270"/>
            <w:bookmarkEnd w:id="271"/>
            <w:bookmarkEnd w:id="272"/>
            <w:bookmarkEnd w:id="273"/>
          </w:p>
        </w:tc>
      </w:tr>
    </w:tbl>
    <w:p w:rsidR="00286D23">
      <w:pPr>
        <w:pStyle w:val="Normal0"/>
        <w:ind w:firstLine="480"/>
      </w:pPr>
      <w:r>
        <w:rPr>
          <w:rFonts w:hint="eastAsia"/>
        </w:rPr>
        <w:t>3、碾压参数初选</w:t>
      </w:r>
    </w:p>
    <w:p w:rsidR="00286D23">
      <w:pPr>
        <w:pStyle w:val="Normal0"/>
        <w:ind w:firstLine="480"/>
        <w:sectPr>
          <w:type w:val="nextPage"/>
          <w:pgSz w:w="11906" w:h="16838"/>
          <w:pgMar w:top="1418" w:right="1418" w:bottom="1418" w:left="1701" w:header="709" w:footer="709" w:gutter="0"/>
          <w:pgNumType w:start="19"/>
          <w:cols w:space="720"/>
          <w:titlePg w:val="0"/>
          <w:docGrid w:linePitch="360"/>
        </w:sectPr>
      </w:pPr>
      <w:r>
        <w:rPr>
          <w:rFonts w:hint="eastAsia"/>
        </w:rPr>
        <w:t>根据选定的不同的碾压设备、不同的碾压类型、拟定碾压参数，并对碾压参数进行组合，初选试验参数如下：</w:t>
      </w:r>
    </w:p>
    <w:p w:rsidR="00286D23">
      <w:pPr>
        <w:pStyle w:val="Normal0"/>
        <w:ind w:firstLine="480"/>
      </w:pPr>
      <w:r>
        <w:rPr>
          <w:rFonts w:hint="eastAsia"/>
        </w:rPr>
        <w:t>（1）碾压设备：用G522B型自行式振动碾。</w:t>
      </w:r>
    </w:p>
    <w:p w:rsidR="00286D23">
      <w:pPr>
        <w:pStyle w:val="Normal0"/>
        <w:ind w:firstLine="480"/>
      </w:pPr>
      <w:r>
        <w:rPr>
          <w:rFonts w:hint="eastAsia"/>
        </w:rPr>
        <w:t>铺料厚度：选取30、40cm、60cm。</w:t>
      </w:r>
    </w:p>
    <w:p w:rsidR="00286D23">
      <w:pPr>
        <w:pStyle w:val="Normal0"/>
        <w:ind w:firstLine="480"/>
      </w:pPr>
      <w:r>
        <w:rPr>
          <w:rFonts w:hint="eastAsia"/>
        </w:rPr>
        <w:t>铺料方法：采用10t自卸汽车进占法铺料，TY220推土机平整。</w:t>
      </w:r>
    </w:p>
    <w:p w:rsidR="00286D23">
      <w:pPr>
        <w:pStyle w:val="Normal0"/>
        <w:ind w:firstLine="480"/>
      </w:pPr>
      <w:r>
        <w:rPr>
          <w:rFonts w:hint="eastAsia"/>
        </w:rPr>
        <w:t>碾压遍数选取：6遍、8遍、10遍。</w:t>
      </w:r>
    </w:p>
    <w:p w:rsidR="00286D23">
      <w:pPr>
        <w:pStyle w:val="Normal0"/>
        <w:ind w:firstLine="480"/>
      </w:pPr>
      <w:r>
        <w:rPr>
          <w:rFonts w:hint="eastAsia"/>
        </w:rPr>
        <w:t>4、碾压试验步骤</w:t>
      </w:r>
    </w:p>
    <w:p w:rsidR="00286D23">
      <w:pPr>
        <w:pStyle w:val="Normal0"/>
        <w:ind w:firstLine="480"/>
      </w:pPr>
      <w:r>
        <w:rPr>
          <w:rFonts w:hint="eastAsia"/>
        </w:rPr>
        <w:t>用选定的碾压机械进行碾压，机械走行速度控制在2-3Km/h。在前四遍中，试验段每压完一遍，进行一次压实度检测，并作好记录；在第五遍至第八遍时，每两遍进行一次测试，经检测后，如果测试值达到规范要求，则停止该层的碾压试验。</w:t>
      </w:r>
    </w:p>
    <w:p w:rsidR="00286D23">
      <w:pPr>
        <w:pStyle w:val="Normal0"/>
        <w:ind w:firstLine="480"/>
      </w:pPr>
      <w:r>
        <w:rPr>
          <w:rFonts w:hint="eastAsia"/>
        </w:rPr>
        <w:t>按相同的方法填筑第二层，按同上频次检测作好试验记录。根据前两层测试资料，求得填料的压实指标，并结合填料压实特性，确定最佳填筑参数。施工时将派专人详细记录各填筑层厚度、碾压遍数等有关数据。</w:t>
      </w:r>
    </w:p>
    <w:p w:rsidR="00286D23">
      <w:pPr>
        <w:pStyle w:val="Normal0"/>
        <w:ind w:firstLine="480"/>
      </w:pPr>
      <w:r>
        <w:rPr>
          <w:rFonts w:hint="eastAsia"/>
        </w:rPr>
        <w:t>取样检查：用注水法、灌砂法或环刀法在碾压面的测量网点附近取样，测定填筑料的压实度。</w:t>
      </w:r>
    </w:p>
    <w:p w:rsidR="00286D23">
      <w:pPr>
        <w:pStyle w:val="Normal0"/>
        <w:ind w:firstLine="480"/>
      </w:pPr>
      <w:r>
        <w:rPr>
          <w:rFonts w:hint="eastAsia"/>
        </w:rPr>
        <w:t>5、资料整理：根据试验数据和测量结果来整理碾压试验成果，并根据碾压试验成果的数据绘制如下关系曲线：</w:t>
      </w:r>
    </w:p>
    <w:p w:rsidR="00286D23">
      <w:pPr>
        <w:pStyle w:val="Normal0"/>
        <w:ind w:firstLine="480"/>
      </w:pPr>
      <w:r>
        <w:rPr>
          <w:rFonts w:hint="eastAsia"/>
        </w:rPr>
        <w:t xml:space="preserve">以铺料厚度为参数，绘制压实度与碾压遍数的关系曲线。 </w:t>
      </w:r>
    </w:p>
    <w:p w:rsidR="00286D23">
      <w:pPr>
        <w:pStyle w:val="Normal0"/>
        <w:ind w:firstLine="480"/>
        <w:rPr>
          <w:rFonts w:ascii="Times New Roman" w:hAnsi="Times New Roman"/>
        </w:rPr>
      </w:pPr>
      <w:r>
        <w:rPr>
          <w:rFonts w:ascii="Times New Roman" w:hAnsi="Times New Roman" w:hint="eastAsia"/>
        </w:rPr>
        <w:t>6</w:t>
      </w:r>
      <w:r>
        <w:rPr>
          <w:rFonts w:ascii="Times New Roman" w:hint="eastAsia"/>
        </w:rPr>
        <w:t>、碾压参数的选定：碾压试验后，根据整理出的碾压试验成果来复核设计要求的压实度，选择施工控制铺料厚度和碾压参数。将整理的碾压试验成果报送监理工程师审批后，经同意后方可正式开始填筑，施工参数一经确定，不得随意更改。</w:t>
      </w:r>
    </w:p>
    <w:p w:rsidR="00286D23">
      <w:pPr>
        <w:pStyle w:val="Heading3"/>
        <w:ind w:firstLine="482"/>
        <w:rPr>
          <w:sz w:val="24"/>
          <w:szCs w:val="24"/>
        </w:rPr>
      </w:pPr>
      <w:bookmarkStart w:id="274" w:name="_Toc421542559"/>
      <w:bookmarkStart w:id="275" w:name="_Toc425667841"/>
      <w:bookmarkStart w:id="276" w:name="_Toc425668168"/>
      <w:bookmarkStart w:id="277" w:name="_Toc425668404"/>
      <w:bookmarkStart w:id="278" w:name="_Toc425668532"/>
      <w:bookmarkStart w:id="279" w:name="_Toc425668614"/>
      <w:bookmarkStart w:id="280" w:name="_Toc427933272"/>
      <w:bookmarkStart w:id="281" w:name="_Toc429377641"/>
      <w:bookmarkStart w:id="282" w:name="_Toc430156060"/>
      <w:r>
        <w:rPr>
          <w:rFonts w:hint="eastAsia"/>
          <w:sz w:val="24"/>
          <w:szCs w:val="24"/>
        </w:rPr>
        <w:t>4.3.3  填筑施工程序</w:t>
      </w:r>
      <w:bookmarkEnd w:id="274"/>
      <w:bookmarkEnd w:id="275"/>
      <w:bookmarkEnd w:id="276"/>
      <w:bookmarkEnd w:id="277"/>
      <w:bookmarkEnd w:id="278"/>
      <w:bookmarkEnd w:id="279"/>
      <w:bookmarkEnd w:id="280"/>
      <w:bookmarkEnd w:id="281"/>
      <w:bookmarkEnd w:id="282"/>
    </w:p>
    <w:p w:rsidR="00286D23">
      <w:pPr>
        <w:pStyle w:val="Normal0"/>
        <w:ind w:firstLine="480"/>
        <w:rPr>
          <w:rFonts w:ascii="Times New Roman"/>
        </w:rPr>
      </w:pPr>
      <w:r>
        <w:rPr>
          <w:rFonts w:ascii="Times New Roman" w:hint="eastAsia"/>
        </w:rPr>
        <w:t>填筑施工程序如下：</w:t>
      </w:r>
    </w:p>
    <w:p w:rsidR="00286D23">
      <w:pPr>
        <w:pStyle w:val="Normal0"/>
        <w:ind w:firstLine="480"/>
        <w:rPr>
          <w:rFonts w:ascii="Times New Roman" w:hAnsi="Times New Roman"/>
        </w:rPr>
      </w:pPr>
    </w:p>
    <w:p w:rsidR="00286D23">
      <w:pPr>
        <w:pStyle w:val="Normal0"/>
        <w:ind w:firstLine="482"/>
        <w:rPr>
          <w:rFonts w:ascii="Times New Roman" w:hAnsi="Times New Roman"/>
          <w:b/>
          <w:bCs/>
          <w:color w:val="FF0000"/>
        </w:rPr>
        <w:sectPr>
          <w:type w:val="nextPage"/>
          <w:pgSz w:w="11906" w:h="16838"/>
          <w:pgMar w:top="1418" w:right="1418" w:bottom="1418" w:left="1701" w:header="709" w:footer="709" w:gutter="0"/>
          <w:pgNumType w:start="20"/>
          <w:cols w:space="720"/>
          <w:titlePg w:val="0"/>
          <w:docGrid w:linePitch="360"/>
        </w:sectPr>
      </w:pPr>
      <w:r>
        <w:rPr>
          <w:rFonts w:ascii="Times New Roman" w:hAnsi="Times New Roman"/>
          <w:b/>
          <w:bCs/>
          <w:color w:val="FF0000"/>
        </w:rPr>
        <w:pict>
          <v:shape id="_x0000_s1176" o:spid="_x0000_s1091" type="#_x0000_t202" style="width:45pt;height:19.05pt;margin-top:-7.8pt;margin-left:126pt;position:absolute;z-index:251668480" stroked="f">
            <v:textbox inset="0,2.83pt,0,0">
              <w:txbxContent>
                <w:p w:rsidR="00286D23">
                  <w:pPr>
                    <w:pStyle w:val="Normal0"/>
                    <w:ind w:firstLine="120" w:firstLineChars="50"/>
                  </w:pPr>
                  <w:r>
                    <w:rPr>
                      <w:rFonts w:hint="eastAsia"/>
                    </w:rPr>
                    <w:t>合格</w:t>
                  </w:r>
                </w:p>
              </w:txbxContent>
            </v:textbox>
          </v:shape>
        </w:pict>
      </w:r>
      <w:r>
        <w:rPr>
          <w:rFonts w:ascii="Times New Roman" w:hAnsi="Times New Roman"/>
          <w:b/>
          <w:bCs/>
          <w:color w:val="FF0000"/>
          <w:sz w:val="20"/>
        </w:rPr>
        <w:pict>
          <v:line id="_x0000_s1174" o:spid="_x0000_s1092" style="position:absolute;z-index:251667456" from="0,0" to="50pt,50pt">
            <v:stroke endarrow="block" endarrowwidth="narrow" endarrowlength="long"/>
          </v:line>
        </w:pict>
      </w:r>
      <w:r>
        <w:rPr>
          <w:rFonts w:ascii="Times New Roman" w:hAnsi="Times New Roman"/>
          <w:b/>
          <w:bCs/>
          <w:color w:val="FF0000"/>
          <w:sz w:val="20"/>
        </w:rPr>
        <w:pict>
          <v:shape id="_x0000_s1161" o:spid="_x0000_s1093" type="#_x0000_t202" style="width:97.4pt;height:21.7pt;margin-top:5.6pt;margin-left:18pt;position:absolute;z-index:251663360">
            <v:textbox inset="0,2.83pt,0,0">
              <w:txbxContent>
                <w:p w:rsidR="00286D23">
                  <w:pPr>
                    <w:pStyle w:val="Normal0"/>
                    <w:ind w:firstLine="120" w:firstLineChars="50"/>
                  </w:pPr>
                  <w:r>
                    <w:rPr>
                      <w:rFonts w:hint="eastAsia"/>
                    </w:rPr>
                    <w:t>填筑面检查验收</w:t>
                  </w:r>
                </w:p>
              </w:txbxContent>
            </v:textbox>
          </v:shape>
        </w:pict>
      </w:r>
      <w:r>
        <w:rPr>
          <w:rFonts w:ascii="Times New Roman" w:hAnsi="Times New Roman"/>
          <w:b/>
          <w:bCs/>
          <w:color w:val="FF0000"/>
          <w:sz w:val="20"/>
        </w:rPr>
        <w:pict>
          <v:line id="_x0000_s1173" o:spid="_x0000_s1094" style="position:absolute;z-index:251666432" from="0,0" to="50pt,50pt">
            <v:stroke endarrow="block" endarrowwidth="narrow" endarrowlength="long"/>
          </v:line>
        </w:pict>
      </w:r>
      <w:r>
        <w:rPr>
          <w:rFonts w:ascii="Times New Roman" w:hAnsi="Times New Roman"/>
          <w:b/>
          <w:bCs/>
          <w:color w:val="FF0000"/>
          <w:sz w:val="20"/>
        </w:rPr>
        <w:pict>
          <v:shape id="_x0000_s1163" o:spid="_x0000_s1095" type="#_x0000_t202" style="width:76.95pt;height:21.7pt;margin-top:5.6pt;margin-left:292.25pt;position:absolute;z-index:251665408">
            <v:textbox inset="0,2.83pt,0,0">
              <w:txbxContent>
                <w:p w:rsidR="00286D23">
                  <w:pPr>
                    <w:pStyle w:val="Normal0"/>
                    <w:ind w:firstLine="120" w:firstLineChars="50"/>
                  </w:pPr>
                  <w:r>
                    <w:rPr>
                      <w:rFonts w:hint="eastAsia"/>
                    </w:rPr>
                    <w:t>推土机铺料</w:t>
                  </w:r>
                </w:p>
              </w:txbxContent>
            </v:textbox>
          </v:shape>
        </w:pict>
      </w:r>
      <w:r>
        <w:rPr>
          <w:rFonts w:ascii="Times New Roman" w:hAnsi="Times New Roman"/>
          <w:b/>
          <w:bCs/>
          <w:color w:val="FF0000"/>
          <w:sz w:val="20"/>
        </w:rPr>
        <w:pict>
          <v:shape id="_x0000_s1162" o:spid="_x0000_s1096" type="#_x0000_t202" style="width:76.9pt;height:21.7pt;margin-top:5.6pt;margin-left:170.9pt;position:absolute;z-index:251664384">
            <v:textbox inset="0,2.83pt,0,0">
              <w:txbxContent>
                <w:p w:rsidR="00286D23">
                  <w:pPr>
                    <w:pStyle w:val="Normal0"/>
                    <w:ind w:firstLine="120" w:firstLineChars="50"/>
                  </w:pPr>
                  <w:r>
                    <w:rPr>
                      <w:rFonts w:hint="eastAsia"/>
                    </w:rPr>
                    <w:t>自卸车卸料</w:t>
                  </w:r>
                </w:p>
              </w:txbxContent>
            </v:textbox>
          </v:shape>
        </w:pict>
      </w:r>
    </w:p>
    <w:p w:rsidR="00286D23">
      <w:pPr>
        <w:pStyle w:val="Normal0"/>
        <w:ind w:firstLine="482"/>
        <w:rPr>
          <w:rFonts w:ascii="Times New Roman" w:hAnsi="Times New Roman"/>
          <w:b/>
          <w:bCs/>
          <w:color w:val="FF0000"/>
        </w:rPr>
      </w:pPr>
      <w:r>
        <w:rPr>
          <w:rFonts w:ascii="Times New Roman" w:hAnsi="Times New Roman"/>
          <w:b/>
          <w:bCs/>
          <w:color w:val="FF0000"/>
        </w:rPr>
        <w:pict>
          <v:shape id="_x0000_s1610" o:spid="_x0000_s1097" type="#_x0000_t32" style="width:37.3pt;height:0;margin-top:6.6pt;margin-left:211.2pt;position:absolute;z-index:251681792" o:connectortype="straight" filled="f" stroked="t">
            <v:path arrowok="t"/>
          </v:shape>
        </w:pict>
      </w:r>
      <w:r>
        <w:rPr>
          <w:rFonts w:ascii="Times New Roman" w:hAnsi="Times New Roman"/>
          <w:b/>
          <w:bCs/>
          <w:color w:val="FF0000"/>
        </w:rPr>
        <w:pict>
          <v:shape id="_x0000_s1609" o:spid="_x0000_s1098" type="#_x0000_t32" style="width:39.7pt;height:0;margin-top:6.6pt;margin-left:292.25pt;position:absolute;z-index:251680768" o:connectortype="straight" filled="f" stroked="t">
            <v:path arrowok="t"/>
          </v:shape>
        </w:pict>
      </w:r>
      <w:r>
        <w:rPr>
          <w:rFonts w:ascii="Times New Roman" w:hAnsi="Times New Roman"/>
          <w:b/>
          <w:bCs/>
          <w:color w:val="FF0000"/>
        </w:rPr>
        <w:pict>
          <v:shape id="_x0000_s1608" o:spid="_x0000_s1099" type="#_x0000_t32" style="width:0.05pt;height:35.2pt;margin-top:6.6pt;margin-left:331.95pt;position:absolute;z-index:251679744" o:connectortype="straight" filled="f" stroked="t">
            <v:stroke endarrow="block"/>
            <v:path arrowok="t"/>
          </v:shape>
        </w:pict>
      </w:r>
      <w:r>
        <w:rPr>
          <w:rFonts w:ascii="Times New Roman" w:hAnsi="Times New Roman"/>
          <w:b/>
          <w:bCs/>
          <w:color w:val="FF0000"/>
        </w:rPr>
        <w:pict>
          <v:shape id="_x0000_s1170" o:spid="_x0000_s1100" type="#_x0000_t202" style="width:82pt;height:19.1pt;margin-top:4.4pt;margin-left:235.75pt;position:absolute;z-index:251676672" stroked="f">
            <v:textbox inset="0,2.83pt,0,0">
              <w:txbxContent>
                <w:p w:rsidR="00286D23">
                  <w:pPr>
                    <w:pStyle w:val="Normal0"/>
                    <w:ind w:firstLine="0" w:firstLineChars="0"/>
                    <w:rPr>
                      <w:szCs w:val="21"/>
                    </w:rPr>
                  </w:pPr>
                  <w:r>
                    <w:rPr>
                      <w:rFonts w:hint="eastAsia"/>
                      <w:szCs w:val="21"/>
                    </w:rPr>
                    <w:t>取样不合格</w:t>
                  </w:r>
                </w:p>
              </w:txbxContent>
            </v:textbox>
          </v:shape>
        </w:pict>
      </w:r>
    </w:p>
    <w:p w:rsidR="00286D23">
      <w:pPr>
        <w:pStyle w:val="Normal0"/>
        <w:ind w:firstLine="482"/>
        <w:rPr>
          <w:rFonts w:ascii="Times New Roman" w:hAnsi="Times New Roman"/>
          <w:b/>
          <w:bCs/>
          <w:color w:val="FF0000"/>
        </w:rPr>
      </w:pPr>
      <w:r>
        <w:rPr>
          <w:rFonts w:ascii="Times New Roman" w:hAnsi="Times New Roman"/>
          <w:b/>
          <w:bCs/>
          <w:color w:val="FF0000"/>
        </w:rPr>
        <w:pict>
          <v:line id="_x0000_s1175" o:spid="_x0000_s1101" style="flip:y;position:absolute;z-index:251678720" from="0,0" to="50pt,50pt">
            <v:stroke endarrow="block"/>
          </v:line>
        </w:pict>
      </w:r>
      <w:r>
        <w:rPr>
          <w:rFonts w:ascii="Times New Roman" w:hAnsi="Times New Roman"/>
          <w:b/>
          <w:bCs/>
          <w:color w:val="FF0000"/>
        </w:rPr>
        <w:pict>
          <v:line id="_x0000_s1169" o:spid="_x0000_s1102" style="flip:y;position:absolute;z-index:251675648" from="0,0" to="50pt,50pt">
            <v:stroke endarrowwidth="narrow" endarrowlength="long"/>
          </v:line>
        </w:pict>
      </w:r>
      <w:r>
        <w:rPr>
          <w:rFonts w:ascii="Times New Roman" w:hAnsi="Times New Roman"/>
          <w:b/>
          <w:bCs/>
          <w:color w:val="FF0000"/>
        </w:rPr>
        <w:pict>
          <v:shape id="_x0000_s1171" o:spid="_x0000_s1103" type="#_x0000_t202" style="width:62.4pt;height:19.05pt;margin-top:13.1pt;margin-left:124.9pt;position:absolute;z-index:251677696" stroked="f">
            <v:textbox inset="0,2.83pt,0,0">
              <w:txbxContent>
                <w:p w:rsidR="00286D23">
                  <w:pPr>
                    <w:pStyle w:val="Normal0"/>
                    <w:ind w:firstLine="120" w:firstLineChars="50"/>
                  </w:pPr>
                  <w:r>
                    <w:rPr>
                      <w:rFonts w:hint="eastAsia"/>
                    </w:rPr>
                    <w:t>取样合格</w:t>
                  </w:r>
                </w:p>
              </w:txbxContent>
            </v:textbox>
          </v:shape>
        </w:pict>
      </w:r>
    </w:p>
    <w:p w:rsidR="00286D23">
      <w:pPr>
        <w:pStyle w:val="Normal0"/>
        <w:ind w:firstLine="482"/>
        <w:rPr>
          <w:rFonts w:ascii="Times New Roman" w:hAnsi="Times New Roman"/>
          <w:b/>
          <w:bCs/>
          <w:color w:val="FF0000"/>
        </w:rPr>
      </w:pPr>
      <w:r>
        <w:rPr>
          <w:rFonts w:ascii="Times New Roman" w:hAnsi="Times New Roman"/>
          <w:b/>
          <w:bCs/>
          <w:color w:val="FF0000"/>
        </w:rPr>
        <w:pict>
          <v:line id="_x0000_s1168" o:spid="_x0000_s1104" style="flip:x;position:absolute;z-index:251674624" from="0,0" to="50pt,50pt">
            <v:stroke endarrow="block" endarrowwidth="narrow" endarrowlength="long"/>
          </v:line>
        </w:pict>
      </w:r>
      <w:r>
        <w:rPr>
          <w:rFonts w:ascii="Times New Roman" w:hAnsi="Times New Roman"/>
          <w:b/>
          <w:bCs/>
          <w:color w:val="FF0000"/>
        </w:rPr>
        <w:pict>
          <v:shape id="_x0000_s1167" o:spid="_x0000_s1105" type="#_x0000_t202" style="width:82pt;height:21.75pt;margin-top:0.4pt;margin-left:36pt;position:absolute;z-index:251673600">
            <v:textbox inset="0,2.83pt,0,0">
              <w:txbxContent>
                <w:p w:rsidR="00286D23">
                  <w:pPr>
                    <w:pStyle w:val="Normal0"/>
                    <w:ind w:firstLine="0" w:firstLineChars="0"/>
                    <w:jc w:val="center"/>
                  </w:pPr>
                  <w:r>
                    <w:rPr>
                      <w:rFonts w:hint="eastAsia"/>
                    </w:rPr>
                    <w:t>下一层铺料</w:t>
                  </w:r>
                </w:p>
              </w:txbxContent>
            </v:textbox>
          </v:shape>
        </w:pict>
      </w:r>
      <w:r>
        <w:rPr>
          <w:rFonts w:ascii="Times New Roman" w:hAnsi="Times New Roman"/>
          <w:b/>
          <w:bCs/>
          <w:color w:val="FF0000"/>
        </w:rPr>
        <w:pict>
          <v:shape id="_x0000_s1166" o:spid="_x0000_s1106" type="#_x0000_t202" style="width:66.65pt;height:21.75pt;margin-top:0.4pt;margin-left:189.8pt;position:absolute;z-index:251672576">
            <v:textbox inset="0,2.83pt,0,0">
              <w:txbxContent>
                <w:p w:rsidR="00286D23">
                  <w:pPr>
                    <w:pStyle w:val="Normal0"/>
                    <w:ind w:firstLine="120" w:firstLineChars="50"/>
                  </w:pPr>
                  <w:r>
                    <w:rPr>
                      <w:rFonts w:hint="eastAsia"/>
                    </w:rPr>
                    <w:t>取样检查</w:t>
                  </w:r>
                </w:p>
              </w:txbxContent>
            </v:textbox>
          </v:shape>
        </w:pict>
      </w:r>
      <w:r>
        <w:rPr>
          <w:rFonts w:ascii="Times New Roman" w:hAnsi="Times New Roman"/>
          <w:b/>
          <w:bCs/>
          <w:color w:val="FF0000"/>
        </w:rPr>
        <w:pict>
          <v:line id="_x0000_s1165" o:spid="_x0000_s1107" style="flip:x;position:absolute;z-index:251671552" from="0,0" to="50pt,50pt">
            <v:stroke endarrow="block" endarrowwidth="narrow" endarrowlength="long"/>
          </v:line>
        </w:pict>
      </w:r>
      <w:r>
        <w:rPr>
          <w:rFonts w:ascii="Times New Roman" w:hAnsi="Times New Roman"/>
          <w:b/>
          <w:bCs/>
          <w:color w:val="FF0000"/>
        </w:rPr>
        <w:pict>
          <v:shape id="_x0000_s1164" o:spid="_x0000_s1108" type="#_x0000_t202" style="width:66.65pt;height:21.75pt;margin-top:0.4pt;margin-left:302.55pt;position:absolute;z-index:251670528">
            <v:textbox inset="0,2.83pt,0,0">
              <w:txbxContent>
                <w:p w:rsidR="00286D23">
                  <w:pPr>
                    <w:pStyle w:val="Normal0"/>
                    <w:ind w:firstLine="437" w:firstLineChars="182"/>
                  </w:pPr>
                  <w:r>
                    <w:rPr>
                      <w:rFonts w:hint="eastAsia"/>
                    </w:rPr>
                    <w:t>碾压</w:t>
                  </w:r>
                </w:p>
              </w:txbxContent>
            </v:textbox>
          </v:shape>
        </w:pict>
      </w:r>
      <w:r>
        <w:rPr>
          <w:rFonts w:ascii="Times New Roman" w:hAnsi="Times New Roman"/>
          <w:b/>
          <w:bCs/>
          <w:color w:val="FF0000"/>
        </w:rPr>
        <w:pict>
          <v:shape id="_x0000_s1160" o:spid="_x0000_s1109" type="#_x0000_t202" style="width:61.5pt;height:19.05pt;margin-top:19.95pt;margin-left:123.45pt;position:absolute;z-index:251669504" stroked="f">
            <v:textbox inset="0,0,0,0">
              <w:txbxContent>
                <w:p w:rsidR="00286D23">
                  <w:pPr>
                    <w:pStyle w:val="Normal0"/>
                    <w:ind w:firstLine="480"/>
                  </w:pPr>
                </w:p>
              </w:txbxContent>
            </v:textbox>
          </v:shape>
        </w:pict>
      </w:r>
    </w:p>
    <w:p w:rsidR="00286D23">
      <w:pPr>
        <w:pStyle w:val="Normal0"/>
        <w:ind w:firstLine="0" w:firstLineChars="0"/>
        <w:rPr>
          <w:rFonts w:ascii="Times New Roman" w:hAnsi="Times New Roman"/>
          <w:b/>
          <w:bCs/>
          <w:color w:val="FF0000"/>
        </w:rPr>
      </w:pPr>
    </w:p>
    <w:p w:rsidR="00286D23">
      <w:pPr>
        <w:pStyle w:val="Heading3"/>
        <w:ind w:firstLine="482"/>
        <w:rPr>
          <w:sz w:val="24"/>
          <w:szCs w:val="24"/>
        </w:rPr>
      </w:pPr>
      <w:bookmarkStart w:id="283" w:name="_Toc421542560"/>
      <w:bookmarkStart w:id="284" w:name="_Toc425667842"/>
      <w:bookmarkStart w:id="285" w:name="_Toc425668169"/>
      <w:bookmarkStart w:id="286" w:name="_Toc425668405"/>
      <w:bookmarkStart w:id="287" w:name="_Toc425668533"/>
      <w:bookmarkStart w:id="288" w:name="_Toc425668615"/>
      <w:bookmarkStart w:id="289" w:name="_Toc427933273"/>
      <w:bookmarkStart w:id="290" w:name="_Toc429377642"/>
      <w:bookmarkStart w:id="291" w:name="_Toc430156061"/>
      <w:r>
        <w:rPr>
          <w:rFonts w:hint="eastAsia"/>
          <w:sz w:val="24"/>
          <w:szCs w:val="24"/>
        </w:rPr>
        <w:t>4.3.4  填筑施工方法</w:t>
      </w:r>
      <w:bookmarkEnd w:id="283"/>
      <w:bookmarkEnd w:id="284"/>
      <w:bookmarkEnd w:id="285"/>
      <w:bookmarkEnd w:id="286"/>
      <w:bookmarkEnd w:id="287"/>
      <w:bookmarkEnd w:id="288"/>
      <w:bookmarkEnd w:id="289"/>
      <w:bookmarkEnd w:id="290"/>
      <w:bookmarkEnd w:id="291"/>
    </w:p>
    <w:p w:rsidR="00286D23">
      <w:pPr>
        <w:pStyle w:val="Normal0"/>
        <w:ind w:firstLine="480"/>
        <w:rPr>
          <w:bCs/>
        </w:rPr>
      </w:pPr>
      <w:r>
        <w:rPr>
          <w:rFonts w:hint="eastAsia"/>
          <w:bCs/>
        </w:rPr>
        <w:t>1、基础处理</w:t>
      </w:r>
    </w:p>
    <w:p w:rsidR="00286D23">
      <w:pPr>
        <w:pStyle w:val="Normal0"/>
        <w:ind w:firstLine="480"/>
      </w:pPr>
      <w:r>
        <w:rPr>
          <w:rFonts w:hint="eastAsia"/>
        </w:rPr>
        <w:t>在填筑施工之前，首先对填筑部位的基础进行处理，经过验收合格后方可进行该部位填筑施工。基础处理主要包括清理基础面的腐殖土、树根、杂草、垃圾及监理工程师指定的其他杂物。</w:t>
      </w:r>
    </w:p>
    <w:p w:rsidR="00286D23">
      <w:pPr>
        <w:pStyle w:val="Normal0"/>
        <w:ind w:firstLine="480"/>
        <w:rPr>
          <w:bCs/>
        </w:rPr>
      </w:pPr>
      <w:r>
        <w:rPr>
          <w:rFonts w:hint="eastAsia"/>
          <w:bCs/>
        </w:rPr>
        <w:t>2、石渣填筑方法</w:t>
      </w:r>
    </w:p>
    <w:p w:rsidR="00286D23">
      <w:pPr>
        <w:pStyle w:val="Normal0"/>
        <w:ind w:firstLine="480"/>
      </w:pPr>
      <w:r>
        <w:rPr>
          <w:rFonts w:hint="eastAsia"/>
        </w:rPr>
        <w:t>填筑前，先由专业实验人员按照专业操作规程，进行生产性碾压试验，根据试验结果确定铺填厚度、压实机具组合、含水率及压实遍数。</w:t>
      </w:r>
    </w:p>
    <w:p w:rsidR="00286D23">
      <w:pPr>
        <w:pStyle w:val="Normal0"/>
        <w:ind w:firstLine="480"/>
      </w:pPr>
      <w:r>
        <w:rPr>
          <w:rFonts w:hint="eastAsia"/>
        </w:rPr>
        <w:t>正式填筑前，先由测量人员放出边线和填高，做明显标识。填筑所需的石渣采用该段明渠的开挖的石渣料及经业主指定合格料源取石渣料。填筑石渣采用反铲装10t自卸车运至填筑作业面，倒退法卸料，铺料厚度控制在30～40</w:t>
      </w:r>
      <w:r>
        <w:t>cm</w:t>
      </w:r>
      <w:r>
        <w:rPr>
          <w:rFonts w:hint="eastAsia"/>
        </w:rPr>
        <w:t>，按水平层次由低到高开始填筑，不得顺坡填筑；当填筑部位的地面坡度陡于1：5时，将地面坡度削至缓于1：5。填筑时，在设计边线外侧各超填20～30cm余量，填筑到设计高程后，进行削坡。</w:t>
      </w:r>
    </w:p>
    <w:p w:rsidR="00286D23">
      <w:pPr>
        <w:pStyle w:val="Normal0"/>
        <w:ind w:firstLine="480"/>
      </w:pPr>
      <w:r>
        <w:rPr>
          <w:rFonts w:hint="eastAsia"/>
        </w:rPr>
        <w:t>填筑施工时采取分段施工，每个作业面长度控制在200m左右，每层接缝处做成斜坡型，上下层分段位置错开，错缝间距不小于1</w:t>
      </w:r>
      <w:r>
        <w:t>m</w:t>
      </w:r>
      <w:r>
        <w:rPr>
          <w:rFonts w:hint="eastAsia"/>
        </w:rPr>
        <w:t>。每层碾压结束后，进行压实度抽检试验，不合格的部位重新碾压。</w:t>
      </w:r>
    </w:p>
    <w:p w:rsidR="00286D23">
      <w:pPr>
        <w:pStyle w:val="Normal0"/>
        <w:tabs>
          <w:tab w:val="left" w:pos="4590"/>
        </w:tabs>
        <w:ind w:firstLine="480"/>
      </w:pPr>
      <w:r>
        <w:rPr>
          <w:rFonts w:hint="eastAsia"/>
        </w:rPr>
        <w:t>在新层铺料前，应对压光面作刨毛处理，刨毛深度3～5cm，如因搁置较久或经雨淋干湿交替使表面产生疏松时，复工前需进行复压并刨毛处理。</w:t>
      </w:r>
    </w:p>
    <w:p w:rsidR="00286D23">
      <w:pPr>
        <w:pStyle w:val="Normal0"/>
        <w:ind w:firstLine="480"/>
        <w:sectPr>
          <w:type w:val="nextPage"/>
          <w:pgSz w:w="11906" w:h="16838"/>
          <w:pgMar w:top="1418" w:right="1418" w:bottom="1418" w:left="1701" w:header="709" w:footer="709" w:gutter="0"/>
          <w:pgNumType w:start="21"/>
          <w:cols w:space="720"/>
          <w:titlePg w:val="0"/>
          <w:docGrid w:linePitch="360"/>
        </w:sectPr>
      </w:pPr>
      <w:r>
        <w:rPr>
          <w:rFonts w:hint="eastAsia"/>
        </w:rPr>
        <w:t>碾压采用18t振动碾进行碾压，碾压遍数通过试验确定。碾时采用进退错距法，碾迹搭压宽度</w:t>
      </w:r>
      <w:r>
        <w:t>0.5～1.0</w:t>
      </w:r>
      <w:r>
        <w:rPr>
          <w:rFonts w:hint="eastAsia"/>
        </w:rPr>
        <w:t>m。行驶速度不超过2</w:t>
      </w:r>
      <w:r>
        <w:t>km/h</w:t>
      </w:r>
    </w:p>
    <w:p w:rsidR="00286D23">
      <w:pPr>
        <w:pStyle w:val="Normal0"/>
        <w:ind w:firstLine="480"/>
      </w:pPr>
      <w:r>
        <w:rPr>
          <w:rFonts w:hint="eastAsia"/>
        </w:rPr>
        <w:t>。振动碾分片、分段碾压时，相临作业面应搭接碾压，搭接宽度：平行于渠轴线方向不小于0.5m，垂直渠轴线方向不小于1.0m。机械碾压不到的部位，辅以人工夯实，夯实采用连环套打法，双向套打，夯压夯1/3，行压行1/3，分片夯实时，夯迹搭压宽度应不小于1/3夯径。对于边角部位采用2.8kw的蛙式打夯机夯实或人工夯实。</w:t>
      </w:r>
    </w:p>
    <w:p w:rsidR="00286D23">
      <w:pPr>
        <w:pStyle w:val="Normal0"/>
        <w:tabs>
          <w:tab w:val="left" w:pos="4590"/>
        </w:tabs>
        <w:ind w:firstLine="480"/>
        <w:rPr>
          <w:bCs/>
        </w:rPr>
      </w:pPr>
      <w:r>
        <w:rPr>
          <w:rFonts w:hint="eastAsia"/>
          <w:bCs/>
        </w:rPr>
        <w:t>3、高填方段施工保证措施</w:t>
      </w:r>
    </w:p>
    <w:p w:rsidR="00286D23">
      <w:pPr>
        <w:pStyle w:val="Normal0"/>
        <w:tabs>
          <w:tab w:val="left" w:pos="4590"/>
        </w:tabs>
        <w:ind w:firstLine="480"/>
        <w:rPr>
          <w:bCs/>
        </w:rPr>
      </w:pPr>
      <w:r>
        <w:rPr>
          <w:rFonts w:hint="eastAsia"/>
        </w:rPr>
        <w:t>高填方段石渣填筑施工时，我部将在现场设专门的质量、试验、技术管理人员，对高填方段的填筑施工将</w:t>
      </w:r>
      <w:r>
        <w:rPr>
          <w:rFonts w:hint="eastAsia"/>
          <w:bCs/>
        </w:rPr>
        <w:t>严格按照施工技术要求</w:t>
      </w:r>
      <w:r>
        <w:rPr>
          <w:rFonts w:hint="eastAsia"/>
        </w:rPr>
        <w:t>及碾压试验确定的试验参数进行施工，严格控制铺料的厚度，碾压时不允许出现少碾、漏碾现象。</w:t>
      </w:r>
      <w:r>
        <w:rPr>
          <w:rFonts w:hint="eastAsia"/>
          <w:bCs/>
        </w:rPr>
        <w:t>定期对参与高填方段填筑施工的人员进行施工质量教育。建立奖罚制度，对不按技术要求施工的人员进行处罚；对认真负责，严格按照要求施工的人员给予奖励。</w:t>
      </w:r>
    </w:p>
    <w:p w:rsidR="00286D23">
      <w:pPr>
        <w:pStyle w:val="Heading2"/>
        <w:ind w:firstLine="482"/>
        <w:rPr>
          <w:rFonts w:ascii="宋体" w:hAnsi="宋体"/>
          <w:sz w:val="24"/>
          <w:szCs w:val="24"/>
        </w:rPr>
      </w:pPr>
      <w:bookmarkStart w:id="292" w:name="_Toc432513753"/>
      <w:bookmarkStart w:id="293" w:name="_Toc429377643"/>
      <w:bookmarkStart w:id="294" w:name="_Toc427933274"/>
      <w:bookmarkStart w:id="295" w:name="_Toc425668407"/>
      <w:bookmarkStart w:id="296" w:name="_Toc425668617"/>
      <w:bookmarkStart w:id="297" w:name="_Toc425668535"/>
      <w:bookmarkStart w:id="298" w:name="_Toc425668171"/>
      <w:bookmarkStart w:id="299" w:name="_Toc425667844"/>
      <w:bookmarkStart w:id="300" w:name="_Toc421542561"/>
      <w:bookmarkStart w:id="301" w:name="_Toc288077400"/>
      <w:bookmarkStart w:id="302" w:name="_Toc261684588"/>
      <w:r>
        <w:rPr>
          <w:rFonts w:ascii="宋体" w:hAnsi="宋体" w:hint="eastAsia"/>
          <w:sz w:val="24"/>
          <w:szCs w:val="24"/>
        </w:rPr>
        <w:t>4.4  土工合成材料施工</w:t>
      </w:r>
      <w:bookmarkEnd w:id="292"/>
      <w:bookmarkEnd w:id="293"/>
      <w:bookmarkEnd w:id="294"/>
      <w:bookmarkEnd w:id="295"/>
      <w:bookmarkEnd w:id="296"/>
      <w:bookmarkEnd w:id="297"/>
      <w:bookmarkEnd w:id="298"/>
      <w:bookmarkEnd w:id="299"/>
      <w:bookmarkEnd w:id="300"/>
      <w:bookmarkEnd w:id="301"/>
      <w:bookmarkEnd w:id="302"/>
    </w:p>
    <w:p w:rsidR="00286D23">
      <w:pPr>
        <w:pStyle w:val="Normal0"/>
        <w:ind w:firstLine="480"/>
      </w:pPr>
      <w:r>
        <w:rPr>
          <w:rFonts w:hint="eastAsia"/>
        </w:rPr>
        <w:t>该段明渠的土工合成材料指半挖半填渠段填方侧和填方渠段底部及两侧采用的复合土工膜（两布一膜）。</w:t>
      </w:r>
    </w:p>
    <w:p w:rsidR="00286D23">
      <w:pPr>
        <w:pStyle w:val="Heading3"/>
        <w:ind w:firstLine="482"/>
        <w:rPr>
          <w:sz w:val="24"/>
          <w:szCs w:val="24"/>
        </w:rPr>
      </w:pPr>
      <w:bookmarkStart w:id="303" w:name="_Toc425668408"/>
      <w:bookmarkStart w:id="304" w:name="_Toc425668172"/>
      <w:bookmarkStart w:id="305" w:name="_Toc425667845"/>
      <w:bookmarkStart w:id="306" w:name="_Toc421542562"/>
      <w:bookmarkStart w:id="307" w:name="_Toc425668536"/>
      <w:bookmarkStart w:id="308" w:name="_Toc295638365"/>
      <w:bookmarkStart w:id="309" w:name="_Toc295808694"/>
      <w:bookmarkStart w:id="310" w:name="_Toc295808883"/>
      <w:bookmarkStart w:id="311" w:name="_Toc425668618"/>
      <w:bookmarkStart w:id="312" w:name="_Toc427933275"/>
      <w:bookmarkStart w:id="313" w:name="_Toc429377644"/>
      <w:bookmarkStart w:id="314" w:name="_Toc430156063"/>
      <w:r>
        <w:rPr>
          <w:rFonts w:hint="eastAsia"/>
          <w:sz w:val="24"/>
          <w:szCs w:val="24"/>
        </w:rPr>
        <w:t xml:space="preserve">4.4.1  </w:t>
      </w:r>
      <w:bookmarkStart w:id="315" w:name="_Toc295638364"/>
      <w:bookmarkStart w:id="316" w:name="_Toc295808693"/>
      <w:bookmarkStart w:id="317" w:name="_Toc295808882"/>
      <w:bookmarkEnd w:id="303"/>
      <w:bookmarkEnd w:id="304"/>
      <w:bookmarkEnd w:id="305"/>
      <w:bookmarkEnd w:id="306"/>
      <w:bookmarkEnd w:id="307"/>
      <w:bookmarkEnd w:id="308"/>
      <w:bookmarkEnd w:id="309"/>
      <w:bookmarkEnd w:id="310"/>
      <w:bookmarkEnd w:id="311"/>
      <w:r>
        <w:rPr>
          <w:rFonts w:hint="eastAsia"/>
          <w:sz w:val="24"/>
          <w:szCs w:val="24"/>
        </w:rPr>
        <w:t>施工程序</w:t>
      </w:r>
      <w:bookmarkEnd w:id="312"/>
      <w:bookmarkEnd w:id="313"/>
      <w:bookmarkEnd w:id="314"/>
      <w:bookmarkEnd w:id="315"/>
      <w:bookmarkEnd w:id="316"/>
      <w:bookmarkEnd w:id="317"/>
    </w:p>
    <w:p w:rsidR="00286D23">
      <w:pPr>
        <w:pStyle w:val="Normal0"/>
        <w:ind w:firstLine="480"/>
      </w:pPr>
      <w:r>
        <w:rPr>
          <w:rFonts w:hint="eastAsia"/>
        </w:rPr>
        <w:t>复合土工膜施工的工艺流程：</w:t>
      </w:r>
    </w:p>
    <w:p w:rsidR="00286D23">
      <w:pPr>
        <w:pStyle w:val="Normal0"/>
        <w:ind w:firstLine="480"/>
      </w:pPr>
      <w:r>
        <w:rPr>
          <w:rFonts w:hint="eastAsia"/>
        </w:rPr>
        <w:t>准备工作(主要为膜下2cm砂浆过渡层)</w:t>
      </w:r>
      <w:r>
        <w:rPr>
          <w:rFonts w:hint="eastAsia"/>
        </w:rPr>
        <w:t>→</w:t>
      </w:r>
      <w:r>
        <w:rPr>
          <w:rFonts w:hint="eastAsia"/>
        </w:rPr>
        <w:t>铺设</w:t>
      </w:r>
      <w:r>
        <w:rPr>
          <w:rFonts w:hint="eastAsia"/>
        </w:rPr>
        <w:t>→</w:t>
      </w:r>
      <w:r>
        <w:rPr>
          <w:rFonts w:hint="eastAsia"/>
        </w:rPr>
        <w:t>裁剪</w:t>
      </w:r>
      <w:r>
        <w:rPr>
          <w:rFonts w:hint="eastAsia"/>
        </w:rPr>
        <w:t>→</w:t>
      </w:r>
      <w:r>
        <w:rPr>
          <w:rFonts w:hint="eastAsia"/>
        </w:rPr>
        <w:t>拼接</w:t>
      </w:r>
      <w:r>
        <w:rPr>
          <w:rFonts w:hint="eastAsia"/>
        </w:rPr>
        <w:t>→</w:t>
      </w:r>
      <w:r>
        <w:rPr>
          <w:rFonts w:hint="eastAsia"/>
        </w:rPr>
        <w:t>质量检验</w:t>
      </w:r>
      <w:r>
        <w:rPr>
          <w:rFonts w:hint="eastAsia"/>
        </w:rPr>
        <w:t>→</w:t>
      </w:r>
      <w:r>
        <w:rPr>
          <w:rFonts w:hint="eastAsia"/>
        </w:rPr>
        <w:t>覆盖保护</w:t>
      </w:r>
      <w:r>
        <w:rPr>
          <w:rFonts w:hint="eastAsia"/>
        </w:rPr>
        <w:t>→</w:t>
      </w:r>
      <w:r>
        <w:rPr>
          <w:rFonts w:hint="eastAsia"/>
        </w:rPr>
        <w:t>膜上2cm砂浆过渡层。</w:t>
      </w:r>
    </w:p>
    <w:p w:rsidR="00286D23">
      <w:pPr>
        <w:pStyle w:val="Heading3"/>
        <w:ind w:firstLine="482"/>
        <w:rPr>
          <w:sz w:val="24"/>
          <w:szCs w:val="24"/>
        </w:rPr>
      </w:pPr>
      <w:bookmarkStart w:id="318" w:name="_Toc427933276"/>
      <w:bookmarkStart w:id="319" w:name="_Toc430156064"/>
      <w:bookmarkStart w:id="320" w:name="_Toc429377645"/>
      <w:r>
        <w:rPr>
          <w:rFonts w:hint="eastAsia"/>
          <w:sz w:val="24"/>
          <w:szCs w:val="24"/>
        </w:rPr>
        <w:t>4.4.2、</w:t>
      </w:r>
      <w:r>
        <w:rPr>
          <w:sz w:val="24"/>
          <w:szCs w:val="24"/>
        </w:rPr>
        <w:t>准备工作</w:t>
      </w:r>
      <w:bookmarkEnd w:id="318"/>
      <w:bookmarkEnd w:id="319"/>
      <w:bookmarkEnd w:id="320"/>
    </w:p>
    <w:p w:rsidR="00286D23">
      <w:pPr>
        <w:pStyle w:val="Normal0"/>
        <w:ind w:firstLine="480"/>
      </w:pPr>
      <w:r>
        <w:rPr>
          <w:rFonts w:hint="eastAsia"/>
        </w:rPr>
        <w:t>（1）</w:t>
      </w:r>
      <w:r>
        <w:t>铺设前清除</w:t>
      </w:r>
      <w:r>
        <w:rPr>
          <w:rFonts w:hint="eastAsia"/>
        </w:rPr>
        <w:t>坡</w:t>
      </w:r>
      <w:r>
        <w:t>面</w:t>
      </w:r>
      <w:r>
        <w:rPr>
          <w:rFonts w:hint="eastAsia"/>
        </w:rPr>
        <w:t>上</w:t>
      </w:r>
      <w:r>
        <w:t>一切可能损伤土工膜的带棱硬物，填平凹坑，按设计文件要求平整压实修好坡面；</w:t>
      </w:r>
    </w:p>
    <w:p w:rsidR="00286D23">
      <w:pPr>
        <w:pStyle w:val="Normal0"/>
        <w:ind w:firstLine="480"/>
        <w:sectPr>
          <w:type w:val="nextPage"/>
          <w:pgSz w:w="11906" w:h="16838"/>
          <w:pgMar w:top="1418" w:right="1418" w:bottom="1418" w:left="1701" w:header="709" w:footer="709" w:gutter="0"/>
          <w:pgNumType w:start="22"/>
          <w:cols w:space="720"/>
          <w:titlePg w:val="0"/>
          <w:docGrid w:linePitch="360"/>
        </w:sectPr>
      </w:pPr>
      <w:r>
        <w:rPr>
          <w:rFonts w:hint="eastAsia"/>
        </w:rPr>
        <w:t>（2）</w:t>
      </w:r>
      <w:r>
        <w:t>复合土工膜不允许有针眼、疵点和厚薄不均匀；按设计文件</w:t>
      </w:r>
      <w:r>
        <w:rPr>
          <w:rFonts w:hint="eastAsia"/>
        </w:rPr>
        <w:t>要求</w:t>
      </w:r>
      <w:r>
        <w:t>的技术指标进行材料购买，并在厂家和施工现场严加检验，严格控制复合土工膜的质量，决不允许不合格的残、次品用于施工</w:t>
      </w:r>
      <w:r>
        <w:rPr>
          <w:rFonts w:hint="eastAsia"/>
        </w:rPr>
        <w:t>。</w:t>
      </w:r>
    </w:p>
    <w:p w:rsidR="00286D23">
      <w:pPr>
        <w:pStyle w:val="Normal0"/>
        <w:ind w:firstLine="480"/>
      </w:pPr>
      <w:r>
        <w:rPr>
          <w:rFonts w:hint="eastAsia"/>
        </w:rPr>
        <w:t>（3）渠坡修坡完成，经监理、业主验收后，开始膜下</w:t>
      </w:r>
      <w:r>
        <w:t>2cm砂浆过渡层，以保护修坡坡面。复合土工膜砂浆过渡层采用人工铺设，铺设厚度为2cm，两侧采用2cm方木控制铺设厚度，采用人工刮杠找平。为了保证铺设砂浆的平整度，砂浆铺设宽度每幅控制在2-3m。砂浆铺设前，在铺设段两侧挂设两道无弹性安全绳梯，以保护土工膜和操作人员安全，人工踩在绳梯上进行砂浆的铺设施工。</w:t>
      </w:r>
      <w:r>
        <w:rPr>
          <w:rFonts w:hint="eastAsia"/>
        </w:rPr>
        <w:t>砂浆铺设过程中由专人进行现场指挥，砂浆在拌合站集中拌制，采用混凝土罐车通过渠顶公路运输至工作面，采用溜槽入仓，刮杠整平。</w:t>
      </w:r>
    </w:p>
    <w:p w:rsidR="00286D23">
      <w:pPr>
        <w:pStyle w:val="Heading3"/>
        <w:ind w:firstLine="482"/>
        <w:rPr>
          <w:sz w:val="24"/>
          <w:szCs w:val="24"/>
        </w:rPr>
      </w:pPr>
      <w:bookmarkStart w:id="321" w:name="_Toc430156065"/>
      <w:bookmarkStart w:id="322" w:name="_Toc429377646"/>
      <w:bookmarkStart w:id="323" w:name="_Toc427933277"/>
      <w:r>
        <w:rPr>
          <w:rFonts w:hint="eastAsia"/>
          <w:sz w:val="24"/>
          <w:szCs w:val="24"/>
        </w:rPr>
        <w:t>4.4.3、复合土工膜铺设</w:t>
      </w:r>
      <w:bookmarkEnd w:id="321"/>
      <w:bookmarkEnd w:id="322"/>
      <w:bookmarkEnd w:id="323"/>
    </w:p>
    <w:p w:rsidR="00286D23">
      <w:pPr>
        <w:pStyle w:val="Normal0"/>
        <w:ind w:firstLine="480"/>
      </w:pPr>
      <w:r>
        <w:rPr>
          <w:rFonts w:hint="eastAsia"/>
        </w:rPr>
        <w:t>渠坡：沿渠轴线水流方向，按先下游后上游、上游压下游的顺序铺设。铺设时由坡顶自上而下滚铺至坡脚。渠坡和渠底结合部以及和下段待铺的复合土工膜部位要预留足够的长度，一般控制在50～80cm，坡顶处预留复合土工膜的长度应能够满足压顶底部设计长度要求，铺设过程中采用编织袋装土覆压，随铺随压，以防止复合土工膜滑移。</w:t>
      </w:r>
    </w:p>
    <w:p w:rsidR="00286D23">
      <w:pPr>
        <w:pStyle w:val="Normal0"/>
        <w:ind w:firstLine="480"/>
      </w:pPr>
      <w:r>
        <w:rPr>
          <w:rFonts w:hint="eastAsia"/>
        </w:rPr>
        <w:t>渠底：使复合土工膜幅宽与渠轴线垂直，沿渠轴线方向按先下游后上游、上游压下游的顺序滚铺。渠底复合土工膜端头缝与端头缝、端头缝与坡面横向接缝应相互错开100cm以上</w:t>
      </w:r>
    </w:p>
    <w:p w:rsidR="00286D23">
      <w:pPr>
        <w:pStyle w:val="Heading3"/>
        <w:ind w:firstLine="482"/>
        <w:rPr>
          <w:sz w:val="24"/>
          <w:szCs w:val="24"/>
        </w:rPr>
      </w:pPr>
      <w:bookmarkStart w:id="324" w:name="_Toc430156066"/>
      <w:bookmarkStart w:id="325" w:name="_Toc429377647"/>
      <w:bookmarkStart w:id="326" w:name="_Toc427933278"/>
      <w:r>
        <w:rPr>
          <w:rFonts w:hint="eastAsia"/>
          <w:sz w:val="24"/>
          <w:szCs w:val="24"/>
        </w:rPr>
        <w:t>4.4.4、复合土工膜裁剪</w:t>
      </w:r>
      <w:bookmarkEnd w:id="324"/>
      <w:bookmarkEnd w:id="325"/>
      <w:bookmarkEnd w:id="326"/>
    </w:p>
    <w:p w:rsidR="00286D23">
      <w:pPr>
        <w:pStyle w:val="Normal0"/>
        <w:ind w:firstLine="480"/>
      </w:pPr>
      <w:r>
        <w:rPr>
          <w:rFonts w:hint="eastAsia"/>
        </w:rPr>
        <w:t>渠坡复合土工膜裁剪应考虑渠坡坡长、坡顶锚固长度、预留长度之和，渠底复合土工膜裁剪应考虑一个施工段长度、预留长度之和。复合土工膜裁剪应整齐平顺，并保证足够的搭接宽度，搭接宽度通常为10cm。</w:t>
      </w:r>
    </w:p>
    <w:p w:rsidR="00286D23">
      <w:pPr>
        <w:pStyle w:val="Heading3"/>
        <w:ind w:firstLine="482"/>
        <w:rPr>
          <w:sz w:val="24"/>
          <w:szCs w:val="24"/>
        </w:rPr>
      </w:pPr>
      <w:bookmarkStart w:id="327" w:name="_Toc430156067"/>
      <w:bookmarkStart w:id="328" w:name="_Toc427933279"/>
      <w:bookmarkStart w:id="329" w:name="_Toc429377648"/>
      <w:r>
        <w:rPr>
          <w:rFonts w:hint="eastAsia"/>
          <w:sz w:val="24"/>
          <w:szCs w:val="24"/>
        </w:rPr>
        <w:t>4.4.5、复合土工膜连接</w:t>
      </w:r>
      <w:bookmarkEnd w:id="327"/>
      <w:bookmarkEnd w:id="328"/>
      <w:bookmarkEnd w:id="329"/>
    </w:p>
    <w:p w:rsidR="00286D23">
      <w:pPr>
        <w:pStyle w:val="Normal0"/>
        <w:ind w:firstLine="480"/>
      </w:pPr>
      <w:r>
        <w:rPr>
          <w:rFonts w:hint="eastAsia"/>
        </w:rPr>
        <w:t>（1）连接顺序：底层土工布缝合，中层土工膜热熔焊接或粘接，上层土工布缝合。</w:t>
      </w:r>
    </w:p>
    <w:p w:rsidR="00286D23">
      <w:pPr>
        <w:pStyle w:val="Normal0"/>
        <w:ind w:firstLine="480"/>
        <w:sectPr>
          <w:type w:val="nextPage"/>
          <w:pgSz w:w="11906" w:h="16838"/>
          <w:pgMar w:top="1418" w:right="1418" w:bottom="1418" w:left="1701" w:header="709" w:footer="709" w:gutter="0"/>
          <w:pgNumType w:start="23"/>
          <w:cols w:space="720"/>
          <w:titlePg w:val="0"/>
          <w:docGrid w:linePitch="360"/>
        </w:sectPr>
      </w:pPr>
      <w:r>
        <w:rPr>
          <w:rFonts w:hint="eastAsia"/>
        </w:rPr>
        <w:t>（2）土工膜热熔焊接：土工膜接缝热熔焊接一般采用</w:t>
      </w:r>
      <w:r>
        <w:t>热合爬行机</w:t>
      </w:r>
    </w:p>
    <w:p w:rsidR="00286D23">
      <w:pPr>
        <w:pStyle w:val="Normal0"/>
        <w:ind w:firstLine="480"/>
      </w:pPr>
      <w:r>
        <w:rPr>
          <w:rFonts w:hint="eastAsia"/>
        </w:rPr>
        <w:t>焊接。每天施工前均应先作工艺试验，以确定当天焊机的温度、速度、档位等工作参数。一般焊机温度控制在300～350</w:t>
      </w:r>
      <w:r>
        <w:rPr>
          <w:rFonts w:hint="eastAsia"/>
        </w:rPr>
        <w:t>℃</w:t>
      </w:r>
      <w:r>
        <w:rPr>
          <w:rFonts w:hint="eastAsia"/>
        </w:rPr>
        <w:t>范围内，行走速度控制在1.5～2.5m/min之间。温度过高会烫坏土工膜，温度过低土工膜不粘合，导致焊缝不合格；焊机行走速度过快或过慢也会导致土工膜焊接不合格，施工时应根据天气情况通过工艺试验适时调整。环境气温在5～35</w:t>
      </w:r>
      <w:r>
        <w:rPr>
          <w:rFonts w:hint="eastAsia"/>
        </w:rPr>
        <w:t>℃</w:t>
      </w:r>
      <w:r>
        <w:rPr>
          <w:rFonts w:hint="eastAsia"/>
        </w:rPr>
        <w:t>之间，焊接土工膜比较适宜。低温时，复合土工膜应适当张紧些；高温时，复合土工膜应适当放松些。在气温低于5</w:t>
      </w:r>
      <w:r>
        <w:rPr>
          <w:rFonts w:hint="eastAsia"/>
        </w:rPr>
        <w:t>℃</w:t>
      </w:r>
      <w:r>
        <w:rPr>
          <w:rFonts w:hint="eastAsia"/>
        </w:rPr>
        <w:t>时，为保证焊接质量，必须对搭接面进行加热处理。</w:t>
      </w:r>
      <w:r>
        <w:t>当环境温度和不利的天气条件严重影响土工膜焊接时，应停止作业。</w:t>
      </w:r>
    </w:p>
    <w:p w:rsidR="00286D23">
      <w:pPr>
        <w:pStyle w:val="Normal0"/>
        <w:ind w:firstLine="480"/>
      </w:pPr>
      <w:r>
        <w:rPr>
          <w:rFonts w:hint="eastAsia"/>
        </w:rPr>
        <w:t>土工膜焊接前必须将土工膜焊接面上的尘土、泥土、油污等杂物清理干净，水汽用吹风机吹干，保持焊接面清洁干燥。多块土工膜连接时，接头缝应相互错开100cm以上，焊接形成的结点应为</w:t>
      </w:r>
      <w:r>
        <w:rPr>
          <w:rFonts w:hint="eastAsia"/>
        </w:rPr>
        <w:t>“</w:t>
      </w:r>
      <w:r>
        <w:rPr>
          <w:rFonts w:hint="eastAsia"/>
        </w:rPr>
        <w:t>T</w:t>
      </w:r>
      <w:r>
        <w:rPr>
          <w:rFonts w:hint="eastAsia"/>
        </w:rPr>
        <w:t>”</w:t>
      </w:r>
      <w:r>
        <w:rPr>
          <w:rFonts w:hint="eastAsia"/>
        </w:rPr>
        <w:t>字型，不得为</w:t>
      </w:r>
      <w:r>
        <w:rPr>
          <w:rFonts w:hint="eastAsia"/>
        </w:rPr>
        <w:t>“</w:t>
      </w:r>
      <w:r>
        <w:rPr>
          <w:rFonts w:hint="eastAsia"/>
        </w:rPr>
        <w:t>十</w:t>
      </w:r>
      <w:r>
        <w:rPr>
          <w:rFonts w:hint="eastAsia"/>
        </w:rPr>
        <w:t>”</w:t>
      </w:r>
      <w:r>
        <w:rPr>
          <w:rFonts w:hint="eastAsia"/>
        </w:rPr>
        <w:t>字型。</w:t>
      </w:r>
    </w:p>
    <w:p w:rsidR="00286D23">
      <w:pPr>
        <w:pStyle w:val="Normal0"/>
        <w:ind w:firstLine="480"/>
      </w:pPr>
      <w:r>
        <w:rPr>
          <w:rFonts w:hint="eastAsia"/>
        </w:rPr>
        <w:t>为确保土工膜的焊接头具有可靠的防渗效果，通常采用双焊缝焊接。双焊缝宽度宜采用2</w:t>
      </w:r>
      <w:r>
        <w:rPr>
          <w:rFonts w:hint="eastAsia"/>
        </w:rPr>
        <w:t>×</w:t>
      </w:r>
      <w:r>
        <w:rPr>
          <w:rFonts w:hint="eastAsia"/>
        </w:rPr>
        <w:t>10mm，搭接宽度不小于</w:t>
      </w:r>
      <w:r>
        <w:t>10cm</w:t>
      </w:r>
      <w:r>
        <w:rPr>
          <w:rFonts w:hint="eastAsia"/>
        </w:rPr>
        <w:t>。</w:t>
      </w:r>
    </w:p>
    <w:p w:rsidR="00286D23">
      <w:pPr>
        <w:pStyle w:val="Normal0"/>
        <w:ind w:firstLine="480"/>
      </w:pPr>
      <w:r>
        <w:rPr>
          <w:rFonts w:hint="eastAsia"/>
        </w:rPr>
        <w:t>应防止发生漏焊、烫伤和褶皱等缺陷。土工膜接缝焊结强度不得低于母材的80％。在焊接过程中和焊接后2h内，焊接面不得承受任何拉力，严禁焊接面发生错动。</w:t>
      </w:r>
    </w:p>
    <w:p w:rsidR="00286D23">
      <w:pPr>
        <w:pStyle w:val="Normal0"/>
        <w:ind w:firstLine="480"/>
      </w:pPr>
      <w:r>
        <w:rPr>
          <w:rFonts w:hint="eastAsia"/>
        </w:rPr>
        <w:t>当施工中焊缝出现脱空、收缩起皱及扭曲鼓包等现象时，应将其裁剪剔除后重新进行焊接。出现虚焊、漏焊用特制焊枪补焊确保满足设计要求。</w:t>
      </w:r>
    </w:p>
    <w:p w:rsidR="00286D23">
      <w:pPr>
        <w:pStyle w:val="Normal0"/>
        <w:ind w:firstLine="480"/>
      </w:pPr>
      <w:r>
        <w:t>焊机</w:t>
      </w:r>
      <w:r>
        <w:rPr>
          <w:rFonts w:hint="eastAsia"/>
        </w:rPr>
        <w:t>要</w:t>
      </w:r>
      <w:r>
        <w:t>定时保养，经常清理焊接机设备中残留物。</w:t>
      </w:r>
    </w:p>
    <w:p w:rsidR="00286D23">
      <w:pPr>
        <w:pStyle w:val="Normal0"/>
        <w:ind w:firstLine="480"/>
      </w:pPr>
      <w:r>
        <w:rPr>
          <w:rFonts w:hint="eastAsia"/>
        </w:rPr>
        <w:t>（3）土工膜粘接：土工膜粘接宽度不小于</w:t>
      </w:r>
      <w:r>
        <w:t>10cm</w:t>
      </w:r>
      <w:r>
        <w:rPr>
          <w:rFonts w:hint="eastAsia"/>
        </w:rPr>
        <w:t>。在土工膜粘接前必须将上下层土工膜焊接面上的尘土、泥土、油污等杂物清理干净，水汽用吹风机吹干，保持焊接面清洁干燥。将下层土工膜</w:t>
      </w:r>
      <w:r>
        <w:t>铺平</w:t>
      </w:r>
      <w:r>
        <w:rPr>
          <w:rFonts w:hint="eastAsia"/>
        </w:rPr>
        <w:t>，在下层土工膜粘接面上均匀涂满胶液，涂胶做到不过厚、无漏涂现象。然后将上层土工膜与粘接面对齐、挤压，使粘接面充分结合。在粘结过程和粘结后2h内，粘结面不得承受任何拉力，严禁粘结面发生错动。土工膜的粘接强度不低于母材的80%。</w:t>
      </w:r>
      <w:r>
        <w:t>复合土工膜施工</w:t>
      </w:r>
      <w:r>
        <w:rPr>
          <w:rFonts w:hint="eastAsia"/>
        </w:rPr>
        <w:t>一般采用</w:t>
      </w:r>
      <w:r>
        <w:t>专用KS胶粘剂</w:t>
      </w:r>
      <w:r>
        <w:rPr>
          <w:rFonts w:hint="eastAsia"/>
        </w:rPr>
        <w:t>粘接。</w:t>
      </w:r>
    </w:p>
    <w:p w:rsidR="00286D23">
      <w:pPr>
        <w:pStyle w:val="Normal0"/>
        <w:ind w:firstLine="480"/>
      </w:pPr>
      <w:r>
        <w:rPr>
          <w:rFonts w:hint="eastAsia"/>
        </w:rPr>
        <w:t>（4）土工布缝合</w:t>
      </w:r>
    </w:p>
    <w:p w:rsidR="00286D23">
      <w:pPr>
        <w:pStyle w:val="Normal0"/>
        <w:ind w:firstLine="480"/>
        <w:sectPr>
          <w:type w:val="nextPage"/>
          <w:pgSz w:w="11906" w:h="16838"/>
          <w:pgMar w:top="1418" w:right="1418" w:bottom="1418" w:left="1701" w:header="709" w:footer="709" w:gutter="0"/>
          <w:pgNumType w:start="24"/>
          <w:cols w:space="720"/>
          <w:titlePg w:val="0"/>
          <w:docGrid w:linePitch="360"/>
        </w:sectPr>
      </w:pPr>
      <w:r>
        <w:rPr>
          <w:rFonts w:hint="eastAsia"/>
        </w:rPr>
        <w:t>首先将</w:t>
      </w:r>
      <w:r>
        <w:t>土工布铺平、搭接、对齐</w:t>
      </w:r>
      <w:r>
        <w:rPr>
          <w:rFonts w:hint="eastAsia"/>
        </w:rPr>
        <w:t>，然后</w:t>
      </w:r>
      <w:r>
        <w:t>进行缝合。土工布缝合采用手提</w:t>
      </w:r>
      <w:r>
        <w:rPr>
          <w:rFonts w:hint="eastAsia"/>
        </w:rPr>
        <w:t>缝</w:t>
      </w:r>
      <w:r>
        <w:t>包机，缝合时针距控制在6mm左右，要求连接面松紧适度</w:t>
      </w:r>
      <w:r>
        <w:rPr>
          <w:rFonts w:hint="eastAsia"/>
        </w:rPr>
        <w:t>、</w:t>
      </w:r>
    </w:p>
    <w:p w:rsidR="00286D23">
      <w:pPr>
        <w:pStyle w:val="Normal0"/>
        <w:ind w:firstLine="480"/>
      </w:pPr>
      <w:r>
        <w:t>自然平顺，土工膜与土工布联合受力。上层土工布缝合方法与下层土工布缝合相</w:t>
      </w:r>
      <w:r>
        <w:rPr>
          <w:rFonts w:hint="eastAsia"/>
        </w:rPr>
        <w:t>同，土工布缝合强度应不低于母材的</w:t>
      </w:r>
      <w:r>
        <w:t>70%</w:t>
      </w:r>
      <w:r>
        <w:rPr>
          <w:rFonts w:hint="eastAsia"/>
        </w:rPr>
        <w:t>。</w:t>
      </w:r>
    </w:p>
    <w:p w:rsidR="00286D23">
      <w:pPr>
        <w:pStyle w:val="Heading3"/>
        <w:ind w:firstLine="482"/>
        <w:rPr>
          <w:sz w:val="24"/>
          <w:szCs w:val="24"/>
        </w:rPr>
      </w:pPr>
      <w:bookmarkStart w:id="330" w:name="_Toc429377649"/>
      <w:bookmarkStart w:id="331" w:name="_Toc430156068"/>
      <w:bookmarkStart w:id="332" w:name="_Toc427933280"/>
      <w:r>
        <w:rPr>
          <w:rFonts w:hint="eastAsia"/>
          <w:sz w:val="24"/>
          <w:szCs w:val="24"/>
        </w:rPr>
        <w:t>4.4.6、接缝检测</w:t>
      </w:r>
      <w:bookmarkEnd w:id="330"/>
      <w:bookmarkEnd w:id="331"/>
      <w:bookmarkEnd w:id="332"/>
    </w:p>
    <w:p w:rsidR="00286D23">
      <w:pPr>
        <w:pStyle w:val="Normal0"/>
        <w:ind w:firstLine="480"/>
      </w:pPr>
      <w:r>
        <w:rPr>
          <w:rFonts w:hint="eastAsia"/>
        </w:rPr>
        <w:t>采用的方法为目测法、现场检漏法和抽样测试法。</w:t>
      </w:r>
    </w:p>
    <w:p w:rsidR="00286D23">
      <w:pPr>
        <w:pStyle w:val="Normal0"/>
        <w:ind w:firstLine="480"/>
      </w:pPr>
      <w:r>
        <w:rPr>
          <w:rFonts w:hint="eastAsia"/>
        </w:rPr>
        <w:t>（1）目测法。观察有无漏接，接缝是否有无烫损、无褶皱，是否拼接均匀等。</w:t>
      </w:r>
    </w:p>
    <w:p w:rsidR="00286D23">
      <w:pPr>
        <w:pStyle w:val="Normal0"/>
        <w:ind w:firstLine="480"/>
      </w:pPr>
      <w:r>
        <w:rPr>
          <w:rFonts w:hint="eastAsia"/>
        </w:rPr>
        <w:t>（2）现场检漏法。</w:t>
      </w:r>
    </w:p>
    <w:p w:rsidR="00286D23">
      <w:pPr>
        <w:pStyle w:val="Normal0"/>
        <w:ind w:firstLine="480"/>
      </w:pPr>
      <w:r>
        <w:rPr>
          <w:rFonts w:hint="eastAsia"/>
        </w:rPr>
        <w:t>对全部焊缝进行检测。采用充气法，焊缝为双条，两条之间留有约10mm的空腔。将待测两端封死，插入气针，充气至0.05MPa～0.20MPa（视膜厚选择），静观0.5min，观察真空表，如气压不降，表明不漏，接缝合格，否则进行及时修补。</w:t>
      </w:r>
    </w:p>
    <w:p w:rsidR="00286D23">
      <w:pPr>
        <w:pStyle w:val="Normal0"/>
        <w:ind w:firstLine="480"/>
      </w:pPr>
      <w:r>
        <w:rPr>
          <w:rFonts w:hint="eastAsia"/>
        </w:rPr>
        <w:t>（3）抽样检测法</w:t>
      </w:r>
    </w:p>
    <w:p w:rsidR="00286D23">
      <w:pPr>
        <w:pStyle w:val="Normal0"/>
        <w:ind w:firstLine="480"/>
      </w:pPr>
      <w:r>
        <w:rPr>
          <w:rFonts w:hint="eastAsia"/>
        </w:rPr>
        <w:t>约1000m</w:t>
      </w:r>
      <w:r>
        <w:rPr>
          <w:rFonts w:hint="eastAsia"/>
          <w:vertAlign w:val="superscript"/>
        </w:rPr>
        <w:t>2</w:t>
      </w:r>
      <w:r>
        <w:rPr>
          <w:rFonts w:hint="eastAsia"/>
        </w:rPr>
        <w:t>取一试样，作拉伸强度试验，要求强度不低于母材的80%，且试样断裂不得在接缝处，否则接缝质量不合格。</w:t>
      </w:r>
    </w:p>
    <w:p w:rsidR="00286D23">
      <w:pPr>
        <w:pStyle w:val="Heading3"/>
        <w:ind w:firstLine="482"/>
        <w:rPr>
          <w:sz w:val="24"/>
          <w:szCs w:val="24"/>
        </w:rPr>
      </w:pPr>
      <w:bookmarkStart w:id="333" w:name="_Toc430156069"/>
      <w:bookmarkStart w:id="334" w:name="_Toc427933281"/>
      <w:bookmarkStart w:id="335" w:name="_Toc429377650"/>
      <w:r>
        <w:rPr>
          <w:rFonts w:hint="eastAsia"/>
          <w:sz w:val="24"/>
          <w:szCs w:val="24"/>
        </w:rPr>
        <w:t>4.4.7、复合土工膜保护</w:t>
      </w:r>
      <w:bookmarkEnd w:id="333"/>
      <w:bookmarkEnd w:id="334"/>
      <w:bookmarkEnd w:id="335"/>
    </w:p>
    <w:p w:rsidR="00286D23">
      <w:pPr>
        <w:pStyle w:val="Normal0"/>
        <w:ind w:firstLine="480"/>
      </w:pPr>
      <w:r>
        <w:rPr>
          <w:rFonts w:hint="eastAsia"/>
        </w:rPr>
        <w:t>（1）复合土工膜应专车运输。装卸、搬运</w:t>
      </w:r>
      <w:r>
        <w:t>不</w:t>
      </w:r>
      <w:r>
        <w:rPr>
          <w:rFonts w:hint="eastAsia"/>
        </w:rPr>
        <w:t>得</w:t>
      </w:r>
      <w:r>
        <w:t>拖拉、</w:t>
      </w:r>
      <w:r>
        <w:rPr>
          <w:rFonts w:hint="eastAsia"/>
        </w:rPr>
        <w:t>硬</w:t>
      </w:r>
      <w:r>
        <w:t>拽，</w:t>
      </w:r>
      <w:r>
        <w:rPr>
          <w:rFonts w:hint="eastAsia"/>
        </w:rPr>
        <w:t>不得使用任何可能对复合土工膜造成损伤的机具，</w:t>
      </w:r>
      <w:r>
        <w:t>避免尖锐物刺伤</w:t>
      </w:r>
      <w:r>
        <w:rPr>
          <w:rFonts w:hint="eastAsia"/>
        </w:rPr>
        <w:t>。</w:t>
      </w:r>
    </w:p>
    <w:p w:rsidR="00286D23">
      <w:pPr>
        <w:pStyle w:val="Normal0"/>
        <w:ind w:firstLine="480"/>
      </w:pPr>
      <w:r>
        <w:rPr>
          <w:rFonts w:hint="eastAsia"/>
        </w:rPr>
        <w:t>（2）复合土工膜铺设</w:t>
      </w:r>
      <w:r>
        <w:t>人员</w:t>
      </w:r>
      <w:r>
        <w:rPr>
          <w:rFonts w:hint="eastAsia"/>
        </w:rPr>
        <w:t>必需</w:t>
      </w:r>
      <w:r>
        <w:t>穿软底鞋或胶底鞋</w:t>
      </w:r>
      <w:r>
        <w:rPr>
          <w:rFonts w:hint="eastAsia"/>
        </w:rPr>
        <w:t>。严禁穿</w:t>
      </w:r>
      <w:r>
        <w:t>钉鞋</w:t>
      </w:r>
      <w:r>
        <w:rPr>
          <w:rFonts w:hint="eastAsia"/>
        </w:rPr>
        <w:t>、</w:t>
      </w:r>
      <w:r>
        <w:t>硬底鞋在复合土工膜上踩踏</w:t>
      </w:r>
      <w:r>
        <w:rPr>
          <w:rFonts w:hint="eastAsia"/>
        </w:rPr>
        <w:t>。</w:t>
      </w:r>
    </w:p>
    <w:p w:rsidR="00286D23">
      <w:pPr>
        <w:pStyle w:val="Normal0"/>
        <w:ind w:firstLine="480"/>
      </w:pPr>
      <w:r>
        <w:rPr>
          <w:rFonts w:hint="eastAsia"/>
        </w:rPr>
        <w:t>（3）铺设好的复合土工膜由专人看管。严禁直接在复合土工膜上卸放混凝土拌合物块体。严禁用带尖头的工具在土工膜上作业。严禁在复合土工膜上敲打石料和一切可能引起复合土工膜损坏的施工作业。</w:t>
      </w:r>
    </w:p>
    <w:p w:rsidR="00286D23">
      <w:pPr>
        <w:pStyle w:val="Normal0"/>
        <w:ind w:firstLine="480"/>
        <w:sectPr>
          <w:type w:val="nextPage"/>
          <w:pgSz w:w="11906" w:h="16838"/>
          <w:pgMar w:top="1418" w:right="1418" w:bottom="1418" w:left="1701" w:header="709" w:footer="709" w:gutter="0"/>
          <w:pgNumType w:start="25"/>
          <w:cols w:space="720"/>
          <w:titlePg w:val="0"/>
          <w:docGrid w:linePitch="360"/>
        </w:sectPr>
      </w:pPr>
      <w:r>
        <w:rPr>
          <w:rFonts w:hint="eastAsia"/>
        </w:rPr>
        <w:t>（4）为方便施工人员工作行走，又避免破坏土工膜，应制作行走梯放在渠坡上，根据实际施工需要移动使用。</w:t>
      </w:r>
    </w:p>
    <w:p w:rsidR="00286D23">
      <w:pPr>
        <w:pStyle w:val="Normal0"/>
        <w:ind w:firstLine="480"/>
      </w:pPr>
      <w:r>
        <w:rPr>
          <w:rFonts w:hint="eastAsia"/>
        </w:rPr>
        <w:t>（5）未铺设砂浆过渡层的部位，应进行苫盖防护，保持表面清洁，防止阳光直晒和油渍污染、酸碱腐蚀，防止被人为或机械刮伤等。</w:t>
      </w:r>
    </w:p>
    <w:p w:rsidR="00286D23">
      <w:pPr>
        <w:pStyle w:val="Normal0"/>
        <w:ind w:firstLine="480"/>
      </w:pPr>
      <w:r>
        <w:rPr>
          <w:rFonts w:hint="eastAsia"/>
        </w:rPr>
        <w:t>（6）为防止大风对已铺设土工膜造成破坏，在铺设过程中复合土工膜上均应用砂袋或软性重物压重，随砂浆过渡层的铺设随将压物撤出。</w:t>
      </w:r>
    </w:p>
    <w:p w:rsidR="00286D23">
      <w:pPr>
        <w:pStyle w:val="Normal0"/>
        <w:ind w:firstLine="480"/>
      </w:pPr>
      <w:r>
        <w:rPr>
          <w:rFonts w:hint="eastAsia"/>
        </w:rPr>
        <w:t>（7）施工现场严禁烟火，电气焊作业要远离复合土工膜。</w:t>
      </w:r>
    </w:p>
    <w:p w:rsidR="00286D23">
      <w:pPr>
        <w:pStyle w:val="Heading3"/>
        <w:ind w:firstLine="482"/>
        <w:rPr>
          <w:sz w:val="24"/>
          <w:szCs w:val="24"/>
        </w:rPr>
      </w:pPr>
      <w:bookmarkStart w:id="336" w:name="_Toc429377651"/>
      <w:bookmarkStart w:id="337" w:name="_Toc427933282"/>
      <w:bookmarkStart w:id="338" w:name="_Toc430156070"/>
      <w:r>
        <w:rPr>
          <w:rFonts w:hint="eastAsia"/>
          <w:sz w:val="24"/>
          <w:szCs w:val="24"/>
        </w:rPr>
        <w:t>4.4.8、复合土工膜上</w:t>
      </w:r>
      <w:r>
        <w:rPr>
          <w:sz w:val="24"/>
          <w:szCs w:val="24"/>
        </w:rPr>
        <w:t>2cm砂浆过渡施工方法</w:t>
      </w:r>
      <w:bookmarkEnd w:id="336"/>
      <w:bookmarkEnd w:id="337"/>
      <w:bookmarkEnd w:id="338"/>
    </w:p>
    <w:p w:rsidR="00286D23">
      <w:pPr>
        <w:pStyle w:val="Normal0"/>
        <w:ind w:firstLine="480"/>
      </w:pPr>
      <w:r>
        <w:rPr>
          <w:rFonts w:hint="eastAsia"/>
        </w:rPr>
        <w:t>复合土工膜铺设完成后，立即进行复合土工膜砂浆过渡层的施工，以保护土工膜。</w:t>
      </w:r>
    </w:p>
    <w:p w:rsidR="00286D23">
      <w:pPr>
        <w:pStyle w:val="Normal0"/>
        <w:ind w:firstLine="480"/>
      </w:pPr>
      <w:r>
        <w:rPr>
          <w:rFonts w:hint="eastAsia"/>
        </w:rPr>
        <w:t>复合土工膜砂浆过渡层采用人工铺设，铺设厚度为</w:t>
      </w:r>
      <w:r>
        <w:t>2cm，两侧采用2cm方木控制铺设厚度，采用人工</w:t>
      </w:r>
      <w:r>
        <w:rPr>
          <w:rFonts w:hint="eastAsia"/>
        </w:rPr>
        <w:t>抹子</w:t>
      </w:r>
      <w:r>
        <w:t>找平。为了保证铺设砂浆的平整度，砂浆铺设宽度每幅控制在2-3m。砂浆铺设前，在铺设段两侧挂设两道无弹性安全梯，以保护土工膜和操作人员安全，人工踩在梯上进行砂浆的铺设施工。</w:t>
      </w:r>
    </w:p>
    <w:p w:rsidR="00286D23">
      <w:pPr>
        <w:pStyle w:val="Normal0"/>
        <w:ind w:firstLine="480"/>
      </w:pPr>
      <w:r>
        <w:rPr>
          <w:rFonts w:hint="eastAsia"/>
        </w:rPr>
        <w:t>砂浆铺设过程中由专人进行现场指挥，砂浆在拌合站集中拌制，采用混凝土罐车通过渠顶公路运输至工作面，采用溜槽入仓，刮杠整平。</w:t>
      </w:r>
    </w:p>
    <w:p w:rsidR="00286D23">
      <w:pPr>
        <w:pStyle w:val="Heading2"/>
        <w:ind w:firstLine="482"/>
        <w:rPr>
          <w:rFonts w:ascii="宋体" w:hAnsi="宋体"/>
          <w:sz w:val="24"/>
          <w:szCs w:val="24"/>
        </w:rPr>
      </w:pPr>
      <w:bookmarkStart w:id="339" w:name="_Toc402795102"/>
      <w:bookmarkStart w:id="340" w:name="_Toc421542564"/>
      <w:bookmarkStart w:id="341" w:name="_Toc425667846"/>
      <w:bookmarkStart w:id="342" w:name="_Toc425668173"/>
      <w:bookmarkStart w:id="343" w:name="_Toc425668409"/>
      <w:bookmarkStart w:id="344" w:name="_Toc425668537"/>
      <w:bookmarkStart w:id="345" w:name="_Toc425668619"/>
      <w:bookmarkStart w:id="346" w:name="_Toc427933283"/>
      <w:bookmarkStart w:id="347" w:name="_Toc429377652"/>
      <w:bookmarkStart w:id="348" w:name="_Toc432513754"/>
      <w:r>
        <w:rPr>
          <w:rFonts w:ascii="宋体" w:hAnsi="宋体" w:hint="eastAsia"/>
          <w:sz w:val="24"/>
          <w:szCs w:val="24"/>
        </w:rPr>
        <w:t>4.5  明渠混凝土衬砌浇筑施工</w:t>
      </w:r>
      <w:bookmarkEnd w:id="339"/>
      <w:bookmarkEnd w:id="340"/>
      <w:bookmarkEnd w:id="341"/>
      <w:bookmarkEnd w:id="342"/>
      <w:bookmarkEnd w:id="343"/>
      <w:bookmarkEnd w:id="344"/>
      <w:bookmarkEnd w:id="345"/>
      <w:bookmarkEnd w:id="346"/>
      <w:bookmarkEnd w:id="347"/>
      <w:bookmarkEnd w:id="348"/>
    </w:p>
    <w:p w:rsidR="00286D23">
      <w:pPr>
        <w:pStyle w:val="Normal0"/>
        <w:ind w:firstLine="480"/>
      </w:pPr>
      <w:r>
        <w:rPr>
          <w:rFonts w:hint="eastAsia"/>
        </w:rPr>
        <w:t>该段明渠混凝土浇筑施工包括：明渠衬砌混凝土、压顶混凝土、框格梁混凝土、山溪涵洞混凝土施工等。明渠衬砌混凝衬砌为8cm。</w:t>
      </w:r>
    </w:p>
    <w:p w:rsidR="00286D23">
      <w:pPr>
        <w:pStyle w:val="Normal0"/>
        <w:ind w:firstLine="480"/>
      </w:pPr>
      <w:r>
        <w:rPr>
          <w:rFonts w:hint="eastAsia"/>
        </w:rPr>
        <w:t>混凝土由拌合站集中拌制，混凝土搅拌车运输。明渠衬砌混凝土每</w:t>
      </w:r>
      <w:r>
        <w:t>5m设一道横缝，缝宽2cm，先浇筑渠坡混凝土</w:t>
      </w:r>
      <w:r>
        <w:rPr>
          <w:rFonts w:hint="eastAsia"/>
        </w:rPr>
        <w:t>，</w:t>
      </w:r>
      <w:r>
        <w:t>后浇筑渠底混凝土，渠坡和渠底均采用跳仓的浇筑方式，</w:t>
      </w:r>
      <w:r>
        <w:rPr>
          <w:rFonts w:hint="eastAsia"/>
        </w:rPr>
        <w:t>人工用</w:t>
      </w:r>
      <w:r>
        <w:t>溜槽入仓，振动梁、平板振捣器、软轴振捣棒平仓振捣。框格梁沿长度方向每15~20m设一道施工缝，</w:t>
      </w:r>
      <w:r>
        <w:rPr>
          <w:rFonts w:hint="eastAsia"/>
        </w:rPr>
        <w:t>人工用</w:t>
      </w:r>
      <w:r>
        <w:t>溜槽入仓，振捣棒平仓振捣。压顶及挡墙混凝土溜槽入仓，振捣棒平仓振捣。山溪涵洞等混凝土分层浇筑，每层浇筑厚度为50cm左右，</w:t>
      </w:r>
      <w:r>
        <w:rPr>
          <w:rFonts w:hint="eastAsia"/>
        </w:rPr>
        <w:t>人工</w:t>
      </w:r>
      <w:r>
        <w:t>送入仓，振捣棒平仓振捣。</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https://d.book118.com/165323030304011113</w:t>
        </w:r>
      </w:hyperlink>
    </w:p>
    <w:p w:rsidR="00286D23">
      <w:pPr>
        <w:pStyle w:val="Normal0"/>
        <w:ind w:firstLine="480"/>
      </w:pPr>
    </w:p>
    <w:sectPr>
      <w:type w:val="nextPage"/>
      <w:pgSz w:w="11906" w:h="16838"/>
      <w:pgMar w:top="1418" w:right="1418" w:bottom="1418" w:left="1701" w:header="709" w:footer="709" w:gutter="0"/>
      <w:pgNumType w:start="26"/>
      <w:cols w:space="720"/>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CBB2C7"/>
    <w:multiLevelType w:val="singleLevel"/>
    <w:tmpl w:val="58CBB2C7"/>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1B775F20"/>
    <w:rsid w:val="00004FDC"/>
    <w:rsid w:val="000152DE"/>
    <w:rsid w:val="000B2AF5"/>
    <w:rsid w:val="000E7491"/>
    <w:rsid w:val="00132EB0"/>
    <w:rsid w:val="00156F8C"/>
    <w:rsid w:val="00215300"/>
    <w:rsid w:val="00252B25"/>
    <w:rsid w:val="00286D23"/>
    <w:rsid w:val="002E270F"/>
    <w:rsid w:val="002F5D41"/>
    <w:rsid w:val="0034480A"/>
    <w:rsid w:val="003816EF"/>
    <w:rsid w:val="003D2D6E"/>
    <w:rsid w:val="00401289"/>
    <w:rsid w:val="00413D7F"/>
    <w:rsid w:val="004B3B70"/>
    <w:rsid w:val="0050618D"/>
    <w:rsid w:val="005240AA"/>
    <w:rsid w:val="0056661D"/>
    <w:rsid w:val="00592573"/>
    <w:rsid w:val="005B2D00"/>
    <w:rsid w:val="005C4D2D"/>
    <w:rsid w:val="006F427D"/>
    <w:rsid w:val="006F43CA"/>
    <w:rsid w:val="007D1BB9"/>
    <w:rsid w:val="00842C9E"/>
    <w:rsid w:val="008F4091"/>
    <w:rsid w:val="009319EB"/>
    <w:rsid w:val="0093664A"/>
    <w:rsid w:val="009636D4"/>
    <w:rsid w:val="0099774C"/>
    <w:rsid w:val="009F3988"/>
    <w:rsid w:val="00A86909"/>
    <w:rsid w:val="00AB2114"/>
    <w:rsid w:val="00B54E2C"/>
    <w:rsid w:val="00BF3C96"/>
    <w:rsid w:val="00C1729B"/>
    <w:rsid w:val="00C2678F"/>
    <w:rsid w:val="00C30699"/>
    <w:rsid w:val="00C3480A"/>
    <w:rsid w:val="00C35465"/>
    <w:rsid w:val="00C43EC9"/>
    <w:rsid w:val="00CF0BC7"/>
    <w:rsid w:val="00CF13DD"/>
    <w:rsid w:val="00D16826"/>
    <w:rsid w:val="00D700A5"/>
    <w:rsid w:val="00D872F2"/>
    <w:rsid w:val="00E26AC7"/>
    <w:rsid w:val="00E73211"/>
    <w:rsid w:val="00EA1C27"/>
    <w:rsid w:val="00EF34AA"/>
    <w:rsid w:val="00EF4811"/>
    <w:rsid w:val="00EF7E30"/>
    <w:rsid w:val="00F067B2"/>
    <w:rsid w:val="00F42C67"/>
    <w:rsid w:val="00F526A2"/>
    <w:rsid w:val="00F749E1"/>
    <w:rsid w:val="00FC25C7"/>
    <w:rsid w:val="00FD0A11"/>
    <w:rsid w:val="00FE3E98"/>
    <w:rsid w:val="1B775F20"/>
    <w:rsid w:val="49B755B6"/>
    <w:rsid w:val="53D629E8"/>
    <w:rsid w:val="5E280D51"/>
    <w:rsid w:val="6F5A3C9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B25"/>
    <w:pPr>
      <w:widowControl w:val="0"/>
      <w:jc w:val="both"/>
    </w:pPr>
    <w:rPr>
      <w:rFonts w:ascii="Calibri" w:hAnsi="Calibri"/>
      <w:kern w:val="2"/>
      <w:sz w:val="21"/>
      <w:szCs w:val="22"/>
      <w:lang w:val="en-US" w:eastAsia="zh-CN" w:bidi="ar-SA"/>
    </w:rPr>
  </w:style>
  <w:style w:type="paragraph" w:styleId="Heading1">
    <w:name w:val="heading 1"/>
    <w:basedOn w:val="Normal"/>
    <w:next w:val="Normal0"/>
    <w:link w:val="10"/>
    <w:uiPriority w:val="9"/>
    <w:qFormat/>
    <w:pPr>
      <w:keepNext/>
      <w:keepLines/>
      <w:widowControl/>
      <w:adjustRightInd w:val="0"/>
      <w:snapToGrid w:val="0"/>
      <w:spacing w:before="340" w:after="330" w:line="578" w:lineRule="auto"/>
      <w:ind w:firstLine="200" w:firstLineChars="200"/>
      <w:outlineLvl w:val="0"/>
    </w:pPr>
    <w:rPr>
      <w:rFonts w:ascii="宋体" w:hAnsi="宋体"/>
      <w:b/>
      <w:bCs/>
      <w:kern w:val="44"/>
      <w:sz w:val="44"/>
      <w:szCs w:val="44"/>
    </w:rPr>
  </w:style>
  <w:style w:type="paragraph" w:styleId="Heading2">
    <w:name w:val="heading 2"/>
    <w:basedOn w:val="Normal"/>
    <w:next w:val="Normal0"/>
    <w:link w:val="2"/>
    <w:uiPriority w:val="9"/>
    <w:qFormat/>
    <w:pPr>
      <w:keepNext/>
      <w:keepLines/>
      <w:widowControl/>
      <w:adjustRightInd w:val="0"/>
      <w:snapToGrid w:val="0"/>
      <w:spacing w:before="260" w:after="260" w:line="416" w:lineRule="auto"/>
      <w:ind w:firstLine="200" w:firstLineChars="200"/>
      <w:outlineLvl w:val="1"/>
    </w:pPr>
    <w:rPr>
      <w:rFonts w:ascii="Cambria" w:hAnsi="Cambria"/>
      <w:b/>
      <w:bCs/>
      <w:kern w:val="0"/>
      <w:sz w:val="32"/>
      <w:szCs w:val="32"/>
    </w:rPr>
  </w:style>
  <w:style w:type="paragraph" w:styleId="Heading3">
    <w:name w:val="heading 3"/>
    <w:basedOn w:val="Normal"/>
    <w:next w:val="Normal0"/>
    <w:link w:val="3"/>
    <w:uiPriority w:val="9"/>
    <w:qFormat/>
    <w:pPr>
      <w:keepNext/>
      <w:keepLines/>
      <w:widowControl/>
      <w:adjustRightInd w:val="0"/>
      <w:snapToGrid w:val="0"/>
      <w:spacing w:before="260" w:after="260" w:line="416" w:lineRule="auto"/>
      <w:ind w:firstLine="200" w:firstLineChars="200"/>
      <w:outlineLvl w:val="2"/>
    </w:pPr>
    <w:rPr>
      <w:rFonts w:ascii="宋体" w:hAnsi="宋体"/>
      <w:b/>
      <w:bCs/>
      <w:kern w:val="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252B25"/>
    <w:pPr>
      <w:tabs>
        <w:tab w:val="center" w:pos="4153"/>
        <w:tab w:val="right" w:pos="8306"/>
      </w:tabs>
      <w:snapToGrid w:val="0"/>
      <w:jc w:val="left"/>
    </w:pPr>
    <w:rPr>
      <w:sz w:val="18"/>
    </w:rPr>
  </w:style>
  <w:style w:type="paragraph" w:styleId="Header">
    <w:name w:val="header"/>
    <w:basedOn w:val="Normal"/>
    <w:qFormat/>
    <w:rsid w:val="00252B2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PageNumber">
    <w:name w:val="page number"/>
    <w:basedOn w:val="DefaultParagraphFont"/>
    <w:rsid w:val="00252B25"/>
  </w:style>
  <w:style w:type="paragraph" w:customStyle="1" w:styleId="Normal0">
    <w:name w:val="Normal_0"/>
    <w:qFormat/>
    <w:pPr>
      <w:adjustRightInd w:val="0"/>
      <w:snapToGrid w:val="0"/>
      <w:spacing w:after="200" w:line="360" w:lineRule="auto"/>
      <w:ind w:firstLine="200" w:firstLineChars="200"/>
      <w:jc w:val="both"/>
    </w:pPr>
    <w:rPr>
      <w:rFonts w:ascii="宋体" w:hAnsi="宋体"/>
      <w:sz w:val="24"/>
      <w:szCs w:val="22"/>
      <w:lang w:val="en-US" w:eastAsia="zh-CN" w:bidi="ar-SA"/>
    </w:rPr>
  </w:style>
  <w:style w:type="paragraph" w:customStyle="1" w:styleId="1">
    <w:name w:val="正文1"/>
    <w:qFormat/>
    <w:pPr>
      <w:widowControl w:val="0"/>
      <w:adjustRightInd w:val="0"/>
      <w:spacing w:after="200" w:line="313" w:lineRule="atLeast"/>
      <w:ind w:right="-2"/>
      <w:textAlignment w:val="baseline"/>
    </w:pPr>
    <w:rPr>
      <w:rFonts w:ascii="宋体"/>
      <w:sz w:val="24"/>
      <w:lang w:val="en-US" w:eastAsia="zh-CN" w:bidi="ar-SA"/>
    </w:rPr>
  </w:style>
  <w:style w:type="paragraph" w:styleId="TOC3">
    <w:name w:val="toc 3"/>
    <w:basedOn w:val="Normal"/>
    <w:next w:val="Normal0"/>
    <w:uiPriority w:val="39"/>
    <w:unhideWhenUsed/>
    <w:qFormat/>
    <w:pPr>
      <w:widowControl/>
      <w:adjustRightInd w:val="0"/>
      <w:snapToGrid w:val="0"/>
      <w:spacing w:after="200" w:line="360" w:lineRule="auto"/>
      <w:ind w:left="480" w:firstLine="200" w:firstLineChars="200"/>
      <w:jc w:val="left"/>
    </w:pPr>
    <w:rPr>
      <w:rFonts w:ascii="Times New Roman" w:hAnsi="Times New Roman"/>
      <w:i/>
      <w:iCs/>
      <w:kern w:val="0"/>
      <w:sz w:val="20"/>
      <w:szCs w:val="20"/>
    </w:rPr>
  </w:style>
  <w:style w:type="paragraph" w:styleId="TOC1">
    <w:name w:val="toc 1"/>
    <w:basedOn w:val="Normal"/>
    <w:next w:val="Normal0"/>
    <w:uiPriority w:val="39"/>
    <w:unhideWhenUsed/>
    <w:qFormat/>
    <w:pPr>
      <w:widowControl/>
      <w:adjustRightInd w:val="0"/>
      <w:snapToGrid w:val="0"/>
      <w:spacing w:before="120" w:after="120" w:line="360" w:lineRule="auto"/>
      <w:ind w:firstLine="200" w:firstLineChars="200"/>
      <w:jc w:val="left"/>
    </w:pPr>
    <w:rPr>
      <w:rFonts w:ascii="Times New Roman" w:hAnsi="Times New Roman"/>
      <w:b/>
      <w:bCs/>
      <w:caps/>
      <w:kern w:val="0"/>
      <w:sz w:val="20"/>
      <w:szCs w:val="20"/>
    </w:rPr>
  </w:style>
  <w:style w:type="character" w:styleId="Hyperlink">
    <w:name w:val="Hyperlink"/>
    <w:uiPriority w:val="99"/>
    <w:unhideWhenUsed/>
    <w:qFormat/>
    <w:rPr>
      <w:color w:val="0000FF"/>
      <w:u w:val="single"/>
    </w:rPr>
  </w:style>
  <w:style w:type="paragraph" w:styleId="TOC2">
    <w:name w:val="toc 2"/>
    <w:basedOn w:val="Normal"/>
    <w:next w:val="Normal0"/>
    <w:uiPriority w:val="39"/>
    <w:unhideWhenUsed/>
    <w:qFormat/>
    <w:pPr>
      <w:widowControl/>
      <w:adjustRightInd w:val="0"/>
      <w:snapToGrid w:val="0"/>
      <w:spacing w:after="200" w:line="360" w:lineRule="auto"/>
      <w:ind w:left="240" w:firstLine="200" w:firstLineChars="200"/>
      <w:jc w:val="left"/>
    </w:pPr>
    <w:rPr>
      <w:rFonts w:ascii="Times New Roman" w:hAnsi="Times New Roman"/>
      <w:smallCaps/>
      <w:kern w:val="0"/>
      <w:sz w:val="20"/>
      <w:szCs w:val="20"/>
    </w:rPr>
  </w:style>
  <w:style w:type="character" w:customStyle="1" w:styleId="10">
    <w:name w:val="标题 1 字符"/>
    <w:link w:val="Heading1"/>
    <w:uiPriority w:val="9"/>
    <w:qFormat/>
    <w:rPr>
      <w:rFonts w:ascii="Tahoma" w:hAnsi="Tahoma"/>
      <w:b/>
      <w:bCs/>
      <w:kern w:val="44"/>
      <w:sz w:val="44"/>
      <w:szCs w:val="44"/>
    </w:rPr>
  </w:style>
  <w:style w:type="character" w:customStyle="1" w:styleId="2">
    <w:name w:val="标题 2 字符"/>
    <w:link w:val="Heading2"/>
    <w:uiPriority w:val="9"/>
    <w:semiHidden/>
    <w:qFormat/>
    <w:rPr>
      <w:rFonts w:ascii="Cambria" w:hAnsi="Cambria"/>
      <w:b/>
      <w:bCs/>
      <w:sz w:val="32"/>
      <w:szCs w:val="32"/>
    </w:rPr>
  </w:style>
  <w:style w:type="character" w:customStyle="1" w:styleId="3">
    <w:name w:val="标题 3 字符"/>
    <w:link w:val="Heading3"/>
    <w:uiPriority w:val="9"/>
    <w:semiHidden/>
    <w:qFormat/>
    <w:rPr>
      <w:rFonts w:ascii="宋体" w:hAnsi="宋体"/>
      <w:b/>
      <w:bCs/>
      <w:sz w:val="32"/>
      <w:szCs w:val="32"/>
    </w:rPr>
  </w:style>
  <w:style w:type="paragraph" w:styleId="BodyTextIndent3">
    <w:name w:val="Body Text Indent 3"/>
    <w:basedOn w:val="Normal"/>
    <w:link w:val="30"/>
    <w:qFormat/>
    <w:pPr>
      <w:spacing w:after="120"/>
      <w:ind w:left="420" w:leftChars="200"/>
    </w:pPr>
    <w:rPr>
      <w:rFonts w:ascii="Times New Roman" w:hAnsi="Times New Roman"/>
      <w:sz w:val="16"/>
      <w:szCs w:val="16"/>
    </w:rPr>
  </w:style>
  <w:style w:type="character" w:customStyle="1" w:styleId="30">
    <w:name w:val="正文文本缩进 3 字符"/>
    <w:link w:val="BodyTextIndent3"/>
    <w:qFormat/>
    <w:rPr>
      <w:kern w:val="2"/>
      <w:sz w:val="16"/>
      <w:szCs w:val="16"/>
    </w:rPr>
  </w:style>
  <w:style w:type="paragraph" w:customStyle="1" w:styleId="4">
    <w:name w:val="样式4"/>
    <w:basedOn w:val="Normal"/>
    <w:link w:val="4Char2"/>
    <w:qFormat/>
    <w:pPr>
      <w:spacing w:after="200"/>
      <w:ind w:firstLine="200" w:firstLineChars="200"/>
    </w:pPr>
    <w:rPr>
      <w:color w:val="000000"/>
      <w:kern w:val="0"/>
      <w:sz w:val="24"/>
      <w:szCs w:val="24"/>
    </w:rPr>
  </w:style>
  <w:style w:type="character" w:customStyle="1" w:styleId="4Char2">
    <w:name w:val="样式4 Char2"/>
    <w:link w:val="4"/>
    <w:qFormat/>
    <w:rPr>
      <w:color w:val="000000"/>
      <w:sz w:val="24"/>
      <w:szCs w:val="24"/>
    </w:rPr>
  </w:style>
  <w:style w:type="paragraph" w:customStyle="1" w:styleId="a">
    <w:name w:val="表格文字"/>
    <w:basedOn w:val="Normal"/>
    <w:link w:val="Char"/>
    <w:qFormat/>
    <w:pPr>
      <w:spacing w:after="200"/>
    </w:pPr>
    <w:rPr>
      <w:rFonts w:ascii="宋体" w:hAnsi="宋体"/>
      <w:bCs/>
      <w:snapToGrid w:val="0"/>
      <w:spacing w:val="10"/>
      <w:kern w:val="0"/>
      <w:sz w:val="24"/>
      <w:szCs w:val="20"/>
    </w:rPr>
  </w:style>
  <w:style w:type="character" w:customStyle="1" w:styleId="Char">
    <w:name w:val="表格文字 Char"/>
    <w:link w:val="a"/>
    <w:qFormat/>
    <w:rPr>
      <w:rFonts w:ascii="宋体" w:hAnsi="宋体"/>
      <w:bCs/>
      <w:snapToGrid w:val="0"/>
      <w:spacing w:val="10"/>
      <w:sz w:val="24"/>
    </w:rPr>
  </w:style>
  <w:style w:type="paragraph" w:customStyle="1" w:styleId="11">
    <w:name w:val="正1"/>
    <w:basedOn w:val="Normal"/>
    <w:qFormat/>
    <w:pPr>
      <w:spacing w:beforeLines="50" w:after="200" w:line="360" w:lineRule="auto"/>
      <w:ind w:firstLine="480" w:firstLineChars="200"/>
    </w:pPr>
    <w:rPr>
      <w:rFonts w:ascii="Times New Roman" w:hAnsi="Times New Roman"/>
      <w:sz w:val="24"/>
      <w:szCs w:val="24"/>
    </w:rPr>
  </w:style>
  <w:style w:type="paragraph" w:customStyle="1" w:styleId="a0">
    <w:name w:val="表标题"/>
    <w:basedOn w:val="Normal"/>
    <w:link w:val="Char0"/>
    <w:qFormat/>
    <w:pPr>
      <w:widowControl/>
      <w:spacing w:before="60" w:after="60" w:line="300" w:lineRule="auto"/>
      <w:jc w:val="center"/>
    </w:pPr>
    <w:rPr>
      <w:rFonts w:ascii="Times New Roman" w:hAnsi="Times New Roman"/>
      <w:b/>
      <w:bCs/>
      <w:caps/>
      <w:kern w:val="0"/>
      <w:sz w:val="24"/>
      <w:szCs w:val="20"/>
    </w:rPr>
  </w:style>
  <w:style w:type="character" w:customStyle="1" w:styleId="Char0">
    <w:name w:val="表标题 Char"/>
    <w:link w:val="a0"/>
    <w:qFormat/>
    <w:rPr>
      <w:b/>
      <w:bCs/>
      <w:caps/>
      <w:sz w:val="24"/>
    </w:rPr>
  </w:style>
  <w:style w:type="paragraph" w:customStyle="1" w:styleId="CharBodyTextch215">
    <w:name w:val="样式 样式 正文文本正文文字 Char流程图文字Body Text(ch) + 黑色 首行缩进:  2 字符 行距: 1.5....."/>
    <w:basedOn w:val="Normal"/>
    <w:qFormat/>
    <w:pPr>
      <w:spacing w:after="200" w:line="480" w:lineRule="exact"/>
      <w:ind w:firstLine="200" w:firstLineChars="200"/>
    </w:pPr>
    <w:rPr>
      <w:rFonts w:ascii="宋体" w:hAnsi="宋体" w:cs="宋体"/>
      <w:color w:val="000000"/>
      <w:sz w:val="24"/>
      <w:szCs w:val="20"/>
    </w:rPr>
  </w:style>
  <w:style w:type="paragraph" w:customStyle="1" w:styleId="X">
    <w:name w:val="X表头格式"/>
    <w:basedOn w:val="Normal"/>
    <w:link w:val="XChar"/>
    <w:qFormat/>
    <w:pPr>
      <w:spacing w:after="200" w:line="360" w:lineRule="auto"/>
      <w:jc w:val="left"/>
    </w:pPr>
    <w:rPr>
      <w:rFonts w:ascii="宋体" w:eastAsia="Times New Roman" w:hAnsi="宋体"/>
      <w:b/>
      <w:sz w:val="24"/>
      <w:szCs w:val="24"/>
    </w:rPr>
  </w:style>
  <w:style w:type="character" w:customStyle="1" w:styleId="XChar">
    <w:name w:val="X表头格式 Char"/>
    <w:link w:val="X"/>
    <w:qFormat/>
    <w:rPr>
      <w:rFonts w:ascii="宋体" w:hAnsi="宋体"/>
      <w:b/>
      <w:kern w:val="2"/>
      <w:sz w:val="24"/>
      <w:szCs w:val="24"/>
    </w:rPr>
  </w:style>
  <w:style w:type="paragraph" w:customStyle="1" w:styleId="XW0852">
    <w:name w:val="样式 样式 XW正文 + 首行缩进:  0.85 厘米 + 首行缩进:  2 字符"/>
    <w:basedOn w:val="Normal"/>
    <w:qFormat/>
    <w:pPr>
      <w:adjustRightInd w:val="0"/>
      <w:snapToGrid w:val="0"/>
      <w:spacing w:after="200" w:line="360" w:lineRule="auto"/>
      <w:ind w:firstLine="480" w:firstLineChars="200"/>
      <w:textAlignment w:val="baseline"/>
    </w:pPr>
    <w:rPr>
      <w:rFonts w:ascii="Times New Roman" w:hAnsi="Times New Roman" w:cs="宋体"/>
      <w:kern w:val="0"/>
      <w:sz w:val="24"/>
      <w:szCs w:val="20"/>
    </w:rPr>
  </w:style>
  <w:style w:type="paragraph" w:customStyle="1" w:styleId="p0">
    <w:name w:val="p0"/>
    <w:basedOn w:val="Normal"/>
    <w:qFormat/>
    <w:pPr>
      <w:widowControl/>
      <w:spacing w:after="200" w:line="360" w:lineRule="auto"/>
      <w:ind w:firstLine="200" w:firstLineChars="200"/>
    </w:pPr>
    <w:rPr>
      <w:rFonts w:ascii="Times New Roman" w:hAnsi="Times New Roman" w:cs="宋体"/>
      <w:kern w:val="0"/>
      <w:szCs w:val="21"/>
    </w:rPr>
  </w:style>
  <w:style w:type="paragraph" w:customStyle="1" w:styleId="a1">
    <w:name w:val="表内文字"/>
    <w:basedOn w:val="1111"/>
    <w:qFormat/>
    <w:pPr>
      <w:spacing w:line="240" w:lineRule="auto"/>
      <w:jc w:val="center"/>
      <w:outlineLvl w:val="9"/>
    </w:pPr>
    <w:rPr>
      <w:b w:val="0"/>
      <w:sz w:val="21"/>
    </w:rPr>
  </w:style>
  <w:style w:type="paragraph" w:customStyle="1" w:styleId="1111">
    <w:name w:val="1.1.1.1"/>
    <w:basedOn w:val="111"/>
    <w:link w:val="1111Char"/>
    <w:qFormat/>
    <w:pPr>
      <w:outlineLvl w:val="3"/>
    </w:pPr>
  </w:style>
  <w:style w:type="paragraph" w:customStyle="1" w:styleId="111">
    <w:name w:val="1.1.1"/>
    <w:basedOn w:val="110"/>
    <w:qFormat/>
    <w:pPr>
      <w:outlineLvl w:val="2"/>
    </w:pPr>
  </w:style>
  <w:style w:type="paragraph" w:customStyle="1" w:styleId="110">
    <w:name w:val="1.1"/>
    <w:basedOn w:val="Normal"/>
    <w:qFormat/>
    <w:pPr>
      <w:widowControl/>
      <w:adjustRightInd w:val="0"/>
      <w:snapToGrid w:val="0"/>
      <w:spacing w:after="200" w:line="360" w:lineRule="auto"/>
      <w:jc w:val="left"/>
      <w:outlineLvl w:val="1"/>
    </w:pPr>
    <w:rPr>
      <w:rFonts w:ascii="宋体" w:hAnsi="宋体"/>
      <w:b/>
      <w:kern w:val="0"/>
      <w:sz w:val="24"/>
      <w:szCs w:val="24"/>
    </w:rPr>
  </w:style>
  <w:style w:type="character" w:customStyle="1" w:styleId="1111Char">
    <w:name w:val="1.1.1.1 Char"/>
    <w:link w:val="1111"/>
    <w:qFormat/>
    <w:rPr>
      <w:rFonts w:ascii="宋体" w:hAnsi="宋体"/>
      <w:b/>
      <w:sz w:val="24"/>
      <w:szCs w:val="24"/>
    </w:rPr>
  </w:style>
  <w:style w:type="paragraph" w:customStyle="1" w:styleId="20">
    <w:name w:val="样式 正文样式 + 宋体 首行缩进:  2 字符"/>
    <w:basedOn w:val="Normal"/>
    <w:qFormat/>
    <w:pPr>
      <w:widowControl/>
      <w:adjustRightInd w:val="0"/>
      <w:snapToGrid w:val="0"/>
      <w:spacing w:after="200" w:line="360" w:lineRule="auto"/>
      <w:ind w:firstLine="480" w:firstLineChars="200"/>
    </w:pPr>
    <w:rPr>
      <w:rFonts w:ascii="宋体" w:hAnsi="宋体" w:cs="宋体"/>
      <w:sz w:val="24"/>
      <w:szCs w:val="20"/>
    </w:rPr>
  </w:style>
  <w:style w:type="paragraph" w:styleId="BodyTextIndent2">
    <w:name w:val="Body Text Indent 2"/>
    <w:basedOn w:val="Normal"/>
    <w:pPr>
      <w:spacing w:after="120" w:line="480" w:lineRule="auto"/>
      <w:ind w:left="420" w:leftChars="200"/>
    </w:pPr>
    <w:rPr>
      <w:rFonts w:ascii="Times New Roman" w:hAnsi="Times New Roman" w:cs="Times New Roman"/>
      <w:szCs w:val="24"/>
    </w:rPr>
  </w:style>
  <w:style w:type="paragraph" w:styleId="BodyTextIndent">
    <w:name w:val="Body Text Indent"/>
    <w:basedOn w:val="Normal"/>
    <w:pPr>
      <w:ind w:firstLine="435"/>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emf" /><Relationship Id="rId7" Type="http://schemas.openxmlformats.org/officeDocument/2006/relationships/hyperlink" Target="https://d.book118.com/165323030304011113"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34</Pages>
  <Words>5305</Words>
  <Characters>30239</Characters>
  <Application>Microsoft Office Word</Application>
  <DocSecurity>0</DocSecurity>
  <Lines>251</Lines>
  <Paragraphs>70</Paragraphs>
  <ScaleCrop>false</ScaleCrop>
  <Company/>
  <LinksUpToDate>false</LinksUpToDate>
  <CharactersWithSpaces>35474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Administrator</cp:lastModifiedBy>
  <cp:revision>6</cp:revision>
  <dcterms:created xsi:type="dcterms:W3CDTF">2015-12-21T08:03:00Z</dcterms:created>
  <dcterms:modified xsi:type="dcterms:W3CDTF">2023-10-12T06:35:00Z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