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1" w:lineRule="exact"/>
      </w:pPr>
      <w:r>
        <w:pict>
          <v:rect id="_x0000_s1025" style="width:207.25pt;height:715.75pt;margin-top:77.5pt;margin-left:388.1pt;mso-position-horizontal-relative:page;mso-position-vertical-relative:page;position:absolute;z-index:251658240" o:allowincell="f" filled="t" fillcolor="#e6e6e7" stroked="f"/>
        </w:pict>
      </w:r>
      <w:r>
        <w:pict>
          <v:group id="_x0000_s1026" style="width:190.2pt;height:20.2pt;margin-top:167pt;margin-left:393.72pt;mso-position-horizontal-relative:page;mso-position-vertical-relative:page;position:absolute;z-index:251660288" coordorigin="0,0" coordsize="3803,404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803;height:404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843;height:48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25" w:line="218" w:lineRule="auto"/>
                      <w:ind w:left="1379"/>
                      <w:rPr>
                        <w:sz w:val="21"/>
                        <w:szCs w:val="21"/>
                      </w:rPr>
                    </w:pPr>
                    <w:r>
                      <w:rPr>
                        <w:color w:val="FFFFFF"/>
                        <w:spacing w:val="-1"/>
                        <w:sz w:val="21"/>
                        <w:szCs w:val="21"/>
                        <w14:textOutline w14:w="3831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华创证券研究所</w:t>
                    </w:r>
                  </w:p>
                </w:txbxContent>
              </v:textbox>
            </v:shape>
          </v:group>
        </w:pict>
      </w:r>
      <w:r>
        <w:pict>
          <v:shape id="_x0000_s1029" type="#_x0000_t202" style="width:191.05pt;height:258.45pt;margin-top:194.22pt;margin-left:392.79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6" w:lineRule="auto"/>
                    <w:ind w:left="79"/>
                  </w:pPr>
                  <w:r>
                    <w:rPr>
                      <w:color w:val="033B7C"/>
                      <w:spacing w:val="10"/>
                      <w14:textOutline w14:w="3614">
                        <w14:solidFill>
                          <w14:srgbClr w14:val="033B7C"/>
                        </w14:solidFill>
                        <w14:prstDash w14:val="solid"/>
                        <w14:round/>
                      </w14:textOutline>
                    </w:rPr>
                    <w:t>证券分析师：姚佩</w:t>
                  </w:r>
                </w:p>
                <w:p>
                  <w:pPr>
                    <w:pStyle w:val="BodyText"/>
                    <w:spacing w:before="157" w:line="213" w:lineRule="auto"/>
                    <w:ind w:left="87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color w:val="033B7C"/>
                      <w:spacing w:val="-5"/>
                      <w:sz w:val="16"/>
                      <w:szCs w:val="16"/>
                    </w:rPr>
                    <w:t>邮箱：</w:t>
                  </w:r>
                  <w:r>
                    <w:rPr>
                      <w:color w:val="033B7C"/>
                      <w:spacing w:val="-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5"/>
                      <w:sz w:val="16"/>
                      <w:szCs w:val="16"/>
                    </w:rPr>
                    <w:t>yaopei@hcyjs.com</w:t>
                  </w:r>
                </w:p>
                <w:p>
                  <w:pPr>
                    <w:pStyle w:val="BodyText"/>
                    <w:spacing w:before="55" w:line="218" w:lineRule="auto"/>
                    <w:ind w:left="79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color w:val="033B7C"/>
                      <w:spacing w:val="-1"/>
                      <w:sz w:val="16"/>
                      <w:szCs w:val="16"/>
                    </w:rPr>
                    <w:t>执业编号：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6"/>
                      <w:szCs w:val="16"/>
                    </w:rPr>
                    <w:t>S0360522120004</w:t>
                  </w:r>
                </w:p>
                <w:p>
                  <w:pPr>
                    <w:pStyle w:val="BodyText"/>
                    <w:spacing w:before="109" w:line="226" w:lineRule="auto"/>
                    <w:ind w:left="79"/>
                  </w:pPr>
                  <w:r>
                    <w:rPr>
                      <w:color w:val="033B7C"/>
                      <w:spacing w:val="6"/>
                      <w14:textOutline w14:w="3614">
                        <w14:solidFill>
                          <w14:srgbClr w14:val="033B7C"/>
                        </w14:solidFill>
                        <w14:prstDash w14:val="solid"/>
                        <w14:round/>
                      </w14:textOutline>
                    </w:rPr>
                    <w:t>证券分析师：</w:t>
                  </w:r>
                  <w:r>
                    <w:rPr>
                      <w:color w:val="033B7C"/>
                      <w:spacing w:val="-56"/>
                    </w:rPr>
                    <w:t xml:space="preserve"> </w:t>
                  </w:r>
                  <w:r>
                    <w:rPr>
                      <w:color w:val="033B7C"/>
                      <w:spacing w:val="6"/>
                      <w14:textOutline w14:w="3614">
                        <w14:solidFill>
                          <w14:srgbClr w14:val="033B7C"/>
                        </w14:solidFill>
                        <w14:prstDash w14:val="solid"/>
                        <w14:round/>
                      </w14:textOutline>
                    </w:rPr>
                    <w:t>丁炎晨</w:t>
                  </w:r>
                </w:p>
                <w:p>
                  <w:pPr>
                    <w:pStyle w:val="BodyText"/>
                    <w:spacing w:before="160" w:line="213" w:lineRule="auto"/>
                    <w:ind w:left="87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color w:val="033B7C"/>
                      <w:spacing w:val="-4"/>
                      <w:sz w:val="16"/>
                      <w:szCs w:val="16"/>
                    </w:rPr>
                    <w:t>邮箱：</w:t>
                  </w:r>
                  <w:r>
                    <w:rPr>
                      <w:color w:val="033B7C"/>
                      <w:spacing w:val="-4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6"/>
                      <w:szCs w:val="16"/>
                    </w:rPr>
                    <w:t>dingyanchen@hcyjs.com</w:t>
                  </w:r>
                </w:p>
                <w:p>
                  <w:pPr>
                    <w:pStyle w:val="BodyText"/>
                    <w:spacing w:before="55" w:line="218" w:lineRule="auto"/>
                    <w:ind w:left="79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color w:val="033B7C"/>
                      <w:spacing w:val="-1"/>
                      <w:sz w:val="16"/>
                      <w:szCs w:val="16"/>
                    </w:rPr>
                    <w:t>执业编号：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6"/>
                      <w:szCs w:val="16"/>
                    </w:rPr>
                    <w:t>S0360523070005</w:t>
                  </w: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62" w:line="231" w:lineRule="auto"/>
                    <w:ind w:left="20"/>
                  </w:pPr>
                  <w:r>
                    <w:rPr>
                      <w:color w:val="033B7C"/>
                      <w:spacing w:val="10"/>
                      <w14:textOutline w14:w="3614">
                        <w14:solidFill>
                          <w14:srgbClr w14:val="033B7C"/>
                        </w14:solidFill>
                        <w14:prstDash w14:val="solid"/>
                        <w14:round/>
                      </w14:textOutline>
                    </w:rPr>
                    <w:t>相关研究报告</w:t>
                  </w:r>
                </w:p>
                <w:p>
                  <w:pPr>
                    <w:pStyle w:val="BodyText"/>
                    <w:spacing w:before="42" w:line="211" w:lineRule="auto"/>
                    <w:ind w:left="20" w:right="21"/>
                    <w:rPr>
                      <w:sz w:val="18"/>
                      <w:szCs w:val="18"/>
                    </w:rPr>
                  </w:pPr>
                  <w:r>
                    <w:rPr>
                      <w:color w:val="033B7C"/>
                      <w:spacing w:val="-5"/>
                      <w:sz w:val="18"/>
                      <w:szCs w:val="18"/>
                    </w:rPr>
                    <w:t>《【华创策略】补库存：结构胜总量</w:t>
                  </w:r>
                  <w:r>
                    <w:rPr>
                      <w:color w:val="033B7C"/>
                      <w:spacing w:val="-58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5"/>
                      <w:sz w:val="18"/>
                      <w:szCs w:val="18"/>
                    </w:rPr>
                    <w:t>——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5"/>
                      <w:sz w:val="18"/>
                      <w:szCs w:val="18"/>
                    </w:rPr>
                    <w:t xml:space="preserve">2024  </w:t>
                  </w:r>
                  <w:r>
                    <w:rPr>
                      <w:color w:val="033B7C"/>
                      <w:spacing w:val="-5"/>
                      <w:sz w:val="18"/>
                      <w:szCs w:val="18"/>
                    </w:rPr>
                    <w:t>年</w:t>
                  </w:r>
                  <w:r>
                    <w:rPr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度策略关键词</w:t>
                  </w:r>
                  <w:r>
                    <w:rPr>
                      <w:color w:val="033B7C"/>
                      <w:spacing w:val="-3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8"/>
                      <w:szCs w:val="18"/>
                    </w:rPr>
                    <w:t>3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》</w:t>
                  </w:r>
                </w:p>
                <w:p>
                  <w:pPr>
                    <w:pStyle w:val="BodyText"/>
                    <w:spacing w:before="20" w:line="206" w:lineRule="auto"/>
                    <w:ind w:left="20" w:right="20" w:firstLine="294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2023-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12-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2"/>
                      <w:sz w:val="18"/>
                      <w:szCs w:val="18"/>
                    </w:rPr>
                    <w:t>《【华创策略】宽财政：有多少量值得期待</w:t>
                  </w:r>
                  <w:r>
                    <w:rPr>
                      <w:color w:val="033B7C"/>
                      <w:spacing w:val="-49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2"/>
                      <w:sz w:val="18"/>
                      <w:szCs w:val="18"/>
                    </w:rPr>
                    <w:t>——</w:t>
                  </w:r>
                  <w:r>
                    <w:rPr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8"/>
                      <w:szCs w:val="18"/>
                    </w:rPr>
                    <w:t xml:space="preserve">2024 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年策略关键词</w:t>
                  </w:r>
                  <w:r>
                    <w:rPr>
                      <w:color w:val="033B7C"/>
                      <w:spacing w:val="-3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8"/>
                      <w:szCs w:val="18"/>
                    </w:rPr>
                    <w:t>2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》</w:t>
                  </w:r>
                </w:p>
                <w:p>
                  <w:pPr>
                    <w:pStyle w:val="BodyText"/>
                    <w:spacing w:before="21" w:line="206" w:lineRule="auto"/>
                    <w:ind w:left="20" w:right="20" w:firstLine="294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2023-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12-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4"/>
                      <w:sz w:val="18"/>
                      <w:szCs w:val="18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1"/>
                      <w:sz w:val="18"/>
                      <w:szCs w:val="18"/>
                    </w:rPr>
                    <w:t>《【华创策略】变局与新篇：</w:t>
                  </w:r>
                  <w:r>
                    <w:rPr>
                      <w:color w:val="033B7C"/>
                      <w:spacing w:val="-11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1"/>
                      <w:sz w:val="18"/>
                      <w:szCs w:val="18"/>
                    </w:rPr>
                    <w:t>新航海时代——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1"/>
                      <w:sz w:val="18"/>
                      <w:szCs w:val="18"/>
                    </w:rPr>
                    <w:t>2024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年</w:t>
                  </w:r>
                  <w:r>
                    <w:rPr>
                      <w:color w:val="033B7C"/>
                      <w:spacing w:val="-3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"/>
                      <w:sz w:val="18"/>
                      <w:szCs w:val="18"/>
                    </w:rPr>
                    <w:t xml:space="preserve">A </w:t>
                  </w:r>
                  <w:r>
                    <w:rPr>
                      <w:color w:val="033B7C"/>
                      <w:spacing w:val="-1"/>
                      <w:sz w:val="18"/>
                      <w:szCs w:val="18"/>
                    </w:rPr>
                    <w:t>股市场策略》</w:t>
                  </w:r>
                </w:p>
                <w:p>
                  <w:pPr>
                    <w:pStyle w:val="BodyText"/>
                    <w:spacing w:before="21" w:line="206" w:lineRule="auto"/>
                    <w:ind w:left="20" w:right="20" w:firstLine="2949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5"/>
                      <w:sz w:val="18"/>
                      <w:szCs w:val="18"/>
                    </w:rPr>
                    <w:t>2023-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5"/>
                      <w:sz w:val="18"/>
                      <w:szCs w:val="18"/>
                    </w:rPr>
                    <w:t>12-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5"/>
                      <w:sz w:val="18"/>
                      <w:szCs w:val="18"/>
                    </w:rPr>
                    <w:t>11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2"/>
                      <w:sz w:val="18"/>
                      <w:szCs w:val="18"/>
                    </w:rPr>
                    <w:t>《【华创策略】高股息：</w:t>
                  </w:r>
                  <w:r>
                    <w:rPr>
                      <w:color w:val="033B7C"/>
                      <w:spacing w:val="-12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12"/>
                      <w:sz w:val="18"/>
                      <w:szCs w:val="18"/>
                    </w:rPr>
                    <w:t>一鸟在手还是百鸟在林—</w:t>
                  </w:r>
                  <w:r>
                    <w:rPr>
                      <w:color w:val="033B7C"/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2"/>
                      <w:sz w:val="18"/>
                      <w:szCs w:val="18"/>
                    </w:rPr>
                    <w:t>—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"/>
                      <w:sz w:val="18"/>
                      <w:szCs w:val="18"/>
                    </w:rPr>
                    <w:t xml:space="preserve">2024 </w:t>
                  </w:r>
                  <w:r>
                    <w:rPr>
                      <w:color w:val="033B7C"/>
                      <w:spacing w:val="-2"/>
                      <w:sz w:val="18"/>
                      <w:szCs w:val="18"/>
                    </w:rPr>
                    <w:t>年策略关键词</w:t>
                  </w:r>
                  <w:r>
                    <w:rPr>
                      <w:color w:val="033B7C"/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2"/>
                      <w:sz w:val="18"/>
                      <w:szCs w:val="1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7"/>
                      <w:sz w:val="18"/>
                      <w:szCs w:val="18"/>
                    </w:rPr>
                    <w:t xml:space="preserve">  </w:t>
                  </w:r>
                  <w:r>
                    <w:rPr>
                      <w:color w:val="033B7C"/>
                      <w:spacing w:val="-2"/>
                      <w:sz w:val="18"/>
                      <w:szCs w:val="18"/>
                    </w:rPr>
                    <w:t>》</w:t>
                  </w:r>
                </w:p>
                <w:p>
                  <w:pPr>
                    <w:pStyle w:val="BodyText"/>
                    <w:spacing w:before="22" w:line="203" w:lineRule="auto"/>
                    <w:ind w:left="20" w:right="20" w:firstLine="294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3"/>
                      <w:sz w:val="18"/>
                      <w:szCs w:val="18"/>
                    </w:rPr>
                    <w:t>2023-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3"/>
                      <w:sz w:val="18"/>
                      <w:szCs w:val="18"/>
                    </w:rPr>
                    <w:t>12-08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33B7C"/>
                      <w:spacing w:val="-5"/>
                      <w:sz w:val="18"/>
                      <w:szCs w:val="18"/>
                    </w:rPr>
                    <w:t>《【华创策略】触底后，谁在补库？》</w:t>
                  </w:r>
                </w:p>
                <w:p>
                  <w:pPr>
                    <w:spacing w:before="27" w:line="186" w:lineRule="auto"/>
                    <w:ind w:right="20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3"/>
                      <w:sz w:val="18"/>
                      <w:szCs w:val="18"/>
                    </w:rPr>
                    <w:t>2023-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33B7C"/>
                      <w:spacing w:val="-3"/>
                      <w:sz w:val="18"/>
                      <w:szCs w:val="18"/>
                    </w:rPr>
                    <w:t>10-30</w:t>
                  </w:r>
                </w:p>
              </w:txbxContent>
            </v:textbox>
          </v:shape>
        </w:pict>
      </w:r>
    </w:p>
    <w:p>
      <w:pPr>
        <w:spacing w:line="91" w:lineRule="exact"/>
        <w:sectPr>
          <w:headerReference w:type="default" r:id="rId5"/>
          <w:footerReference w:type="default" r:id="rId6"/>
          <w:pgSz w:w="11907" w:h="16839"/>
          <w:pgMar w:top="1448" w:right="0" w:bottom="948" w:left="0" w:header="0" w:footer="679" w:gutter="0"/>
          <w:cols w:num="1" w:space="708" w:equalWidth="0">
            <w:col w:w="11907" w:space="0"/>
          </w:cols>
        </w:sectPr>
      </w:pPr>
    </w:p>
    <w:p>
      <w:pPr>
        <w:pStyle w:val="BodyText"/>
        <w:spacing w:line="1645" w:lineRule="exact"/>
        <w:ind w:firstLine="11"/>
      </w:pPr>
      <w:r>
        <w:rPr>
          <w:position w:val="-32"/>
        </w:rPr>
        <w:pict>
          <v:group id="_x0000_i1030" style="width:381.4pt;height:82.3pt;mso-position-horizontal-relative:char;mso-position-vertical-relative:line" coordorigin="0,0" coordsize="7627,1646" filled="f" stroked="f">
            <v:rect id="_x0000_s1031" style="width:7625;height:1645;position:absolute;top:1" filled="t" fillcolor="#033b7c" stroked="f"/>
            <v:shape id="_x0000_s1032" type="#_x0000_t202" style="width:5297;height:1079;left:365;position:absolute;top:258" filled="f" stroked="f">
              <o:lock v:ext="edit" aspectratio="f"/>
              <v:textbox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KaiTi" w:eastAsia="KaiTi" w:hAnsi="KaiTi" w:cs="KaiTi"/>
                        <w:sz w:val="28"/>
                        <w:szCs w:val="2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28"/>
                        <w:szCs w:val="28"/>
                      </w:rPr>
                      <w:t>【策略专题】</w:t>
                    </w:r>
                  </w:p>
                  <w:p>
                    <w:pPr>
                      <w:spacing w:before="350" w:line="213" w:lineRule="auto"/>
                      <w:ind w:right="20"/>
                      <w:jc w:val="right"/>
                      <w:outlineLvl w:val="0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36"/>
                        <w:szCs w:val="36"/>
                        <w14:textOutline w14:w="6531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美国补库：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/>
                        <w:spacing w:val="-1"/>
                        <w:sz w:val="36"/>
                        <w:szCs w:val="36"/>
                      </w:rPr>
                      <w:t xml:space="preserve">24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36"/>
                        <w:szCs w:val="36"/>
                        <w14:textOutline w14:w="6531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年中国出口新机遇</w:t>
                    </w:r>
                  </w:p>
                </w:txbxContent>
              </v:textbox>
            </v:shape>
            <v:rect id="_x0000_s1033" style="width:7625;height:40;left:2;position:absolute" filled="t" fillcolor="white" stroked="f"/>
            <w10:wrap type="none"/>
          </v:group>
        </w:pict>
      </w:r>
    </w:p>
    <w:p>
      <w:pPr>
        <w:pStyle w:val="BodyText"/>
        <w:spacing w:before="144" w:line="222" w:lineRule="auto"/>
        <w:ind w:left="412"/>
      </w:pPr>
      <w:r>
        <w:rPr>
          <w:rFonts w:ascii="Wingdings" w:eastAsia="Wingdings" w:hAnsi="Wingdings" w:cs="Wingdings"/>
          <w:color w:val="033B7C"/>
          <w:spacing w:val="7"/>
        </w:rPr>
        <w:sym w:font="Wingdings" w:char="F076"/>
      </w:r>
      <w:r>
        <w:rPr>
          <w:rFonts w:ascii="Wingdings" w:eastAsia="Wingdings" w:hAnsi="Wingdings" w:cs="Wingdings"/>
          <w:color w:val="033B7C"/>
          <w:spacing w:val="7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33B7C"/>
          <w:spacing w:val="7"/>
        </w:rPr>
        <w:t xml:space="preserve">24 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年美国补库对中国出口的拉动可期。</w:t>
      </w:r>
    </w:p>
    <w:p>
      <w:pPr>
        <w:pStyle w:val="BodyText"/>
        <w:spacing w:before="59" w:line="215" w:lineRule="auto"/>
        <w:ind w:left="816" w:right="83" w:firstLine="15"/>
      </w:pPr>
      <w:r>
        <w:rPr>
          <w:color w:val="033B7C"/>
          <w:spacing w:val="13"/>
          <w14:textOutline w14:w="3614">
            <w14:solidFill>
              <w14:srgbClr w14:val="033B7C"/>
            </w14:solidFill>
            <w14:prstDash w14:val="solid"/>
            <w14:round/>
          </w14:textOutline>
        </w:rPr>
        <w:t>美国降息预期可能促发利率敏感的地产等行业</w:t>
      </w:r>
      <w:r>
        <w:rPr>
          <w:color w:val="033B7C"/>
          <w:spacing w:val="12"/>
          <w14:textOutline w14:w="3614">
            <w14:solidFill>
              <w14:srgbClr w14:val="033B7C"/>
            </w14:solidFill>
            <w14:prstDash w14:val="solid"/>
            <w14:round/>
          </w14:textOutline>
        </w:rPr>
        <w:t>触底反弹，对中国的影响可能</w:t>
      </w:r>
      <w:r>
        <w:rPr>
          <w:color w:val="033B7C"/>
        </w:rPr>
        <w:t xml:space="preserve"> 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从流动性转为基本面。</w:t>
      </w:r>
      <w:r>
        <w:rPr>
          <w:color w:val="033B7C"/>
          <w:spacing w:val="-56"/>
        </w:rPr>
        <w:t xml:space="preserve"> </w:t>
      </w:r>
      <w:r>
        <w:rPr>
          <w:color w:val="033B7C"/>
          <w:spacing w:val="7"/>
        </w:rPr>
        <w:t>美联储</w:t>
      </w:r>
      <w:r>
        <w:rPr>
          <w:color w:val="033B7C"/>
          <w:spacing w:val="-39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 xml:space="preserve">24 </w:t>
      </w:r>
      <w:r>
        <w:rPr>
          <w:color w:val="033B7C"/>
          <w:spacing w:val="7"/>
        </w:rPr>
        <w:t>年降息预期对流动性的缓解似乎并未生效，</w:t>
      </w:r>
      <w:r>
        <w:rPr>
          <w:color w:val="033B7C"/>
        </w:rPr>
        <w:t xml:space="preserve">  </w:t>
      </w:r>
      <w:r>
        <w:rPr>
          <w:rFonts w:ascii="Times New Roman" w:eastAsia="Times New Roman" w:hAnsi="Times New Roman" w:cs="Times New Roman"/>
          <w:color w:val="033B7C"/>
          <w:spacing w:val="7"/>
        </w:rPr>
        <w:t>23</w:t>
      </w:r>
      <w:r>
        <w:rPr>
          <w:rFonts w:ascii="Times New Roman" w:eastAsia="Times New Roman" w:hAnsi="Times New Roman" w:cs="Times New Roman"/>
          <w:color w:val="033B7C"/>
          <w:spacing w:val="35"/>
        </w:rPr>
        <w:t xml:space="preserve"> </w:t>
      </w:r>
      <w:r>
        <w:rPr>
          <w:color w:val="033B7C"/>
          <w:spacing w:val="7"/>
        </w:rPr>
        <w:t>年</w:t>
      </w:r>
      <w:r>
        <w:rPr>
          <w:color w:val="033B7C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11</w:t>
      </w:r>
      <w:r>
        <w:rPr>
          <w:rFonts w:ascii="Times New Roman" w:eastAsia="Times New Roman" w:hAnsi="Times New Roman" w:cs="Times New Roman"/>
          <w:color w:val="033B7C"/>
          <w:spacing w:val="40"/>
        </w:rPr>
        <w:t xml:space="preserve"> </w:t>
      </w:r>
      <w:r>
        <w:rPr>
          <w:color w:val="033B7C"/>
          <w:spacing w:val="7"/>
        </w:rPr>
        <w:t>月以来美债利率高位下行，但</w:t>
      </w:r>
      <w:r>
        <w:rPr>
          <w:color w:val="033B7C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33B7C"/>
        </w:rPr>
        <w:t>CXO</w:t>
      </w:r>
      <w:r>
        <w:rPr>
          <w:rFonts w:ascii="Times New Roman" w:eastAsia="Times New Roman" w:hAnsi="Times New Roman" w:cs="Times New Roman"/>
          <w:color w:val="033B7C"/>
          <w:spacing w:val="-23"/>
        </w:rPr>
        <w:t xml:space="preserve"> </w:t>
      </w:r>
      <w:r>
        <w:rPr>
          <w:color w:val="033B7C"/>
          <w:spacing w:val="7"/>
        </w:rPr>
        <w:t>、</w:t>
      </w:r>
      <w:r>
        <w:rPr>
          <w:rFonts w:ascii="Times New Roman" w:eastAsia="Times New Roman" w:hAnsi="Times New Roman" w:cs="Times New Roman"/>
          <w:color w:val="033B7C"/>
        </w:rPr>
        <w:t>TMT</w:t>
      </w:r>
      <w:r>
        <w:rPr>
          <w:color w:val="033B7C"/>
          <w:spacing w:val="7"/>
        </w:rPr>
        <w:t>、港股等受益于流动性宽</w:t>
      </w:r>
      <w:r>
        <w:rPr>
          <w:color w:val="033B7C"/>
        </w:rPr>
        <w:t xml:space="preserve"> </w:t>
      </w:r>
      <w:r>
        <w:rPr>
          <w:color w:val="033B7C"/>
          <w:spacing w:val="7"/>
        </w:rPr>
        <w:t>松的板块表现依然不佳，我们认为传统投资范式或需改变，利率下行带来的基</w:t>
      </w:r>
      <w:r>
        <w:rPr>
          <w:color w:val="033B7C"/>
          <w:spacing w:val="11"/>
        </w:rPr>
        <w:t xml:space="preserve"> </w:t>
      </w:r>
      <w:r>
        <w:rPr>
          <w:color w:val="033B7C"/>
          <w:spacing w:val="1"/>
        </w:rPr>
        <w:t>本面改善可能对中国影响更大。受本轮加息周期影响，</w:t>
      </w:r>
      <w:r>
        <w:rPr>
          <w:color w:val="033B7C"/>
          <w:spacing w:val="-19"/>
        </w:rPr>
        <w:t xml:space="preserve"> </w:t>
      </w:r>
      <w:r>
        <w:rPr>
          <w:color w:val="033B7C"/>
          <w:spacing w:val="1"/>
        </w:rPr>
        <w:t>美国房贷利率大幅上行，</w:t>
      </w:r>
      <w:r>
        <w:rPr>
          <w:color w:val="033B7C"/>
        </w:rPr>
        <w:t xml:space="preserve"> </w:t>
      </w:r>
      <w:r>
        <w:rPr>
          <w:color w:val="033B7C"/>
          <w:spacing w:val="9"/>
        </w:rPr>
        <w:t>高利率环境压制地产需求，美国房地产市场</w:t>
      </w:r>
      <w:r>
        <w:rPr>
          <w:color w:val="033B7C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9"/>
        </w:rPr>
        <w:t xml:space="preserve">21 </w:t>
      </w:r>
      <w:r>
        <w:rPr>
          <w:color w:val="033B7C"/>
          <w:spacing w:val="9"/>
        </w:rPr>
        <w:t>年开始持续走弱。而伴随美联</w:t>
      </w:r>
      <w:r>
        <w:rPr>
          <w:color w:val="033B7C"/>
        </w:rPr>
        <w:t xml:space="preserve"> </w:t>
      </w:r>
      <w:r>
        <w:rPr>
          <w:color w:val="033B7C"/>
          <w:spacing w:val="10"/>
        </w:rPr>
        <w:t>储暂停加息以及降息预期升温，高利率压力有望缓</w:t>
      </w:r>
      <w:r>
        <w:rPr>
          <w:color w:val="033B7C"/>
          <w:spacing w:val="9"/>
        </w:rPr>
        <w:t>解，</w:t>
      </w:r>
      <w:r>
        <w:rPr>
          <w:rFonts w:ascii="Times New Roman" w:eastAsia="Times New Roman" w:hAnsi="Times New Roman" w:cs="Times New Roman"/>
          <w:color w:val="033B7C"/>
          <w:spacing w:val="9"/>
        </w:rPr>
        <w:t xml:space="preserve">30  </w:t>
      </w:r>
      <w:r>
        <w:rPr>
          <w:color w:val="033B7C"/>
          <w:spacing w:val="9"/>
        </w:rPr>
        <w:t>年期抵押贷款固定</w:t>
      </w:r>
      <w:r>
        <w:rPr>
          <w:color w:val="033B7C"/>
        </w:rPr>
        <w:t xml:space="preserve"> </w:t>
      </w:r>
      <w:r>
        <w:rPr>
          <w:color w:val="033B7C"/>
          <w:spacing w:val="3"/>
        </w:rPr>
        <w:t>利率已从</w:t>
      </w:r>
      <w:r>
        <w:rPr>
          <w:color w:val="033B7C"/>
          <w:spacing w:val="-2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23/10</w:t>
      </w:r>
      <w:r>
        <w:rPr>
          <w:rFonts w:ascii="Times New Roman" w:eastAsia="Times New Roman" w:hAnsi="Times New Roman" w:cs="Times New Roman"/>
          <w:color w:val="033B7C"/>
          <w:spacing w:val="30"/>
        </w:rPr>
        <w:t xml:space="preserve"> </w:t>
      </w:r>
      <w:r>
        <w:rPr>
          <w:color w:val="033B7C"/>
          <w:spacing w:val="3"/>
        </w:rPr>
        <w:t>高点</w:t>
      </w:r>
      <w:r>
        <w:rPr>
          <w:color w:val="033B7C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7.8%</w:t>
      </w:r>
      <w:r>
        <w:rPr>
          <w:color w:val="033B7C"/>
          <w:spacing w:val="3"/>
        </w:rPr>
        <w:t>回落至</w:t>
      </w:r>
      <w:r>
        <w:rPr>
          <w:color w:val="033B7C"/>
          <w:spacing w:val="-40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24/1</w:t>
      </w:r>
      <w:r>
        <w:rPr>
          <w:rFonts w:ascii="Times New Roman" w:eastAsia="Times New Roman" w:hAnsi="Times New Roman" w:cs="Times New Roman"/>
          <w:color w:val="033B7C"/>
          <w:spacing w:val="21"/>
        </w:rPr>
        <w:t xml:space="preserve"> </w:t>
      </w:r>
      <w:r>
        <w:rPr>
          <w:color w:val="033B7C"/>
          <w:spacing w:val="3"/>
        </w:rPr>
        <w:t>的</w:t>
      </w:r>
      <w:r>
        <w:rPr>
          <w:color w:val="033B7C"/>
          <w:spacing w:val="-3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6.6%</w:t>
      </w:r>
      <w:r>
        <w:rPr>
          <w:color w:val="033B7C"/>
          <w:spacing w:val="3"/>
        </w:rPr>
        <w:t>，地产销售也呈现企稳信号。</w:t>
      </w:r>
      <w:r>
        <w:rPr>
          <w:color w:val="033B7C"/>
          <w:spacing w:val="-20"/>
        </w:rPr>
        <w:t xml:space="preserve"> </w:t>
      </w:r>
      <w:r>
        <w:rPr>
          <w:color w:val="033B7C"/>
          <w:spacing w:val="3"/>
          <w14:textOutline w14:w="3614">
            <w14:solidFill>
              <w14:srgbClr w14:val="033B7C"/>
            </w14:solidFill>
            <w14:prstDash w14:val="solid"/>
            <w14:round/>
          </w14:textOutline>
        </w:rPr>
        <w:t>历</w:t>
      </w:r>
      <w:r>
        <w:rPr>
          <w:color w:val="033B7C"/>
        </w:rPr>
        <w:t xml:space="preserve"> </w:t>
      </w:r>
      <w:r>
        <w:rPr>
          <w:color w:val="033B7C"/>
          <w:spacing w:val="26"/>
          <w14:textOutline w14:w="3614">
            <w14:solidFill>
              <w14:srgbClr w14:val="033B7C"/>
            </w14:solidFill>
            <w14:prstDash w14:val="solid"/>
            <w14:round/>
          </w14:textOutline>
        </w:rPr>
        <w:t>史上看美联储降息对房贷利率及地产销量影响显著</w:t>
      </w:r>
      <w:r>
        <w:rPr>
          <w:color w:val="033B7C"/>
          <w:spacing w:val="26"/>
        </w:rPr>
        <w:t>。三轮周期平均降息</w:t>
      </w:r>
      <w:r>
        <w:rPr>
          <w:color w:val="033B7C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8"/>
        </w:rPr>
        <w:t>425</w:t>
      </w:r>
      <w:r>
        <w:rPr>
          <w:rFonts w:ascii="Times New Roman" w:eastAsia="Times New Roman" w:hAnsi="Times New Roman" w:cs="Times New Roman"/>
          <w:color w:val="033B7C"/>
        </w:rPr>
        <w:t>bp</w:t>
      </w:r>
      <w:r>
        <w:rPr>
          <w:color w:val="033B7C"/>
          <w:spacing w:val="8"/>
        </w:rPr>
        <w:t>，期间</w:t>
      </w:r>
      <w:r>
        <w:rPr>
          <w:color w:val="033B7C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8"/>
        </w:rPr>
        <w:t xml:space="preserve">30 </w:t>
      </w:r>
      <w:r>
        <w:rPr>
          <w:color w:val="033B7C"/>
          <w:spacing w:val="8"/>
        </w:rPr>
        <w:t>年期房贷利率最大降幅平</w:t>
      </w:r>
      <w:r>
        <w:rPr>
          <w:color w:val="033B7C"/>
          <w:spacing w:val="7"/>
        </w:rPr>
        <w:t>均</w:t>
      </w:r>
      <w:r>
        <w:rPr>
          <w:color w:val="033B7C"/>
          <w:spacing w:val="-3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212</w:t>
      </w:r>
      <w:r>
        <w:rPr>
          <w:rFonts w:ascii="Times New Roman" w:eastAsia="Times New Roman" w:hAnsi="Times New Roman" w:cs="Times New Roman"/>
          <w:color w:val="033B7C"/>
        </w:rPr>
        <w:t>bp</w:t>
      </w:r>
      <w:r>
        <w:rPr>
          <w:color w:val="033B7C"/>
          <w:spacing w:val="7"/>
        </w:rPr>
        <w:t>，美国成屋销售最大涨幅平</w:t>
      </w:r>
      <w:r>
        <w:rPr>
          <w:color w:val="033B7C"/>
        </w:rPr>
        <w:t xml:space="preserve"> </w:t>
      </w:r>
      <w:r>
        <w:rPr>
          <w:color w:val="033B7C"/>
          <w:spacing w:val="12"/>
        </w:rPr>
        <w:t>均</w:t>
      </w:r>
      <w:r>
        <w:rPr>
          <w:color w:val="033B7C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12"/>
        </w:rPr>
        <w:t>36%</w:t>
      </w:r>
      <w:r>
        <w:rPr>
          <w:color w:val="033B7C"/>
          <w:spacing w:val="12"/>
        </w:rPr>
        <w:t>。以此线性外推，根据花旗预测，</w:t>
      </w:r>
      <w:r>
        <w:rPr>
          <w:rFonts w:ascii="Times New Roman" w:eastAsia="Times New Roman" w:hAnsi="Times New Roman" w:cs="Times New Roman"/>
          <w:color w:val="033B7C"/>
          <w:spacing w:val="12"/>
        </w:rPr>
        <w:t xml:space="preserve">2024  </w:t>
      </w:r>
      <w:r>
        <w:rPr>
          <w:color w:val="033B7C"/>
          <w:spacing w:val="12"/>
        </w:rPr>
        <w:t>年全年美联储降息幅度或为</w:t>
      </w:r>
      <w:r>
        <w:rPr>
          <w:color w:val="033B7C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9"/>
        </w:rPr>
        <w:t>125</w:t>
      </w:r>
      <w:r>
        <w:rPr>
          <w:rFonts w:ascii="Times New Roman" w:eastAsia="Times New Roman" w:hAnsi="Times New Roman" w:cs="Times New Roman"/>
          <w:color w:val="033B7C"/>
        </w:rPr>
        <w:t>bp</w:t>
      </w:r>
      <w:r>
        <w:rPr>
          <w:color w:val="033B7C"/>
          <w:spacing w:val="9"/>
        </w:rPr>
        <w:t>，对应</w:t>
      </w:r>
      <w:r>
        <w:rPr>
          <w:color w:val="033B7C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9"/>
        </w:rPr>
        <w:t>30</w:t>
      </w:r>
      <w:r>
        <w:rPr>
          <w:rFonts w:ascii="Times New Roman" w:eastAsia="Times New Roman" w:hAnsi="Times New Roman" w:cs="Times New Roman"/>
          <w:color w:val="033B7C"/>
          <w:spacing w:val="29"/>
          <w:w w:val="101"/>
        </w:rPr>
        <w:t xml:space="preserve"> </w:t>
      </w:r>
      <w:r>
        <w:rPr>
          <w:color w:val="033B7C"/>
          <w:spacing w:val="9"/>
        </w:rPr>
        <w:t>年期房贷利率最大降幅或达</w:t>
      </w:r>
      <w:r>
        <w:rPr>
          <w:color w:val="033B7C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9"/>
        </w:rPr>
        <w:t>62</w:t>
      </w:r>
      <w:r>
        <w:rPr>
          <w:rFonts w:ascii="Times New Roman" w:eastAsia="Times New Roman" w:hAnsi="Times New Roman" w:cs="Times New Roman"/>
          <w:color w:val="033B7C"/>
        </w:rPr>
        <w:t>bp</w:t>
      </w:r>
      <w:r>
        <w:rPr>
          <w:color w:val="033B7C"/>
          <w:spacing w:val="9"/>
        </w:rPr>
        <w:t>，美国成屋</w:t>
      </w:r>
      <w:r>
        <w:rPr>
          <w:color w:val="033B7C"/>
          <w:spacing w:val="8"/>
        </w:rPr>
        <w:t>销售最大涨幅或</w:t>
      </w:r>
      <w:r>
        <w:rPr>
          <w:color w:val="033B7C"/>
        </w:rPr>
        <w:t xml:space="preserve"> </w:t>
      </w:r>
      <w:r>
        <w:rPr>
          <w:color w:val="033B7C"/>
          <w:spacing w:val="-1"/>
        </w:rPr>
        <w:t>达</w:t>
      </w:r>
      <w:r>
        <w:rPr>
          <w:color w:val="033B7C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-1"/>
        </w:rPr>
        <w:t>10%</w:t>
      </w:r>
      <w:r>
        <w:rPr>
          <w:color w:val="033B7C"/>
          <w:spacing w:val="-1"/>
        </w:rPr>
        <w:t>左右。</w:t>
      </w:r>
    </w:p>
    <w:p>
      <w:pPr>
        <w:pStyle w:val="BodyText"/>
        <w:spacing w:before="7" w:line="214" w:lineRule="auto"/>
        <w:ind w:left="815" w:right="83" w:firstLine="4"/>
        <w:jc w:val="both"/>
      </w:pPr>
      <w:r>
        <w:rPr>
          <w:rFonts w:ascii="Times New Roman" w:eastAsia="Times New Roman" w:hAnsi="Times New Roman" w:cs="Times New Roman"/>
          <w:b/>
          <w:bCs/>
          <w:color w:val="033B7C"/>
          <w:spacing w:val="7"/>
        </w:rPr>
        <w:t>23</w:t>
      </w:r>
      <w:r>
        <w:rPr>
          <w:rFonts w:ascii="Times New Roman" w:eastAsia="Times New Roman" w:hAnsi="Times New Roman" w:cs="Times New Roman"/>
          <w:b/>
          <w:bCs/>
          <w:color w:val="033B7C"/>
          <w:spacing w:val="44"/>
          <w:w w:val="101"/>
        </w:rPr>
        <w:t xml:space="preserve"> 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年美国去库进度超预期，</w:t>
      </w:r>
      <w:r>
        <w:rPr>
          <w:color w:val="033B7C"/>
          <w:spacing w:val="7"/>
        </w:rPr>
        <w:t xml:space="preserve"> 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当前库存周期或已见底，地产基本面改善可能拉</w:t>
      </w:r>
      <w:r>
        <w:rPr>
          <w:color w:val="033B7C"/>
        </w:rPr>
        <w:t xml:space="preserve"> </w:t>
      </w:r>
      <w:r>
        <w:rPr>
          <w:color w:val="033B7C"/>
          <w:spacing w:val="4"/>
          <w14:textOutline w14:w="3614">
            <w14:solidFill>
              <w14:srgbClr w14:val="033B7C"/>
            </w14:solidFill>
            <w14:prstDash w14:val="solid"/>
            <w14:round/>
          </w14:textOutline>
        </w:rPr>
        <w:t>动补库，中国出口有望受益。</w:t>
      </w:r>
      <w:r>
        <w:rPr>
          <w:rFonts w:ascii="Times New Roman" w:eastAsia="Times New Roman" w:hAnsi="Times New Roman" w:cs="Times New Roman"/>
          <w:color w:val="033B7C"/>
          <w:spacing w:val="4"/>
        </w:rPr>
        <w:t xml:space="preserve">23 </w:t>
      </w:r>
      <w:r>
        <w:rPr>
          <w:color w:val="033B7C"/>
          <w:spacing w:val="4"/>
        </w:rPr>
        <w:t>年</w:t>
      </w:r>
      <w:r>
        <w:rPr>
          <w:color w:val="033B7C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11</w:t>
      </w:r>
      <w:r>
        <w:rPr>
          <w:rFonts w:ascii="Times New Roman" w:eastAsia="Times New Roman" w:hAnsi="Times New Roman" w:cs="Times New Roman"/>
          <w:color w:val="033B7C"/>
          <w:spacing w:val="23"/>
          <w:w w:val="101"/>
        </w:rPr>
        <w:t xml:space="preserve"> </w:t>
      </w:r>
      <w:r>
        <w:rPr>
          <w:color w:val="033B7C"/>
          <w:spacing w:val="4"/>
        </w:rPr>
        <w:t>月美国整体库</w:t>
      </w:r>
      <w:r>
        <w:rPr>
          <w:color w:val="033B7C"/>
          <w:spacing w:val="3"/>
        </w:rPr>
        <w:t>存同比从</w:t>
      </w:r>
      <w:r>
        <w:rPr>
          <w:color w:val="033B7C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0.7%</w:t>
      </w:r>
      <w:r>
        <w:rPr>
          <w:color w:val="033B7C"/>
          <w:spacing w:val="3"/>
        </w:rPr>
        <w:t>降至</w:t>
      </w:r>
      <w:r>
        <w:rPr>
          <w:color w:val="033B7C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0.4%</w:t>
      </w:r>
      <w:r>
        <w:rPr>
          <w:color w:val="033B7C"/>
          <w:spacing w:val="3"/>
        </w:rPr>
        <w:t>，</w:t>
      </w:r>
      <w:r>
        <w:rPr>
          <w:color w:val="033B7C"/>
        </w:rPr>
        <w:t xml:space="preserve"> </w:t>
      </w:r>
      <w:r>
        <w:rPr>
          <w:color w:val="033B7C"/>
          <w:spacing w:val="7"/>
        </w:rPr>
        <w:t>处过去</w:t>
      </w:r>
      <w:r>
        <w:rPr>
          <w:color w:val="033B7C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 xml:space="preserve">10 </w:t>
      </w:r>
      <w:r>
        <w:rPr>
          <w:color w:val="033B7C"/>
          <w:spacing w:val="7"/>
        </w:rPr>
        <w:t>年</w:t>
      </w:r>
      <w:r>
        <w:rPr>
          <w:color w:val="033B7C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11%</w:t>
      </w:r>
      <w:r>
        <w:rPr>
          <w:color w:val="033B7C"/>
          <w:spacing w:val="7"/>
        </w:rPr>
        <w:t>分位。结构上来看，美国制造商和批发商库存已接近历史底</w:t>
      </w:r>
      <w:r>
        <w:rPr>
          <w:color w:val="033B7C"/>
        </w:rPr>
        <w:t xml:space="preserve"> </w:t>
      </w:r>
      <w:r>
        <w:rPr>
          <w:color w:val="033B7C"/>
          <w:spacing w:val="2"/>
        </w:rPr>
        <w:t>部，</w:t>
      </w:r>
      <w:r>
        <w:rPr>
          <w:color w:val="033B7C"/>
          <w:spacing w:val="-43"/>
        </w:rPr>
        <w:t xml:space="preserve"> </w:t>
      </w:r>
      <w:r>
        <w:rPr>
          <w:color w:val="033B7C"/>
          <w:spacing w:val="2"/>
        </w:rPr>
        <w:t>零售商库存略高。历史表现来看，</w:t>
      </w:r>
      <w:r>
        <w:rPr>
          <w:color w:val="033B7C"/>
          <w:spacing w:val="35"/>
        </w:rPr>
        <w:t xml:space="preserve"> </w:t>
      </w:r>
      <w:r>
        <w:rPr>
          <w:color w:val="033B7C"/>
          <w:spacing w:val="2"/>
          <w14:textOutline w14:w="3614">
            <w14:solidFill>
              <w14:srgbClr w14:val="033B7C"/>
            </w14:solidFill>
            <w14:prstDash w14:val="solid"/>
            <w14:round/>
          </w14:textOutline>
        </w:rPr>
        <w:t>美国库存周期与美国进口需求和中国出</w:t>
      </w:r>
      <w:r>
        <w:rPr>
          <w:color w:val="033B7C"/>
        </w:rPr>
        <w:t xml:space="preserve"> </w:t>
      </w:r>
      <w:r>
        <w:rPr>
          <w:color w:val="033B7C"/>
          <w:spacing w:val="1"/>
          <w14:textOutline w14:w="3614">
            <w14:solidFill>
              <w14:srgbClr w14:val="033B7C"/>
            </w14:solidFill>
            <w14:prstDash w14:val="solid"/>
            <w14:round/>
          </w14:textOutline>
        </w:rPr>
        <w:t>口增速高度相关</w:t>
      </w:r>
      <w:r>
        <w:rPr>
          <w:color w:val="033B7C"/>
          <w:spacing w:val="1"/>
        </w:rPr>
        <w:t>，典型如</w:t>
      </w:r>
      <w:r>
        <w:rPr>
          <w:color w:val="033B7C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1"/>
        </w:rPr>
        <w:t>02/1-05/1</w:t>
      </w:r>
      <w:r>
        <w:rPr>
          <w:rFonts w:ascii="Times New Roman" w:eastAsia="Times New Roman" w:hAnsi="Times New Roman" w:cs="Times New Roman"/>
          <w:color w:val="033B7C"/>
          <w:spacing w:val="21"/>
          <w:w w:val="101"/>
        </w:rPr>
        <w:t xml:space="preserve"> </w:t>
      </w:r>
      <w:r>
        <w:rPr>
          <w:color w:val="033B7C"/>
          <w:spacing w:val="1"/>
        </w:rPr>
        <w:t>美国补库期间，</w:t>
      </w:r>
      <w:r>
        <w:rPr>
          <w:color w:val="033B7C"/>
          <w:spacing w:val="1"/>
        </w:rPr>
        <w:t xml:space="preserve"> </w:t>
      </w:r>
      <w:r>
        <w:rPr>
          <w:color w:val="033B7C"/>
          <w:spacing w:val="1"/>
        </w:rPr>
        <w:t>美国进口金额增速从</w:t>
      </w:r>
      <w:r>
        <w:rPr>
          <w:rFonts w:ascii="Times New Roman" w:eastAsia="Times New Roman" w:hAnsi="Times New Roman" w:cs="Times New Roman"/>
          <w:color w:val="033B7C"/>
          <w:spacing w:val="1"/>
        </w:rPr>
        <w:t>-</w:t>
      </w:r>
      <w:r>
        <w:rPr>
          <w:rFonts w:ascii="Times New Roman" w:eastAsia="Times New Roman" w:hAnsi="Times New Roman" w:cs="Times New Roman"/>
          <w:color w:val="033B7C"/>
          <w:spacing w:val="-2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1"/>
        </w:rPr>
        <w:t>13.5%</w:t>
      </w:r>
      <w:r>
        <w:rPr>
          <w:rFonts w:ascii="Times New Roman" w:eastAsia="Times New Roman" w:hAnsi="Times New Roman" w:cs="Times New Roman"/>
          <w:color w:val="033B7C"/>
        </w:rPr>
        <w:t xml:space="preserve">  </w:t>
      </w:r>
      <w:r>
        <w:rPr>
          <w:color w:val="033B7C"/>
          <w:spacing w:val="7"/>
        </w:rPr>
        <w:t>升至</w:t>
      </w:r>
      <w:r>
        <w:rPr>
          <w:color w:val="033B7C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17.9%</w:t>
      </w:r>
      <w:r>
        <w:rPr>
          <w:color w:val="033B7C"/>
          <w:spacing w:val="7"/>
        </w:rPr>
        <w:t>，中国出口金额增速从</w:t>
      </w:r>
      <w:r>
        <w:rPr>
          <w:color w:val="033B7C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29.2%</w:t>
      </w:r>
      <w:r>
        <w:rPr>
          <w:color w:val="033B7C"/>
          <w:spacing w:val="7"/>
        </w:rPr>
        <w:t>升至</w:t>
      </w:r>
      <w:r>
        <w:rPr>
          <w:color w:val="033B7C"/>
          <w:spacing w:val="-39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42.1%</w:t>
      </w:r>
      <w:r>
        <w:rPr>
          <w:color w:val="033B7C"/>
          <w:spacing w:val="7"/>
        </w:rPr>
        <w:t>。而过去两年中国出口走</w:t>
      </w:r>
      <w:r>
        <w:rPr>
          <w:color w:val="033B7C"/>
        </w:rPr>
        <w:t xml:space="preserve"> </w:t>
      </w:r>
      <w:r>
        <w:rPr>
          <w:color w:val="033B7C"/>
          <w:spacing w:val="11"/>
        </w:rPr>
        <w:t>弱背后也存在美国加速去库的因素，美国进口增速从</w:t>
      </w:r>
      <w:r>
        <w:rPr>
          <w:color w:val="033B7C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11"/>
        </w:rPr>
        <w:t>22/3</w:t>
      </w:r>
      <w:r>
        <w:rPr>
          <w:rFonts w:ascii="Times New Roman" w:eastAsia="Times New Roman" w:hAnsi="Times New Roman" w:cs="Times New Roman"/>
          <w:color w:val="033B7C"/>
          <w:spacing w:val="24"/>
          <w:w w:val="101"/>
        </w:rPr>
        <w:t xml:space="preserve">  </w:t>
      </w:r>
      <w:r>
        <w:rPr>
          <w:color w:val="033B7C"/>
          <w:spacing w:val="11"/>
        </w:rPr>
        <w:t>高点</w:t>
      </w:r>
      <w:r>
        <w:rPr>
          <w:color w:val="033B7C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11"/>
        </w:rPr>
        <w:t>27.2%</w:t>
      </w:r>
      <w:r>
        <w:rPr>
          <w:color w:val="033B7C"/>
          <w:spacing w:val="11"/>
        </w:rPr>
        <w:t>降至</w:t>
      </w:r>
      <w:r>
        <w:rPr>
          <w:color w:val="033B7C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23/11</w:t>
      </w:r>
      <w:r>
        <w:rPr>
          <w:rFonts w:ascii="Times New Roman" w:eastAsia="Times New Roman" w:hAnsi="Times New Roman" w:cs="Times New Roman"/>
          <w:color w:val="033B7C"/>
          <w:spacing w:val="24"/>
          <w:w w:val="101"/>
        </w:rPr>
        <w:t xml:space="preserve"> </w:t>
      </w:r>
      <w:r>
        <w:rPr>
          <w:color w:val="033B7C"/>
          <w:spacing w:val="4"/>
        </w:rPr>
        <w:t>的</w:t>
      </w:r>
      <w:r>
        <w:rPr>
          <w:color w:val="033B7C"/>
          <w:spacing w:val="-38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0.1%</w:t>
      </w:r>
      <w:r>
        <w:rPr>
          <w:color w:val="033B7C"/>
          <w:spacing w:val="4"/>
        </w:rPr>
        <w:t>，同期中国出口增速从</w:t>
      </w:r>
      <w:r>
        <w:rPr>
          <w:color w:val="033B7C"/>
          <w:spacing w:val="-18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13.4%</w:t>
      </w:r>
      <w:r>
        <w:rPr>
          <w:color w:val="033B7C"/>
          <w:spacing w:val="4"/>
        </w:rPr>
        <w:t>降至</w:t>
      </w:r>
      <w:r>
        <w:rPr>
          <w:color w:val="033B7C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0.7%</w:t>
      </w:r>
      <w:r>
        <w:rPr>
          <w:color w:val="033B7C"/>
          <w:spacing w:val="4"/>
        </w:rPr>
        <w:t>。我们认为在利率压力缓</w:t>
      </w:r>
      <w:r>
        <w:rPr>
          <w:color w:val="033B7C"/>
        </w:rPr>
        <w:t xml:space="preserve"> </w:t>
      </w:r>
      <w:r>
        <w:rPr>
          <w:color w:val="033B7C"/>
          <w:spacing w:val="6"/>
        </w:rPr>
        <w:t>解背景下，美国地产等利率敏感型行业有望迎来基本面改善，</w:t>
      </w:r>
      <w:r>
        <w:rPr>
          <w:color w:val="033B7C"/>
          <w:spacing w:val="-50"/>
        </w:rPr>
        <w:t xml:space="preserve"> </w:t>
      </w:r>
      <w:r>
        <w:rPr>
          <w:color w:val="033B7C"/>
          <w:spacing w:val="6"/>
        </w:rPr>
        <w:t>从而带动美国库</w:t>
      </w:r>
      <w:r>
        <w:rPr>
          <w:color w:val="033B7C"/>
        </w:rPr>
        <w:t xml:space="preserve"> </w:t>
      </w:r>
      <w:r>
        <w:rPr>
          <w:color w:val="033B7C"/>
          <w:spacing w:val="4"/>
        </w:rPr>
        <w:t>存周期进入补库环节，</w:t>
      </w:r>
      <w:r>
        <w:rPr>
          <w:color w:val="033B7C"/>
          <w:spacing w:val="4"/>
        </w:rPr>
        <w:t xml:space="preserve"> </w:t>
      </w:r>
      <w:r>
        <w:rPr>
          <w:color w:val="033B7C"/>
          <w:spacing w:val="4"/>
        </w:rPr>
        <w:t>或将拉动中国出口需求。</w:t>
      </w:r>
    </w:p>
    <w:p>
      <w:pPr>
        <w:pStyle w:val="BodyText"/>
        <w:spacing w:before="13" w:line="215" w:lineRule="auto"/>
        <w:ind w:left="820" w:right="94" w:firstLine="11"/>
        <w:jc w:val="both"/>
      </w:pPr>
      <w:r>
        <w:rPr>
          <w:color w:val="033B7C"/>
          <w:spacing w:val="8"/>
        </w:rPr>
        <w:t>美国地产后周期消费数据已有显著改善，对中国进口增速呈现企稳回升态势。</w:t>
      </w:r>
      <w:r>
        <w:rPr>
          <w:color w:val="033B7C"/>
          <w:spacing w:val="2"/>
        </w:rPr>
        <w:t xml:space="preserve"> </w:t>
      </w:r>
      <w:r>
        <w:rPr>
          <w:color w:val="033B7C"/>
          <w:spacing w:val="7"/>
        </w:rPr>
        <w:t>美国零售数据筑底，地产后周期的消费品改善明显，其中电子和家用电器销售</w:t>
      </w:r>
      <w:r>
        <w:rPr>
          <w:color w:val="033B7C"/>
          <w:spacing w:val="7"/>
        </w:rPr>
        <w:t xml:space="preserve"> </w:t>
      </w:r>
      <w:r>
        <w:rPr>
          <w:color w:val="033B7C"/>
          <w:spacing w:val="3"/>
        </w:rPr>
        <w:t>额同比从</w:t>
      </w:r>
      <w:r>
        <w:rPr>
          <w:color w:val="033B7C"/>
          <w:spacing w:val="-32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23/9</w:t>
      </w:r>
      <w:r>
        <w:rPr>
          <w:rFonts w:ascii="Times New Roman" w:eastAsia="Times New Roman" w:hAnsi="Times New Roman" w:cs="Times New Roman"/>
          <w:color w:val="033B7C"/>
          <w:spacing w:val="23"/>
          <w:w w:val="101"/>
        </w:rPr>
        <w:t xml:space="preserve"> </w:t>
      </w:r>
      <w:r>
        <w:rPr>
          <w:color w:val="033B7C"/>
          <w:spacing w:val="3"/>
        </w:rPr>
        <w:t>的</w:t>
      </w:r>
      <w:r>
        <w:rPr>
          <w:rFonts w:ascii="Times New Roman" w:eastAsia="Times New Roman" w:hAnsi="Times New Roman" w:cs="Times New Roman"/>
          <w:color w:val="033B7C"/>
          <w:spacing w:val="3"/>
        </w:rPr>
        <w:t>-</w:t>
      </w:r>
      <w:r>
        <w:rPr>
          <w:rFonts w:ascii="Times New Roman" w:eastAsia="Times New Roman" w:hAnsi="Times New Roman" w:cs="Times New Roman"/>
          <w:color w:val="033B7C"/>
          <w:spacing w:val="-2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1.0%</w:t>
      </w:r>
      <w:r>
        <w:rPr>
          <w:color w:val="033B7C"/>
          <w:spacing w:val="3"/>
        </w:rPr>
        <w:t>回升至</w:t>
      </w:r>
      <w:r>
        <w:rPr>
          <w:color w:val="033B7C"/>
          <w:spacing w:val="-38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23/11</w:t>
      </w:r>
      <w:r>
        <w:rPr>
          <w:rFonts w:ascii="Times New Roman" w:eastAsia="Times New Roman" w:hAnsi="Times New Roman" w:cs="Times New Roman"/>
          <w:color w:val="033B7C"/>
          <w:spacing w:val="22"/>
        </w:rPr>
        <w:t xml:space="preserve"> </w:t>
      </w:r>
      <w:r>
        <w:rPr>
          <w:color w:val="033B7C"/>
          <w:spacing w:val="3"/>
        </w:rPr>
        <w:t>的</w:t>
      </w:r>
      <w:r>
        <w:rPr>
          <w:color w:val="033B7C"/>
          <w:spacing w:val="-34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9.8%</w:t>
      </w:r>
      <w:r>
        <w:rPr>
          <w:color w:val="033B7C"/>
          <w:spacing w:val="3"/>
        </w:rPr>
        <w:t>，家具和家用装饰从</w:t>
      </w:r>
      <w:r>
        <w:rPr>
          <w:color w:val="033B7C"/>
          <w:spacing w:val="-38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23/10</w:t>
      </w:r>
      <w:r>
        <w:rPr>
          <w:rFonts w:ascii="Times New Roman" w:eastAsia="Times New Roman" w:hAnsi="Times New Roman" w:cs="Times New Roman"/>
          <w:color w:val="033B7C"/>
          <w:spacing w:val="21"/>
          <w:w w:val="102"/>
        </w:rPr>
        <w:t xml:space="preserve"> </w:t>
      </w:r>
      <w:r>
        <w:rPr>
          <w:color w:val="033B7C"/>
          <w:spacing w:val="3"/>
        </w:rPr>
        <w:t>的</w:t>
      </w:r>
      <w:r>
        <w:rPr>
          <w:rFonts w:ascii="Times New Roman" w:eastAsia="Times New Roman" w:hAnsi="Times New Roman" w:cs="Times New Roman"/>
          <w:color w:val="033B7C"/>
          <w:spacing w:val="3"/>
        </w:rPr>
        <w:t>-</w:t>
      </w:r>
      <w:r>
        <w:rPr>
          <w:rFonts w:ascii="Times New Roman" w:eastAsia="Times New Roman" w:hAnsi="Times New Roman" w:cs="Times New Roman"/>
          <w:color w:val="033B7C"/>
          <w:spacing w:val="-2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3"/>
        </w:rPr>
        <w:t>12%</w:t>
      </w:r>
      <w:r>
        <w:rPr>
          <w:rFonts w:ascii="Times New Roman" w:eastAsia="Times New Roman" w:hAnsi="Times New Roman" w:cs="Times New Roman"/>
          <w:color w:val="033B7C"/>
        </w:rPr>
        <w:t xml:space="preserve">  </w:t>
      </w:r>
      <w:r>
        <w:rPr>
          <w:color w:val="033B7C"/>
          <w:spacing w:val="4"/>
        </w:rPr>
        <w:t>回升至</w:t>
      </w:r>
      <w:r>
        <w:rPr>
          <w:color w:val="033B7C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4"/>
        </w:rPr>
        <w:t>23/11</w:t>
      </w:r>
      <w:r>
        <w:rPr>
          <w:rFonts w:ascii="Times New Roman" w:eastAsia="Times New Roman" w:hAnsi="Times New Roman" w:cs="Times New Roman"/>
          <w:color w:val="033B7C"/>
          <w:spacing w:val="35"/>
          <w:w w:val="101"/>
        </w:rPr>
        <w:t xml:space="preserve"> </w:t>
      </w:r>
      <w:r>
        <w:rPr>
          <w:color w:val="033B7C"/>
          <w:spacing w:val="4"/>
        </w:rPr>
        <w:t>的</w:t>
      </w:r>
      <w:r>
        <w:rPr>
          <w:rFonts w:ascii="Times New Roman" w:eastAsia="Times New Roman" w:hAnsi="Times New Roman" w:cs="Times New Roman"/>
          <w:color w:val="033B7C"/>
          <w:spacing w:val="4"/>
        </w:rPr>
        <w:t>-5%</w:t>
      </w:r>
      <w:r>
        <w:rPr>
          <w:color w:val="033B7C"/>
          <w:spacing w:val="4"/>
        </w:rPr>
        <w:t>。对中国的进口需求也呈现企稳回升态势，</w:t>
      </w:r>
      <w:r>
        <w:rPr>
          <w:color w:val="033B7C"/>
          <w:spacing w:val="30"/>
        </w:rPr>
        <w:t xml:space="preserve"> </w:t>
      </w:r>
      <w:r>
        <w:rPr>
          <w:color w:val="033B7C"/>
          <w:spacing w:val="4"/>
        </w:rPr>
        <w:t>美国对中国进</w:t>
      </w:r>
      <w:r>
        <w:rPr>
          <w:color w:val="033B7C"/>
        </w:rPr>
        <w:t xml:space="preserve"> </w:t>
      </w:r>
      <w:r>
        <w:rPr>
          <w:color w:val="033B7C"/>
          <w:spacing w:val="5"/>
        </w:rPr>
        <w:t>口金额同比增速来看，</w:t>
      </w:r>
      <w:r>
        <w:rPr>
          <w:color w:val="033B7C"/>
          <w:spacing w:val="5"/>
        </w:rPr>
        <w:t xml:space="preserve"> </w:t>
      </w:r>
      <w:r>
        <w:rPr>
          <w:color w:val="033B7C"/>
          <w:spacing w:val="5"/>
        </w:rPr>
        <w:t>耐用消费品及高科技产品</w:t>
      </w:r>
      <w:r>
        <w:rPr>
          <w:color w:val="033B7C"/>
          <w:spacing w:val="4"/>
        </w:rPr>
        <w:t>均有显著改善。</w:t>
      </w:r>
    </w:p>
    <w:p>
      <w:pPr>
        <w:pStyle w:val="BodyText"/>
        <w:spacing w:before="9" w:line="221" w:lineRule="auto"/>
        <w:ind w:left="412"/>
      </w:pPr>
      <w:r>
        <w:rPr>
          <w:rFonts w:ascii="Wingdings" w:eastAsia="Wingdings" w:hAnsi="Wingdings" w:cs="Wingdings"/>
          <w:color w:val="033B7C"/>
          <w:spacing w:val="1"/>
        </w:rPr>
        <w:sym w:font="Wingdings" w:char="F076"/>
      </w:r>
      <w:r>
        <w:rPr>
          <w:rFonts w:ascii="Wingdings" w:eastAsia="Wingdings" w:hAnsi="Wingdings" w:cs="Wingdings"/>
          <w:color w:val="033B7C"/>
          <w:spacing w:val="89"/>
        </w:rPr>
        <w:t xml:space="preserve"> </w:t>
      </w:r>
      <w:r>
        <w:rPr>
          <w:color w:val="033B7C"/>
          <w:spacing w:val="1"/>
          <w14:textOutline w14:w="3614">
            <w14:solidFill>
              <w14:srgbClr w14:val="033B7C"/>
            </w14:solidFill>
            <w14:prstDash w14:val="solid"/>
            <w14:round/>
          </w14:textOutline>
        </w:rPr>
        <w:t>美国补库，</w:t>
      </w:r>
      <w:r>
        <w:rPr>
          <w:color w:val="033B7C"/>
          <w:spacing w:val="1"/>
        </w:rPr>
        <w:t xml:space="preserve"> </w:t>
      </w:r>
      <w:r>
        <w:rPr>
          <w:color w:val="033B7C"/>
          <w:spacing w:val="1"/>
          <w14:textOutline w14:w="3614">
            <w14:solidFill>
              <w14:srgbClr w14:val="033B7C"/>
            </w14:solidFill>
            <w14:prstDash w14:val="solid"/>
            <w14:round/>
          </w14:textOutline>
        </w:rPr>
        <w:t>中国哪些行业有望受益？</w:t>
      </w:r>
    </w:p>
    <w:p>
      <w:pPr>
        <w:pStyle w:val="BodyText"/>
        <w:spacing w:before="57" w:line="221" w:lineRule="auto"/>
        <w:ind w:left="836" w:right="135" w:firstLine="6"/>
      </w:pPr>
      <w:r>
        <w:rPr>
          <w:color w:val="033B7C"/>
          <w:spacing w:val="6"/>
        </w:rPr>
        <w:t>筛选美国低库存行业，结合对中国进口依赖度，后续美国补库阶段中国出口可</w:t>
      </w:r>
      <w:r>
        <w:rPr>
          <w:color w:val="033B7C"/>
          <w:spacing w:val="17"/>
        </w:rPr>
        <w:t xml:space="preserve"> </w:t>
      </w:r>
      <w:r>
        <w:rPr>
          <w:color w:val="033B7C"/>
          <w:spacing w:val="4"/>
        </w:rPr>
        <w:t>能受益的行业关注三条主线：</w:t>
      </w:r>
    </w:p>
    <w:p>
      <w:pPr>
        <w:pStyle w:val="BodyText"/>
        <w:spacing w:before="7" w:line="215" w:lineRule="auto"/>
        <w:ind w:left="819" w:right="133" w:firstLine="9"/>
        <w:jc w:val="both"/>
      </w:pPr>
      <w:r>
        <w:rPr>
          <w:rFonts w:ascii="Times New Roman" w:eastAsia="Times New Roman" w:hAnsi="Times New Roman" w:cs="Times New Roman"/>
          <w:b/>
          <w:bCs/>
          <w:color w:val="033B7C"/>
          <w:spacing w:val="8"/>
        </w:rPr>
        <w:t>1</w:t>
      </w:r>
      <w:r>
        <w:rPr>
          <w:color w:val="033B7C"/>
          <w:spacing w:val="8"/>
          <w14:textOutline w14:w="3614">
            <w14:solidFill>
              <w14:srgbClr w14:val="033B7C"/>
            </w14:solidFill>
            <w14:prstDash w14:val="solid"/>
            <w14:round/>
          </w14:textOutline>
        </w:rPr>
        <w:t>、地产后周期：</w:t>
      </w:r>
      <w:r>
        <w:rPr>
          <w:color w:val="033B7C"/>
          <w:spacing w:val="-36"/>
        </w:rPr>
        <w:t xml:space="preserve"> </w:t>
      </w:r>
      <w:r>
        <w:rPr>
          <w:color w:val="033B7C"/>
          <w:spacing w:val="8"/>
          <w14:textOutline w14:w="3614">
            <w14:solidFill>
              <w14:srgbClr w14:val="033B7C"/>
            </w14:solidFill>
            <w14:prstDash w14:val="solid"/>
            <w14:round/>
          </w14:textOutline>
        </w:rPr>
        <w:t>家电、家具、木制品、化工品</w:t>
      </w:r>
      <w:r>
        <w:rPr>
          <w:color w:val="033B7C"/>
          <w:spacing w:val="8"/>
        </w:rPr>
        <w:t>。当前制造商、批发商、零售</w:t>
      </w:r>
      <w:r>
        <w:rPr>
          <w:color w:val="033B7C"/>
        </w:rPr>
        <w:t xml:space="preserve"> </w:t>
      </w:r>
      <w:r>
        <w:rPr>
          <w:color w:val="033B7C"/>
          <w:spacing w:val="6"/>
        </w:rPr>
        <w:t>商的家具、家电库存水平都处历史低位，</w:t>
      </w:r>
      <w:r>
        <w:rPr>
          <w:color w:val="033B7C"/>
          <w:spacing w:val="-46"/>
        </w:rPr>
        <w:t xml:space="preserve"> </w:t>
      </w:r>
      <w:r>
        <w:rPr>
          <w:color w:val="033B7C"/>
          <w:spacing w:val="6"/>
        </w:rPr>
        <w:t>制造商与批发商的木制</w:t>
      </w:r>
      <w:r>
        <w:rPr>
          <w:color w:val="033B7C"/>
          <w:spacing w:val="5"/>
        </w:rPr>
        <w:t>品库存也处底</w:t>
      </w:r>
      <w:r>
        <w:rPr>
          <w:color w:val="033B7C"/>
        </w:rPr>
        <w:t xml:space="preserve"> </w:t>
      </w:r>
      <w:r>
        <w:rPr>
          <w:color w:val="033B7C"/>
          <w:spacing w:val="4"/>
        </w:rPr>
        <w:t>部区间。地产后周期的耐用品有望率先开启补库，</w:t>
      </w:r>
      <w:r>
        <w:rPr>
          <w:color w:val="033B7C"/>
          <w:spacing w:val="4"/>
        </w:rPr>
        <w:t xml:space="preserve"> </w:t>
      </w:r>
      <w:r>
        <w:rPr>
          <w:color w:val="033B7C"/>
          <w:spacing w:val="4"/>
        </w:rPr>
        <w:t>而家电、家具、木制品都属</w:t>
      </w:r>
      <w:r>
        <w:rPr>
          <w:color w:val="033B7C"/>
          <w:spacing w:val="11"/>
        </w:rPr>
        <w:t xml:space="preserve"> </w:t>
      </w:r>
      <w:r>
        <w:rPr>
          <w:color w:val="033B7C"/>
          <w:spacing w:val="13"/>
        </w:rPr>
        <w:t>于美国对中国进口依赖度较高品种，相关行业有望受益美国补库拉动出口需</w:t>
      </w:r>
      <w:r>
        <w:rPr>
          <w:color w:val="033B7C"/>
        </w:rPr>
        <w:t xml:space="preserve"> </w:t>
      </w:r>
      <w:r>
        <w:rPr>
          <w:color w:val="033B7C"/>
          <w:spacing w:val="1"/>
        </w:rPr>
        <w:t>求。</w:t>
      </w:r>
      <w:r>
        <w:rPr>
          <w:color w:val="033B7C"/>
          <w:spacing w:val="-36"/>
        </w:rPr>
        <w:t xml:space="preserve"> </w:t>
      </w:r>
      <w:r>
        <w:rPr>
          <w:color w:val="033B7C"/>
          <w:spacing w:val="1"/>
        </w:rPr>
        <w:t>此外，</w:t>
      </w:r>
      <w:r>
        <w:rPr>
          <w:color w:val="033B7C"/>
          <w:spacing w:val="1"/>
        </w:rPr>
        <w:t xml:space="preserve"> </w:t>
      </w:r>
      <w:r>
        <w:rPr>
          <w:color w:val="033B7C"/>
          <w:spacing w:val="1"/>
        </w:rPr>
        <w:t>美国地产链上游化工品库存水平也已处历史底部，</w:t>
      </w:r>
      <w:r>
        <w:rPr>
          <w:color w:val="033B7C"/>
          <w:spacing w:val="-36"/>
        </w:rPr>
        <w:t xml:space="preserve"> </w:t>
      </w:r>
      <w:r>
        <w:rPr>
          <w:color w:val="033B7C"/>
          <w:spacing w:val="1"/>
        </w:rPr>
        <w:t>且对</w:t>
      </w:r>
      <w:r>
        <w:rPr>
          <w:color w:val="033B7C"/>
        </w:rPr>
        <w:t>中国进口依</w:t>
      </w:r>
      <w:r>
        <w:rPr>
          <w:color w:val="033B7C"/>
        </w:rPr>
        <w:t xml:space="preserve"> </w:t>
      </w:r>
      <w:r>
        <w:rPr>
          <w:color w:val="033B7C"/>
          <w:spacing w:val="6"/>
        </w:rPr>
        <w:t>赖度较高，美国地产触底反弹有望带动补库需求，</w:t>
      </w:r>
      <w:r>
        <w:rPr>
          <w:color w:val="033B7C"/>
          <w:spacing w:val="6"/>
        </w:rPr>
        <w:t xml:space="preserve"> </w:t>
      </w:r>
      <w:r>
        <w:rPr>
          <w:color w:val="033B7C"/>
          <w:spacing w:val="6"/>
        </w:rPr>
        <w:t>拉动中国化工品出口。</w:t>
      </w:r>
    </w:p>
    <w:p>
      <w:pPr>
        <w:pStyle w:val="BodyText"/>
        <w:spacing w:before="10" w:line="219" w:lineRule="auto"/>
        <w:ind w:left="826" w:right="146" w:hanging="6"/>
      </w:pPr>
      <w:r>
        <w:rPr>
          <w:rFonts w:ascii="Times New Roman" w:eastAsia="Times New Roman" w:hAnsi="Times New Roman" w:cs="Times New Roman"/>
          <w:b/>
          <w:bCs/>
          <w:color w:val="033B7C"/>
          <w:spacing w:val="8"/>
        </w:rPr>
        <w:t>2</w:t>
      </w:r>
      <w:r>
        <w:rPr>
          <w:color w:val="033B7C"/>
          <w:spacing w:val="8"/>
          <w14:textOutline w14:w="3614">
            <w14:solidFill>
              <w14:srgbClr w14:val="033B7C"/>
            </w14:solidFill>
            <w14:prstDash w14:val="solid"/>
            <w14:round/>
          </w14:textOutline>
        </w:rPr>
        <w:t>、低库存消费品：</w:t>
      </w:r>
      <w:r>
        <w:rPr>
          <w:color w:val="033B7C"/>
          <w:spacing w:val="-39"/>
        </w:rPr>
        <w:t xml:space="preserve"> </w:t>
      </w:r>
      <w:r>
        <w:rPr>
          <w:color w:val="033B7C"/>
          <w:spacing w:val="8"/>
          <w14:textOutline w14:w="3614">
            <w14:solidFill>
              <w14:srgbClr w14:val="033B7C"/>
            </w14:solidFill>
            <w14:prstDash w14:val="solid"/>
            <w14:round/>
          </w14:textOutline>
        </w:rPr>
        <w:t>纺织服装</w:t>
      </w:r>
      <w:r>
        <w:rPr>
          <w:color w:val="033B7C"/>
          <w:spacing w:val="8"/>
        </w:rPr>
        <w:t>。美国批发商库存中服装及服装面料库存同比处</w:t>
      </w:r>
      <w:r>
        <w:rPr>
          <w:color w:val="033B7C"/>
        </w:rPr>
        <w:t xml:space="preserve"> </w:t>
      </w:r>
      <w:r>
        <w:rPr>
          <w:color w:val="033B7C"/>
          <w:spacing w:val="7"/>
        </w:rPr>
        <w:t>历史</w:t>
      </w:r>
      <w:r>
        <w:rPr>
          <w:color w:val="033B7C"/>
          <w:spacing w:val="-23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0%</w:t>
      </w:r>
      <w:r>
        <w:rPr>
          <w:color w:val="033B7C"/>
          <w:spacing w:val="7"/>
        </w:rPr>
        <w:t>分位，美国服装对中国的进口依赖度</w:t>
      </w:r>
      <w:r>
        <w:rPr>
          <w:color w:val="033B7C"/>
          <w:spacing w:val="-20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19%</w:t>
      </w:r>
      <w:r>
        <w:rPr>
          <w:color w:val="033B7C"/>
          <w:spacing w:val="7"/>
        </w:rPr>
        <w:t>，纺布纺织制成品</w:t>
      </w:r>
      <w:r>
        <w:rPr>
          <w:color w:val="033B7C"/>
          <w:spacing w:val="-3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>22%</w:t>
      </w:r>
      <w:r>
        <w:rPr>
          <w:color w:val="033B7C"/>
          <w:spacing w:val="7"/>
        </w:rPr>
        <w:t>。</w:t>
      </w:r>
    </w:p>
    <w:p>
      <w:pPr>
        <w:pStyle w:val="BodyText"/>
        <w:spacing w:before="11" w:line="216" w:lineRule="auto"/>
        <w:ind w:left="821" w:right="82" w:hanging="2"/>
      </w:pPr>
      <w:r>
        <w:rPr>
          <w:rFonts w:ascii="Times New Roman" w:eastAsia="Times New Roman" w:hAnsi="Times New Roman" w:cs="Times New Roman"/>
          <w:b/>
          <w:bCs/>
          <w:color w:val="033B7C"/>
          <w:spacing w:val="7"/>
        </w:rPr>
        <w:t>3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、科技制造：</w:t>
      </w:r>
      <w:r>
        <w:rPr>
          <w:color w:val="033B7C"/>
          <w:spacing w:val="7"/>
        </w:rPr>
        <w:t xml:space="preserve"> </w:t>
      </w:r>
      <w:r>
        <w:rPr>
          <w:color w:val="033B7C"/>
          <w:spacing w:val="7"/>
          <w14:textOutline w14:w="3614">
            <w14:solidFill>
              <w14:srgbClr w14:val="033B7C"/>
            </w14:solidFill>
            <w14:prstDash w14:val="solid"/>
            <w14:round/>
          </w14:textOutline>
        </w:rPr>
        <w:t>电子元件、计算机、声像设备</w:t>
      </w:r>
      <w:r>
        <w:rPr>
          <w:color w:val="033B7C"/>
          <w:spacing w:val="7"/>
        </w:rPr>
        <w:t>。美国批发商库存中，电气和电</w:t>
      </w:r>
      <w:r>
        <w:rPr>
          <w:color w:val="033B7C"/>
          <w:spacing w:val="1"/>
        </w:rPr>
        <w:t xml:space="preserve"> </w:t>
      </w:r>
      <w:r>
        <w:rPr>
          <w:color w:val="033B7C"/>
          <w:spacing w:val="7"/>
        </w:rPr>
        <w:t>子产品、电脑及电脑外围设备库存均处过去</w:t>
      </w:r>
      <w:r>
        <w:rPr>
          <w:color w:val="033B7C"/>
          <w:spacing w:val="-17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7"/>
        </w:rPr>
        <w:t xml:space="preserve">10 </w:t>
      </w:r>
      <w:r>
        <w:rPr>
          <w:color w:val="033B7C"/>
          <w:spacing w:val="6"/>
        </w:rPr>
        <w:t>年</w:t>
      </w:r>
      <w:r>
        <w:rPr>
          <w:color w:val="033B7C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6"/>
        </w:rPr>
        <w:t>5%</w:t>
      </w:r>
      <w:r>
        <w:rPr>
          <w:color w:val="033B7C"/>
          <w:spacing w:val="6"/>
        </w:rPr>
        <w:t>低位，而制造商库存中，</w:t>
      </w:r>
      <w:r>
        <w:rPr>
          <w:color w:val="033B7C"/>
        </w:rPr>
        <w:t xml:space="preserve"> </w:t>
      </w:r>
      <w:r>
        <w:rPr>
          <w:color w:val="033B7C"/>
          <w:spacing w:val="5"/>
        </w:rPr>
        <w:t>计算机、声像设备、电子元件库存水平均处</w:t>
      </w:r>
      <w:r>
        <w:rPr>
          <w:color w:val="033B7C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5"/>
        </w:rPr>
        <w:t xml:space="preserve">10 </w:t>
      </w:r>
      <w:r>
        <w:rPr>
          <w:color w:val="033B7C"/>
          <w:spacing w:val="5"/>
        </w:rPr>
        <w:t>年</w:t>
      </w:r>
      <w:r>
        <w:rPr>
          <w:color w:val="033B7C"/>
          <w:spacing w:val="-36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5"/>
        </w:rPr>
        <w:t>5%</w:t>
      </w:r>
      <w:r>
        <w:rPr>
          <w:color w:val="033B7C"/>
          <w:spacing w:val="5"/>
        </w:rPr>
        <w:t>以下分位。从美国对中国</w:t>
      </w:r>
      <w:r>
        <w:rPr>
          <w:color w:val="033B7C"/>
        </w:rPr>
        <w:t xml:space="preserve"> </w:t>
      </w:r>
      <w:r>
        <w:rPr>
          <w:color w:val="033B7C"/>
          <w:spacing w:val="4"/>
        </w:rPr>
        <w:t>的进口依赖度来看，</w:t>
      </w:r>
      <w:r>
        <w:rPr>
          <w:color w:val="033B7C"/>
          <w:spacing w:val="4"/>
        </w:rPr>
        <w:t xml:space="preserve"> </w:t>
      </w:r>
      <w:r>
        <w:rPr>
          <w:color w:val="033B7C"/>
          <w:spacing w:val="4"/>
        </w:rPr>
        <w:t>电子元件对应未列明电力机械、装置、器具及其电气零件</w:t>
      </w:r>
      <w:r>
        <w:rPr>
          <w:color w:val="033B7C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8"/>
        </w:rPr>
        <w:t>15%</w:t>
      </w:r>
      <w:r>
        <w:rPr>
          <w:color w:val="033B7C"/>
          <w:spacing w:val="8"/>
        </w:rPr>
        <w:t>；计算机对应办公用机械及自动数据处理设备平均依赖度</w:t>
      </w:r>
      <w:r>
        <w:rPr>
          <w:color w:val="033B7C"/>
          <w:spacing w:val="-20"/>
        </w:rPr>
        <w:t xml:space="preserve"> </w:t>
      </w:r>
      <w:r>
        <w:rPr>
          <w:rFonts w:ascii="Times New Roman" w:eastAsia="Times New Roman" w:hAnsi="Times New Roman" w:cs="Times New Roman"/>
          <w:color w:val="033B7C"/>
          <w:spacing w:val="8"/>
        </w:rPr>
        <w:t>32%</w:t>
      </w:r>
      <w:r>
        <w:rPr>
          <w:color w:val="033B7C"/>
          <w:spacing w:val="8"/>
        </w:rPr>
        <w:t>。</w:t>
      </w:r>
    </w:p>
    <w:p>
      <w:pPr>
        <w:pStyle w:val="BodyText"/>
        <w:spacing w:before="247" w:line="221" w:lineRule="auto"/>
        <w:ind w:left="823" w:right="136" w:hanging="411"/>
        <w:rPr>
          <w:rFonts w:ascii="Wingdings" w:eastAsia="Wingdings" w:hAnsi="Wingdings" w:cs="Wingdings"/>
          <w:sz w:val="21"/>
          <w:szCs w:val="21"/>
        </w:rPr>
      </w:pPr>
      <w:r>
        <w:rPr>
          <w:rFonts w:ascii="Wingdings" w:eastAsia="Wingdings" w:hAnsi="Wingdings" w:cs="Wingdings"/>
          <w:color w:val="033B7C"/>
          <w:spacing w:val="3"/>
        </w:rPr>
        <w:sym w:font="Wingdings" w:char="F076"/>
      </w:r>
      <w:r>
        <w:rPr>
          <w:rFonts w:ascii="Wingdings" w:eastAsia="Wingdings" w:hAnsi="Wingdings" w:cs="Wingdings"/>
          <w:color w:val="033B7C"/>
          <w:spacing w:val="78"/>
        </w:rPr>
        <w:t xml:space="preserve"> </w:t>
      </w:r>
      <w:r>
        <w:rPr>
          <w:color w:val="033B7C"/>
          <w:spacing w:val="3"/>
          <w14:textOutline w14:w="3614">
            <w14:solidFill>
              <w14:srgbClr w14:val="033B7C"/>
            </w14:solidFill>
            <w14:prstDash w14:val="solid"/>
            <w14:round/>
          </w14:textOutline>
        </w:rPr>
        <w:t>风险提示：</w:t>
      </w:r>
      <w:r>
        <w:rPr>
          <w:color w:val="033B7C"/>
          <w:spacing w:val="-41"/>
        </w:rPr>
        <w:t xml:space="preserve"> </w:t>
      </w:r>
      <w:r>
        <w:rPr>
          <w:color w:val="033B7C"/>
          <w:spacing w:val="3"/>
          <w14:textOutline w14:w="3614">
            <w14:solidFill>
              <w14:srgbClr w14:val="033B7C"/>
            </w14:solidFill>
            <w14:prstDash w14:val="solid"/>
            <w14:round/>
          </w14:textOutline>
        </w:rPr>
        <w:t>宏观经济复苏不及预期；海外经济疲弱，</w:t>
      </w:r>
      <w:r>
        <w:rPr>
          <w:color w:val="033B7C"/>
          <w:spacing w:val="-40"/>
        </w:rPr>
        <w:t xml:space="preserve"> </w:t>
      </w:r>
      <w:r>
        <w:rPr>
          <w:color w:val="033B7C"/>
          <w:spacing w:val="3"/>
          <w14:textOutline w14:w="3614">
            <w14:solidFill>
              <w14:srgbClr w14:val="033B7C"/>
            </w14:solidFill>
            <w14:prstDash w14:val="solid"/>
            <w14:round/>
          </w14:textOutline>
        </w:rPr>
        <w:t>可能对相关产业链及国内</w:t>
      </w:r>
      <w:r>
        <w:rPr>
          <w:color w:val="033B7C"/>
        </w:rPr>
        <w:t xml:space="preserve"> </w:t>
      </w:r>
      <w:r>
        <w:rPr>
          <w:color w:val="033B7C"/>
          <w:spacing w:val="5"/>
          <w14:textOutline w14:w="3614">
            <w14:solidFill>
              <w14:srgbClr w14:val="033B7C"/>
            </w14:solidFill>
            <w14:prstDash w14:val="solid"/>
            <w14:round/>
          </w14:textOutline>
        </w:rPr>
        <w:t>出口造成影响；历史经验不代表未来；股票池来自客观数据筛选，</w:t>
      </w:r>
      <w:r>
        <w:rPr>
          <w:color w:val="033B7C"/>
          <w:spacing w:val="-26"/>
        </w:rPr>
        <w:t xml:space="preserve"> </w:t>
      </w:r>
      <w:r>
        <w:rPr>
          <w:color w:val="033B7C"/>
          <w:spacing w:val="5"/>
          <w14:textOutline w14:w="3614">
            <w14:solidFill>
              <w14:srgbClr w14:val="033B7C"/>
            </w14:solidFill>
            <w14:prstDash w14:val="solid"/>
            <w14:round/>
          </w14:textOutline>
        </w:rPr>
        <w:t>不代表投资</w:t>
      </w:r>
      <w:r>
        <w:rPr>
          <w:color w:val="033B7C"/>
        </w:rPr>
        <w:t xml:space="preserve"> </w:t>
      </w:r>
      <w:r>
        <w:rPr>
          <w:color w:val="033B7C"/>
          <w:spacing w:val="-19"/>
          <w:w w:val="94"/>
          <w:position w:val="2"/>
          <w14:textOutline w14:w="3614">
            <w14:solidFill>
              <w14:srgbClr w14:val="033B7C"/>
            </w14:solidFill>
            <w14:prstDash w14:val="solid"/>
            <w14:round/>
          </w14:textOutline>
        </w:rPr>
        <w:t>建议。</w:t>
      </w:r>
      <w:r>
        <w:rPr>
          <w:rFonts w:ascii="Wingdings" w:eastAsia="Wingdings" w:hAnsi="Wingdings" w:cs="Wingdings"/>
          <w:color w:val="000080"/>
          <w:spacing w:val="-19"/>
          <w:w w:val="94"/>
          <w:position w:val="-8"/>
          <w:sz w:val="21"/>
          <w:szCs w:val="21"/>
        </w:rPr>
        <w:sym w:font="Wingdings" w:char="F076"/>
      </w:r>
    </w:p>
    <w:p>
      <w:pPr>
        <w:spacing w:line="14" w:lineRule="auto"/>
        <w:rPr>
          <w:rFonts w:ascii="Arial"/>
          <w:sz w:val="2"/>
        </w:rPr>
        <w:sectPr>
          <w:headerReference w:type="default" r:id="rId7"/>
          <w:footerReference w:type="default" r:id="rId8"/>
          <w:type w:val="continuous"/>
          <w:pgSz w:w="11907" w:h="16839"/>
          <w:pgMar w:top="1448" w:right="0" w:bottom="948" w:left="0" w:header="0" w:footer="679" w:gutter="0"/>
          <w:pgNumType w:start="2"/>
          <w:cols w:num="2" w:space="708" w:equalWidth="0">
            <w:col w:w="7663" w:space="100"/>
            <w:col w:w="414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9"/>
          <w:footerReference w:type="default" r:id="rId10"/>
          <w:type w:val="nextPage"/>
          <w:pgSz w:w="11907" w:h="16839"/>
          <w:pgMar w:top="1448" w:right="0" w:bottom="948" w:left="0" w:header="0" w:footer="679" w:gutter="0"/>
          <w:pgNumType w:start="3"/>
          <w:cols w:num="2" w:space="708" w:equalWidth="0">
            <w:col w:w="7663" w:space="100"/>
            <w:col w:w="4145" w:space="0"/>
          </w:cols>
          <w:titlePg w:val="0"/>
        </w:sect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43"/>
          <w:szCs w:val="43"/>
        </w:rPr>
        <w:id w:val="71016639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spacing w:before="140" w:line="223" w:lineRule="auto"/>
            <w:ind w:left="3355"/>
            <w:rPr>
              <w:sz w:val="43"/>
              <w:szCs w:val="43"/>
            </w:rPr>
          </w:pPr>
          <w:bookmarkStart w:id="0" w:name="bookmark1"/>
          <w:bookmarkEnd w:id="0"/>
          <w:r>
            <w:rPr>
              <w:color w:val="033B7C"/>
              <w:spacing w:val="-45"/>
              <w:sz w:val="43"/>
              <w:szCs w:val="43"/>
              <w14:textOutline w14:w="7968">
                <w14:solidFill>
                  <w14:srgbClr w14:val="033B7C"/>
                </w14:solidFill>
                <w14:prstDash w14:val="solid"/>
                <w14:round/>
              </w14:textOutline>
            </w:rPr>
            <w:t>目</w:t>
          </w:r>
          <w:r>
            <w:rPr>
              <w:color w:val="033B7C"/>
              <w:spacing w:val="43"/>
              <w:sz w:val="43"/>
              <w:szCs w:val="43"/>
            </w:rPr>
            <w:t xml:space="preserve"> </w:t>
          </w:r>
          <w:r>
            <w:rPr>
              <w:color w:val="033B7C"/>
              <w:spacing w:val="-45"/>
              <w:sz w:val="43"/>
              <w:szCs w:val="43"/>
              <w14:textOutline w14:w="7968">
                <w14:solidFill>
                  <w14:srgbClr w14:val="033B7C"/>
                </w14:solidFill>
                <w14:prstDash w14:val="solid"/>
                <w14:round/>
              </w14:textOutline>
            </w:rPr>
            <w:t>录</w:t>
          </w:r>
        </w:p>
        <w:p>
          <w:pPr>
            <w:spacing w:line="30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274"/>
            </w:tabs>
            <w:spacing w:before="68" w:line="200" w:lineRule="auto"/>
            <w:ind w:left="3267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2" w:history="1">
            <w:r>
              <w:rPr>
                <w:color w:val="033B7C"/>
                <w:sz w:val="21"/>
                <w:szCs w:val="21"/>
                <w14:textOutline w14:w="3831">
                  <w14:solidFill>
                    <w14:srgbClr w14:val="033B7C"/>
                  </w14:solidFill>
                  <w14:prstDash w14:val="solid"/>
                  <w14:round/>
                </w14:textOutline>
              </w:rPr>
              <w:t>一、</w:t>
            </w:r>
            <w:r>
              <w:rPr>
                <w:color w:val="033B7C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33B7C"/>
                <w:sz w:val="21"/>
                <w:szCs w:val="21"/>
              </w:rPr>
              <w:t xml:space="preserve">24 </w:t>
            </w:r>
            <w:r>
              <w:rPr>
                <w:color w:val="033B7C"/>
                <w:sz w:val="21"/>
                <w:szCs w:val="21"/>
                <w14:textOutline w14:w="3831">
                  <w14:solidFill>
                    <w14:srgbClr w14:val="033B7C"/>
                  </w14:solidFill>
                  <w14:prstDash w14:val="solid"/>
                  <w14:round/>
                </w14:textOutline>
              </w:rPr>
              <w:t>年美国补库对中国出口的拉动可期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33B7C"/>
                <w:spacing w:val="11"/>
                <w:w w:val="116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78" w:line="227" w:lineRule="auto"/>
            <w:ind w:left="3263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3" w:history="1">
            <w:r>
              <w:rPr>
                <w:color w:val="033B7C"/>
                <w:spacing w:val="-12"/>
                <w:sz w:val="21"/>
                <w:szCs w:val="21"/>
                <w14:textOutline w14:w="3831">
                  <w14:solidFill>
                    <w14:srgbClr w14:val="033B7C"/>
                  </w14:solidFill>
                  <w14:prstDash w14:val="solid"/>
                  <w14:round/>
                </w14:textOutline>
              </w:rPr>
              <w:t>二、</w:t>
            </w:r>
            <w:r>
              <w:rPr>
                <w:color w:val="033B7C"/>
                <w:spacing w:val="103"/>
                <w:sz w:val="21"/>
                <w:szCs w:val="21"/>
              </w:rPr>
              <w:t xml:space="preserve"> </w:t>
            </w:r>
            <w:r>
              <w:rPr>
                <w:color w:val="033B7C"/>
                <w:spacing w:val="-12"/>
                <w:sz w:val="21"/>
                <w:szCs w:val="21"/>
                <w14:textOutline w14:w="3831">
                  <w14:solidFill>
                    <w14:srgbClr w14:val="033B7C"/>
                  </w14:solidFill>
                  <w14:prstDash w14:val="solid"/>
                  <w14:round/>
                </w14:textOutline>
              </w:rPr>
              <w:t>美国补库，中国哪些行业有望受益？</w:t>
            </w:r>
            <w:r>
              <w:rPr>
                <w:color w:val="033B7C"/>
                <w:spacing w:val="49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33B7C"/>
                <w:spacing w:val="11"/>
                <w:w w:val="116"/>
                <w:sz w:val="21"/>
                <w:szCs w:val="21"/>
              </w:rPr>
              <w:t>7</w:t>
            </w:r>
          </w:hyperlink>
        </w:p>
      </w:sdtContent>
    </w:sdt>
    <w:p>
      <w:pPr>
        <w:spacing w:line="227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"/>
          <w:footerReference w:type="default" r:id="rId12"/>
          <w:pgSz w:w="11907" w:h="16839"/>
          <w:pgMar w:top="1151" w:right="0" w:bottom="965" w:left="0" w:header="425" w:footer="676" w:gutter="0"/>
          <w:pgNumType w:start="4"/>
          <w:cols w:space="708"/>
        </w:sect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43"/>
          <w:szCs w:val="43"/>
        </w:rPr>
        <w:id w:val="165225859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spacing w:before="140" w:line="223" w:lineRule="auto"/>
            <w:ind w:left="3319"/>
            <w:rPr>
              <w:sz w:val="43"/>
              <w:szCs w:val="43"/>
            </w:rPr>
          </w:pPr>
          <w:bookmarkStart w:id="1" w:name="bookmark4"/>
          <w:bookmarkEnd w:id="1"/>
          <w:r>
            <w:rPr>
              <w:color w:val="033B7C"/>
              <w:spacing w:val="-4"/>
              <w:sz w:val="43"/>
              <w:szCs w:val="43"/>
              <w14:textOutline w14:w="7968">
                <w14:solidFill>
                  <w14:srgbClr w14:val="033B7C"/>
                </w14:solidFill>
                <w14:prstDash w14:val="solid"/>
                <w14:round/>
              </w14:textOutline>
            </w:rPr>
            <w:t>图表目录</w:t>
          </w:r>
        </w:p>
        <w:p>
          <w:pPr>
            <w:spacing w:line="30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274"/>
            </w:tabs>
            <w:spacing w:before="68" w:line="200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5" w:history="1">
            <w:r>
              <w:rPr>
                <w:color w:val="033B7C"/>
                <w:spacing w:val="-2"/>
                <w:sz w:val="21"/>
                <w:szCs w:val="21"/>
              </w:rPr>
              <w:t>图表</w:t>
            </w:r>
            <w:r>
              <w:rPr>
                <w:color w:val="033B7C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 xml:space="preserve">1    </w:t>
            </w:r>
            <w:r>
              <w:rPr>
                <w:color w:val="033B7C"/>
                <w:spacing w:val="-2"/>
                <w:sz w:val="21"/>
                <w:szCs w:val="21"/>
              </w:rPr>
              <w:t>美国房贷利率与联储加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>/</w:t>
            </w:r>
            <w:r>
              <w:rPr>
                <w:color w:val="033B7C"/>
                <w:spacing w:val="-2"/>
                <w:sz w:val="21"/>
                <w:szCs w:val="21"/>
              </w:rPr>
              <w:t>降息操作密切相关</w:t>
            </w:r>
            <w:r>
              <w:rPr>
                <w:color w:val="033B7C"/>
                <w:spacing w:val="-57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20"/>
                <w:w w:val="107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78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6" w:history="1">
            <w:r>
              <w:rPr>
                <w:color w:val="033B7C"/>
                <w:spacing w:val="-2"/>
                <w:sz w:val="21"/>
                <w:szCs w:val="21"/>
              </w:rPr>
              <w:t>图表</w:t>
            </w:r>
            <w:r>
              <w:rPr>
                <w:color w:val="033B7C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 xml:space="preserve">2    </w:t>
            </w:r>
            <w:r>
              <w:rPr>
                <w:color w:val="033B7C"/>
                <w:spacing w:val="-2"/>
                <w:sz w:val="21"/>
                <w:szCs w:val="21"/>
              </w:rPr>
              <w:t>高利率环境下美国地产自</w:t>
            </w:r>
            <w:r>
              <w:rPr>
                <w:color w:val="033B7C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>22</w:t>
            </w:r>
            <w:r>
              <w:rPr>
                <w:rFonts w:ascii="Times New Roman" w:eastAsia="Times New Roman" w:hAnsi="Times New Roman" w:cs="Times New Roman"/>
                <w:color w:val="033B7C"/>
                <w:spacing w:val="7"/>
                <w:sz w:val="21"/>
                <w:szCs w:val="21"/>
              </w:rPr>
              <w:t xml:space="preserve"> </w:t>
            </w:r>
            <w:r>
              <w:rPr>
                <w:color w:val="033B7C"/>
                <w:spacing w:val="-2"/>
                <w:sz w:val="21"/>
                <w:szCs w:val="21"/>
              </w:rPr>
              <w:t>年以来持续走弱</w:t>
            </w:r>
            <w:r>
              <w:rPr>
                <w:color w:val="033B7C"/>
                <w:spacing w:val="-47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20"/>
                <w:w w:val="107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7" w:history="1">
            <w:r>
              <w:rPr>
                <w:color w:val="033B7C"/>
                <w:spacing w:val="-1"/>
                <w:sz w:val="21"/>
                <w:szCs w:val="21"/>
              </w:rPr>
              <w:t>图表</w:t>
            </w:r>
            <w:r>
              <w:rPr>
                <w:color w:val="033B7C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1"/>
                <w:sz w:val="21"/>
                <w:szCs w:val="21"/>
              </w:rPr>
              <w:t xml:space="preserve">3    </w:t>
            </w:r>
            <w:r>
              <w:rPr>
                <w:color w:val="033B7C"/>
                <w:spacing w:val="-1"/>
                <w:sz w:val="21"/>
                <w:szCs w:val="21"/>
              </w:rPr>
              <w:t>历史上美国降息周期对应房贷利率及地产销量变化</w:t>
            </w:r>
            <w:r>
              <w:rPr>
                <w:color w:val="033B7C"/>
                <w:spacing w:val="-42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20"/>
                <w:w w:val="107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8" w:history="1">
            <w:r>
              <w:rPr>
                <w:color w:val="033B7C"/>
                <w:spacing w:val="-2"/>
                <w:sz w:val="21"/>
                <w:szCs w:val="21"/>
              </w:rPr>
              <w:t>图表</w:t>
            </w:r>
            <w:r>
              <w:rPr>
                <w:color w:val="033B7C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 xml:space="preserve">4    </w:t>
            </w:r>
            <w:r>
              <w:rPr>
                <w:color w:val="033B7C"/>
                <w:spacing w:val="-2"/>
                <w:sz w:val="21"/>
                <w:szCs w:val="21"/>
              </w:rPr>
              <w:t>美国库存周期或已见底</w:t>
            </w:r>
            <w:r>
              <w:rPr>
                <w:color w:val="033B7C"/>
                <w:spacing w:val="-51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6"/>
                <w:w w:val="111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1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9" w:history="1">
            <w:r>
              <w:rPr>
                <w:color w:val="033B7C"/>
                <w:spacing w:val="-4"/>
                <w:sz w:val="21"/>
                <w:szCs w:val="21"/>
              </w:rPr>
              <w:t>图表</w:t>
            </w:r>
            <w:r>
              <w:rPr>
                <w:color w:val="033B7C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4"/>
                <w:sz w:val="21"/>
                <w:szCs w:val="21"/>
              </w:rPr>
              <w:t xml:space="preserve">5    </w:t>
            </w:r>
            <w:r>
              <w:rPr>
                <w:color w:val="033B7C"/>
                <w:spacing w:val="-4"/>
                <w:sz w:val="21"/>
                <w:szCs w:val="21"/>
              </w:rPr>
              <w:t>美国补库阶段，</w:t>
            </w:r>
            <w:r>
              <w:rPr>
                <w:color w:val="033B7C"/>
                <w:spacing w:val="-4"/>
                <w:sz w:val="21"/>
                <w:szCs w:val="21"/>
              </w:rPr>
              <w:t xml:space="preserve"> </w:t>
            </w:r>
            <w:r>
              <w:rPr>
                <w:color w:val="033B7C"/>
                <w:spacing w:val="-4"/>
                <w:sz w:val="21"/>
                <w:szCs w:val="21"/>
              </w:rPr>
              <w:t>美国进口增速和中国出口增速均有显著改善</w:t>
            </w:r>
            <w:r>
              <w:rPr>
                <w:color w:val="033B7C"/>
                <w:spacing w:val="-32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6"/>
                <w:w w:val="111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0" w:history="1">
            <w:r>
              <w:rPr>
                <w:color w:val="033B7C"/>
                <w:spacing w:val="-1"/>
                <w:sz w:val="21"/>
                <w:szCs w:val="21"/>
              </w:rPr>
              <w:t>图表</w:t>
            </w:r>
            <w:r>
              <w:rPr>
                <w:color w:val="033B7C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1"/>
                <w:sz w:val="21"/>
                <w:szCs w:val="21"/>
              </w:rPr>
              <w:t xml:space="preserve">6    </w:t>
            </w:r>
            <w:r>
              <w:rPr>
                <w:color w:val="033B7C"/>
                <w:spacing w:val="-1"/>
                <w:sz w:val="21"/>
                <w:szCs w:val="21"/>
              </w:rPr>
              <w:t>美国地产后周期家电、家居零售改善</w:t>
            </w:r>
            <w:r>
              <w:rPr>
                <w:color w:val="033B7C"/>
                <w:spacing w:val="-55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5"/>
                <w:w w:val="11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1" w:history="1">
            <w:r>
              <w:rPr>
                <w:color w:val="033B7C"/>
                <w:spacing w:val="-1"/>
                <w:sz w:val="21"/>
                <w:szCs w:val="21"/>
              </w:rPr>
              <w:t>图表</w:t>
            </w:r>
            <w:r>
              <w:rPr>
                <w:color w:val="033B7C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1"/>
                <w:sz w:val="21"/>
                <w:szCs w:val="21"/>
              </w:rPr>
              <w:t xml:space="preserve">7    </w:t>
            </w:r>
            <w:r>
              <w:rPr>
                <w:color w:val="033B7C"/>
                <w:spacing w:val="-1"/>
                <w:sz w:val="21"/>
                <w:szCs w:val="21"/>
              </w:rPr>
              <w:t>美国对中国家具、木制品、服装、科技等进口增速提升</w:t>
            </w:r>
            <w:r>
              <w:rPr>
                <w:color w:val="033B7C"/>
                <w:spacing w:val="-37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5"/>
                <w:w w:val="11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2" w:history="1">
            <w:r>
              <w:rPr>
                <w:color w:val="033B7C"/>
                <w:spacing w:val="-1"/>
                <w:sz w:val="21"/>
                <w:szCs w:val="21"/>
              </w:rPr>
              <w:t>图表</w:t>
            </w:r>
            <w:r>
              <w:rPr>
                <w:color w:val="033B7C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1"/>
                <w:sz w:val="21"/>
                <w:szCs w:val="21"/>
              </w:rPr>
              <w:t xml:space="preserve">8    </w:t>
            </w:r>
            <w:r>
              <w:rPr>
                <w:color w:val="033B7C"/>
                <w:spacing w:val="-1"/>
                <w:sz w:val="21"/>
                <w:szCs w:val="21"/>
              </w:rPr>
              <w:t>美国批发商和零售商分行业库存数据</w:t>
            </w:r>
            <w:r>
              <w:rPr>
                <w:color w:val="033B7C"/>
                <w:spacing w:val="-55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24"/>
                <w:w w:val="103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2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3" w:history="1">
            <w:r>
              <w:rPr>
                <w:color w:val="033B7C"/>
                <w:spacing w:val="-3"/>
                <w:sz w:val="21"/>
                <w:szCs w:val="21"/>
              </w:rPr>
              <w:t>图表</w:t>
            </w:r>
            <w:r>
              <w:rPr>
                <w:color w:val="033B7C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3"/>
                <w:sz w:val="21"/>
                <w:szCs w:val="21"/>
              </w:rPr>
              <w:t>9</w:t>
            </w:r>
            <w:r>
              <w:rPr>
                <w:rFonts w:ascii="Times New Roman" w:eastAsia="Times New Roman" w:hAnsi="Times New Roman" w:cs="Times New Roman"/>
                <w:color w:val="033B7C"/>
                <w:spacing w:val="5"/>
                <w:sz w:val="21"/>
                <w:szCs w:val="21"/>
              </w:rPr>
              <w:t xml:space="preserve">    </w:t>
            </w:r>
            <w:r>
              <w:rPr>
                <w:color w:val="033B7C"/>
                <w:spacing w:val="-3"/>
                <w:sz w:val="21"/>
                <w:szCs w:val="21"/>
              </w:rPr>
              <w:t>美国制造商分行业库存数据</w:t>
            </w:r>
            <w:r>
              <w:rPr>
                <w:color w:val="033B7C"/>
                <w:spacing w:val="-56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6"/>
                <w:w w:val="111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1274"/>
            </w:tabs>
            <w:spacing w:before="194" w:line="186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4" w:history="1">
            <w:r>
              <w:rPr>
                <w:color w:val="033B7C"/>
                <w:spacing w:val="-3"/>
                <w:sz w:val="21"/>
                <w:szCs w:val="21"/>
              </w:rPr>
              <w:t>图表</w:t>
            </w:r>
            <w:r>
              <w:rPr>
                <w:color w:val="033B7C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3"/>
                <w:sz w:val="21"/>
                <w:szCs w:val="21"/>
              </w:rPr>
              <w:t xml:space="preserve">10    </w:t>
            </w:r>
            <w:r>
              <w:rPr>
                <w:color w:val="033B7C"/>
                <w:spacing w:val="-3"/>
                <w:sz w:val="21"/>
                <w:szCs w:val="21"/>
              </w:rPr>
              <w:t>美国对中国进口依赖度较高行业</w:t>
            </w:r>
            <w:r>
              <w:rPr>
                <w:color w:val="033B7C"/>
                <w:spacing w:val="-54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3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1276"/>
            </w:tabs>
            <w:spacing w:before="194" w:line="214" w:lineRule="auto"/>
            <w:ind w:left="3286"/>
            <w:rPr>
              <w:rFonts w:ascii="Times New Roman" w:eastAsia="Times New Roman" w:hAnsi="Times New Roman" w:cs="Times New Roman"/>
              <w:sz w:val="21"/>
              <w:szCs w:val="21"/>
            </w:rPr>
          </w:pPr>
          <w:hyperlink w:anchor="bookmark15" w:history="1">
            <w:r>
              <w:rPr>
                <w:color w:val="033B7C"/>
                <w:spacing w:val="-2"/>
                <w:sz w:val="21"/>
                <w:szCs w:val="21"/>
              </w:rPr>
              <w:t>图表</w:t>
            </w:r>
            <w:r>
              <w:rPr>
                <w:color w:val="033B7C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33B7C"/>
                <w:spacing w:val="-2"/>
                <w:sz w:val="21"/>
                <w:szCs w:val="21"/>
              </w:rPr>
              <w:t xml:space="preserve">11    </w:t>
            </w:r>
            <w:r>
              <w:rPr>
                <w:color w:val="033B7C"/>
                <w:spacing w:val="-2"/>
                <w:sz w:val="21"/>
                <w:szCs w:val="21"/>
              </w:rPr>
              <w:t>可能受益于美国补库的行业标的筛选</w:t>
            </w:r>
            <w:r>
              <w:rPr>
                <w:color w:val="033B7C"/>
                <w:spacing w:val="-29"/>
                <w:sz w:val="21"/>
                <w:szCs w:val="21"/>
              </w:rPr>
              <w:t xml:space="preserve"> </w:t>
            </w:r>
            <w:r>
              <w:rPr>
                <w:color w:val="033B7C"/>
                <w:sz w:val="21"/>
                <w:szCs w:val="21"/>
              </w:rPr>
              <w:tab/>
            </w:r>
            <w:r>
              <w:rPr>
                <w:rFonts w:ascii="Times New Roman" w:eastAsia="Times New Roman" w:hAnsi="Times New Roman" w:cs="Times New Roman"/>
                <w:color w:val="033B7C"/>
                <w:spacing w:val="15"/>
                <w:sz w:val="21"/>
                <w:szCs w:val="21"/>
              </w:rPr>
              <w:t>11</w:t>
            </w:r>
          </w:hyperlink>
        </w:p>
      </w:sdtContent>
    </w:sdt>
    <w:p>
      <w:pPr>
        <w:spacing w:line="214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br/>
      </w:r>
      <w:r>
        <w:rPr>
          <w:rFonts w:ascii="Times New Roman" w:eastAsia="Times New Roman" w:hAnsi="Times New Roman" w:cs="Times New Roma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https://d.book118.com/166013143023010041</w:t>
        </w:r>
      </w:hyperlink>
    </w:p>
    <w:p>
      <w:pPr>
        <w:spacing w:line="214" w:lineRule="auto"/>
        <w:rPr>
          <w:rFonts w:ascii="Times New Roman" w:eastAsia="Times New Roman" w:hAnsi="Times New Roman" w:cs="Times New Roman"/>
          <w:sz w:val="21"/>
          <w:szCs w:val="21"/>
        </w:rPr>
      </w:pPr>
    </w:p>
    <w:sectPr>
      <w:headerReference w:type="default" r:id="rId14"/>
      <w:footerReference w:type="default" r:id="rId15"/>
      <w:pgSz w:w="11907" w:h="16839"/>
      <w:pgMar w:top="1151" w:right="0" w:bottom="965" w:left="0" w:header="425" w:footer="676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70" w:line="25" w:lineRule="exact"/>
    </w:pPr>
    <w:r>
      <w:pict>
        <v:shape id="_x0000_i2058" style="width:595.35pt;height:1.25pt;mso-position-horizontal-relative:char;mso-position-vertical-relative:line" coordorigin="0,0" coordsize="11906,25" path="m-15,12l12030,12e" filled="f" strokecolor="#033b7c" strokeweight="1.25pt">
          <w10:wrap type="none"/>
        </v:shape>
      </w:pict>
    </w:r>
  </w:p>
  <w:p>
    <w:pPr>
      <w:pStyle w:val="BodyText"/>
      <w:spacing w:line="201" w:lineRule="auto"/>
      <w:ind w:left="738"/>
      <w:rPr>
        <w:sz w:val="15"/>
        <w:szCs w:val="15"/>
      </w:rPr>
    </w:pPr>
    <w:r>
      <w:rPr>
        <w:color w:val="033B7C"/>
        <w:sz w:val="15"/>
        <w:szCs w:val="15"/>
      </w:rPr>
      <w:t>证监会审核华创证券投资咨询业务资格批文号：</w:t>
    </w:r>
    <w:r>
      <w:rPr>
        <w:color w:val="033B7C"/>
        <w:spacing w:val="-18"/>
        <w:sz w:val="15"/>
        <w:szCs w:val="15"/>
      </w:rPr>
      <w:t xml:space="preserve"> </w:t>
    </w:r>
    <w:r>
      <w:rPr>
        <w:color w:val="033B7C"/>
        <w:sz w:val="15"/>
        <w:szCs w:val="15"/>
      </w:rPr>
      <w:t>证监许可（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2009</w:t>
    </w:r>
    <w:r>
      <w:rPr>
        <w:color w:val="033B7C"/>
        <w:sz w:val="15"/>
        <w:szCs w:val="15"/>
      </w:rPr>
      <w:t>）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1210</w:t>
    </w:r>
    <w:r>
      <w:rPr>
        <w:rFonts w:ascii="Times New Roman" w:eastAsia="Times New Roman" w:hAnsi="Times New Roman" w:cs="Times New Roman"/>
        <w:color w:val="033B7C"/>
        <w:spacing w:val="9"/>
        <w:sz w:val="15"/>
        <w:szCs w:val="15"/>
      </w:rPr>
      <w:t xml:space="preserve"> </w:t>
    </w:r>
    <w:r>
      <w:rPr>
        <w:color w:val="033B7C"/>
        <w:sz w:val="15"/>
        <w:szCs w:val="15"/>
      </w:rPr>
      <w:t>号</w:t>
    </w:r>
    <w:r>
      <w:rPr>
        <w:color w:val="033B7C"/>
        <w:sz w:val="15"/>
        <w:szCs w:val="15"/>
      </w:rPr>
      <w:t xml:space="preserve">           </w:t>
    </w:r>
    <w:r>
      <w:rPr>
        <w:color w:val="033B7C"/>
        <w:spacing w:val="-1"/>
        <w:sz w:val="15"/>
        <w:szCs w:val="15"/>
      </w:rPr>
      <w:t xml:space="preserve">                                               </w:t>
    </w:r>
    <w:r>
      <w:rPr>
        <w:color w:val="033B7C"/>
        <w:spacing w:val="-1"/>
        <w:sz w:val="15"/>
        <w:szCs w:val="15"/>
        <w14:textOutline w14:w="2743">
          <w14:solidFill>
            <w14:srgbClr w14:val="033B7C"/>
          </w14:solidFill>
          <w14:prstDash w14:val="solid"/>
          <w14:miter w14:lim="10"/>
        </w14:textOutline>
      </w:rPr>
      <w:t>未经许可，禁止转载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70" w:line="25" w:lineRule="exact"/>
    </w:pPr>
    <w:r>
      <w:pict>
        <v:shape id="_x0000_i2068" style="width:595.35pt;height:1.25pt;mso-position-horizontal-relative:char;mso-position-vertical-relative:line" coordorigin="0,0" coordsize="11906,25" path="m-15,12l12030,12e" filled="f" strokecolor="#033b7c" strokeweight="1.25pt">
          <w10:wrap type="none"/>
        </v:shape>
      </w:pict>
    </w:r>
  </w:p>
  <w:p>
    <w:pPr>
      <w:pStyle w:val="BodyText"/>
      <w:spacing w:line="201" w:lineRule="auto"/>
      <w:ind w:left="738"/>
      <w:rPr>
        <w:sz w:val="15"/>
        <w:szCs w:val="15"/>
      </w:rPr>
    </w:pPr>
    <w:r>
      <w:rPr>
        <w:color w:val="033B7C"/>
        <w:sz w:val="15"/>
        <w:szCs w:val="15"/>
      </w:rPr>
      <w:t>证监会审核华创证券投资咨询业务资格批文号：</w:t>
    </w:r>
    <w:r>
      <w:rPr>
        <w:color w:val="033B7C"/>
        <w:spacing w:val="-18"/>
        <w:sz w:val="15"/>
        <w:szCs w:val="15"/>
      </w:rPr>
      <w:t xml:space="preserve"> </w:t>
    </w:r>
    <w:r>
      <w:rPr>
        <w:color w:val="033B7C"/>
        <w:sz w:val="15"/>
        <w:szCs w:val="15"/>
      </w:rPr>
      <w:t>证监许可（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2009</w:t>
    </w:r>
    <w:r>
      <w:rPr>
        <w:color w:val="033B7C"/>
        <w:sz w:val="15"/>
        <w:szCs w:val="15"/>
      </w:rPr>
      <w:t>）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1210</w:t>
    </w:r>
    <w:r>
      <w:rPr>
        <w:rFonts w:ascii="Times New Roman" w:eastAsia="Times New Roman" w:hAnsi="Times New Roman" w:cs="Times New Roman"/>
        <w:color w:val="033B7C"/>
        <w:spacing w:val="9"/>
        <w:sz w:val="15"/>
        <w:szCs w:val="15"/>
      </w:rPr>
      <w:t xml:space="preserve"> </w:t>
    </w:r>
    <w:r>
      <w:rPr>
        <w:color w:val="033B7C"/>
        <w:sz w:val="15"/>
        <w:szCs w:val="15"/>
      </w:rPr>
      <w:t>号</w:t>
    </w:r>
    <w:r>
      <w:rPr>
        <w:color w:val="033B7C"/>
        <w:sz w:val="15"/>
        <w:szCs w:val="15"/>
      </w:rPr>
      <w:t xml:space="preserve">           </w:t>
    </w:r>
    <w:r>
      <w:rPr>
        <w:color w:val="033B7C"/>
        <w:spacing w:val="-1"/>
        <w:sz w:val="15"/>
        <w:szCs w:val="15"/>
      </w:rPr>
      <w:t xml:space="preserve">                                               </w:t>
    </w:r>
    <w:r>
      <w:rPr>
        <w:color w:val="033B7C"/>
        <w:spacing w:val="-1"/>
        <w:sz w:val="15"/>
        <w:szCs w:val="15"/>
        <w14:textOutline w14:w="2743">
          <w14:solidFill>
            <w14:srgbClr w14:val="033B7C"/>
          </w14:solidFill>
          <w14:prstDash w14:val="solid"/>
          <w14:miter w14:lim="10"/>
        </w14:textOutline>
      </w:rPr>
      <w:t>未经许可，禁止转载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70" w:line="25" w:lineRule="exact"/>
    </w:pPr>
    <w:r>
      <w:pict>
        <v:shape id="_x0000_i2078" style="width:595.35pt;height:1.25pt;mso-position-horizontal-relative:char;mso-position-vertical-relative:line" coordorigin="0,0" coordsize="11906,25" path="m-15,12l12030,12e" filled="f" strokecolor="#033b7c" strokeweight="1.25pt">
          <w10:wrap type="none"/>
        </v:shape>
      </w:pict>
    </w:r>
  </w:p>
  <w:p>
    <w:pPr>
      <w:pStyle w:val="BodyText"/>
      <w:spacing w:line="201" w:lineRule="auto"/>
      <w:ind w:left="738"/>
      <w:rPr>
        <w:sz w:val="15"/>
        <w:szCs w:val="15"/>
      </w:rPr>
    </w:pPr>
    <w:r>
      <w:rPr>
        <w:color w:val="033B7C"/>
        <w:sz w:val="15"/>
        <w:szCs w:val="15"/>
      </w:rPr>
      <w:t>证监会审核华创证券投资咨询业务资格批文号：</w:t>
    </w:r>
    <w:r>
      <w:rPr>
        <w:color w:val="033B7C"/>
        <w:spacing w:val="-18"/>
        <w:sz w:val="15"/>
        <w:szCs w:val="15"/>
      </w:rPr>
      <w:t xml:space="preserve"> </w:t>
    </w:r>
    <w:r>
      <w:rPr>
        <w:color w:val="033B7C"/>
        <w:sz w:val="15"/>
        <w:szCs w:val="15"/>
      </w:rPr>
      <w:t>证监许可（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2009</w:t>
    </w:r>
    <w:r>
      <w:rPr>
        <w:color w:val="033B7C"/>
        <w:sz w:val="15"/>
        <w:szCs w:val="15"/>
      </w:rPr>
      <w:t>）</w:t>
    </w:r>
    <w:r>
      <w:rPr>
        <w:rFonts w:ascii="Times New Roman" w:eastAsia="Times New Roman" w:hAnsi="Times New Roman" w:cs="Times New Roman"/>
        <w:color w:val="033B7C"/>
        <w:sz w:val="15"/>
        <w:szCs w:val="15"/>
      </w:rPr>
      <w:t>1210</w:t>
    </w:r>
    <w:r>
      <w:rPr>
        <w:rFonts w:ascii="Times New Roman" w:eastAsia="Times New Roman" w:hAnsi="Times New Roman" w:cs="Times New Roman"/>
        <w:color w:val="033B7C"/>
        <w:spacing w:val="9"/>
        <w:sz w:val="15"/>
        <w:szCs w:val="15"/>
      </w:rPr>
      <w:t xml:space="preserve"> </w:t>
    </w:r>
    <w:r>
      <w:rPr>
        <w:color w:val="033B7C"/>
        <w:sz w:val="15"/>
        <w:szCs w:val="15"/>
      </w:rPr>
      <w:t>号</w:t>
    </w:r>
    <w:r>
      <w:rPr>
        <w:color w:val="033B7C"/>
        <w:sz w:val="15"/>
        <w:szCs w:val="15"/>
      </w:rPr>
      <w:t xml:space="preserve">           </w:t>
    </w:r>
    <w:r>
      <w:rPr>
        <w:color w:val="033B7C"/>
        <w:spacing w:val="-1"/>
        <w:sz w:val="15"/>
        <w:szCs w:val="15"/>
      </w:rPr>
      <w:t xml:space="preserve">                                               </w:t>
    </w:r>
    <w:r>
      <w:rPr>
        <w:color w:val="033B7C"/>
        <w:spacing w:val="-1"/>
        <w:sz w:val="15"/>
        <w:szCs w:val="15"/>
        <w14:textOutline w14:w="2743">
          <w14:solidFill>
            <w14:srgbClr w14:val="033B7C"/>
          </w14:solidFill>
          <w14:prstDash w14:val="solid"/>
          <w14:miter w14:lim="10"/>
        </w14:textOutline>
      </w:rPr>
      <w:t>未经许可，禁止转载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87" w:line="25" w:lineRule="exact"/>
    </w:pPr>
    <w:r>
      <w:pict>
        <v:shape id="_x0000_i2079" style="width:595.35pt;height:1.3pt;mso-position-horizontal-relative:char;mso-position-vertical-relative:line" coordorigin="0,0" coordsize="11906,25" path="m-15,12l12030,12e" filled="f" strokecolor="#033b7c" strokeweight="1.25pt">
          <w10:wrap type="none"/>
        </v:shape>
      </w:pict>
    </w:r>
  </w:p>
  <w:sdt>
    <w:sdtPr>
      <w:rPr>
        <w:rFonts w:ascii="KaiTi" w:eastAsia="KaiTi" w:hAnsi="KaiTi" w:cs="KaiTi"/>
        <w:sz w:val="15"/>
        <w:szCs w:val="15"/>
      </w:rPr>
      <w:id w:val="892124742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8"/>
        <w:szCs w:val="18"/>
      </w:rPr>
    </w:sdtEndPr>
    <w:sdtContent>
      <w:p>
        <w:pPr>
          <w:pStyle w:val="BodyText"/>
          <w:spacing w:line="187" w:lineRule="auto"/>
          <w:ind w:left="738"/>
          <w:rPr>
            <w:rFonts w:ascii="Times New Roman" w:eastAsia="Times New Roman" w:hAnsi="Times New Roman" w:cs="Times New Roman"/>
            <w:sz w:val="18"/>
            <w:szCs w:val="18"/>
          </w:rPr>
        </w:pPr>
        <w:r>
          <w:rPr>
            <w:color w:val="033B7C"/>
            <w:sz w:val="15"/>
            <w:szCs w:val="15"/>
          </w:rPr>
          <w:t>证监会审核华创证券投资咨询业务资格批文号：</w:t>
        </w:r>
        <w:r>
          <w:rPr>
            <w:color w:val="033B7C"/>
            <w:spacing w:val="-18"/>
            <w:sz w:val="15"/>
            <w:szCs w:val="15"/>
          </w:rPr>
          <w:t xml:space="preserve"> </w:t>
        </w:r>
        <w:r>
          <w:rPr>
            <w:color w:val="033B7C"/>
            <w:sz w:val="15"/>
            <w:szCs w:val="15"/>
          </w:rPr>
          <w:t>证监许可（</w:t>
        </w:r>
        <w:r>
          <w:rPr>
            <w:rFonts w:ascii="Times New Roman" w:eastAsia="Times New Roman" w:hAnsi="Times New Roman" w:cs="Times New Roman"/>
            <w:color w:val="033B7C"/>
            <w:sz w:val="15"/>
            <w:szCs w:val="15"/>
          </w:rPr>
          <w:t>2009</w:t>
        </w:r>
        <w:r>
          <w:rPr>
            <w:color w:val="033B7C"/>
            <w:sz w:val="15"/>
            <w:szCs w:val="15"/>
          </w:rPr>
          <w:t>）</w:t>
        </w:r>
        <w:r>
          <w:rPr>
            <w:rFonts w:ascii="Times New Roman" w:eastAsia="Times New Roman" w:hAnsi="Times New Roman" w:cs="Times New Roman"/>
            <w:color w:val="033B7C"/>
            <w:sz w:val="15"/>
            <w:szCs w:val="15"/>
          </w:rPr>
          <w:t>1210</w:t>
        </w:r>
        <w:r>
          <w:rPr>
            <w:rFonts w:ascii="Times New Roman" w:eastAsia="Times New Roman" w:hAnsi="Times New Roman" w:cs="Times New Roman"/>
            <w:color w:val="033B7C"/>
            <w:spacing w:val="9"/>
            <w:w w:val="102"/>
            <w:sz w:val="15"/>
            <w:szCs w:val="15"/>
          </w:rPr>
          <w:t xml:space="preserve"> </w:t>
        </w:r>
        <w:r>
          <w:rPr>
            <w:color w:val="033B7C"/>
            <w:sz w:val="15"/>
            <w:szCs w:val="15"/>
          </w:rPr>
          <w:t>号</w:t>
        </w:r>
        <w:r>
          <w:rPr>
            <w:color w:val="033B7C"/>
            <w:sz w:val="15"/>
            <w:szCs w:val="15"/>
          </w:rPr>
          <w:t xml:space="preserve">       </w:t>
        </w:r>
        <w:r>
          <w:rPr>
            <w:color w:val="033B7C"/>
            <w:spacing w:val="-1"/>
            <w:sz w:val="15"/>
            <w:szCs w:val="15"/>
          </w:rPr>
          <w:t xml:space="preserve">                                                                    </w:t>
        </w:r>
        <w:hyperlink w:anchor="bookmark1" w:history="1">
          <w:r>
            <w:rPr>
              <w:rFonts w:ascii="Times New Roman" w:eastAsia="Times New Roman" w:hAnsi="Times New Roman" w:cs="Times New Roman"/>
              <w:color w:val="033B7C"/>
              <w:spacing w:val="-1"/>
              <w:sz w:val="18"/>
              <w:szCs w:val="18"/>
            </w:rPr>
            <w:t>2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87" w:line="25" w:lineRule="exact"/>
    </w:pPr>
    <w:r>
      <w:pict>
        <v:shape id="_x0000_i2080" style="width:595.35pt;height:1.3pt;mso-position-horizontal-relative:char;mso-position-vertical-relative:line" coordorigin="0,0" coordsize="11906,25" path="m-15,12l12030,12e" filled="f" strokecolor="#033b7c" strokeweight="1.25pt">
          <w10:wrap type="none"/>
        </v:shape>
      </w:pict>
    </w:r>
  </w:p>
  <w:sdt>
    <w:sdtPr>
      <w:rPr>
        <w:rFonts w:ascii="KaiTi" w:eastAsia="KaiTi" w:hAnsi="KaiTi" w:cs="KaiTi"/>
        <w:sz w:val="15"/>
        <w:szCs w:val="15"/>
      </w:rPr>
      <w:id w:val="219388347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18"/>
        <w:szCs w:val="18"/>
      </w:rPr>
    </w:sdtEndPr>
    <w:sdtContent>
      <w:p>
        <w:pPr>
          <w:pStyle w:val="BodyText"/>
          <w:spacing w:line="187" w:lineRule="auto"/>
          <w:ind w:left="738"/>
          <w:rPr>
            <w:rFonts w:ascii="Times New Roman" w:eastAsia="Times New Roman" w:hAnsi="Times New Roman" w:cs="Times New Roman"/>
            <w:sz w:val="18"/>
            <w:szCs w:val="18"/>
          </w:rPr>
        </w:pPr>
        <w:r>
          <w:rPr>
            <w:color w:val="033B7C"/>
            <w:spacing w:val="-1"/>
            <w:sz w:val="15"/>
            <w:szCs w:val="15"/>
          </w:rPr>
          <w:t>证监会审核华创证券投资咨询业务资格批文号：</w:t>
        </w:r>
        <w:r>
          <w:rPr>
            <w:color w:val="033B7C"/>
            <w:spacing w:val="-18"/>
            <w:sz w:val="15"/>
            <w:szCs w:val="15"/>
          </w:rPr>
          <w:t xml:space="preserve"> </w:t>
        </w:r>
        <w:r>
          <w:rPr>
            <w:color w:val="033B7C"/>
            <w:spacing w:val="-1"/>
            <w:sz w:val="15"/>
            <w:szCs w:val="15"/>
          </w:rPr>
          <w:t>证监许可（</w:t>
        </w:r>
        <w:r>
          <w:rPr>
            <w:rFonts w:ascii="Times New Roman" w:eastAsia="Times New Roman" w:hAnsi="Times New Roman" w:cs="Times New Roman"/>
            <w:color w:val="033B7C"/>
            <w:spacing w:val="-1"/>
            <w:sz w:val="15"/>
            <w:szCs w:val="15"/>
          </w:rPr>
          <w:t>2009</w:t>
        </w:r>
        <w:r>
          <w:rPr>
            <w:color w:val="033B7C"/>
            <w:spacing w:val="-1"/>
            <w:sz w:val="15"/>
            <w:szCs w:val="15"/>
          </w:rPr>
          <w:t>）</w:t>
        </w:r>
        <w:r>
          <w:rPr>
            <w:rFonts w:ascii="Times New Roman" w:eastAsia="Times New Roman" w:hAnsi="Times New Roman" w:cs="Times New Roman"/>
            <w:color w:val="033B7C"/>
            <w:spacing w:val="-1"/>
            <w:sz w:val="15"/>
            <w:szCs w:val="15"/>
          </w:rPr>
          <w:t>1210</w:t>
        </w:r>
        <w:r>
          <w:rPr>
            <w:rFonts w:ascii="Times New Roman" w:eastAsia="Times New Roman" w:hAnsi="Times New Roman" w:cs="Times New Roman"/>
            <w:color w:val="033B7C"/>
            <w:spacing w:val="9"/>
            <w:w w:val="101"/>
            <w:sz w:val="15"/>
            <w:szCs w:val="15"/>
          </w:rPr>
          <w:t xml:space="preserve"> </w:t>
        </w:r>
        <w:r>
          <w:rPr>
            <w:color w:val="033B7C"/>
            <w:spacing w:val="-1"/>
            <w:sz w:val="15"/>
            <w:szCs w:val="15"/>
          </w:rPr>
          <w:t>号</w:t>
        </w:r>
        <w:r>
          <w:rPr>
            <w:color w:val="033B7C"/>
            <w:spacing w:val="-1"/>
            <w:sz w:val="15"/>
            <w:szCs w:val="15"/>
          </w:rPr>
          <w:t xml:space="preserve">                                                  </w:t>
        </w:r>
        <w:r>
          <w:rPr>
            <w:color w:val="033B7C"/>
            <w:spacing w:val="-2"/>
            <w:sz w:val="15"/>
            <w:szCs w:val="15"/>
          </w:rPr>
          <w:t xml:space="preserve">                          </w:t>
        </w:r>
        <w:hyperlink w:anchor="bookmark4" w:history="1">
          <w:r>
            <w:rPr>
              <w:rFonts w:ascii="Times New Roman" w:eastAsia="Times New Roman" w:hAnsi="Times New Roman" w:cs="Times New Roman"/>
              <w:color w:val="033B7C"/>
              <w:spacing w:val="-2"/>
              <w:sz w:val="18"/>
              <w:szCs w:val="18"/>
            </w:rPr>
            <w:t>3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653" w:lineRule="exact"/>
      <w:ind w:firstLine="866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406933</wp:posOffset>
          </wp:positionH>
          <wp:positionV relativeFrom="page">
            <wp:posOffset>326390</wp:posOffset>
          </wp:positionV>
          <wp:extent cx="1391436" cy="34988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91436" cy="349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3"/>
      </w:rPr>
      <w:pict>
        <v:group id="_x0000_i2049" style="width:118.3pt;height:32.7pt;mso-position-horizontal-relative:char;mso-position-vertical-relative:line" coordorigin="0,0" coordsize="2366,654" filled="f" stroked="f">
          <v:group id="_x0000_s2050" style="width:2366;height:650;position:absolute" coordorigin="0,0" coordsize="2366,650" filled="f" stroked="f">
            <v:shape id="_x0000_s2051" style="width:2353;height:646;left:6;position:absolute" coordorigin="0,0" coordsize="2353,646" path="m,l431,646l1921,646l2352,l,xe" filled="t" fillcolor="#033b7c" stroked="f"/>
            <v:shape id="_x0000_s2052" style="width:2366;height:650;position:absolute" coordorigin="0,0" coordsize="2366,650" path="m6,l438,646m1927,646l2359,e" filled="f" strokecolor="#033b7c" strokeweight="0.75pt">
              <v:stroke joinstyle="miter"/>
            </v:shape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width:994;height:280;left:582;position:absolute;top:225" filled="f" stroked="f">
            <o:lock v:ext="edit" aspectratio="f"/>
            <v:textbox inset="0,0,0,0">
              <w:txbxContent>
                <w:p>
                  <w:pPr>
                    <w:spacing w:before="19" w:line="216" w:lineRule="auto"/>
                    <w:ind w:left="20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策略研究</w:t>
                  </w:r>
                </w:p>
              </w:txbxContent>
            </v:textbox>
          </v:shape>
          <v:shape id="_x0000_s2054" style="width:1490;height:15;left:438;position:absolute;top:638" coordorigin="0,0" coordsize="1490,15" path="m,7l1489,7e" filled="f" strokecolor="#033b7c" strokeweight="0.75pt">
            <v:stroke joinstyle="miter"/>
          </v:shape>
          <v:shape id="_x0000_s2055" style="width:2353;height:8;left:6;position:absolute" coordorigin="0,0" coordsize="2353,8" path="m2352,l,e" filled="f" strokecolor="#033b7c" strokeweight="0.75pt">
            <v:stroke joinstyle="miter"/>
          </v:shape>
          <w10:wrap type="none"/>
        </v:group>
      </w:pict>
    </w:r>
  </w:p>
  <w:p>
    <w:pPr>
      <w:spacing w:line="465" w:lineRule="auto"/>
      <w:rPr>
        <w:rFonts w:ascii="Arial"/>
        <w:sz w:val="21"/>
      </w:rPr>
    </w:pPr>
  </w:p>
  <w:p>
    <w:pPr>
      <w:spacing w:line="25" w:lineRule="exact"/>
      <w:ind w:firstLine="628"/>
    </w:pPr>
    <w:r>
      <w:pict>
        <v:shape id="_x0000_i2056" style="width:112.6pt;height:1.25pt;mso-position-horizontal-relative:char;mso-position-vertical-relative:line" coordorigin="0,0" coordsize="2251,25" path="m,12l2251,12e" filled="f" strokecolor="#033b7c" strokeweight="1.25pt">
          <w10:wrap type="none"/>
        </v:shape>
      </w:pict>
    </w:r>
  </w:p>
  <w:p>
    <w:pPr>
      <w:pStyle w:val="BodyText"/>
      <w:spacing w:before="122" w:line="174" w:lineRule="auto"/>
      <w:ind w:left="8546"/>
      <w:rPr>
        <w:sz w:val="18"/>
        <w:szCs w:val="18"/>
      </w:rPr>
    </w:pPr>
    <w:r>
      <w:pict>
        <v:shape id="_x0000_s2057" type="#_x0000_t202" style="width:71.2pt;height:12.6pt;margin-top:3.32pt;margin-left:62.19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证</w:t>
                </w:r>
                <w:r>
                  <w:rPr>
                    <w:color w:val="033B7C"/>
                    <w:spacing w:val="-21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券</w:t>
                </w:r>
                <w:r>
                  <w:rPr>
                    <w:color w:val="033B7C"/>
                    <w:spacing w:val="-29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研</w:t>
                </w:r>
                <w:r>
                  <w:rPr>
                    <w:color w:val="033B7C"/>
                    <w:spacing w:val="-18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究</w:t>
                </w:r>
                <w:r>
                  <w:rPr>
                    <w:color w:val="033B7C"/>
                    <w:spacing w:val="-27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报</w:t>
                </w:r>
                <w:r>
                  <w:rPr>
                    <w:color w:val="033B7C"/>
                    <w:spacing w:val="-25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告</w:t>
                </w:r>
              </w:p>
            </w:txbxContent>
          </v:textbox>
        </v:shape>
      </w:pic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策略专题</w:t>
    </w:r>
    <w:r>
      <w:rPr>
        <w:color w:val="033B7C"/>
        <w:spacing w:val="-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2024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年</w:t>
    </w:r>
    <w:r>
      <w:rPr>
        <w:color w:val="033B7C"/>
        <w:spacing w:val="-3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>01</w:t>
    </w:r>
    <w:r>
      <w:rPr>
        <w:rFonts w:ascii="Times New Roman" w:eastAsia="Times New Roman" w:hAnsi="Times New Roman" w:cs="Times New Roman"/>
        <w:b/>
        <w:bCs/>
        <w:color w:val="033B7C"/>
        <w:spacing w:val="16"/>
        <w:w w:val="101"/>
        <w:sz w:val="18"/>
        <w:szCs w:val="18"/>
      </w:rPr>
      <w:t xml:space="preserve">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月</w:t>
    </w:r>
    <w:r>
      <w:rPr>
        <w:color w:val="033B7C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23 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日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653" w:lineRule="exact"/>
      <w:ind w:firstLine="8662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406933</wp:posOffset>
          </wp:positionH>
          <wp:positionV relativeFrom="page">
            <wp:posOffset>326390</wp:posOffset>
          </wp:positionV>
          <wp:extent cx="1391436" cy="349884"/>
          <wp:effectExtent l="0" t="0" r="0" b="0"/>
          <wp:wrapNone/>
          <wp:docPr id="105978226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78226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91436" cy="349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3"/>
      </w:rPr>
      <w:pict>
        <v:group id="_x0000_i2059" style="width:118.3pt;height:32.7pt;mso-position-horizontal-relative:char;mso-position-vertical-relative:line" coordorigin="0,0" coordsize="2366,654" filled="f" stroked="f">
          <v:group id="_x0000_s2060" style="width:2366;height:650;position:absolute" coordorigin="0,0" coordsize="2366,650" filled="f" stroked="f">
            <v:shape id="_x0000_s2061" style="width:2353;height:646;left:6;position:absolute" coordorigin="0,0" coordsize="2353,646" path="m,l431,646l1921,646l2352,l,xe" filled="t" fillcolor="#033b7c" stroked="f"/>
            <v:shape id="_x0000_s2062" style="width:2366;height:650;position:absolute" coordorigin="0,0" coordsize="2366,650" path="m6,l438,646m1927,646l2359,e" filled="f" strokecolor="#033b7c" strokeweight="0.75pt">
              <v:stroke joinstyle="miter"/>
            </v:shape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_x0000_s2063" type="#_x0000_t202" style="width:994;height:280;left:582;position:absolute;top:225" filled="f" stroked="f">
            <o:lock v:ext="edit" aspectratio="f"/>
            <v:textbox inset="0,0,0,0">
              <w:txbxContent>
                <w:p>
                  <w:pPr>
                    <w:spacing w:before="19" w:line="216" w:lineRule="auto"/>
                    <w:ind w:left="20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策略研究</w:t>
                  </w:r>
                </w:p>
              </w:txbxContent>
            </v:textbox>
          </v:shape>
          <v:shape id="_x0000_s2064" style="width:1490;height:15;left:438;position:absolute;top:638" coordorigin="0,0" coordsize="1490,15" path="m,7l1489,7e" filled="f" strokecolor="#033b7c" strokeweight="0.75pt">
            <v:stroke joinstyle="miter"/>
          </v:shape>
          <v:shape id="_x0000_s2065" style="width:2353;height:8;left:6;position:absolute" coordorigin="0,0" coordsize="2353,8" path="m2352,l,e" filled="f" strokecolor="#033b7c" strokeweight="0.75pt">
            <v:stroke joinstyle="miter"/>
          </v:shape>
          <w10:wrap type="none"/>
        </v:group>
      </w:pict>
    </w:r>
  </w:p>
  <w:p>
    <w:pPr>
      <w:spacing w:line="465" w:lineRule="auto"/>
      <w:rPr>
        <w:rFonts w:ascii="Arial"/>
        <w:sz w:val="21"/>
      </w:rPr>
    </w:pPr>
  </w:p>
  <w:p>
    <w:pPr>
      <w:spacing w:line="25" w:lineRule="exact"/>
      <w:ind w:firstLine="628"/>
    </w:pPr>
    <w:r>
      <w:pict>
        <v:shape id="_x0000_i2066" style="width:112.6pt;height:1.25pt;mso-position-horizontal-relative:char;mso-position-vertical-relative:line" coordorigin="0,0" coordsize="2251,25" path="m,12l2251,12e" filled="f" strokecolor="#033b7c" strokeweight="1.25pt">
          <w10:wrap type="none"/>
        </v:shape>
      </w:pict>
    </w:r>
  </w:p>
  <w:p>
    <w:pPr>
      <w:pStyle w:val="BodyText"/>
      <w:spacing w:before="122" w:line="174" w:lineRule="auto"/>
      <w:ind w:left="8546"/>
      <w:rPr>
        <w:sz w:val="18"/>
        <w:szCs w:val="18"/>
      </w:rPr>
    </w:pPr>
    <w:r>
      <w:pict>
        <v:shape id="_x0000_s2067" type="#_x0000_t202" style="width:71.2pt;height:12.6pt;margin-top:3.32pt;margin-left:62.19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证</w:t>
                </w:r>
                <w:r>
                  <w:rPr>
                    <w:color w:val="033B7C"/>
                    <w:spacing w:val="-21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券</w:t>
                </w:r>
                <w:r>
                  <w:rPr>
                    <w:color w:val="033B7C"/>
                    <w:spacing w:val="-29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研</w:t>
                </w:r>
                <w:r>
                  <w:rPr>
                    <w:color w:val="033B7C"/>
                    <w:spacing w:val="-18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究</w:t>
                </w:r>
                <w:r>
                  <w:rPr>
                    <w:color w:val="033B7C"/>
                    <w:spacing w:val="-27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报</w:t>
                </w:r>
                <w:r>
                  <w:rPr>
                    <w:color w:val="033B7C"/>
                    <w:spacing w:val="-25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告</w:t>
                </w:r>
              </w:p>
            </w:txbxContent>
          </v:textbox>
        </v:shape>
      </w:pic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策略专题</w:t>
    </w:r>
    <w:r>
      <w:rPr>
        <w:color w:val="033B7C"/>
        <w:spacing w:val="-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2024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年</w:t>
    </w:r>
    <w:r>
      <w:rPr>
        <w:color w:val="033B7C"/>
        <w:spacing w:val="-3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>01</w:t>
    </w:r>
    <w:r>
      <w:rPr>
        <w:rFonts w:ascii="Times New Roman" w:eastAsia="Times New Roman" w:hAnsi="Times New Roman" w:cs="Times New Roman"/>
        <w:b/>
        <w:bCs/>
        <w:color w:val="033B7C"/>
        <w:spacing w:val="16"/>
        <w:w w:val="101"/>
        <w:sz w:val="18"/>
        <w:szCs w:val="18"/>
      </w:rPr>
      <w:t xml:space="preserve">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月</w:t>
    </w:r>
    <w:r>
      <w:rPr>
        <w:color w:val="033B7C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23 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日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653" w:lineRule="exact"/>
      <w:ind w:firstLine="866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406933</wp:posOffset>
          </wp:positionH>
          <wp:positionV relativeFrom="page">
            <wp:posOffset>326390</wp:posOffset>
          </wp:positionV>
          <wp:extent cx="1391436" cy="349884"/>
          <wp:effectExtent l="0" t="0" r="0" b="0"/>
          <wp:wrapNone/>
          <wp:docPr id="108636408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36408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91436" cy="349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3"/>
      </w:rPr>
      <w:pict>
        <v:group id="_x0000_i2069" style="width:118.3pt;height:32.7pt;mso-position-horizontal-relative:char;mso-position-vertical-relative:line" coordorigin="0,0" coordsize="2366,654" filled="f" stroked="f">
          <v:group id="_x0000_s2070" style="width:2366;height:650;position:absolute" coordorigin="0,0" coordsize="2366,650" filled="f" stroked="f">
            <v:shape id="_x0000_s2071" style="width:2353;height:646;left:6;position:absolute" coordorigin="0,0" coordsize="2353,646" path="m,l431,646l1921,646l2352,l,xe" filled="t" fillcolor="#033b7c" stroked="f"/>
            <v:shape id="_x0000_s2072" style="width:2366;height:650;position:absolute" coordorigin="0,0" coordsize="2366,650" path="m6,l438,646m1927,646l2359,e" filled="f" strokecolor="#033b7c" strokeweight="0.75pt">
              <v:stroke joinstyle="miter"/>
            </v:shape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_x0000_s2073" type="#_x0000_t202" style="width:994;height:280;left:582;position:absolute;top:225" filled="f" stroked="f">
            <o:lock v:ext="edit" aspectratio="f"/>
            <v:textbox inset="0,0,0,0">
              <w:txbxContent>
                <w:p>
                  <w:pPr>
                    <w:spacing w:before="19" w:line="216" w:lineRule="auto"/>
                    <w:ind w:left="20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策略研究</w:t>
                  </w:r>
                </w:p>
              </w:txbxContent>
            </v:textbox>
          </v:shape>
          <v:shape id="_x0000_s2074" style="width:1490;height:15;left:438;position:absolute;top:638" coordorigin="0,0" coordsize="1490,15" path="m,7l1489,7e" filled="f" strokecolor="#033b7c" strokeweight="0.75pt">
            <v:stroke joinstyle="miter"/>
          </v:shape>
          <v:shape id="_x0000_s2075" style="width:2353;height:8;left:6;position:absolute" coordorigin="0,0" coordsize="2353,8" path="m2352,l,e" filled="f" strokecolor="#033b7c" strokeweight="0.75pt">
            <v:stroke joinstyle="miter"/>
          </v:shape>
          <w10:wrap type="none"/>
        </v:group>
      </w:pict>
    </w:r>
  </w:p>
  <w:p>
    <w:pPr>
      <w:spacing w:line="465" w:lineRule="auto"/>
      <w:rPr>
        <w:rFonts w:ascii="Arial"/>
        <w:sz w:val="21"/>
      </w:rPr>
    </w:pPr>
  </w:p>
  <w:p>
    <w:pPr>
      <w:spacing w:line="25" w:lineRule="exact"/>
      <w:ind w:firstLine="628"/>
    </w:pPr>
    <w:r>
      <w:pict>
        <v:shape id="_x0000_i2076" style="width:112.6pt;height:1.25pt;mso-position-horizontal-relative:char;mso-position-vertical-relative:line" coordorigin="0,0" coordsize="2251,25" path="m,12l2251,12e" filled="f" strokecolor="#033b7c" strokeweight="1.25pt">
          <w10:wrap type="none"/>
        </v:shape>
      </w:pict>
    </w:r>
  </w:p>
  <w:p>
    <w:pPr>
      <w:pStyle w:val="BodyText"/>
      <w:spacing w:before="122" w:line="174" w:lineRule="auto"/>
      <w:ind w:left="8546"/>
      <w:rPr>
        <w:sz w:val="18"/>
        <w:szCs w:val="18"/>
      </w:rPr>
    </w:pPr>
    <w:r>
      <w:pict>
        <v:shape id="_x0000_s2077" type="#_x0000_t202" style="width:71.2pt;height:12.6pt;margin-top:3.32pt;margin-left:62.19pt;position:absolute;z-index:2516633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证</w:t>
                </w:r>
                <w:r>
                  <w:rPr>
                    <w:color w:val="033B7C"/>
                    <w:spacing w:val="-21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券</w:t>
                </w:r>
                <w:r>
                  <w:rPr>
                    <w:color w:val="033B7C"/>
                    <w:spacing w:val="-29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研</w:t>
                </w:r>
                <w:r>
                  <w:rPr>
                    <w:color w:val="033B7C"/>
                    <w:spacing w:val="-18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究</w:t>
                </w:r>
                <w:r>
                  <w:rPr>
                    <w:color w:val="033B7C"/>
                    <w:spacing w:val="-27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报</w:t>
                </w:r>
                <w:r>
                  <w:rPr>
                    <w:color w:val="033B7C"/>
                    <w:spacing w:val="-25"/>
                    <w:sz w:val="18"/>
                    <w:szCs w:val="18"/>
                  </w:rPr>
                  <w:t xml:space="preserve"> </w:t>
                </w:r>
                <w:r>
                  <w:rPr>
                    <w:color w:val="033B7C"/>
                    <w:spacing w:val="-4"/>
                    <w:sz w:val="18"/>
                    <w:szCs w:val="18"/>
                    <w14:textOutline w14:w="3265">
                      <w14:solidFill>
                        <w14:srgbClr w14:val="033B7C"/>
                      </w14:solidFill>
                      <w14:prstDash w14:val="solid"/>
                      <w14:miter w14:lim="10"/>
                    </w14:textOutline>
                  </w:rPr>
                  <w:t>告</w:t>
                </w:r>
              </w:p>
            </w:txbxContent>
          </v:textbox>
        </v:shape>
      </w:pic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策略专题</w:t>
    </w:r>
    <w:r>
      <w:rPr>
        <w:color w:val="033B7C"/>
        <w:spacing w:val="-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2024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年</w:t>
    </w:r>
    <w:r>
      <w:rPr>
        <w:color w:val="033B7C"/>
        <w:spacing w:val="-3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>01</w:t>
    </w:r>
    <w:r>
      <w:rPr>
        <w:rFonts w:ascii="Times New Roman" w:eastAsia="Times New Roman" w:hAnsi="Times New Roman" w:cs="Times New Roman"/>
        <w:b/>
        <w:bCs/>
        <w:color w:val="033B7C"/>
        <w:spacing w:val="16"/>
        <w:w w:val="101"/>
        <w:sz w:val="18"/>
        <w:szCs w:val="18"/>
      </w:rPr>
      <w:t xml:space="preserve">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月</w:t>
    </w:r>
    <w:r>
      <w:rPr>
        <w:color w:val="033B7C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color w:val="033B7C"/>
        <w:spacing w:val="-2"/>
        <w:sz w:val="18"/>
        <w:szCs w:val="18"/>
      </w:rPr>
      <w:t xml:space="preserve">23  </w:t>
    </w: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round/>
        </w14:textOutline>
      </w:rPr>
      <w:t>日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57" w:lineRule="auto"/>
      <w:rPr>
        <w:rFonts w:ascii="Arial"/>
        <w:sz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491801</wp:posOffset>
          </wp:positionH>
          <wp:positionV relativeFrom="page">
            <wp:posOffset>269971</wp:posOffset>
          </wp:positionV>
          <wp:extent cx="1391769" cy="34805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91769" cy="3480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59" w:line="216" w:lineRule="auto"/>
      <w:ind w:left="10570"/>
      <w:rPr>
        <w:sz w:val="18"/>
        <w:szCs w:val="18"/>
      </w:rPr>
    </w:pP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miter w14:lim="10"/>
        </w14:textOutline>
      </w:rPr>
      <w:t>策略专题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57" w:lineRule="auto"/>
      <w:rPr>
        <w:rFonts w:ascii="Arial"/>
        <w:sz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491801</wp:posOffset>
          </wp:positionH>
          <wp:positionV relativeFrom="page">
            <wp:posOffset>269971</wp:posOffset>
          </wp:positionV>
          <wp:extent cx="1391769" cy="348057"/>
          <wp:effectExtent l="0" t="0" r="0" b="0"/>
          <wp:wrapNone/>
          <wp:docPr id="115579414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579414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91769" cy="3480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59" w:line="216" w:lineRule="auto"/>
      <w:ind w:left="10570"/>
      <w:rPr>
        <w:sz w:val="18"/>
        <w:szCs w:val="18"/>
      </w:rPr>
    </w:pPr>
    <w:r>
      <w:rPr>
        <w:color w:val="033B7C"/>
        <w:spacing w:val="-2"/>
        <w:sz w:val="18"/>
        <w:szCs w:val="18"/>
        <w14:textOutline w14:w="3265">
          <w14:solidFill>
            <w14:srgbClr w14:val="033B7C"/>
          </w14:solidFill>
          <w14:prstDash w14:val="solid"/>
          <w14:miter w14:lim="10"/>
        </w14:textOutline>
      </w:rPr>
      <w:t>策略专题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66013143023010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XN</dc:creator>
  <cp:revision>0</cp:revision>
  <dcterms:created xsi:type="dcterms:W3CDTF">2024-01-25T09:19:56Z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2024-01-25T09:29:24Z</vt:filetime>
  </property>
  <property fmtid="{D5CDD505-2E9C-101B-9397-08002B2CF9AE}" pid="3" name="CRO">
    <vt:lpwstr>wqlLaW5nc29mdCBQREYgdG8gV1BTIDkw</vt:lpwstr>
  </property>
</Properties>
</file>