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大功率激光传输石英光纤项目规划设计方案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75" w:history="1">
        <w:r>
          <w:rPr>
            <w:rFonts w:ascii="仿宋" w:eastAsia="仿宋" w:hAnsi="仿宋" w:cs="仿宋" w:hint="eastAsia"/>
            <w:lang w:eastAsia="zh-CN"/>
          </w:rPr>
          <w:t>前言</w:t>
        </w:r>
        <w:r>
          <w:tab/>
        </w:r>
        <w:r>
          <w:fldChar w:fldCharType="begin"/>
        </w:r>
        <w:r>
          <w:instrText xml:space="preserve"> PAGEREF _Toc11475 \h </w:instrText>
        </w:r>
        <w:r>
          <w:fldChar w:fldCharType="separate"/>
        </w:r>
        <w:r>
          <w:t>3</w:t>
        </w:r>
        <w:r>
          <w:fldChar w:fldCharType="end"/>
        </w:r>
      </w:hyperlink>
    </w:p>
    <w:p>
      <w:pPr>
        <w:pStyle w:val="TOC1"/>
        <w:tabs>
          <w:tab w:val="right" w:leader="dot" w:pos="8306"/>
        </w:tabs>
      </w:pPr>
      <w:hyperlink w:anchor="_Toc20503" w:history="1">
        <w:r>
          <w:rPr>
            <w:rFonts w:ascii="仿宋" w:eastAsia="仿宋" w:hAnsi="仿宋" w:cs="仿宋" w:hint="eastAsia"/>
            <w:lang w:eastAsia="zh-CN"/>
          </w:rPr>
          <w:t>一、市场分析、调研</w:t>
        </w:r>
        <w:r>
          <w:tab/>
        </w:r>
        <w:r>
          <w:fldChar w:fldCharType="begin"/>
        </w:r>
        <w:r>
          <w:instrText xml:space="preserve"> PAGEREF _Toc20503 \h </w:instrText>
        </w:r>
        <w:r>
          <w:fldChar w:fldCharType="separate"/>
        </w:r>
        <w:r>
          <w:t>3</w:t>
        </w:r>
        <w:r>
          <w:fldChar w:fldCharType="end"/>
        </w:r>
      </w:hyperlink>
    </w:p>
    <w:p>
      <w:pPr>
        <w:pStyle w:val="TOC2"/>
        <w:tabs>
          <w:tab w:val="right" w:leader="dot" w:pos="8306"/>
        </w:tabs>
      </w:pPr>
      <w:hyperlink w:anchor="_Toc25299" w:history="1">
        <w:r>
          <w:rPr>
            <w:rFonts w:ascii="仿宋" w:eastAsia="仿宋" w:hAnsi="仿宋" w:cs="仿宋" w:hint="eastAsia"/>
            <w:lang w:eastAsia="zh-CN"/>
          </w:rPr>
          <w:t>(一)、大功率激光传输石英光纤行业分析</w:t>
        </w:r>
        <w:r>
          <w:tab/>
        </w:r>
        <w:r>
          <w:fldChar w:fldCharType="begin"/>
        </w:r>
        <w:r>
          <w:instrText xml:space="preserve"> PAGEREF _Toc25299 \h </w:instrText>
        </w:r>
        <w:r>
          <w:fldChar w:fldCharType="separate"/>
        </w:r>
        <w:r>
          <w:t>3</w:t>
        </w:r>
        <w:r>
          <w:fldChar w:fldCharType="end"/>
        </w:r>
      </w:hyperlink>
    </w:p>
    <w:p>
      <w:pPr>
        <w:pStyle w:val="TOC2"/>
        <w:tabs>
          <w:tab w:val="right" w:leader="dot" w:pos="8306"/>
        </w:tabs>
      </w:pPr>
      <w:hyperlink w:anchor="_Toc16438" w:history="1">
        <w:r>
          <w:rPr>
            <w:rFonts w:ascii="仿宋" w:eastAsia="仿宋" w:hAnsi="仿宋" w:cs="仿宋" w:hint="eastAsia"/>
            <w:lang w:eastAsia="zh-CN"/>
          </w:rPr>
          <w:t>(二)、大功率激光传输石英光纤市场分析预测</w:t>
        </w:r>
        <w:r>
          <w:tab/>
        </w:r>
        <w:r>
          <w:fldChar w:fldCharType="begin"/>
        </w:r>
        <w:r>
          <w:instrText xml:space="preserve"> PAGEREF _Toc16438 \h </w:instrText>
        </w:r>
        <w:r>
          <w:fldChar w:fldCharType="separate"/>
        </w:r>
        <w:r>
          <w:t>4</w:t>
        </w:r>
        <w:r>
          <w:fldChar w:fldCharType="end"/>
        </w:r>
      </w:hyperlink>
    </w:p>
    <w:p>
      <w:pPr>
        <w:pStyle w:val="TOC1"/>
        <w:tabs>
          <w:tab w:val="right" w:leader="dot" w:pos="8306"/>
        </w:tabs>
      </w:pPr>
      <w:hyperlink w:anchor="_Toc1470" w:history="1">
        <w:r>
          <w:rPr>
            <w:rFonts w:ascii="仿宋" w:eastAsia="仿宋" w:hAnsi="仿宋" w:cs="仿宋" w:hint="eastAsia"/>
            <w:lang w:eastAsia="zh-CN"/>
          </w:rPr>
          <w:t>二、产品规划分析</w:t>
        </w:r>
        <w:r>
          <w:tab/>
        </w:r>
        <w:r>
          <w:fldChar w:fldCharType="begin"/>
        </w:r>
        <w:r>
          <w:instrText xml:space="preserve"> PAGEREF _Toc1470 \h </w:instrText>
        </w:r>
        <w:r>
          <w:fldChar w:fldCharType="separate"/>
        </w:r>
        <w:r>
          <w:t>5</w:t>
        </w:r>
        <w:r>
          <w:fldChar w:fldCharType="end"/>
        </w:r>
      </w:hyperlink>
    </w:p>
    <w:p>
      <w:pPr>
        <w:pStyle w:val="TOC2"/>
        <w:tabs>
          <w:tab w:val="right" w:leader="dot" w:pos="8306"/>
        </w:tabs>
      </w:pPr>
      <w:hyperlink w:anchor="_Toc193" w:history="1">
        <w:r>
          <w:rPr>
            <w:rFonts w:ascii="仿宋" w:eastAsia="仿宋" w:hAnsi="仿宋" w:cs="仿宋" w:hint="eastAsia"/>
            <w:lang w:eastAsia="zh-CN"/>
          </w:rPr>
          <w:t>(一)、产品规划</w:t>
        </w:r>
        <w:r>
          <w:tab/>
        </w:r>
        <w:r>
          <w:fldChar w:fldCharType="begin"/>
        </w:r>
        <w:r>
          <w:instrText xml:space="preserve"> PAGEREF _Toc193 \h </w:instrText>
        </w:r>
        <w:r>
          <w:fldChar w:fldCharType="separate"/>
        </w:r>
        <w:r>
          <w:t>5</w:t>
        </w:r>
        <w:r>
          <w:fldChar w:fldCharType="end"/>
        </w:r>
      </w:hyperlink>
    </w:p>
    <w:p>
      <w:pPr>
        <w:pStyle w:val="TOC2"/>
        <w:tabs>
          <w:tab w:val="right" w:leader="dot" w:pos="8306"/>
        </w:tabs>
      </w:pPr>
      <w:hyperlink w:anchor="_Toc16085" w:history="1">
        <w:r>
          <w:rPr>
            <w:rFonts w:ascii="仿宋" w:eastAsia="仿宋" w:hAnsi="仿宋" w:cs="仿宋" w:hint="eastAsia"/>
            <w:lang w:eastAsia="zh-CN"/>
          </w:rPr>
          <w:t>(二)、建设规模</w:t>
        </w:r>
        <w:r>
          <w:tab/>
        </w:r>
        <w:r>
          <w:fldChar w:fldCharType="begin"/>
        </w:r>
        <w:r>
          <w:instrText xml:space="preserve"> PAGEREF _Toc16085 \h </w:instrText>
        </w:r>
        <w:r>
          <w:fldChar w:fldCharType="separate"/>
        </w:r>
        <w:r>
          <w:t>6</w:t>
        </w:r>
        <w:r>
          <w:fldChar w:fldCharType="end"/>
        </w:r>
      </w:hyperlink>
    </w:p>
    <w:p>
      <w:pPr>
        <w:pStyle w:val="TOC1"/>
        <w:tabs>
          <w:tab w:val="right" w:leader="dot" w:pos="8306"/>
        </w:tabs>
      </w:pPr>
      <w:hyperlink w:anchor="_Toc369" w:history="1">
        <w:r>
          <w:rPr>
            <w:rFonts w:ascii="仿宋" w:eastAsia="仿宋" w:hAnsi="仿宋" w:cs="仿宋" w:hint="eastAsia"/>
            <w:lang w:eastAsia="zh-CN"/>
          </w:rPr>
          <w:t>三、大功率激光传输石英光纤项目土建工程</w:t>
        </w:r>
        <w:r>
          <w:tab/>
        </w:r>
        <w:r>
          <w:fldChar w:fldCharType="begin"/>
        </w:r>
        <w:r>
          <w:instrText xml:space="preserve"> PAGEREF _Toc369 \h </w:instrText>
        </w:r>
        <w:r>
          <w:fldChar w:fldCharType="separate"/>
        </w:r>
        <w:r>
          <w:t>7</w:t>
        </w:r>
        <w:r>
          <w:fldChar w:fldCharType="end"/>
        </w:r>
      </w:hyperlink>
    </w:p>
    <w:p>
      <w:pPr>
        <w:pStyle w:val="TOC2"/>
        <w:tabs>
          <w:tab w:val="right" w:leader="dot" w:pos="8306"/>
        </w:tabs>
      </w:pPr>
      <w:hyperlink w:anchor="_Toc25730" w:history="1">
        <w:r>
          <w:rPr>
            <w:rFonts w:ascii="仿宋" w:eastAsia="仿宋" w:hAnsi="仿宋" w:cs="仿宋" w:hint="eastAsia"/>
            <w:lang w:eastAsia="zh-CN"/>
          </w:rPr>
          <w:t>(一)、建筑工程设计原则</w:t>
        </w:r>
        <w:r>
          <w:tab/>
        </w:r>
        <w:r>
          <w:fldChar w:fldCharType="begin"/>
        </w:r>
        <w:r>
          <w:instrText xml:space="preserve"> PAGEREF _Toc25730 \h </w:instrText>
        </w:r>
        <w:r>
          <w:fldChar w:fldCharType="separate"/>
        </w:r>
        <w:r>
          <w:t>7</w:t>
        </w:r>
        <w:r>
          <w:fldChar w:fldCharType="end"/>
        </w:r>
      </w:hyperlink>
    </w:p>
    <w:p>
      <w:pPr>
        <w:pStyle w:val="TOC2"/>
        <w:tabs>
          <w:tab w:val="right" w:leader="dot" w:pos="8306"/>
        </w:tabs>
      </w:pPr>
      <w:hyperlink w:anchor="_Toc5716" w:history="1">
        <w:r>
          <w:rPr>
            <w:rFonts w:ascii="仿宋" w:eastAsia="仿宋" w:hAnsi="仿宋" w:cs="仿宋" w:hint="eastAsia"/>
            <w:lang w:eastAsia="zh-CN"/>
          </w:rPr>
          <w:t>(二)、土建工程设计年限及安全等级</w:t>
        </w:r>
        <w:r>
          <w:tab/>
        </w:r>
        <w:r>
          <w:fldChar w:fldCharType="begin"/>
        </w:r>
        <w:r>
          <w:instrText xml:space="preserve"> PAGEREF _Toc5716 \h </w:instrText>
        </w:r>
        <w:r>
          <w:fldChar w:fldCharType="separate"/>
        </w:r>
        <w:r>
          <w:t>8</w:t>
        </w:r>
        <w:r>
          <w:fldChar w:fldCharType="end"/>
        </w:r>
      </w:hyperlink>
    </w:p>
    <w:p>
      <w:pPr>
        <w:pStyle w:val="TOC2"/>
        <w:tabs>
          <w:tab w:val="right" w:leader="dot" w:pos="8306"/>
        </w:tabs>
      </w:pPr>
      <w:hyperlink w:anchor="_Toc7356" w:history="1">
        <w:r>
          <w:rPr>
            <w:rFonts w:ascii="仿宋" w:eastAsia="仿宋" w:hAnsi="仿宋" w:cs="仿宋" w:hint="eastAsia"/>
            <w:lang w:eastAsia="zh-CN"/>
          </w:rPr>
          <w:t>(三)、建筑工程设计总体要求</w:t>
        </w:r>
        <w:r>
          <w:tab/>
        </w:r>
        <w:r>
          <w:fldChar w:fldCharType="begin"/>
        </w:r>
        <w:r>
          <w:instrText xml:space="preserve"> PAGEREF _Toc7356 \h </w:instrText>
        </w:r>
        <w:r>
          <w:fldChar w:fldCharType="separate"/>
        </w:r>
        <w:r>
          <w:t>9</w:t>
        </w:r>
        <w:r>
          <w:fldChar w:fldCharType="end"/>
        </w:r>
      </w:hyperlink>
    </w:p>
    <w:p>
      <w:pPr>
        <w:pStyle w:val="TOC2"/>
        <w:tabs>
          <w:tab w:val="right" w:leader="dot" w:pos="8306"/>
        </w:tabs>
      </w:pPr>
      <w:hyperlink w:anchor="_Toc28445" w:history="1">
        <w:r>
          <w:rPr>
            <w:rFonts w:ascii="仿宋" w:eastAsia="仿宋" w:hAnsi="仿宋" w:cs="仿宋" w:hint="eastAsia"/>
            <w:lang w:eastAsia="zh-CN"/>
          </w:rPr>
          <w:t>(四)、土建工程建设指标</w:t>
        </w:r>
        <w:r>
          <w:tab/>
        </w:r>
        <w:r>
          <w:fldChar w:fldCharType="begin"/>
        </w:r>
        <w:r>
          <w:instrText xml:space="preserve"> PAGEREF _Toc28445 \h </w:instrText>
        </w:r>
        <w:r>
          <w:fldChar w:fldCharType="separate"/>
        </w:r>
        <w:r>
          <w:t>10</w:t>
        </w:r>
        <w:r>
          <w:fldChar w:fldCharType="end"/>
        </w:r>
      </w:hyperlink>
    </w:p>
    <w:p>
      <w:pPr>
        <w:pStyle w:val="TOC1"/>
        <w:tabs>
          <w:tab w:val="right" w:leader="dot" w:pos="8306"/>
        </w:tabs>
      </w:pPr>
      <w:hyperlink w:anchor="_Toc23452" w:history="1">
        <w:r>
          <w:rPr>
            <w:rFonts w:ascii="仿宋" w:eastAsia="仿宋" w:hAnsi="仿宋" w:cs="仿宋" w:hint="eastAsia"/>
            <w:lang w:eastAsia="zh-CN"/>
          </w:rPr>
          <w:t>四、大功率激光传输石英光纤项目危机管理</w:t>
        </w:r>
        <w:r>
          <w:tab/>
        </w:r>
        <w:r>
          <w:fldChar w:fldCharType="begin"/>
        </w:r>
        <w:r>
          <w:instrText xml:space="preserve"> PAGEREF _Toc23452 \h </w:instrText>
        </w:r>
        <w:r>
          <w:fldChar w:fldCharType="separate"/>
        </w:r>
        <w:r>
          <w:t>10</w:t>
        </w:r>
        <w:r>
          <w:fldChar w:fldCharType="end"/>
        </w:r>
      </w:hyperlink>
    </w:p>
    <w:p>
      <w:pPr>
        <w:pStyle w:val="TOC2"/>
        <w:tabs>
          <w:tab w:val="right" w:leader="dot" w:pos="8306"/>
        </w:tabs>
      </w:pPr>
      <w:hyperlink w:anchor="_Toc28141" w:history="1">
        <w:r>
          <w:rPr>
            <w:rFonts w:ascii="仿宋" w:eastAsia="仿宋" w:hAnsi="仿宋" w:cs="仿宋" w:hint="eastAsia"/>
            <w:lang w:eastAsia="zh-CN"/>
          </w:rPr>
          <w:t>(一)、危机预警与识别</w:t>
        </w:r>
        <w:r>
          <w:tab/>
        </w:r>
        <w:r>
          <w:fldChar w:fldCharType="begin"/>
        </w:r>
        <w:r>
          <w:instrText xml:space="preserve"> PAGEREF _Toc28141 \h </w:instrText>
        </w:r>
        <w:r>
          <w:fldChar w:fldCharType="separate"/>
        </w:r>
        <w:r>
          <w:t>10</w:t>
        </w:r>
        <w:r>
          <w:fldChar w:fldCharType="end"/>
        </w:r>
      </w:hyperlink>
    </w:p>
    <w:p>
      <w:pPr>
        <w:pStyle w:val="TOC2"/>
        <w:tabs>
          <w:tab w:val="right" w:leader="dot" w:pos="8306"/>
        </w:tabs>
      </w:pPr>
      <w:hyperlink w:anchor="_Toc26498" w:history="1">
        <w:r>
          <w:rPr>
            <w:rFonts w:ascii="仿宋" w:eastAsia="仿宋" w:hAnsi="仿宋" w:cs="仿宋" w:hint="eastAsia"/>
            <w:lang w:eastAsia="zh-CN"/>
          </w:rPr>
          <w:t>(二)、危机应对与恢复</w:t>
        </w:r>
        <w:r>
          <w:tab/>
        </w:r>
        <w:r>
          <w:fldChar w:fldCharType="begin"/>
        </w:r>
        <w:r>
          <w:instrText xml:space="preserve"> PAGEREF _Toc26498 \h </w:instrText>
        </w:r>
        <w:r>
          <w:fldChar w:fldCharType="separate"/>
        </w:r>
        <w:r>
          <w:t>11</w:t>
        </w:r>
        <w:r>
          <w:fldChar w:fldCharType="end"/>
        </w:r>
      </w:hyperlink>
    </w:p>
    <w:p>
      <w:pPr>
        <w:pStyle w:val="TOC1"/>
        <w:tabs>
          <w:tab w:val="right" w:leader="dot" w:pos="8306"/>
        </w:tabs>
      </w:pPr>
      <w:hyperlink w:anchor="_Toc346" w:history="1">
        <w:r>
          <w:rPr>
            <w:rFonts w:ascii="仿宋" w:eastAsia="仿宋" w:hAnsi="仿宋" w:cs="仿宋" w:hint="eastAsia"/>
            <w:lang w:eastAsia="zh-CN"/>
          </w:rPr>
          <w:t>五、大功率激光传输石英光纤项目建设单位说明</w:t>
        </w:r>
        <w:r>
          <w:tab/>
        </w:r>
        <w:r>
          <w:fldChar w:fldCharType="begin"/>
        </w:r>
        <w:r>
          <w:instrText xml:space="preserve"> PAGEREF _Toc346 \h </w:instrText>
        </w:r>
        <w:r>
          <w:fldChar w:fldCharType="separate"/>
        </w:r>
        <w:r>
          <w:t>13</w:t>
        </w:r>
        <w:r>
          <w:fldChar w:fldCharType="end"/>
        </w:r>
      </w:hyperlink>
    </w:p>
    <w:p>
      <w:pPr>
        <w:pStyle w:val="TOC2"/>
        <w:tabs>
          <w:tab w:val="right" w:leader="dot" w:pos="8306"/>
        </w:tabs>
      </w:pPr>
      <w:hyperlink w:anchor="_Toc6013" w:history="1">
        <w:r>
          <w:rPr>
            <w:rFonts w:ascii="仿宋" w:eastAsia="仿宋" w:hAnsi="仿宋" w:cs="仿宋" w:hint="eastAsia"/>
            <w:lang w:eastAsia="zh-CN"/>
          </w:rPr>
          <w:t>(一)、大功率激光传输石英光纤项目承办单位基本情况</w:t>
        </w:r>
        <w:r>
          <w:tab/>
        </w:r>
        <w:r>
          <w:fldChar w:fldCharType="begin"/>
        </w:r>
        <w:r>
          <w:instrText xml:space="preserve"> PAGEREF _Toc6013 \h </w:instrText>
        </w:r>
        <w:r>
          <w:fldChar w:fldCharType="separate"/>
        </w:r>
        <w:r>
          <w:t>13</w:t>
        </w:r>
        <w:r>
          <w:fldChar w:fldCharType="end"/>
        </w:r>
      </w:hyperlink>
    </w:p>
    <w:p>
      <w:pPr>
        <w:pStyle w:val="TOC2"/>
        <w:tabs>
          <w:tab w:val="right" w:leader="dot" w:pos="8306"/>
        </w:tabs>
      </w:pPr>
      <w:hyperlink w:anchor="_Toc962" w:history="1">
        <w:r>
          <w:rPr>
            <w:rFonts w:ascii="仿宋" w:eastAsia="仿宋" w:hAnsi="仿宋" w:cs="仿宋" w:hint="eastAsia"/>
            <w:lang w:eastAsia="zh-CN"/>
          </w:rPr>
          <w:t>(二)、公司经济效益分析</w:t>
        </w:r>
        <w:r>
          <w:tab/>
        </w:r>
        <w:r>
          <w:fldChar w:fldCharType="begin"/>
        </w:r>
        <w:r>
          <w:instrText xml:space="preserve"> PAGEREF _Toc962 \h </w:instrText>
        </w:r>
        <w:r>
          <w:fldChar w:fldCharType="separate"/>
        </w:r>
        <w:r>
          <w:t>13</w:t>
        </w:r>
        <w:r>
          <w:fldChar w:fldCharType="end"/>
        </w:r>
      </w:hyperlink>
    </w:p>
    <w:p>
      <w:pPr>
        <w:pStyle w:val="TOC1"/>
        <w:tabs>
          <w:tab w:val="right" w:leader="dot" w:pos="8306"/>
        </w:tabs>
      </w:pPr>
      <w:hyperlink w:anchor="_Toc26067" w:history="1">
        <w:r>
          <w:rPr>
            <w:rFonts w:ascii="仿宋" w:eastAsia="仿宋" w:hAnsi="仿宋" w:cs="仿宋" w:hint="eastAsia"/>
            <w:lang w:eastAsia="zh-CN"/>
          </w:rPr>
          <w:t>六、大功率激光传输石英光纤项目概论</w:t>
        </w:r>
        <w:r>
          <w:tab/>
        </w:r>
        <w:r>
          <w:fldChar w:fldCharType="begin"/>
        </w:r>
        <w:r>
          <w:instrText xml:space="preserve"> PAGEREF _Toc26067 \h </w:instrText>
        </w:r>
        <w:r>
          <w:fldChar w:fldCharType="separate"/>
        </w:r>
        <w:r>
          <w:t>14</w:t>
        </w:r>
        <w:r>
          <w:fldChar w:fldCharType="end"/>
        </w:r>
      </w:hyperlink>
    </w:p>
    <w:p>
      <w:pPr>
        <w:pStyle w:val="TOC2"/>
        <w:tabs>
          <w:tab w:val="right" w:leader="dot" w:pos="8306"/>
        </w:tabs>
      </w:pPr>
      <w:hyperlink w:anchor="_Toc29234" w:history="1">
        <w:r>
          <w:rPr>
            <w:rFonts w:ascii="仿宋" w:eastAsia="仿宋" w:hAnsi="仿宋" w:cs="仿宋" w:hint="eastAsia"/>
            <w:lang w:eastAsia="zh-CN"/>
          </w:rPr>
          <w:t>(一)、大功率激光传输石英光纤项目概况</w:t>
        </w:r>
        <w:r>
          <w:tab/>
        </w:r>
        <w:r>
          <w:fldChar w:fldCharType="begin"/>
        </w:r>
        <w:r>
          <w:instrText xml:space="preserve"> PAGEREF _Toc29234 \h </w:instrText>
        </w:r>
        <w:r>
          <w:fldChar w:fldCharType="separate"/>
        </w:r>
        <w:r>
          <w:t>14</w:t>
        </w:r>
        <w:r>
          <w:fldChar w:fldCharType="end"/>
        </w:r>
      </w:hyperlink>
    </w:p>
    <w:p>
      <w:pPr>
        <w:pStyle w:val="TOC2"/>
        <w:tabs>
          <w:tab w:val="right" w:leader="dot" w:pos="8306"/>
        </w:tabs>
      </w:pPr>
      <w:hyperlink w:anchor="_Toc32725" w:history="1">
        <w:r>
          <w:rPr>
            <w:rFonts w:ascii="仿宋" w:eastAsia="仿宋" w:hAnsi="仿宋" w:cs="仿宋" w:hint="eastAsia"/>
            <w:lang w:eastAsia="zh-CN"/>
          </w:rPr>
          <w:t>(二)、大功率激光传输石英光纤项目目标</w:t>
        </w:r>
        <w:r>
          <w:tab/>
        </w:r>
        <w:r>
          <w:fldChar w:fldCharType="begin"/>
        </w:r>
        <w:r>
          <w:instrText xml:space="preserve"> PAGEREF _Toc32725 \h </w:instrText>
        </w:r>
        <w:r>
          <w:fldChar w:fldCharType="separate"/>
        </w:r>
        <w:r>
          <w:t>17</w:t>
        </w:r>
        <w:r>
          <w:fldChar w:fldCharType="end"/>
        </w:r>
      </w:hyperlink>
    </w:p>
    <w:p>
      <w:pPr>
        <w:pStyle w:val="TOC2"/>
        <w:tabs>
          <w:tab w:val="right" w:leader="dot" w:pos="8306"/>
        </w:tabs>
      </w:pPr>
      <w:hyperlink w:anchor="_Toc8025" w:history="1">
        <w:r>
          <w:rPr>
            <w:rFonts w:ascii="仿宋" w:eastAsia="仿宋" w:hAnsi="仿宋" w:cs="仿宋" w:hint="eastAsia"/>
            <w:lang w:eastAsia="zh-CN"/>
          </w:rPr>
          <w:t>(三)、大功率激光传输石英光纤项目提出的理由</w:t>
        </w:r>
        <w:r>
          <w:tab/>
        </w:r>
        <w:r>
          <w:fldChar w:fldCharType="begin"/>
        </w:r>
        <w:r>
          <w:instrText xml:space="preserve"> PAGEREF _Toc8025 \h </w:instrText>
        </w:r>
        <w:r>
          <w:fldChar w:fldCharType="separate"/>
        </w:r>
        <w:r>
          <w:t>18</w:t>
        </w:r>
        <w:r>
          <w:fldChar w:fldCharType="end"/>
        </w:r>
      </w:hyperlink>
    </w:p>
    <w:p>
      <w:pPr>
        <w:pStyle w:val="TOC2"/>
        <w:tabs>
          <w:tab w:val="right" w:leader="dot" w:pos="8306"/>
        </w:tabs>
      </w:pPr>
      <w:hyperlink w:anchor="_Toc1392" w:history="1">
        <w:r>
          <w:rPr>
            <w:rFonts w:ascii="仿宋" w:eastAsia="仿宋" w:hAnsi="仿宋" w:cs="仿宋" w:hint="eastAsia"/>
            <w:lang w:eastAsia="zh-CN"/>
          </w:rPr>
          <w:t>(四)、大功率激光传输石英光纤项目意义</w:t>
        </w:r>
        <w:r>
          <w:tab/>
        </w:r>
        <w:r>
          <w:fldChar w:fldCharType="begin"/>
        </w:r>
        <w:r>
          <w:instrText xml:space="preserve"> PAGEREF _Toc1392 \h </w:instrText>
        </w:r>
        <w:r>
          <w:fldChar w:fldCharType="separate"/>
        </w:r>
        <w:r>
          <w:t>20</w:t>
        </w:r>
        <w:r>
          <w:fldChar w:fldCharType="end"/>
        </w:r>
      </w:hyperlink>
    </w:p>
    <w:p>
      <w:pPr>
        <w:pStyle w:val="TOC2"/>
        <w:tabs>
          <w:tab w:val="right" w:leader="dot" w:pos="8306"/>
        </w:tabs>
      </w:pPr>
      <w:hyperlink w:anchor="_Toc27505" w:history="1">
        <w:r>
          <w:rPr>
            <w:rFonts w:ascii="仿宋" w:eastAsia="仿宋" w:hAnsi="仿宋" w:cs="仿宋" w:hint="eastAsia"/>
            <w:lang w:eastAsia="zh-CN"/>
          </w:rPr>
          <w:t>(五)、大功率激光传输石英光纤项目背景</w:t>
        </w:r>
        <w:r>
          <w:tab/>
        </w:r>
        <w:r>
          <w:fldChar w:fldCharType="begin"/>
        </w:r>
        <w:r>
          <w:instrText xml:space="preserve"> PAGEREF _Toc27505 \h </w:instrText>
        </w:r>
        <w:r>
          <w:fldChar w:fldCharType="separate"/>
        </w:r>
        <w:r>
          <w:t>21</w:t>
        </w:r>
        <w:r>
          <w:fldChar w:fldCharType="end"/>
        </w:r>
      </w:hyperlink>
    </w:p>
    <w:p>
      <w:pPr>
        <w:pStyle w:val="TOC1"/>
        <w:tabs>
          <w:tab w:val="right" w:leader="dot" w:pos="8306"/>
        </w:tabs>
      </w:pPr>
      <w:hyperlink w:anchor="_Toc32273" w:history="1">
        <w:r>
          <w:rPr>
            <w:rFonts w:ascii="仿宋" w:eastAsia="仿宋" w:hAnsi="仿宋" w:cs="仿宋" w:hint="eastAsia"/>
            <w:lang w:eastAsia="zh-CN"/>
          </w:rPr>
          <w:t>七、大功率激光传输石英光纤项目风险管理</w:t>
        </w:r>
        <w:r>
          <w:tab/>
        </w:r>
        <w:r>
          <w:fldChar w:fldCharType="begin"/>
        </w:r>
        <w:r>
          <w:instrText xml:space="preserve"> PAGEREF _Toc32273 \h </w:instrText>
        </w:r>
        <w:r>
          <w:fldChar w:fldCharType="separate"/>
        </w:r>
        <w:r>
          <w:t>22</w:t>
        </w:r>
        <w:r>
          <w:fldChar w:fldCharType="end"/>
        </w:r>
      </w:hyperlink>
    </w:p>
    <w:p>
      <w:pPr>
        <w:pStyle w:val="TOC2"/>
        <w:tabs>
          <w:tab w:val="right" w:leader="dot" w:pos="8306"/>
        </w:tabs>
      </w:pPr>
      <w:hyperlink w:anchor="_Toc4089" w:history="1">
        <w:r>
          <w:rPr>
            <w:rFonts w:ascii="仿宋" w:eastAsia="仿宋" w:hAnsi="仿宋" w:cs="仿宋" w:hint="eastAsia"/>
            <w:lang w:eastAsia="zh-CN"/>
          </w:rPr>
          <w:t>(一)、风险识别与评估</w:t>
        </w:r>
        <w:r>
          <w:tab/>
        </w:r>
        <w:r>
          <w:fldChar w:fldCharType="begin"/>
        </w:r>
        <w:r>
          <w:instrText xml:space="preserve"> PAGEREF _Toc4089 \h </w:instrText>
        </w:r>
        <w:r>
          <w:fldChar w:fldCharType="separate"/>
        </w:r>
        <w:r>
          <w:t>22</w:t>
        </w:r>
        <w:r>
          <w:fldChar w:fldCharType="end"/>
        </w:r>
      </w:hyperlink>
    </w:p>
    <w:p>
      <w:pPr>
        <w:pStyle w:val="TOC2"/>
        <w:tabs>
          <w:tab w:val="right" w:leader="dot" w:pos="8306"/>
        </w:tabs>
      </w:pPr>
      <w:hyperlink w:anchor="_Toc30165" w:history="1">
        <w:r>
          <w:rPr>
            <w:rFonts w:ascii="仿宋" w:eastAsia="仿宋" w:hAnsi="仿宋" w:cs="仿宋" w:hint="eastAsia"/>
            <w:lang w:eastAsia="zh-CN"/>
          </w:rPr>
          <w:t>(二)、风险应对策略</w:t>
        </w:r>
        <w:r>
          <w:tab/>
        </w:r>
        <w:r>
          <w:fldChar w:fldCharType="begin"/>
        </w:r>
        <w:r>
          <w:instrText xml:space="preserve"> PAGEREF _Toc30165 \h </w:instrText>
        </w:r>
        <w:r>
          <w:fldChar w:fldCharType="separate"/>
        </w:r>
        <w:r>
          <w:t>23</w:t>
        </w:r>
        <w:r>
          <w:fldChar w:fldCharType="end"/>
        </w:r>
      </w:hyperlink>
    </w:p>
    <w:p>
      <w:pPr>
        <w:pStyle w:val="TOC2"/>
        <w:tabs>
          <w:tab w:val="right" w:leader="dot" w:pos="8306"/>
        </w:tabs>
      </w:pPr>
      <w:hyperlink w:anchor="_Toc18102" w:history="1">
        <w:r>
          <w:rPr>
            <w:rFonts w:ascii="仿宋" w:eastAsia="仿宋" w:hAnsi="仿宋" w:cs="仿宋" w:hint="eastAsia"/>
            <w:lang w:eastAsia="zh-CN"/>
          </w:rPr>
          <w:t>(三)、风险监控与控制</w:t>
        </w:r>
        <w:r>
          <w:tab/>
        </w:r>
        <w:r>
          <w:fldChar w:fldCharType="begin"/>
        </w:r>
        <w:r>
          <w:instrText xml:space="preserve"> PAGEREF _Toc18102 \h </w:instrText>
        </w:r>
        <w:r>
          <w:fldChar w:fldCharType="separate"/>
        </w:r>
        <w:r>
          <w:t>25</w:t>
        </w:r>
        <w:r>
          <w:fldChar w:fldCharType="end"/>
        </w:r>
      </w:hyperlink>
    </w:p>
    <w:p>
      <w:pPr>
        <w:pStyle w:val="TOC1"/>
        <w:tabs>
          <w:tab w:val="right" w:leader="dot" w:pos="8306"/>
        </w:tabs>
      </w:pPr>
      <w:hyperlink w:anchor="_Toc3362" w:history="1">
        <w:r>
          <w:rPr>
            <w:rFonts w:ascii="仿宋" w:eastAsia="仿宋" w:hAnsi="仿宋" w:cs="仿宋" w:hint="eastAsia"/>
            <w:lang w:eastAsia="zh-CN"/>
          </w:rPr>
          <w:t>八、大功率激光传输石英光纤项目社会影响</w:t>
        </w:r>
        <w:r>
          <w:tab/>
        </w:r>
        <w:r>
          <w:fldChar w:fldCharType="begin"/>
        </w:r>
        <w:r>
          <w:instrText xml:space="preserve"> PAGEREF _Toc3362 \h </w:instrText>
        </w:r>
        <w:r>
          <w:fldChar w:fldCharType="separate"/>
        </w:r>
        <w:r>
          <w:t>26</w:t>
        </w:r>
        <w:r>
          <w:fldChar w:fldCharType="end"/>
        </w:r>
      </w:hyperlink>
    </w:p>
    <w:p>
      <w:pPr>
        <w:pStyle w:val="TOC2"/>
        <w:tabs>
          <w:tab w:val="right" w:leader="dot" w:pos="8306"/>
        </w:tabs>
      </w:pPr>
      <w:hyperlink w:anchor="_Toc3423" w:history="1">
        <w:r>
          <w:rPr>
            <w:rFonts w:ascii="仿宋" w:eastAsia="仿宋" w:hAnsi="仿宋" w:cs="仿宋" w:hint="eastAsia"/>
            <w:lang w:eastAsia="zh-CN"/>
          </w:rPr>
          <w:t>(一)、社会责任与义务</w:t>
        </w:r>
        <w:r>
          <w:tab/>
        </w:r>
        <w:r>
          <w:fldChar w:fldCharType="begin"/>
        </w:r>
        <w:r>
          <w:instrText xml:space="preserve"> PAGEREF _Toc3423 \h </w:instrText>
        </w:r>
        <w:r>
          <w:fldChar w:fldCharType="separate"/>
        </w:r>
        <w:r>
          <w:t>26</w:t>
        </w:r>
        <w:r>
          <w:fldChar w:fldCharType="end"/>
        </w:r>
      </w:hyperlink>
    </w:p>
    <w:p>
      <w:pPr>
        <w:pStyle w:val="TOC2"/>
        <w:tabs>
          <w:tab w:val="right" w:leader="dot" w:pos="8306"/>
        </w:tabs>
      </w:pPr>
      <w:hyperlink w:anchor="_Toc22042" w:history="1">
        <w:r>
          <w:rPr>
            <w:rFonts w:ascii="仿宋" w:eastAsia="仿宋" w:hAnsi="仿宋" w:cs="仿宋" w:hint="eastAsia"/>
            <w:lang w:eastAsia="zh-CN"/>
          </w:rPr>
          <w:t>(二)、社会参与与沟通</w:t>
        </w:r>
        <w:r>
          <w:tab/>
        </w:r>
        <w:r>
          <w:fldChar w:fldCharType="begin"/>
        </w:r>
        <w:r>
          <w:instrText xml:space="preserve"> PAGEREF _Toc22042 \h </w:instrText>
        </w:r>
        <w:r>
          <w:fldChar w:fldCharType="separate"/>
        </w:r>
        <w:r>
          <w:t>27</w:t>
        </w:r>
        <w:r>
          <w:fldChar w:fldCharType="end"/>
        </w:r>
      </w:hyperlink>
    </w:p>
    <w:p>
      <w:pPr>
        <w:pStyle w:val="TOC1"/>
        <w:tabs>
          <w:tab w:val="right" w:leader="dot" w:pos="8306"/>
        </w:tabs>
      </w:pPr>
      <w:hyperlink w:anchor="_Toc5067" w:history="1">
        <w:r>
          <w:rPr>
            <w:rFonts w:ascii="仿宋" w:eastAsia="仿宋" w:hAnsi="仿宋" w:cs="仿宋" w:hint="eastAsia"/>
            <w:lang w:eastAsia="zh-CN"/>
          </w:rPr>
          <w:t>九、大功率激光传输石英光纤项目财务管理</w:t>
        </w:r>
        <w:r>
          <w:tab/>
        </w:r>
        <w:r>
          <w:fldChar w:fldCharType="begin"/>
        </w:r>
        <w:r>
          <w:instrText xml:space="preserve"> PAGEREF _Toc5067 \h </w:instrText>
        </w:r>
        <w:r>
          <w:fldChar w:fldCharType="separate"/>
        </w:r>
        <w:r>
          <w:t>28</w:t>
        </w:r>
        <w:r>
          <w:fldChar w:fldCharType="end"/>
        </w:r>
      </w:hyperlink>
    </w:p>
    <w:p>
      <w:pPr>
        <w:pStyle w:val="TOC2"/>
        <w:tabs>
          <w:tab w:val="right" w:leader="dot" w:pos="8306"/>
        </w:tabs>
      </w:pPr>
      <w:hyperlink w:anchor="_Toc30337" w:history="1">
        <w:r>
          <w:rPr>
            <w:rFonts w:ascii="仿宋" w:eastAsia="仿宋" w:hAnsi="仿宋" w:cs="仿宋" w:hint="eastAsia"/>
            <w:lang w:eastAsia="zh-CN"/>
          </w:rPr>
          <w:t>(一)、资金需求大</w:t>
        </w:r>
        <w:r>
          <w:tab/>
        </w:r>
        <w:r>
          <w:fldChar w:fldCharType="begin"/>
        </w:r>
        <w:r>
          <w:instrText xml:space="preserve"> PAGEREF _Toc30337 \h </w:instrText>
        </w:r>
        <w:r>
          <w:fldChar w:fldCharType="separate"/>
        </w:r>
        <w:r>
          <w:t>28</w:t>
        </w:r>
        <w:r>
          <w:fldChar w:fldCharType="end"/>
        </w:r>
      </w:hyperlink>
    </w:p>
    <w:p>
      <w:pPr>
        <w:pStyle w:val="TOC2"/>
        <w:tabs>
          <w:tab w:val="right" w:leader="dot" w:pos="8306"/>
        </w:tabs>
      </w:pPr>
      <w:hyperlink w:anchor="_Toc4273" w:history="1">
        <w:r>
          <w:rPr>
            <w:rFonts w:ascii="仿宋" w:eastAsia="仿宋" w:hAnsi="仿宋" w:cs="仿宋" w:hint="eastAsia"/>
            <w:lang w:eastAsia="zh-CN"/>
          </w:rPr>
          <w:t>(二)、研发周期长</w:t>
        </w:r>
        <w:r>
          <w:tab/>
        </w:r>
        <w:r>
          <w:fldChar w:fldCharType="begin"/>
        </w:r>
        <w:r>
          <w:instrText xml:space="preserve"> PAGEREF _Toc4273 \h </w:instrText>
        </w:r>
        <w:r>
          <w:fldChar w:fldCharType="separate"/>
        </w:r>
        <w:r>
          <w:t>29</w:t>
        </w:r>
        <w:r>
          <w:fldChar w:fldCharType="end"/>
        </w:r>
      </w:hyperlink>
    </w:p>
    <w:p>
      <w:pPr>
        <w:pStyle w:val="TOC2"/>
        <w:tabs>
          <w:tab w:val="right" w:leader="dot" w:pos="8306"/>
        </w:tabs>
      </w:pPr>
      <w:hyperlink w:anchor="_Toc31255" w:history="1">
        <w:r>
          <w:rPr>
            <w:rFonts w:ascii="仿宋" w:eastAsia="仿宋" w:hAnsi="仿宋" w:cs="仿宋" w:hint="eastAsia"/>
            <w:lang w:eastAsia="zh-CN"/>
          </w:rPr>
          <w:t>(三)、市场风险大</w:t>
        </w:r>
        <w:r>
          <w:tab/>
        </w:r>
        <w:r>
          <w:fldChar w:fldCharType="begin"/>
        </w:r>
        <w:r>
          <w:instrText xml:space="preserve"> PAGEREF _Toc31255 \h </w:instrText>
        </w:r>
        <w:r>
          <w:fldChar w:fldCharType="separate"/>
        </w:r>
        <w:r>
          <w:t>30</w:t>
        </w:r>
        <w:r>
          <w:fldChar w:fldCharType="end"/>
        </w:r>
      </w:hyperlink>
    </w:p>
    <w:p>
      <w:pPr>
        <w:pStyle w:val="TOC2"/>
        <w:tabs>
          <w:tab w:val="right" w:leader="dot" w:pos="8306"/>
        </w:tabs>
      </w:pPr>
      <w:hyperlink w:anchor="_Toc22834" w:history="1">
        <w:r>
          <w:rPr>
            <w:rFonts w:ascii="仿宋" w:eastAsia="仿宋" w:hAnsi="仿宋" w:cs="仿宋" w:hint="eastAsia"/>
            <w:lang w:eastAsia="zh-CN"/>
          </w:rPr>
          <w:t>(四)、利润率高</w:t>
        </w:r>
        <w:r>
          <w:tab/>
        </w:r>
        <w:r>
          <w:fldChar w:fldCharType="begin"/>
        </w:r>
        <w:r>
          <w:instrText xml:space="preserve"> PAGEREF _Toc22834 \h </w:instrText>
        </w:r>
        <w:r>
          <w:fldChar w:fldCharType="separate"/>
        </w:r>
        <w:r>
          <w:t>33</w:t>
        </w:r>
        <w:r>
          <w:fldChar w:fldCharType="end"/>
        </w:r>
      </w:hyperlink>
    </w:p>
    <w:p>
      <w:pPr>
        <w:pStyle w:val="TOC1"/>
        <w:tabs>
          <w:tab w:val="right" w:leader="dot" w:pos="8306"/>
        </w:tabs>
      </w:pPr>
      <w:hyperlink w:anchor="_Toc24688" w:history="1">
        <w:r>
          <w:rPr>
            <w:rFonts w:ascii="仿宋" w:eastAsia="仿宋" w:hAnsi="仿宋" w:cs="仿宋" w:hint="eastAsia"/>
            <w:lang w:eastAsia="zh-CN"/>
          </w:rPr>
          <w:t>十、大功率激光传输石英光纤项目人力资源培养与发展</w:t>
        </w:r>
        <w:r>
          <w:tab/>
        </w:r>
        <w:r>
          <w:fldChar w:fldCharType="begin"/>
        </w:r>
        <w:r>
          <w:instrText xml:space="preserve"> PAGEREF _Toc24688 \h </w:instrText>
        </w:r>
        <w:r>
          <w:fldChar w:fldCharType="separate"/>
        </w:r>
        <w:r>
          <w:t>35</w:t>
        </w:r>
        <w:r>
          <w:fldChar w:fldCharType="end"/>
        </w:r>
      </w:hyperlink>
    </w:p>
    <w:p>
      <w:pPr>
        <w:pStyle w:val="TOC2"/>
        <w:tabs>
          <w:tab w:val="right" w:leader="dot" w:pos="8306"/>
        </w:tabs>
      </w:pPr>
      <w:hyperlink w:anchor="_Toc14776" w:history="1">
        <w:r>
          <w:rPr>
            <w:rFonts w:ascii="仿宋" w:eastAsia="仿宋" w:hAnsi="仿宋" w:cs="仿宋" w:hint="eastAsia"/>
            <w:lang w:eastAsia="zh-CN"/>
          </w:rPr>
          <w:t>(一)、人才需求与规划</w:t>
        </w:r>
        <w:r>
          <w:tab/>
        </w:r>
        <w:r>
          <w:fldChar w:fldCharType="begin"/>
        </w:r>
        <w:r>
          <w:instrText xml:space="preserve"> PAGEREF _Toc14776 \h </w:instrText>
        </w:r>
        <w:r>
          <w:fldChar w:fldCharType="separate"/>
        </w:r>
        <w:r>
          <w:t>35</w:t>
        </w:r>
        <w:r>
          <w:fldChar w:fldCharType="end"/>
        </w:r>
      </w:hyperlink>
    </w:p>
    <w:p>
      <w:pPr>
        <w:pStyle w:val="TOC2"/>
        <w:tabs>
          <w:tab w:val="right" w:leader="dot" w:pos="8306"/>
        </w:tabs>
      </w:pPr>
      <w:hyperlink w:anchor="_Toc2763" w:history="1">
        <w:r>
          <w:rPr>
            <w:rFonts w:ascii="仿宋" w:eastAsia="仿宋" w:hAnsi="仿宋" w:cs="仿宋" w:hint="eastAsia"/>
            <w:lang w:eastAsia="zh-CN"/>
          </w:rPr>
          <w:t>(二)、培训与发展计划</w:t>
        </w:r>
        <w:r>
          <w:tab/>
        </w:r>
        <w:r>
          <w:fldChar w:fldCharType="begin"/>
        </w:r>
        <w:r>
          <w:instrText xml:space="preserve"> PAGEREF _Toc2763 \h </w:instrText>
        </w:r>
        <w:r>
          <w:fldChar w:fldCharType="separate"/>
        </w:r>
        <w:r>
          <w:t>36</w:t>
        </w:r>
        <w:r>
          <w:fldChar w:fldCharType="end"/>
        </w:r>
      </w:hyperlink>
    </w:p>
    <w:p>
      <w:pPr>
        <w:pStyle w:val="TOC1"/>
        <w:tabs>
          <w:tab w:val="right" w:leader="dot" w:pos="8306"/>
        </w:tabs>
      </w:pPr>
      <w:hyperlink w:anchor="_Toc17152" w:history="1">
        <w:r>
          <w:rPr>
            <w:rFonts w:ascii="仿宋" w:eastAsia="仿宋" w:hAnsi="仿宋" w:cs="仿宋" w:hint="eastAsia"/>
            <w:lang w:eastAsia="zh-CN"/>
          </w:rPr>
          <w:t>十一、大功率激光传输石英光纤项目经营效益</w:t>
        </w:r>
        <w:r>
          <w:tab/>
        </w:r>
        <w:r>
          <w:fldChar w:fldCharType="begin"/>
        </w:r>
        <w:r>
          <w:instrText xml:space="preserve"> PAGEREF _Toc17152 \h </w:instrText>
        </w:r>
        <w:r>
          <w:fldChar w:fldCharType="separate"/>
        </w:r>
        <w:r>
          <w:t>36</w:t>
        </w:r>
        <w:r>
          <w:fldChar w:fldCharType="end"/>
        </w:r>
      </w:hyperlink>
    </w:p>
    <w:p>
      <w:pPr>
        <w:pStyle w:val="TOC2"/>
        <w:tabs>
          <w:tab w:val="right" w:leader="dot" w:pos="8306"/>
        </w:tabs>
      </w:pPr>
      <w:hyperlink w:anchor="_Toc4482" w:history="1">
        <w:r>
          <w:rPr>
            <w:rFonts w:ascii="仿宋" w:eastAsia="仿宋" w:hAnsi="仿宋" w:cs="仿宋" w:hint="eastAsia"/>
            <w:lang w:eastAsia="zh-CN"/>
          </w:rPr>
          <w:t>(一)、经济评价财务测算</w:t>
        </w:r>
        <w:r>
          <w:tab/>
        </w:r>
        <w:r>
          <w:fldChar w:fldCharType="begin"/>
        </w:r>
        <w:r>
          <w:instrText xml:space="preserve"> PAGEREF _Toc4482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93" w:history="1">
        <w:r>
          <w:rPr>
            <w:rFonts w:ascii="仿宋" w:eastAsia="仿宋" w:hAnsi="仿宋" w:cs="仿宋" w:hint="eastAsia"/>
            <w:lang w:eastAsia="zh-CN"/>
          </w:rPr>
          <w:t>(二)、大功率激光传输石英光纤项目盈利能力分析</w:t>
        </w:r>
        <w:r>
          <w:tab/>
        </w:r>
        <w:r>
          <w:fldChar w:fldCharType="begin"/>
        </w:r>
        <w:r>
          <w:instrText xml:space="preserve"> PAGEREF _Toc5193 \h </w:instrText>
        </w:r>
        <w:r>
          <w:fldChar w:fldCharType="separate"/>
        </w:r>
        <w:r>
          <w:t>38</w:t>
        </w:r>
        <w:r>
          <w:fldChar w:fldCharType="end"/>
        </w:r>
      </w:hyperlink>
    </w:p>
    <w:p>
      <w:pPr>
        <w:pStyle w:val="TOC1"/>
        <w:tabs>
          <w:tab w:val="right" w:leader="dot" w:pos="8306"/>
        </w:tabs>
      </w:pPr>
      <w:hyperlink w:anchor="_Toc1535" w:history="1">
        <w:r>
          <w:rPr>
            <w:rFonts w:ascii="仿宋" w:eastAsia="仿宋" w:hAnsi="仿宋" w:cs="仿宋" w:hint="eastAsia"/>
            <w:lang w:eastAsia="zh-CN"/>
          </w:rPr>
          <w:t>十二、大功率激光传输石英光纤项目创新与研发</w:t>
        </w:r>
        <w:r>
          <w:tab/>
        </w:r>
        <w:r>
          <w:fldChar w:fldCharType="begin"/>
        </w:r>
        <w:r>
          <w:instrText xml:space="preserve"> PAGEREF _Toc1535 \h </w:instrText>
        </w:r>
        <w:r>
          <w:fldChar w:fldCharType="separate"/>
        </w:r>
        <w:r>
          <w:t>39</w:t>
        </w:r>
        <w:r>
          <w:fldChar w:fldCharType="end"/>
        </w:r>
      </w:hyperlink>
    </w:p>
    <w:p>
      <w:pPr>
        <w:pStyle w:val="TOC2"/>
        <w:tabs>
          <w:tab w:val="right" w:leader="dot" w:pos="8306"/>
        </w:tabs>
      </w:pPr>
      <w:hyperlink w:anchor="_Toc13295" w:history="1">
        <w:r>
          <w:rPr>
            <w:rFonts w:ascii="仿宋" w:eastAsia="仿宋" w:hAnsi="仿宋" w:cs="仿宋" w:hint="eastAsia"/>
            <w:lang w:eastAsia="zh-CN"/>
          </w:rPr>
          <w:t>(一)、创新策略与方向</w:t>
        </w:r>
        <w:r>
          <w:tab/>
        </w:r>
        <w:r>
          <w:fldChar w:fldCharType="begin"/>
        </w:r>
        <w:r>
          <w:instrText xml:space="preserve"> PAGEREF _Toc13295 \h </w:instrText>
        </w:r>
        <w:r>
          <w:fldChar w:fldCharType="separate"/>
        </w:r>
        <w:r>
          <w:t>39</w:t>
        </w:r>
        <w:r>
          <w:fldChar w:fldCharType="end"/>
        </w:r>
      </w:hyperlink>
    </w:p>
    <w:p>
      <w:pPr>
        <w:pStyle w:val="TOC2"/>
        <w:tabs>
          <w:tab w:val="right" w:leader="dot" w:pos="8306"/>
        </w:tabs>
      </w:pPr>
      <w:hyperlink w:anchor="_Toc3421" w:history="1">
        <w:r>
          <w:rPr>
            <w:rFonts w:ascii="仿宋" w:eastAsia="仿宋" w:hAnsi="仿宋" w:cs="仿宋" w:hint="eastAsia"/>
            <w:lang w:eastAsia="zh-CN"/>
          </w:rPr>
          <w:t>(二)、研发规划与投入</w:t>
        </w:r>
        <w:r>
          <w:tab/>
        </w:r>
        <w:r>
          <w:fldChar w:fldCharType="begin"/>
        </w:r>
        <w:r>
          <w:instrText xml:space="preserve"> PAGEREF _Toc3421 \h </w:instrText>
        </w:r>
        <w:r>
          <w:fldChar w:fldCharType="separate"/>
        </w:r>
        <w:r>
          <w:t>40</w:t>
        </w:r>
        <w:r>
          <w:fldChar w:fldCharType="end"/>
        </w:r>
      </w:hyperlink>
    </w:p>
    <w:p>
      <w:pPr>
        <w:pStyle w:val="TOC1"/>
        <w:tabs>
          <w:tab w:val="right" w:leader="dot" w:pos="8306"/>
        </w:tabs>
      </w:pPr>
      <w:hyperlink w:anchor="_Toc20996" w:history="1">
        <w:r>
          <w:rPr>
            <w:rFonts w:ascii="仿宋" w:eastAsia="仿宋" w:hAnsi="仿宋" w:cs="仿宋" w:hint="eastAsia"/>
            <w:lang w:eastAsia="zh-CN"/>
          </w:rPr>
          <w:t>十三、风险识别与分类</w:t>
        </w:r>
        <w:r>
          <w:tab/>
        </w:r>
        <w:r>
          <w:fldChar w:fldCharType="begin"/>
        </w:r>
        <w:r>
          <w:instrText xml:space="preserve"> PAGEREF _Toc20996 \h </w:instrText>
        </w:r>
        <w:r>
          <w:fldChar w:fldCharType="separate"/>
        </w:r>
        <w:r>
          <w:t>42</w:t>
        </w:r>
        <w:r>
          <w:fldChar w:fldCharType="end"/>
        </w:r>
      </w:hyperlink>
    </w:p>
    <w:p>
      <w:pPr>
        <w:pStyle w:val="TOC2"/>
        <w:tabs>
          <w:tab w:val="right" w:leader="dot" w:pos="8306"/>
        </w:tabs>
      </w:pPr>
      <w:hyperlink w:anchor="_Toc24870" w:history="1">
        <w:r>
          <w:rPr>
            <w:rFonts w:ascii="仿宋" w:eastAsia="仿宋" w:hAnsi="仿宋" w:cs="仿宋" w:hint="eastAsia"/>
            <w:lang w:eastAsia="zh-CN"/>
          </w:rPr>
          <w:t>(一)、风险识别</w:t>
        </w:r>
        <w:r>
          <w:tab/>
        </w:r>
        <w:r>
          <w:fldChar w:fldCharType="begin"/>
        </w:r>
        <w:r>
          <w:instrText xml:space="preserve"> PAGEREF _Toc24870 \h </w:instrText>
        </w:r>
        <w:r>
          <w:fldChar w:fldCharType="separate"/>
        </w:r>
        <w:r>
          <w:t>42</w:t>
        </w:r>
        <w:r>
          <w:fldChar w:fldCharType="end"/>
        </w:r>
      </w:hyperlink>
    </w:p>
    <w:p>
      <w:pPr>
        <w:pStyle w:val="TOC2"/>
        <w:tabs>
          <w:tab w:val="right" w:leader="dot" w:pos="8306"/>
        </w:tabs>
      </w:pPr>
      <w:hyperlink w:anchor="_Toc27822" w:history="1">
        <w:r>
          <w:rPr>
            <w:rFonts w:ascii="仿宋" w:eastAsia="仿宋" w:hAnsi="仿宋" w:cs="仿宋" w:hint="eastAsia"/>
            <w:lang w:eastAsia="zh-CN"/>
          </w:rPr>
          <w:t>(二)、风险分类</w:t>
        </w:r>
        <w:r>
          <w:tab/>
        </w:r>
        <w:r>
          <w:fldChar w:fldCharType="begin"/>
        </w:r>
        <w:r>
          <w:instrText xml:space="preserve"> PAGEREF _Toc27822 \h </w:instrText>
        </w:r>
        <w:r>
          <w:fldChar w:fldCharType="separate"/>
        </w:r>
        <w:r>
          <w:t>43</w:t>
        </w:r>
        <w:r>
          <w:fldChar w:fldCharType="end"/>
        </w:r>
      </w:hyperlink>
    </w:p>
    <w:p>
      <w:pPr>
        <w:pStyle w:val="TOC1"/>
        <w:tabs>
          <w:tab w:val="right" w:leader="dot" w:pos="8306"/>
        </w:tabs>
      </w:pPr>
      <w:hyperlink w:anchor="_Toc28351" w:history="1">
        <w:r>
          <w:rPr>
            <w:rFonts w:ascii="仿宋" w:eastAsia="仿宋" w:hAnsi="仿宋" w:cs="仿宋" w:hint="eastAsia"/>
            <w:lang w:eastAsia="zh-CN"/>
          </w:rPr>
          <w:t>十四、大功率激光传输石英光纤项目实施保障措施</w:t>
        </w:r>
        <w:r>
          <w:tab/>
        </w:r>
        <w:r>
          <w:fldChar w:fldCharType="begin"/>
        </w:r>
        <w:r>
          <w:instrText xml:space="preserve"> PAGEREF _Toc28351 \h </w:instrText>
        </w:r>
        <w:r>
          <w:fldChar w:fldCharType="separate"/>
        </w:r>
        <w:r>
          <w:t>45</w:t>
        </w:r>
        <w:r>
          <w:fldChar w:fldCharType="end"/>
        </w:r>
      </w:hyperlink>
    </w:p>
    <w:p>
      <w:pPr>
        <w:pStyle w:val="TOC2"/>
        <w:tabs>
          <w:tab w:val="right" w:leader="dot" w:pos="8306"/>
        </w:tabs>
      </w:pPr>
      <w:hyperlink w:anchor="_Toc19522" w:history="1">
        <w:r>
          <w:rPr>
            <w:rFonts w:ascii="仿宋" w:eastAsia="仿宋" w:hAnsi="仿宋" w:cs="仿宋" w:hint="eastAsia"/>
            <w:lang w:eastAsia="zh-CN"/>
          </w:rPr>
          <w:t>(一)、大功率激光传输石英光纤项目实施保障机制</w:t>
        </w:r>
        <w:r>
          <w:tab/>
        </w:r>
        <w:r>
          <w:fldChar w:fldCharType="begin"/>
        </w:r>
        <w:r>
          <w:instrText xml:space="preserve"> PAGEREF _Toc19522 \h </w:instrText>
        </w:r>
        <w:r>
          <w:fldChar w:fldCharType="separate"/>
        </w:r>
        <w:r>
          <w:t>45</w:t>
        </w:r>
        <w:r>
          <w:fldChar w:fldCharType="end"/>
        </w:r>
      </w:hyperlink>
    </w:p>
    <w:p>
      <w:pPr>
        <w:pStyle w:val="TOC2"/>
        <w:tabs>
          <w:tab w:val="right" w:leader="dot" w:pos="8306"/>
        </w:tabs>
      </w:pPr>
      <w:hyperlink w:anchor="_Toc21384" w:history="1">
        <w:r>
          <w:rPr>
            <w:rFonts w:ascii="仿宋" w:eastAsia="仿宋" w:hAnsi="仿宋" w:cs="仿宋" w:hint="eastAsia"/>
            <w:lang w:eastAsia="zh-CN"/>
          </w:rPr>
          <w:t>(二)、大功率激光传输石英光纤项目法律合规要求</w:t>
        </w:r>
        <w:r>
          <w:tab/>
        </w:r>
        <w:r>
          <w:fldChar w:fldCharType="begin"/>
        </w:r>
        <w:r>
          <w:instrText xml:space="preserve"> PAGEREF _Toc21384 \h </w:instrText>
        </w:r>
        <w:r>
          <w:fldChar w:fldCharType="separate"/>
        </w:r>
        <w:r>
          <w:t>49</w:t>
        </w:r>
        <w:r>
          <w:fldChar w:fldCharType="end"/>
        </w:r>
      </w:hyperlink>
    </w:p>
    <w:p>
      <w:pPr>
        <w:pStyle w:val="TOC2"/>
        <w:tabs>
          <w:tab w:val="right" w:leader="dot" w:pos="8306"/>
        </w:tabs>
      </w:pPr>
      <w:hyperlink w:anchor="_Toc15739" w:history="1">
        <w:r>
          <w:rPr>
            <w:rFonts w:ascii="仿宋" w:eastAsia="仿宋" w:hAnsi="仿宋" w:cs="仿宋" w:hint="eastAsia"/>
            <w:lang w:eastAsia="zh-CN"/>
          </w:rPr>
          <w:t>(三)、大功率激光传输石英光纤项目合同管理与法律事务</w:t>
        </w:r>
        <w:r>
          <w:tab/>
        </w:r>
        <w:r>
          <w:fldChar w:fldCharType="begin"/>
        </w:r>
        <w:r>
          <w:instrText xml:space="preserve"> PAGEREF _Toc15739 \h </w:instrText>
        </w:r>
        <w:r>
          <w:fldChar w:fldCharType="separate"/>
        </w:r>
        <w:r>
          <w:t>54</w:t>
        </w:r>
        <w:r>
          <w:fldChar w:fldCharType="end"/>
        </w:r>
      </w:hyperlink>
    </w:p>
    <w:p>
      <w:pPr>
        <w:pStyle w:val="TOC2"/>
        <w:tabs>
          <w:tab w:val="right" w:leader="dot" w:pos="8306"/>
        </w:tabs>
      </w:pPr>
      <w:hyperlink w:anchor="_Toc8895" w:history="1">
        <w:r>
          <w:rPr>
            <w:rFonts w:ascii="仿宋" w:eastAsia="仿宋" w:hAnsi="仿宋" w:cs="仿宋" w:hint="eastAsia"/>
            <w:lang w:eastAsia="zh-CN"/>
          </w:rPr>
          <w:t>(四)、大功率激光传输石英光纤项目知识产权保护策略</w:t>
        </w:r>
        <w:r>
          <w:tab/>
        </w:r>
        <w:r>
          <w:fldChar w:fldCharType="begin"/>
        </w:r>
        <w:r>
          <w:instrText xml:space="preserve"> PAGEREF _Toc8895 \h </w:instrText>
        </w:r>
        <w:r>
          <w:fldChar w:fldCharType="separate"/>
        </w:r>
        <w:r>
          <w:t>60</w:t>
        </w:r>
        <w:r>
          <w:fldChar w:fldCharType="end"/>
        </w:r>
      </w:hyperlink>
    </w:p>
    <w:p>
      <w:pPr>
        <w:pStyle w:val="TOC1"/>
        <w:tabs>
          <w:tab w:val="right" w:leader="dot" w:pos="8306"/>
        </w:tabs>
      </w:pPr>
      <w:hyperlink w:anchor="_Toc25160" w:history="1">
        <w:r>
          <w:rPr>
            <w:rFonts w:ascii="仿宋" w:eastAsia="仿宋" w:hAnsi="仿宋" w:cs="仿宋" w:hint="eastAsia"/>
            <w:lang w:eastAsia="zh-CN"/>
          </w:rPr>
          <w:t>十五、营销与推广策略</w:t>
        </w:r>
        <w:r>
          <w:tab/>
        </w:r>
        <w:r>
          <w:fldChar w:fldCharType="begin"/>
        </w:r>
        <w:r>
          <w:instrText xml:space="preserve"> PAGEREF _Toc25160 \h </w:instrText>
        </w:r>
        <w:r>
          <w:fldChar w:fldCharType="separate"/>
        </w:r>
        <w:r>
          <w:t>63</w:t>
        </w:r>
        <w:r>
          <w:fldChar w:fldCharType="end"/>
        </w:r>
      </w:hyperlink>
    </w:p>
    <w:p>
      <w:pPr>
        <w:pStyle w:val="TOC2"/>
        <w:tabs>
          <w:tab w:val="right" w:leader="dot" w:pos="8306"/>
        </w:tabs>
      </w:pPr>
      <w:hyperlink w:anchor="_Toc2975" w:history="1">
        <w:r>
          <w:rPr>
            <w:rFonts w:ascii="仿宋" w:eastAsia="仿宋" w:hAnsi="仿宋" w:cs="仿宋" w:hint="eastAsia"/>
            <w:lang w:eastAsia="zh-CN"/>
          </w:rPr>
          <w:t>(一)、产品/服务定位与特点</w:t>
        </w:r>
        <w:r>
          <w:tab/>
        </w:r>
        <w:r>
          <w:fldChar w:fldCharType="begin"/>
        </w:r>
        <w:r>
          <w:instrText xml:space="preserve"> PAGEREF _Toc2975 \h </w:instrText>
        </w:r>
        <w:r>
          <w:fldChar w:fldCharType="separate"/>
        </w:r>
        <w:r>
          <w:t>63</w:t>
        </w:r>
        <w:r>
          <w:fldChar w:fldCharType="end"/>
        </w:r>
      </w:hyperlink>
    </w:p>
    <w:p>
      <w:pPr>
        <w:pStyle w:val="TOC2"/>
        <w:tabs>
          <w:tab w:val="right" w:leader="dot" w:pos="8306"/>
        </w:tabs>
      </w:pPr>
      <w:hyperlink w:anchor="_Toc30196" w:history="1">
        <w:r>
          <w:rPr>
            <w:rFonts w:ascii="仿宋" w:eastAsia="仿宋" w:hAnsi="仿宋" w:cs="仿宋" w:hint="eastAsia"/>
            <w:lang w:eastAsia="zh-CN"/>
          </w:rPr>
          <w:t>(二)、市场定位与竞争分析</w:t>
        </w:r>
        <w:r>
          <w:tab/>
        </w:r>
        <w:r>
          <w:fldChar w:fldCharType="begin"/>
        </w:r>
        <w:r>
          <w:instrText xml:space="preserve"> PAGEREF _Toc30196 \h </w:instrText>
        </w:r>
        <w:r>
          <w:fldChar w:fldCharType="separate"/>
        </w:r>
        <w:r>
          <w:t>64</w:t>
        </w:r>
        <w:r>
          <w:fldChar w:fldCharType="end"/>
        </w:r>
      </w:hyperlink>
    </w:p>
    <w:p>
      <w:pPr>
        <w:pStyle w:val="TOC2"/>
        <w:tabs>
          <w:tab w:val="right" w:leader="dot" w:pos="8306"/>
        </w:tabs>
      </w:pPr>
      <w:hyperlink w:anchor="_Toc26966" w:history="1">
        <w:r>
          <w:rPr>
            <w:rFonts w:ascii="仿宋" w:eastAsia="仿宋" w:hAnsi="仿宋" w:cs="仿宋" w:hint="eastAsia"/>
            <w:lang w:eastAsia="zh-CN"/>
          </w:rPr>
          <w:t>(三)、营销渠道与策略</w:t>
        </w:r>
        <w:r>
          <w:tab/>
        </w:r>
        <w:r>
          <w:fldChar w:fldCharType="begin"/>
        </w:r>
        <w:r>
          <w:instrText xml:space="preserve"> PAGEREF _Toc26966 \h </w:instrText>
        </w:r>
        <w:r>
          <w:fldChar w:fldCharType="separate"/>
        </w:r>
        <w:r>
          <w:t>66</w:t>
        </w:r>
        <w:r>
          <w:fldChar w:fldCharType="end"/>
        </w:r>
      </w:hyperlink>
    </w:p>
    <w:p>
      <w:pPr>
        <w:pStyle w:val="TOC2"/>
        <w:tabs>
          <w:tab w:val="right" w:leader="dot" w:pos="8306"/>
        </w:tabs>
      </w:pPr>
      <w:hyperlink w:anchor="_Toc1985" w:history="1">
        <w:r>
          <w:rPr>
            <w:rFonts w:ascii="仿宋" w:eastAsia="仿宋" w:hAnsi="仿宋" w:cs="仿宋" w:hint="eastAsia"/>
            <w:lang w:eastAsia="zh-CN"/>
          </w:rPr>
          <w:t>(四)、推广与宣传活动</w:t>
        </w:r>
        <w:r>
          <w:tab/>
        </w:r>
        <w:r>
          <w:fldChar w:fldCharType="begin"/>
        </w:r>
        <w:r>
          <w:instrText xml:space="preserve"> PAGEREF _Toc1985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5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299"/>
      <w:r>
        <w:rPr>
          <w:rFonts w:ascii="仿宋" w:eastAsia="仿宋" w:hAnsi="仿宋" w:cs="仿宋" w:hint="eastAsia"/>
          <w:lang w:eastAsia="zh-CN"/>
        </w:rPr>
        <w:t>(一)、大功率激光传输石英光纤行业分析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行业一直以来都是市场的关注焦点。行业内的发展趋势、竞争态势以及潜在机会都对大功率激光传输石英光纤项目的推进产生深远的影响。通过深入研究行业的整体概貌，我们将更好地理解行业的核心特征，为大功率激光传输石英光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行业，技术一直是推动创新和发展的关键因素。我们将对当前技术趋势进行详尽分析，包括但不限于人工智能、大数据应用、先进制造技术等。这有助于大功率激光传输石英光纤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功率激光传输石英光纤项目成功的基础。我们将对主要竞争对手进行深入研究，包括其市场份额、产品特点、市场定位等。通过全面了解竞争对手的优势和劣势，大功率激光传输石英光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438"/>
      <w:r>
        <w:rPr>
          <w:rFonts w:ascii="仿宋" w:eastAsia="仿宋" w:hAnsi="仿宋" w:cs="仿宋" w:hint="eastAsia"/>
          <w:sz w:val="28"/>
          <w:lang w:eastAsia="zh-CN"/>
        </w:rPr>
        <w:t>(二)、大功率激光传输石英光纤市场分析预测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功率激光传输石英光纤市场未来的增长趋势。这包括市场的整体规模、各细分领域的发展趋势等。大功率激光传输石英光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功率激光传输石英光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功率激光传输石英光纤项目实施过程中需要充分考虑的因素。我们将对市场风险进行全面评估，包括但不限于政策法规风险、市场竞争风险、技术变革风险等。通过对潜在风险的深入分析，大功率激光传输石英光纤项目可以制定相应的风险缓解策略，降低不确定性对大功率激光传输石英光纤项目的影响。</w:t>
      </w:r>
    </w:p>
    <w:p>
      <w:pPr>
        <w:pStyle w:val="Heading1"/>
        <w:ind w:firstLine="560" w:firstLineChars="200"/>
        <w:rPr>
          <w:rFonts w:ascii="仿宋" w:eastAsia="仿宋" w:hAnsi="仿宋" w:cs="仿宋" w:hint="eastAsia"/>
          <w:sz w:val="28"/>
          <w:lang w:eastAsia="zh-CN"/>
        </w:rPr>
      </w:pPr>
      <w:bookmarkStart w:id="5" w:name="_Toc147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大功率激光传输石英光纤项目的主要产品是XXXX，预计年产值为XXX万元。这一产品在市场中占据着重要的地位，其广泛的应用范围使得该大功率激光传输石英光纤项目的市场前景非常广阔。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产业生态系统中，大功率激光传输石英光纤项目的xxx产品作为重要的原材料之一，将在多个领域发挥关键作用。其在建筑、交通、能源等方面的广泛应用将为整个产业链提供强大的支持，形成产业协同效应。大功率激光传输石英光纤项目的年产值XXX万XXX万XXX万万元不仅反映了其在市场上的巨大潜力，更预示着它对国民经济的积极贡献。这种关联度高、涉及面广的产业关系，使得该大功率激光传输石英光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08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总征地面积为XXXX平方米，相当于约XX.XX亩，其中净用地面积为XXXX平方米，红线范围内相当于约XX.XX亩。这一用地规模充分考虑了大功率激光传输石英光纤项目的建设需求，保障了大功率激光传输石英光纤项目在合适的空间内得以充分发展。大功率激光传输石英光纤项目规划的总建筑面积为XXXX平方米，其中主体工程建设占XXXX平方米，计容建筑面积达XXXX平方米。预计建筑工程的投资将达到XXXX万元，为大功率激光传输石英光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计划购置的设备共计XXXX台（套），设备购置费用为XXXX万元。这一设备购置计划充分考虑到大功率激光传输石英光纤项目的生产需求和技术要求，确保了大功率激光传输石英光纤项目在生产运营中具备先进的技术装备和高效的生产能力。设备的合理配置将为大功率激光传输石英光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计划总投资为XXXX万元，预计年实现营业收入为XXXX万元。这一产能规模的设定旨在确保大功率激光传输石英光纤项目能够在投资与回报之间取得平衡，实现长期可持续的发展。大功率激光传输石英光纤项目的总投资充分考虑到各个方面的需求，包括用地建设、设备购置等多个环节，以确保大功率激光传输石英光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69"/>
      <w:r>
        <w:rPr>
          <w:rFonts w:ascii="仿宋" w:eastAsia="仿宋" w:hAnsi="仿宋" w:cs="仿宋" w:hint="eastAsia"/>
          <w:sz w:val="28"/>
          <w:lang w:eastAsia="zh-CN"/>
        </w:rPr>
        <w:t>三、大功率激光传输石英光纤项目土建工程</w:t>
      </w:r>
      <w:bookmarkEnd w:id="8"/>
    </w:p>
    <w:p>
      <w:pPr>
        <w:pStyle w:val="Heading2"/>
        <w:rPr>
          <w:rFonts w:ascii="仿宋" w:eastAsia="仿宋" w:hAnsi="仿宋" w:cs="仿宋" w:hint="eastAsia"/>
          <w:lang w:eastAsia="zh-CN"/>
        </w:rPr>
      </w:pPr>
      <w:bookmarkStart w:id="9" w:name="_Toc2573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在大功率激光传输石英光纤项目的建筑工程设计中，我们将秉承一系列重要的设计原则，以确保大功率激光传输石英光纤项目建筑在功能、美观、可持续性等方面达到最佳效果。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首要原则是确保建筑的功能性得到最大化的发挥。我们将充分理解大功率激光传输石英光纤项目的实际需求，合理布局各个功能区域，保证建筑在满足业务需求的同时，提供高效的工作环境。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在建筑设计中，我们将综合考虑建设和运营成本。通过精细的经济效益分析，确保设计方案在高效利用资源的同时，对大功率激光传输石英光纤项目的长期盈利能力有积极的贡献。</w:t>
      </w:r>
    </w:p>
    <w:p>
      <w:pPr>
        <w:pStyle w:val="Heading2"/>
        <w:ind w:firstLine="560" w:firstLineChars="200"/>
        <w:rPr>
          <w:rFonts w:ascii="仿宋" w:eastAsia="仿宋" w:hAnsi="仿宋" w:cs="仿宋" w:hint="eastAsia"/>
          <w:sz w:val="28"/>
          <w:lang w:eastAsia="zh-CN"/>
        </w:rPr>
      </w:pPr>
      <w:bookmarkStart w:id="10" w:name="_Toc571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的土建工程设计中，我们将精准设定设计年限，结合大功率激光传输石英光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功率激光传输石英光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35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功率激光传输石英光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功率激光传输石英光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功率激光传输石英光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844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本期工程大功率激光传输石英光纤项目预计总建筑面积XXX平方米，其中：计容建筑面积XXX平方米，计划建筑工程投资XX万元，占大功率激光传输石英光纤项目总投资的XX%。</w:t>
      </w:r>
    </w:p>
    <w:p>
      <w:pPr>
        <w:pStyle w:val="Heading1"/>
        <w:ind w:firstLine="560" w:firstLineChars="200"/>
        <w:rPr>
          <w:rFonts w:ascii="仿宋" w:eastAsia="仿宋" w:hAnsi="仿宋" w:cs="仿宋" w:hint="eastAsia"/>
          <w:sz w:val="28"/>
          <w:lang w:eastAsia="zh-CN"/>
        </w:rPr>
      </w:pPr>
      <w:bookmarkStart w:id="13" w:name="_Toc23452"/>
      <w:r>
        <w:rPr>
          <w:rFonts w:ascii="仿宋" w:eastAsia="仿宋" w:hAnsi="仿宋" w:cs="仿宋" w:hint="eastAsia"/>
          <w:sz w:val="28"/>
          <w:lang w:eastAsia="zh-CN"/>
        </w:rPr>
        <w:t>四、大功率激光传输石英光纤项目危机管理</w:t>
      </w:r>
      <w:bookmarkEnd w:id="13"/>
    </w:p>
    <w:p>
      <w:pPr>
        <w:pStyle w:val="Heading2"/>
        <w:rPr>
          <w:rFonts w:ascii="仿宋" w:eastAsia="仿宋" w:hAnsi="仿宋" w:cs="仿宋" w:hint="eastAsia"/>
          <w:lang w:eastAsia="zh-CN"/>
        </w:rPr>
      </w:pPr>
      <w:bookmarkStart w:id="14" w:name="_Toc2814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危机管理中，危机预警与识别是确保大功率激光传输石英光纤项目稳健运行的核心步骤。通过建立全面的监测机制，大功率激光传输石英光纤项目团队旨在及时发现和理解潜在的风险和危机因素，以便采取及时的预防和应对措施，确保大功率激光传输石英光纤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功率激光传输石英光纤项目团队全面分析了整个大功率激光传输石英光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功率激光传输石英光纤项目团队着重于明确定义大功率激光传输石英光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功率激光传输石英光纤项目进展的持续监控，团队能够及时发现潜在问题并作出迅速反应。大功率激光传输石英光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功率激光传输石英光纤项目得以更有序、可控地推进。</w:t>
      </w:r>
    </w:p>
    <w:p>
      <w:pPr>
        <w:pStyle w:val="Heading2"/>
        <w:ind w:firstLine="560" w:firstLineChars="200"/>
        <w:rPr>
          <w:rFonts w:ascii="仿宋" w:eastAsia="仿宋" w:hAnsi="仿宋" w:cs="仿宋" w:hint="eastAsia"/>
          <w:sz w:val="28"/>
          <w:lang w:eastAsia="zh-CN"/>
        </w:rPr>
      </w:pPr>
      <w:bookmarkStart w:id="15" w:name="_Toc2649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在危机发生时，大功率激光传输石英光纤项目团队立即行动，成立了应急小组。该小组的任务是迅速制定并实施紧急应对措施，以最小化潜在损失。以下是采取的主要措施：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暂停大功率激光传输石英光纤项目进度：为遏制危机蔓延，大功率激光传输石英光纤项目暂时停止进行，以便全面评估当前状况。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资源重新分配：重新评估大功率激光传输石英光纤项目资源的分配，确保最大限度地减小损失。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实时沟通：与关键利益相关者建立实时沟通机制，向他们传递大功率激光传输石英光纤项目危机的实际状况，保障大功率激光传输石英光纤项目核心利益。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在紧急应对的同时，大功率激光传输石英光纤项目团队强调了团队协作和有效沟通的重要性。以下是团队协作的关键举措：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信息共享机制：建立了信息共享平台，确保团队成员能够及时获取大功率激光传输石英光纤项目危机的实时信息。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领导者沟通：大功率激光传输石英光纤项目领导者通过定期会议和即时沟通工具，指导团队应对危机，保持团队稳定运行。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随着危机得到初步控制，大功率激光传输石英光纤项目团队转向制定恢复计划，以确保大功率激光传输石英光纤项目能够从中迅速恢复。主要恢复计划包括：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修复受损的进度计划：重新评估大功率激光传输石英光纤项目进度，制定修复计划，确保大功率激光传输石英光纤项目尽快回归正常进程。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重新调整资源分配：优化资源分配，确保大功率激光传输石英光纤项目在有限资源下高效运转。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风险管理机制加强：对大功率激光传输石英光纤项目风险进行全面评估，制定更强化的风险管理策略，以预防未来可能的危机。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46"/>
      <w:r>
        <w:rPr>
          <w:rFonts w:ascii="仿宋" w:eastAsia="仿宋" w:hAnsi="仿宋" w:cs="仿宋" w:hint="eastAsia"/>
          <w:sz w:val="28"/>
          <w:lang w:eastAsia="zh-CN"/>
        </w:rPr>
        <w:t>五、大功率激光传输石英光纤项目建设单位说明</w:t>
      </w:r>
      <w:bookmarkEnd w:id="16"/>
    </w:p>
    <w:p>
      <w:pPr>
        <w:pStyle w:val="Heading2"/>
        <w:rPr>
          <w:rFonts w:ascii="仿宋" w:eastAsia="仿宋" w:hAnsi="仿宋" w:cs="仿宋" w:hint="eastAsia"/>
          <w:lang w:eastAsia="zh-CN"/>
        </w:rPr>
      </w:pPr>
      <w:bookmarkStart w:id="17" w:name="_Toc6013"/>
      <w:r>
        <w:rPr>
          <w:rFonts w:ascii="仿宋" w:eastAsia="仿宋" w:hAnsi="仿宋" w:cs="仿宋" w:hint="eastAsia"/>
          <w:lang w:eastAsia="zh-CN"/>
        </w:rPr>
        <w:t>(一)、大功率激光传输石英光纤项目承办单位基本情况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96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功率激光传输石英光纤项目承办单位的XXXX，我们着眼于实现可持续的经济效益。通过技术创新和解决方案的提供，公司预计在大功率激光传输石英光纤项目执行期间将获得可观的收入增长。这一收入来源主要包括大功率激光传输石英光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同时，我们注重成本控制和效率提升，以确保大功率激光传输石英光纤项目的可持续盈利。透过精细的管理和资源优化，公司期望实现大功率激光传输石英光纤项目利润最大化。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功率激光传输石英光纤项目实施进行全面的投资评估，包括大功率激光传输石英光纤项目启动阶段的资金投入和后续运营成本。通过对大功率激光传输石英光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功率激光传输石英光纤项目实施过程中具备足够的资金流动性，公司将进行详尽的现金流分析。这包括资金需求的合理预测、大功率激光传输石英光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6067"/>
      <w:r>
        <w:rPr>
          <w:rFonts w:ascii="仿宋" w:eastAsia="仿宋" w:hAnsi="仿宋" w:cs="仿宋" w:hint="eastAsia"/>
          <w:sz w:val="28"/>
          <w:lang w:eastAsia="zh-CN"/>
        </w:rPr>
        <w:t>六、大功率激光传输石英光纤项目概论</w:t>
      </w:r>
      <w:bookmarkEnd w:id="19"/>
    </w:p>
    <w:p>
      <w:pPr>
        <w:pStyle w:val="Heading2"/>
        <w:rPr>
          <w:rFonts w:ascii="仿宋" w:eastAsia="仿宋" w:hAnsi="仿宋" w:cs="仿宋" w:hint="eastAsia"/>
          <w:lang w:eastAsia="zh-CN"/>
        </w:rPr>
      </w:pPr>
      <w:bookmarkStart w:id="20" w:name="_Toc29234"/>
      <w:r>
        <w:rPr>
          <w:rFonts w:ascii="仿宋" w:eastAsia="仿宋" w:hAnsi="仿宋" w:cs="仿宋" w:hint="eastAsia"/>
          <w:lang w:eastAsia="zh-CN"/>
        </w:rPr>
        <w:t>(一)、大功率激光传输石英光纤项目概况</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起源追溯至对市场的深入洞察。市场的不断演变与变革为大功率激光传输石英光纤项目提供了难得的机遇。当前市场存在的需求缺口和变革的大环境共同构成了大功率激光传输石英光纤项目的背景。这个大功率激光传输石英光纤项目旨在充分利用市场机遇，填补行业中尚未满足的需求，为客户提供全新的解决方案。市场的变革和需求的增长使得这个大功率激光传输石英光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大功率激光传输石英光纤项目名称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正式命名为大功率激光传输石英光纤。这个名称不仅仅是一个标识，更代表了大功率激光传输石英光纤项目的核心理念和愿景。它蕴含着大功率激光传输石英光纤项目所要解决问题的关键字，具有强烈的表达和辨识度，为大功率激光传输石英光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大功率激光传输石英光纤项目目标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核心目标是提供一种全新、高效的解决方案，满足客户日益增长的需求。大功率激光传输石英光纤项目追求的不仅仅是满足市场需求，更是在市场中获得卓越的竞争优势。通过不断提升产品或服务的质量和创新水平，大功率激光传输石英光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大功率激光传输石英光纤项目范围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全面涵盖了产品研发、制造、市场推广和售后服务，确保从产品设计到最终用户体验的全方位关注。这一全面的大功率激光传输石英光纤项目范围是为了确保大功率激光传输石英光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大功率激光传输石英光纤项目时间表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计划在未来18个月内完成，包括研发、测试、市场试点和正式推出等不同阶段。这个时间表的合理设计是为了确保大功率激光传输石英光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大功率激光传输石英光纤项目预算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总预算估算为XX百万美元，主要分配在研发、市场推广、人员培训和运营等方面。这一充足的预算为大功率激光传输石英光纤项目提供了充足的资源，确保大功率激光传输石英光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大功率激光传输石英光纤项目风险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可能面临的风险包括市场接受度低、技术难题、竞争激烈等。大功率激光传输石英光纤项目团队已经制定了相应的风险应对计划，通过前瞻性的风险管理，确保大功率激光传输石英光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大功率激光传输石英光纤项目团队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https://d.book118.com/166015012011010035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041872"/>
    <w:rsid w:val="270418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150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2024-01-15T23:59:00Z</dcterms:created>
  <dcterms:modified xsi:type="dcterms:W3CDTF">2024-01-15T23:59:57Z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17AFAA1BE1484D19A46E40415B71C827_11</vt:lpwstr>
  </property>
  <property fmtid="{D5CDD505-2E9C-101B-9397-08002B2CF9AE}" pid="3" name="KSOProductBuildVer">
    <vt:lpwstr>2052-12.1.0.16120</vt:lpwstr>
  </property>
</Properties>
</file>