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院线行业相关公司筹备报告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1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_Toc24145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(一)、院线项目选址原则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(五)、院线项目选址综合评价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_Toc16702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四、院线筹建公司基本信息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" w:history="1">
        <w:r>
          <w:rPr>
            <w:rFonts w:ascii="仿宋" w:eastAsia="仿宋" w:hAnsi="仿宋" w:cs="仿宋" w:hint="eastAsia"/>
            <w:lang w:eastAsia="zh-CN"/>
          </w:rPr>
          <w:t>六、院线项目经济效益</w:t>
        </w:r>
        <w:r>
          <w:tab/>
        </w:r>
        <w:r>
          <w:fldChar w:fldCharType="begin"/>
        </w:r>
        <w:r>
          <w:instrText xml:space="preserve"> PAGEREF _Toc980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_Toc11439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(三)、院线项目盈利能力分析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_Toc13860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七、院线项目风险分析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(一)、院线项目风险分析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(二)、院线项目风险对策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(五)、院线项目总投资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_Toc20303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_Toc14846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_Toc29319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2" w:history="1">
        <w:r>
          <w:rPr>
            <w:rFonts w:ascii="仿宋" w:eastAsia="仿宋" w:hAnsi="仿宋" w:cs="仿宋" w:hint="eastAsia"/>
            <w:lang w:eastAsia="zh-CN"/>
          </w:rPr>
          <w:t>十五、院线项目总结分析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1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26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https://d.book118.com/166041150224010050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6041150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2024-01-26T17:56:00Z</dcterms:created>
  <dcterms:modified xsi:type="dcterms:W3CDTF">2024-01-26T17:56:27Z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7D3A61C3B0FB472D8B72BB45BFDB60BE_11</vt:lpwstr>
  </property>
  <property fmtid="{D5CDD505-2E9C-101B-9397-08002B2CF9AE}" pid="3" name="KSOProductBuildVer">
    <vt:lpwstr>2052-12.1.0.16120</vt:lpwstr>
  </property>
</Properties>
</file>