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848" w:lineRule="exact"/>
        <w:ind w:left="941"/>
      </w:pPr>
      <w:r>
        <w:t>附件 3：</w:t>
      </w:r>
    </w:p>
    <w:p>
      <w:pPr>
        <w:pStyle w:val="Heading2"/>
        <w:spacing w:before="64"/>
        <w:ind w:left="941"/>
      </w:pPr>
      <w:r>
        <w:t>报告编码</w:t>
      </w:r>
    </w:p>
    <w:p>
      <w:pPr>
        <w:pStyle w:val="BodyText"/>
        <w:rPr>
          <w:rFonts w:ascii="宋体"/>
          <w:b/>
          <w:sz w:val="42"/>
        </w:rPr>
      </w:pPr>
      <w:r>
        <w:br w:type="column"/>
      </w:r>
    </w:p>
    <w:p>
      <w:pPr>
        <w:pStyle w:val="BodyText"/>
        <w:rPr>
          <w:rFonts w:ascii="宋体"/>
          <w:b/>
          <w:sz w:val="42"/>
        </w:rPr>
      </w:pPr>
    </w:p>
    <w:p>
      <w:pPr>
        <w:pStyle w:val="BodyText"/>
        <w:spacing w:before="5"/>
        <w:rPr>
          <w:rFonts w:ascii="宋体"/>
          <w:b/>
          <w:sz w:val="39"/>
        </w:rPr>
      </w:pPr>
    </w:p>
    <w:p>
      <w:pPr>
        <w:spacing w:before="0"/>
        <w:ind w:left="94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报告编号：</w:t>
      </w:r>
    </w:p>
    <w:p>
      <w:pPr>
        <w:spacing w:before="365"/>
        <w:ind w:left="1298" w:right="0" w:firstLine="0"/>
        <w:jc w:val="left"/>
        <w:rPr>
          <w:rFonts w:ascii="幼圆"/>
          <w:sz w:val="42"/>
        </w:rPr>
      </w:pPr>
      <w:r>
        <w:rPr>
          <w:rFonts w:ascii="幼圆"/>
          <w:sz w:val="42"/>
        </w:rPr>
        <w:t>No.</w:t>
      </w:r>
    </w:p>
    <w:p>
      <w:pPr>
        <w:spacing w:after="0"/>
        <w:jc w:val="left"/>
        <w:rPr>
          <w:rFonts w:ascii="幼圆"/>
          <w:sz w:val="42"/>
        </w:rPr>
        <w:sectPr>
          <w:type w:val="continuous"/>
          <w:pgSz w:w="17860" w:h="25260"/>
          <w:pgMar w:top="1580" w:right="660" w:bottom="280" w:left="1100" w:header="708" w:footer="708"/>
          <w:cols w:num="2" w:space="708" w:equalWidth="0">
            <w:col w:w="4107" w:space="3727"/>
            <w:col w:w="8266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Heading1"/>
        <w:ind w:right="436"/>
        <w:jc w:val="center"/>
      </w:pPr>
      <w:r>
        <w:rPr>
          <w:spacing w:val="202"/>
          <w:w w:val="95"/>
        </w:rPr>
        <w:t>房屋建筑安全评估报告</w:t>
      </w:r>
    </w:p>
    <w:p>
      <w:pPr>
        <w:pStyle w:val="Heading2"/>
        <w:ind w:right="524"/>
        <w:jc w:val="center"/>
      </w:pPr>
      <w:r>
        <w:t>Building Safety Assessment</w:t>
      </w:r>
      <w:r>
        <w:rPr>
          <w:spacing w:val="-83"/>
        </w:rPr>
        <w:t xml:space="preserve"> </w:t>
      </w:r>
      <w:r>
        <w:t>Report</w:t>
      </w:r>
    </w:p>
    <w:p>
      <w:pPr>
        <w:pStyle w:val="BodyText"/>
        <w:rPr>
          <w:rFonts w:ascii="宋体"/>
          <w:b/>
          <w:sz w:val="78"/>
        </w:rPr>
      </w:pPr>
    </w:p>
    <w:p>
      <w:pPr>
        <w:pStyle w:val="BodyText"/>
        <w:rPr>
          <w:rFonts w:ascii="宋体"/>
          <w:b/>
          <w:sz w:val="78"/>
        </w:rPr>
      </w:pPr>
    </w:p>
    <w:p>
      <w:pPr>
        <w:pStyle w:val="BodyText"/>
        <w:rPr>
          <w:rFonts w:ascii="宋体"/>
          <w:b/>
          <w:sz w:val="78"/>
        </w:rPr>
      </w:pPr>
    </w:p>
    <w:p>
      <w:pPr>
        <w:pStyle w:val="BodyText"/>
        <w:rPr>
          <w:rFonts w:ascii="宋体"/>
          <w:b/>
          <w:sz w:val="78"/>
        </w:rPr>
      </w:pPr>
    </w:p>
    <w:p>
      <w:pPr>
        <w:pStyle w:val="BodyText"/>
        <w:rPr>
          <w:rFonts w:ascii="宋体"/>
          <w:b/>
          <w:sz w:val="106"/>
        </w:rPr>
      </w:pPr>
    </w:p>
    <w:p>
      <w:pPr>
        <w:pStyle w:val="Heading3"/>
        <w:ind w:left="3652"/>
        <w:rPr>
          <w:rFonts w:ascii="幼圆" w:eastAsia="幼圆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512698</wp:posOffset>
            </wp:positionV>
            <wp:extent cx="3673792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项目名称</w:t>
      </w:r>
      <w:r>
        <w:rPr>
          <w:rFonts w:ascii="幼圆" w:eastAsia="幼圆" w:hint="eastAsia"/>
        </w:rPr>
        <w:t>：</w:t>
      </w:r>
    </w:p>
    <w:p>
      <w:pPr>
        <w:spacing w:before="0"/>
        <w:ind w:left="3739" w:right="0" w:firstLine="0"/>
        <w:jc w:val="left"/>
        <w:rPr>
          <w:rFonts w:ascii="Times New Roman"/>
          <w:b/>
          <w:sz w:val="42"/>
        </w:rPr>
      </w:pPr>
      <w:r>
        <w:rPr>
          <w:rFonts w:ascii="Times New Roman"/>
          <w:b/>
          <w:sz w:val="42"/>
        </w:rPr>
        <w:t>P r o j e c t</w:t>
      </w:r>
    </w:p>
    <w:p>
      <w:pPr>
        <w:pStyle w:val="BodyText"/>
        <w:spacing w:before="5"/>
        <w:rPr>
          <w:rFonts w:ascii="Times New Roman"/>
          <w:b/>
          <w:sz w:val="40"/>
        </w:rPr>
      </w:pPr>
    </w:p>
    <w:p>
      <w:pPr>
        <w:pStyle w:val="Heading3"/>
        <w:spacing w:before="1"/>
        <w:ind w:left="3652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513333</wp:posOffset>
            </wp:positionV>
            <wp:extent cx="3673792" cy="38004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鉴定机构：</w:t>
      </w:r>
    </w:p>
    <w:p>
      <w:pPr>
        <w:tabs>
          <w:tab w:val="left" w:pos="6304"/>
        </w:tabs>
        <w:spacing w:before="0"/>
        <w:ind w:left="3739" w:right="0" w:firstLine="0"/>
        <w:jc w:val="left"/>
        <w:rPr>
          <w:rFonts w:ascii="Times New Roman"/>
          <w:b/>
          <w:sz w:val="42"/>
        </w:rPr>
      </w:pPr>
      <w:r>
        <w:rPr>
          <w:rFonts w:ascii="Times New Roman"/>
          <w:b/>
          <w:sz w:val="42"/>
        </w:rPr>
        <w:t>A</w:t>
      </w:r>
      <w:r>
        <w:rPr>
          <w:rFonts w:ascii="Times New Roman"/>
          <w:b/>
          <w:spacing w:val="-39"/>
          <w:sz w:val="42"/>
        </w:rPr>
        <w:t xml:space="preserve"> </w:t>
      </w:r>
      <w:r>
        <w:rPr>
          <w:rFonts w:ascii="Times New Roman"/>
          <w:b/>
          <w:sz w:val="42"/>
        </w:rPr>
        <w:t>p</w:t>
      </w:r>
      <w:r>
        <w:rPr>
          <w:rFonts w:ascii="Times New Roman"/>
          <w:b/>
          <w:spacing w:val="-38"/>
          <w:sz w:val="42"/>
        </w:rPr>
        <w:t xml:space="preserve"> </w:t>
      </w:r>
      <w:r>
        <w:rPr>
          <w:rFonts w:ascii="Times New Roman"/>
          <w:b/>
          <w:sz w:val="42"/>
        </w:rPr>
        <w:t>p</w:t>
      </w:r>
      <w:r>
        <w:rPr>
          <w:rFonts w:ascii="Times New Roman"/>
          <w:b/>
          <w:spacing w:val="-37"/>
          <w:sz w:val="42"/>
        </w:rPr>
        <w:t xml:space="preserve"> </w:t>
      </w:r>
      <w:r>
        <w:rPr>
          <w:rFonts w:ascii="Times New Roman"/>
          <w:b/>
          <w:sz w:val="42"/>
        </w:rPr>
        <w:t>r</w:t>
      </w:r>
      <w:r>
        <w:rPr>
          <w:rFonts w:ascii="Times New Roman"/>
          <w:b/>
          <w:spacing w:val="-37"/>
          <w:sz w:val="42"/>
        </w:rPr>
        <w:t xml:space="preserve"> </w:t>
      </w:r>
      <w:r>
        <w:rPr>
          <w:rFonts w:ascii="Times New Roman"/>
          <w:b/>
          <w:sz w:val="42"/>
        </w:rPr>
        <w:t>a</w:t>
      </w:r>
      <w:r>
        <w:rPr>
          <w:rFonts w:ascii="Times New Roman"/>
          <w:b/>
          <w:spacing w:val="-34"/>
          <w:sz w:val="42"/>
        </w:rPr>
        <w:t xml:space="preserve"> </w:t>
      </w:r>
      <w:r>
        <w:rPr>
          <w:rFonts w:ascii="Times New Roman"/>
          <w:b/>
          <w:sz w:val="42"/>
        </w:rPr>
        <w:t>i</w:t>
      </w:r>
      <w:r>
        <w:rPr>
          <w:rFonts w:ascii="Times New Roman"/>
          <w:b/>
          <w:spacing w:val="-36"/>
          <w:sz w:val="42"/>
        </w:rPr>
        <w:t xml:space="preserve"> </w:t>
      </w:r>
      <w:r>
        <w:rPr>
          <w:rFonts w:ascii="Times New Roman"/>
          <w:b/>
          <w:sz w:val="42"/>
        </w:rPr>
        <w:t>s</w:t>
      </w:r>
      <w:r>
        <w:rPr>
          <w:rFonts w:ascii="Times New Roman"/>
          <w:b/>
          <w:spacing w:val="-35"/>
          <w:sz w:val="42"/>
        </w:rPr>
        <w:t xml:space="preserve"> </w:t>
      </w:r>
      <w:r>
        <w:rPr>
          <w:rFonts w:ascii="Times New Roman"/>
          <w:b/>
          <w:sz w:val="42"/>
        </w:rPr>
        <w:t>a</w:t>
      </w:r>
      <w:r>
        <w:rPr>
          <w:rFonts w:ascii="Times New Roman"/>
          <w:b/>
          <w:spacing w:val="-39"/>
          <w:sz w:val="42"/>
        </w:rPr>
        <w:t xml:space="preserve"> </w:t>
      </w:r>
      <w:r>
        <w:rPr>
          <w:rFonts w:ascii="Times New Roman"/>
          <w:b/>
          <w:sz w:val="42"/>
        </w:rPr>
        <w:t>l</w:t>
        <w:tab/>
        <w:t>U</w:t>
      </w:r>
      <w:r>
        <w:rPr>
          <w:rFonts w:ascii="Times New Roman"/>
          <w:b/>
          <w:spacing w:val="-39"/>
          <w:sz w:val="42"/>
        </w:rPr>
        <w:t xml:space="preserve"> </w:t>
      </w:r>
      <w:r>
        <w:rPr>
          <w:rFonts w:ascii="Times New Roman"/>
          <w:b/>
          <w:sz w:val="42"/>
        </w:rPr>
        <w:t>n</w:t>
      </w:r>
      <w:r>
        <w:rPr>
          <w:rFonts w:ascii="Times New Roman"/>
          <w:b/>
          <w:spacing w:val="-38"/>
          <w:sz w:val="42"/>
        </w:rPr>
        <w:t xml:space="preserve"> </w:t>
      </w:r>
      <w:r>
        <w:rPr>
          <w:rFonts w:ascii="Times New Roman"/>
          <w:b/>
          <w:sz w:val="42"/>
        </w:rPr>
        <w:t>i</w:t>
      </w:r>
      <w:r>
        <w:rPr>
          <w:rFonts w:ascii="Times New Roman"/>
          <w:b/>
          <w:spacing w:val="-36"/>
          <w:sz w:val="42"/>
        </w:rPr>
        <w:t xml:space="preserve"> </w:t>
      </w:r>
      <w:r>
        <w:rPr>
          <w:rFonts w:ascii="Times New Roman"/>
          <w:b/>
          <w:sz w:val="42"/>
        </w:rPr>
        <w:t>t</w:t>
      </w:r>
    </w:p>
    <w:p>
      <w:pPr>
        <w:pStyle w:val="BodyText"/>
        <w:spacing w:before="6"/>
        <w:rPr>
          <w:rFonts w:ascii="Times New Roman"/>
          <w:b/>
          <w:sz w:val="40"/>
        </w:rPr>
      </w:pPr>
    </w:p>
    <w:p>
      <w:pPr>
        <w:pStyle w:val="Heading3"/>
        <w:tabs>
          <w:tab w:val="left" w:pos="8524"/>
          <w:tab w:val="left" w:pos="10025"/>
          <w:tab w:val="left" w:pos="11527"/>
        </w:tabs>
        <w:spacing w:before="1"/>
        <w:ind w:left="3652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512699</wp:posOffset>
            </wp:positionV>
            <wp:extent cx="1393507" cy="38004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512699</wp:posOffset>
            </wp:positionV>
            <wp:extent cx="633412" cy="38004"/>
            <wp:effectExtent l="0" t="0" r="0" b="0"/>
            <wp:wrapTopAndBottom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7404100</wp:posOffset>
            </wp:positionH>
            <wp:positionV relativeFrom="paragraph">
              <wp:posOffset>512699</wp:posOffset>
            </wp:positionV>
            <wp:extent cx="633412" cy="38004"/>
            <wp:effectExtent l="0" t="0" r="0" b="0"/>
            <wp:wrapTopAndBottom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发文日</w:t>
      </w:r>
      <w:r>
        <w:rPr>
          <w:spacing w:val="11"/>
        </w:rPr>
        <w:t>期</w:t>
      </w:r>
      <w:r>
        <w:t>:</w:t>
        <w:tab/>
        <w:t>年</w:t>
        <w:tab/>
        <w:t>月</w:t>
        <w:tab/>
        <w:t>日</w:t>
      </w:r>
    </w:p>
    <w:p>
      <w:pPr>
        <w:tabs>
          <w:tab w:val="left" w:pos="5679"/>
        </w:tabs>
        <w:spacing w:before="0"/>
        <w:ind w:left="3739" w:right="0" w:firstLine="0"/>
        <w:jc w:val="left"/>
        <w:rPr>
          <w:rFonts w:ascii="Times New Roman"/>
          <w:b/>
          <w:sz w:val="42"/>
        </w:rPr>
      </w:pPr>
      <w:r>
        <w:rPr>
          <w:rFonts w:ascii="Times New Roman"/>
          <w:b/>
          <w:sz w:val="42"/>
        </w:rPr>
        <w:t>I</w:t>
      </w:r>
      <w:r>
        <w:rPr>
          <w:rFonts w:ascii="Times New Roman"/>
          <w:b/>
          <w:spacing w:val="-36"/>
          <w:sz w:val="42"/>
        </w:rPr>
        <w:t xml:space="preserve"> </w:t>
      </w:r>
      <w:r>
        <w:rPr>
          <w:rFonts w:ascii="Times New Roman"/>
          <w:b/>
          <w:sz w:val="42"/>
        </w:rPr>
        <w:t>s</w:t>
      </w:r>
      <w:r>
        <w:rPr>
          <w:rFonts w:ascii="Times New Roman"/>
          <w:b/>
          <w:spacing w:val="-36"/>
          <w:sz w:val="42"/>
        </w:rPr>
        <w:t xml:space="preserve"> </w:t>
      </w:r>
      <w:r>
        <w:rPr>
          <w:rFonts w:ascii="Times New Roman"/>
          <w:b/>
          <w:sz w:val="42"/>
        </w:rPr>
        <w:t>s</w:t>
      </w:r>
      <w:r>
        <w:rPr>
          <w:rFonts w:ascii="Times New Roman"/>
          <w:b/>
          <w:spacing w:val="-35"/>
          <w:sz w:val="42"/>
        </w:rPr>
        <w:t xml:space="preserve"> </w:t>
      </w:r>
      <w:r>
        <w:rPr>
          <w:rFonts w:ascii="Times New Roman"/>
          <w:b/>
          <w:sz w:val="42"/>
        </w:rPr>
        <w:t>u</w:t>
      </w:r>
      <w:r>
        <w:rPr>
          <w:rFonts w:ascii="Times New Roman"/>
          <w:b/>
          <w:spacing w:val="-41"/>
          <w:sz w:val="42"/>
        </w:rPr>
        <w:t xml:space="preserve"> </w:t>
      </w:r>
      <w:r>
        <w:rPr>
          <w:rFonts w:ascii="Times New Roman"/>
          <w:b/>
          <w:sz w:val="42"/>
        </w:rPr>
        <w:t>i</w:t>
      </w:r>
      <w:r>
        <w:rPr>
          <w:rFonts w:ascii="Times New Roman"/>
          <w:b/>
          <w:spacing w:val="-36"/>
          <w:sz w:val="42"/>
        </w:rPr>
        <w:t xml:space="preserve"> </w:t>
      </w:r>
      <w:r>
        <w:rPr>
          <w:rFonts w:ascii="Times New Roman"/>
          <w:b/>
          <w:sz w:val="42"/>
        </w:rPr>
        <w:t>n</w:t>
      </w:r>
      <w:r>
        <w:rPr>
          <w:rFonts w:ascii="Times New Roman"/>
          <w:b/>
          <w:spacing w:val="-37"/>
          <w:sz w:val="42"/>
        </w:rPr>
        <w:t xml:space="preserve"> </w:t>
      </w:r>
      <w:r>
        <w:rPr>
          <w:rFonts w:ascii="Times New Roman"/>
          <w:b/>
          <w:sz w:val="42"/>
        </w:rPr>
        <w:t>g</w:t>
        <w:tab/>
        <w:t>D</w:t>
      </w:r>
      <w:r>
        <w:rPr>
          <w:rFonts w:ascii="Times New Roman"/>
          <w:b/>
          <w:spacing w:val="-39"/>
          <w:sz w:val="42"/>
        </w:rPr>
        <w:t xml:space="preserve"> </w:t>
      </w:r>
      <w:r>
        <w:rPr>
          <w:rFonts w:ascii="Times New Roman"/>
          <w:b/>
          <w:sz w:val="42"/>
        </w:rPr>
        <w:t>a</w:t>
      </w:r>
      <w:r>
        <w:rPr>
          <w:rFonts w:ascii="Times New Roman"/>
          <w:b/>
          <w:spacing w:val="-36"/>
          <w:sz w:val="42"/>
        </w:rPr>
        <w:t xml:space="preserve"> </w:t>
      </w:r>
      <w:r>
        <w:rPr>
          <w:rFonts w:ascii="Times New Roman"/>
          <w:b/>
          <w:sz w:val="42"/>
        </w:rPr>
        <w:t>t</w:t>
      </w:r>
      <w:r>
        <w:rPr>
          <w:rFonts w:ascii="Times New Roman"/>
          <w:b/>
          <w:spacing w:val="-37"/>
          <w:sz w:val="42"/>
        </w:rPr>
        <w:t xml:space="preserve"> </w:t>
      </w:r>
      <w:r>
        <w:rPr>
          <w:rFonts w:ascii="Times New Roman"/>
          <w:b/>
          <w:sz w:val="42"/>
        </w:rPr>
        <w:t>e</w:t>
      </w:r>
    </w:p>
    <w:p>
      <w:pPr>
        <w:pStyle w:val="BodyText"/>
        <w:rPr>
          <w:rFonts w:ascii="Times New Roman"/>
          <w:b/>
          <w:sz w:val="46"/>
        </w:rPr>
      </w:pPr>
    </w:p>
    <w:p>
      <w:pPr>
        <w:pStyle w:val="BodyText"/>
        <w:rPr>
          <w:rFonts w:ascii="Times New Roman"/>
          <w:b/>
          <w:sz w:val="46"/>
        </w:rPr>
      </w:pPr>
    </w:p>
    <w:p>
      <w:pPr>
        <w:pStyle w:val="BodyText"/>
        <w:spacing w:before="5"/>
        <w:rPr>
          <w:rFonts w:ascii="Times New Roman"/>
          <w:b/>
          <w:sz w:val="53"/>
        </w:rPr>
      </w:pPr>
    </w:p>
    <w:p>
      <w:pPr>
        <w:pStyle w:val="Heading4"/>
        <w:ind w:right="487"/>
      </w:pPr>
      <w:r>
        <w:t>北京市房屋安全管理事务中心监制</w:t>
      </w:r>
    </w:p>
    <w:p>
      <w:pPr>
        <w:pStyle w:val="BodyText"/>
        <w:spacing w:before="1"/>
        <w:rPr>
          <w:rFonts w:ascii="宋体"/>
          <w:b/>
          <w:sz w:val="34"/>
        </w:rPr>
      </w:pPr>
    </w:p>
    <w:p>
      <w:pPr>
        <w:spacing w:before="0"/>
        <w:ind w:left="0" w:right="383" w:firstLine="0"/>
        <w:jc w:val="center"/>
        <w:rPr>
          <w:rFonts w:ascii="Times New Roman"/>
          <w:b/>
          <w:sz w:val="42"/>
        </w:rPr>
      </w:pPr>
      <w:r>
        <w:rPr>
          <w:rFonts w:ascii="Times New Roman"/>
          <w:b/>
          <w:sz w:val="42"/>
        </w:rPr>
        <w:t>Supervised by Beijing Building Safety Administrative Office</w:t>
      </w:r>
    </w:p>
    <w:p>
      <w:pPr>
        <w:spacing w:after="0"/>
        <w:jc w:val="center"/>
        <w:rPr>
          <w:rFonts w:ascii="Times New Roman"/>
          <w:sz w:val="42"/>
        </w:rPr>
        <w:sectPr>
          <w:type w:val="continuous"/>
          <w:pgSz w:w="17860" w:h="25260"/>
          <w:pgMar w:top="1580" w:right="660" w:bottom="280" w:left="1100" w:header="708" w:footer="708"/>
          <w:pgNumType w:start="2"/>
          <w:cols w:space="708"/>
        </w:sect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7"/>
        <w:rPr>
          <w:rFonts w:ascii="Times New Roman"/>
          <w:b/>
          <w:sz w:val="26"/>
        </w:rPr>
      </w:pPr>
    </w:p>
    <w:p>
      <w:pPr>
        <w:pStyle w:val="Heading3"/>
        <w:tabs>
          <w:tab w:val="left" w:pos="1087"/>
          <w:tab w:val="left" w:pos="2170"/>
          <w:tab w:val="left" w:pos="3254"/>
        </w:tabs>
        <w:spacing w:before="24"/>
        <w:ind w:right="438"/>
        <w:jc w:val="center"/>
      </w:pPr>
      <w:r>
        <w:t>注</w:t>
        <w:tab/>
        <w:t>意</w:t>
        <w:tab/>
        <w:t>事</w:t>
        <w:tab/>
        <w:t>项</w:t>
      </w:r>
    </w:p>
    <w:p>
      <w:pPr>
        <w:pStyle w:val="BodyText"/>
        <w:rPr>
          <w:rFonts w:ascii="宋体"/>
          <w:b/>
          <w:sz w:val="54"/>
        </w:rPr>
      </w:pPr>
    </w:p>
    <w:p>
      <w:pPr>
        <w:pStyle w:val="BodyText"/>
        <w:spacing w:before="11"/>
        <w:rPr>
          <w:rFonts w:ascii="宋体"/>
          <w:b/>
          <w:sz w:val="44"/>
        </w:rPr>
      </w:pPr>
    </w:p>
    <w:p>
      <w:pPr>
        <w:pStyle w:val="BodyText"/>
        <w:spacing w:line="254" w:lineRule="auto"/>
        <w:ind w:left="941" w:right="1612" w:firstLine="961"/>
      </w:pPr>
      <w:r>
        <w:rPr>
          <w:spacing w:val="-1"/>
          <w:w w:val="95"/>
        </w:rPr>
        <w:t xml:space="preserve">１.本报告无北京市住房和城乡建设委员会监管系统生成的报  </w:t>
      </w:r>
      <w:r>
        <w:t>告编码（条形码）无效。</w:t>
      </w:r>
    </w:p>
    <w:p>
      <w:pPr>
        <w:pStyle w:val="BodyText"/>
        <w:spacing w:line="254" w:lineRule="auto"/>
        <w:ind w:left="941" w:right="1612" w:firstLine="961"/>
      </w:pPr>
      <w:r>
        <w:rPr>
          <w:spacing w:val="-1"/>
          <w:w w:val="95"/>
        </w:rPr>
        <w:t xml:space="preserve">２.本报告无鉴定负责人、审核人、批准人签字无效，并须在  </w:t>
      </w:r>
      <w:r>
        <w:t>封面、鉴定结论、骑缝三处加盖鉴定机构鉴定专用章方为有效。</w:t>
      </w:r>
    </w:p>
    <w:p>
      <w:pPr>
        <w:pStyle w:val="BodyText"/>
        <w:spacing w:line="881" w:lineRule="exact"/>
        <w:ind w:left="1903"/>
      </w:pPr>
      <w:r>
        <w:t>３.本报告涂改无效。</w:t>
      </w:r>
    </w:p>
    <w:p>
      <w:pPr>
        <w:pStyle w:val="BodyText"/>
        <w:spacing w:before="49" w:line="254" w:lineRule="auto"/>
        <w:ind w:left="941" w:right="1395" w:firstLine="961"/>
        <w:jc w:val="both"/>
      </w:pPr>
      <w:r>
        <w:t>４.本报告未经同意请勿复印，报告复印件未在封面、鉴定结</w:t>
      </w:r>
      <w:r>
        <w:rPr>
          <w:spacing w:val="-13"/>
          <w:w w:val="95"/>
        </w:rPr>
        <w:t xml:space="preserve">论、骑缝三处加盖鉴定机构鉴定专用章无效，且不得用于各类广告  </w:t>
      </w:r>
      <w:r>
        <w:t>宣传。</w:t>
      </w:r>
    </w:p>
    <w:p>
      <w:pPr>
        <w:pStyle w:val="BodyText"/>
        <w:spacing w:line="254" w:lineRule="auto"/>
        <w:ind w:left="941" w:right="1612" w:firstLine="961"/>
      </w:pPr>
      <w:r>
        <w:rPr>
          <w:spacing w:val="-1"/>
          <w:w w:val="95"/>
        </w:rPr>
        <w:t xml:space="preserve">５.对本报告内容有异议时，请按照封三规定程序处理，逾期  </w:t>
      </w:r>
      <w:r>
        <w:t>不予受理。</w:t>
      </w:r>
    </w:p>
    <w:p>
      <w:pPr>
        <w:pStyle w:val="BodyText"/>
        <w:spacing w:line="881" w:lineRule="exact"/>
        <w:ind w:left="1903"/>
      </w:pPr>
      <w:r>
        <w:t>６.本报告不作为房屋建筑权属及建筑面积确认依据。</w:t>
      </w: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spacing w:before="12"/>
        <w:rPr>
          <w:sz w:val="81"/>
        </w:rPr>
      </w:pPr>
    </w:p>
    <w:p>
      <w:pPr>
        <w:pStyle w:val="BodyText"/>
        <w:spacing w:line="254" w:lineRule="auto"/>
        <w:ind w:left="1420" w:right="12282"/>
      </w:pPr>
      <w:r>
        <w:rPr>
          <w:spacing w:val="-4"/>
        </w:rPr>
        <w:t xml:space="preserve">鉴定机构： </w:t>
      </w:r>
      <w:r>
        <w:t>地址：</w:t>
      </w:r>
    </w:p>
    <w:p>
      <w:pPr>
        <w:pStyle w:val="BodyText"/>
        <w:spacing w:line="881" w:lineRule="exact"/>
        <w:ind w:left="1420"/>
      </w:pPr>
      <w:r>
        <w:rPr>
          <w:w w:val="95"/>
        </w:rPr>
        <w:t>电话：</w:t>
      </w:r>
    </w:p>
    <w:p>
      <w:pPr>
        <w:spacing w:after="0" w:line="881" w:lineRule="exact"/>
        <w:sectPr>
          <w:footerReference w:type="default" r:id="rId7"/>
          <w:pgSz w:w="17860" w:h="25260"/>
          <w:pgMar w:top="2420" w:right="660" w:bottom="1960" w:left="1100" w:header="0" w:footer="1767"/>
          <w:pgNumType w:start="3"/>
          <w:cols w:space="708"/>
        </w:sectPr>
      </w:pPr>
    </w:p>
    <w:p>
      <w:pPr>
        <w:pStyle w:val="Heading4"/>
        <w:spacing w:before="15"/>
        <w:ind w:right="347"/>
      </w:pPr>
      <w:r>
        <w:rPr>
          <w:rFonts w:ascii="幼圆" w:eastAsia="幼圆" w:hint="eastAsia"/>
        </w:rPr>
        <w:t>（</w:t>
      </w:r>
      <w:r>
        <w:t>鉴定机构名称）安全评估报告</w:t>
      </w:r>
    </w:p>
    <w:p>
      <w:pPr>
        <w:tabs>
          <w:tab w:val="left" w:pos="2910"/>
          <w:tab w:val="left" w:pos="11520"/>
          <w:tab w:val="left" w:pos="12784"/>
          <w:tab w:val="left" w:pos="13623"/>
          <w:tab w:val="left" w:pos="14879"/>
        </w:tabs>
        <w:spacing w:before="286"/>
        <w:ind w:left="1017" w:right="0" w:firstLine="0"/>
        <w:jc w:val="left"/>
        <w:rPr>
          <w:sz w:val="42"/>
        </w:rPr>
      </w:pPr>
      <w:r>
        <w:rPr>
          <w:sz w:val="42"/>
        </w:rPr>
        <w:t>报告编号</w:t>
        <w:tab/>
        <w:t>：</w:t>
        <w:tab/>
        <w:t>共</w:t>
        <w:tab/>
        <w:t>页</w:t>
        <w:tab/>
        <w:t>第</w:t>
        <w:tab/>
        <w:t>页</w:t>
      </w:r>
    </w:p>
    <w:p>
      <w:pPr>
        <w:pStyle w:val="BodyText"/>
        <w:spacing w:before="17"/>
        <w:rPr>
          <w:sz w:val="5"/>
        </w:rPr>
      </w:pPr>
    </w:p>
    <w:p>
      <w:pPr>
        <w:spacing w:after="0"/>
        <w:rPr>
          <w:sz w:val="5"/>
        </w:rPr>
        <w:sectPr>
          <w:footerReference w:type="default" r:id="rId8"/>
          <w:pgSz w:w="17860" w:h="25260"/>
          <w:pgMar w:top="1800" w:right="660" w:bottom="280" w:left="1100" w:header="0" w:footer="0"/>
          <w:pgNumType w:start="4"/>
          <w:cols w:space="708"/>
        </w:sectPr>
      </w:pPr>
    </w:p>
    <w:p>
      <w:pPr>
        <w:spacing w:before="0" w:line="812" w:lineRule="exact"/>
        <w:ind w:left="336" w:right="0" w:firstLine="0"/>
        <w:jc w:val="left"/>
        <w:rPr>
          <w:sz w:val="45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65447</wp:posOffset>
            </wp:positionV>
            <wp:extent cx="10261600" cy="117475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600" cy="1174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委托人（单位）</w:t>
      </w:r>
    </w:p>
    <w:p>
      <w:pPr>
        <w:spacing w:before="20" w:line="242" w:lineRule="auto"/>
        <w:ind w:left="253" w:right="4744" w:firstLine="82"/>
        <w:jc w:val="left"/>
        <w:rPr>
          <w:sz w:val="45"/>
        </w:rPr>
      </w:pPr>
      <w:r>
        <w:rPr>
          <w:sz w:val="45"/>
        </w:rPr>
        <w:t>所有权人（单位</w:t>
      </w:r>
      <w:r>
        <w:rPr>
          <w:spacing w:val="-16"/>
          <w:sz w:val="45"/>
        </w:rPr>
        <w:t xml:space="preserve">） </w:t>
      </w:r>
      <w:r>
        <w:rPr>
          <w:sz w:val="45"/>
        </w:rPr>
        <w:t xml:space="preserve">使用人（单位） 管理人（单位） </w:t>
      </w:r>
      <w:r>
        <w:rPr>
          <w:spacing w:val="-4"/>
          <w:sz w:val="45"/>
        </w:rPr>
        <w:t>房 屋 建 筑 名 称</w:t>
      </w:r>
      <w:r>
        <w:rPr>
          <w:spacing w:val="-8"/>
          <w:sz w:val="45"/>
        </w:rPr>
        <w:t>房 屋 建 筑 地 址</w:t>
      </w:r>
      <w:r>
        <w:rPr>
          <w:spacing w:val="-11"/>
          <w:sz w:val="45"/>
        </w:rPr>
        <w:t>设 计 使 用 年 限</w:t>
      </w:r>
      <w:r>
        <w:rPr>
          <w:spacing w:val="-13"/>
          <w:sz w:val="45"/>
        </w:rPr>
        <w:t>设 计 使 用 用 途</w:t>
      </w:r>
      <w:r>
        <w:rPr>
          <w:spacing w:val="-15"/>
          <w:sz w:val="45"/>
        </w:rPr>
        <w:t>实 际 使 用 性 质</w:t>
      </w:r>
      <w:r>
        <w:rPr>
          <w:spacing w:val="-2"/>
          <w:sz w:val="45"/>
        </w:rPr>
        <w:t>抗 震 设 计 依 据</w:t>
      </w:r>
    </w:p>
    <w:p>
      <w:pPr>
        <w:tabs>
          <w:tab w:val="left" w:pos="4070"/>
          <w:tab w:val="left" w:pos="7580"/>
        </w:tabs>
        <w:spacing w:before="57" w:line="139" w:lineRule="auto"/>
        <w:ind w:left="253" w:right="0" w:firstLine="0"/>
        <w:jc w:val="left"/>
        <w:rPr>
          <w:sz w:val="45"/>
        </w:rPr>
      </w:pPr>
      <w:r>
        <w:rPr>
          <w:spacing w:val="-368"/>
          <w:sz w:val="45"/>
        </w:rPr>
        <w:t>抗</w:t>
      </w:r>
      <w:r>
        <w:rPr>
          <w:spacing w:val="75"/>
          <w:position w:val="19"/>
          <w:sz w:val="45"/>
        </w:rPr>
        <w:t>设</w:t>
      </w:r>
      <w:r>
        <w:rPr>
          <w:spacing w:val="-14"/>
          <w:sz w:val="45"/>
        </w:rPr>
        <w:t>震</w:t>
      </w:r>
      <w:r>
        <w:rPr>
          <w:spacing w:val="-275"/>
          <w:position w:val="19"/>
          <w:sz w:val="45"/>
        </w:rPr>
        <w:t>计</w:t>
      </w:r>
      <w:r>
        <w:rPr>
          <w:sz w:val="45"/>
        </w:rPr>
        <w:t>设</w:t>
      </w:r>
      <w:r>
        <w:rPr>
          <w:spacing w:val="24"/>
          <w:sz w:val="45"/>
        </w:rPr>
        <w:t xml:space="preserve"> </w:t>
      </w:r>
      <w:r>
        <w:rPr>
          <w:spacing w:val="-273"/>
          <w:sz w:val="45"/>
        </w:rPr>
        <w:t>防</w:t>
      </w:r>
      <w:r>
        <w:rPr>
          <w:spacing w:val="-20"/>
          <w:position w:val="19"/>
          <w:sz w:val="45"/>
        </w:rPr>
        <w:t>依</w:t>
      </w:r>
      <w:r>
        <w:rPr>
          <w:sz w:val="45"/>
        </w:rPr>
        <w:t>类</w:t>
      </w:r>
      <w:r>
        <w:rPr>
          <w:spacing w:val="-53"/>
          <w:sz w:val="45"/>
        </w:rPr>
        <w:t xml:space="preserve"> </w:t>
      </w:r>
      <w:r>
        <w:rPr>
          <w:spacing w:val="-373"/>
          <w:position w:val="19"/>
          <w:sz w:val="45"/>
        </w:rPr>
        <w:t>据</w:t>
      </w:r>
      <w:r>
        <w:rPr>
          <w:sz w:val="45"/>
        </w:rPr>
        <w:t>别</w:t>
        <w:tab/>
      </w:r>
      <w:r>
        <w:rPr>
          <w:position w:val="-7"/>
          <w:sz w:val="45"/>
        </w:rPr>
        <w:t>设计</w:t>
        <w:tab/>
        <w:t>现</w:t>
      </w:r>
      <w:r>
        <w:rPr>
          <w:spacing w:val="28"/>
          <w:position w:val="-7"/>
          <w:sz w:val="45"/>
        </w:rPr>
        <w:t xml:space="preserve"> </w:t>
      </w:r>
      <w:r>
        <w:rPr>
          <w:position w:val="-7"/>
          <w:sz w:val="45"/>
        </w:rPr>
        <w:t>行</w:t>
      </w:r>
    </w:p>
    <w:p>
      <w:pPr>
        <w:spacing w:before="0" w:line="812" w:lineRule="exact"/>
        <w:ind w:left="253" w:right="0" w:firstLine="0"/>
        <w:jc w:val="both"/>
        <w:rPr>
          <w:sz w:val="45"/>
        </w:rPr>
      </w:pPr>
      <w:r>
        <w:br w:type="column"/>
      </w:r>
      <w:r>
        <w:rPr>
          <w:spacing w:val="14"/>
          <w:sz w:val="45"/>
        </w:rPr>
        <w:t>房 屋 属 性</w:t>
      </w:r>
    </w:p>
    <w:p>
      <w:pPr>
        <w:spacing w:before="20"/>
        <w:ind w:left="253" w:right="0" w:firstLine="0"/>
        <w:jc w:val="both"/>
        <w:rPr>
          <w:sz w:val="45"/>
        </w:rPr>
      </w:pPr>
      <w:r>
        <w:rPr>
          <w:spacing w:val="1"/>
          <w:sz w:val="45"/>
        </w:rPr>
        <w:t>联    系   人</w:t>
      </w:r>
    </w:p>
    <w:p>
      <w:pPr>
        <w:tabs>
          <w:tab w:val="left" w:pos="2108"/>
        </w:tabs>
        <w:spacing w:before="20"/>
        <w:ind w:left="253" w:right="0" w:firstLine="0"/>
        <w:jc w:val="both"/>
        <w:rPr>
          <w:sz w:val="45"/>
        </w:rPr>
      </w:pPr>
      <w:r>
        <w:rPr>
          <w:sz w:val="45"/>
        </w:rPr>
        <w:t>电</w:t>
        <w:tab/>
        <w:t>话</w:t>
      </w:r>
    </w:p>
    <w:p>
      <w:pPr>
        <w:spacing w:before="20" w:line="247" w:lineRule="auto"/>
        <w:ind w:left="253" w:right="2699" w:firstLine="0"/>
        <w:jc w:val="both"/>
        <w:rPr>
          <w:sz w:val="45"/>
        </w:rPr>
      </w:pPr>
      <w:r>
        <w:rPr>
          <w:spacing w:val="12"/>
          <w:sz w:val="45"/>
        </w:rPr>
        <w:t>建 造 年 代</w:t>
      </w:r>
      <w:r>
        <w:rPr>
          <w:spacing w:val="7"/>
          <w:sz w:val="45"/>
        </w:rPr>
        <w:t>建 筑 面 积</w:t>
      </w:r>
      <w:r>
        <w:rPr>
          <w:spacing w:val="16"/>
          <w:sz w:val="45"/>
        </w:rPr>
        <w:t>评 估 面 积</w:t>
      </w:r>
      <w:r>
        <w:rPr>
          <w:spacing w:val="12"/>
          <w:sz w:val="45"/>
        </w:rPr>
        <w:t>结 构 类 型建 筑 类 别</w:t>
      </w:r>
      <w:r>
        <w:rPr>
          <w:spacing w:val="7"/>
          <w:sz w:val="45"/>
        </w:rPr>
        <w:t>使 用 荷 载</w:t>
      </w:r>
      <w:r>
        <w:rPr>
          <w:spacing w:val="12"/>
          <w:sz w:val="45"/>
        </w:rPr>
        <w:t>评 估 分 类</w:t>
      </w:r>
    </w:p>
    <w:p>
      <w:pPr>
        <w:spacing w:before="0" w:line="669" w:lineRule="exact"/>
        <w:ind w:left="253" w:right="0" w:firstLine="0"/>
        <w:jc w:val="both"/>
        <w:rPr>
          <w:sz w:val="45"/>
        </w:rPr>
      </w:pPr>
      <w:r>
        <w:rPr>
          <w:sz w:val="45"/>
        </w:rPr>
        <w:t>评 估 类 型</w:t>
      </w:r>
    </w:p>
    <w:p>
      <w:pPr>
        <w:spacing w:after="0" w:line="669" w:lineRule="exact"/>
        <w:jc w:val="both"/>
        <w:rPr>
          <w:sz w:val="45"/>
        </w:rPr>
        <w:sectPr>
          <w:footerReference w:type="default" r:id="rId10"/>
          <w:type w:val="continuous"/>
          <w:pgSz w:w="17860" w:h="25260"/>
          <w:pgMar w:top="1580" w:right="660" w:bottom="280" w:left="1100" w:header="708" w:footer="708"/>
          <w:pgNumType w:start="5"/>
          <w:cols w:num="2" w:space="708" w:equalWidth="0">
            <w:col w:w="8684" w:space="2158"/>
            <w:col w:w="5258" w:space="0"/>
          </w:cols>
        </w:sectPr>
      </w:pPr>
    </w:p>
    <w:p>
      <w:pPr>
        <w:spacing w:before="0" w:line="985" w:lineRule="exact"/>
        <w:ind w:left="242" w:right="0" w:firstLine="0"/>
        <w:jc w:val="left"/>
        <w:rPr>
          <w:sz w:val="45"/>
        </w:rPr>
      </w:pPr>
      <w:r>
        <w:rPr>
          <w:spacing w:val="-450"/>
          <w:position w:val="27"/>
          <w:sz w:val="45"/>
        </w:rPr>
        <w:t>设</w:t>
      </w:r>
      <w:r>
        <w:rPr>
          <w:spacing w:val="-4"/>
          <w:sz w:val="45"/>
        </w:rPr>
        <w:t>抗 震</w:t>
      </w:r>
      <w:r>
        <w:rPr>
          <w:spacing w:val="-242"/>
          <w:position w:val="27"/>
          <w:sz w:val="45"/>
        </w:rPr>
        <w:t>防</w:t>
      </w:r>
      <w:r>
        <w:rPr>
          <w:spacing w:val="-73"/>
          <w:sz w:val="45"/>
        </w:rPr>
        <w:t>设 防</w:t>
      </w:r>
      <w:r>
        <w:rPr>
          <w:spacing w:val="-41"/>
          <w:position w:val="27"/>
          <w:sz w:val="45"/>
        </w:rPr>
        <w:t>类</w:t>
      </w:r>
      <w:r>
        <w:rPr>
          <w:spacing w:val="-17"/>
          <w:sz w:val="45"/>
        </w:rPr>
        <w:t>烈</w:t>
      </w:r>
    </w:p>
    <w:p>
      <w:pPr>
        <w:tabs>
          <w:tab w:val="left" w:pos="880"/>
          <w:tab w:val="left" w:pos="4391"/>
        </w:tabs>
        <w:spacing w:before="0" w:line="985" w:lineRule="exact"/>
        <w:ind w:left="122" w:right="0" w:firstLine="0"/>
        <w:jc w:val="left"/>
        <w:rPr>
          <w:sz w:val="45"/>
        </w:rPr>
      </w:pPr>
      <w:r>
        <w:br w:type="column"/>
      </w:r>
      <w:r>
        <w:rPr>
          <w:spacing w:val="-448"/>
          <w:position w:val="27"/>
          <w:sz w:val="45"/>
        </w:rPr>
        <w:t>别</w:t>
      </w:r>
      <w:r>
        <w:rPr>
          <w:sz w:val="45"/>
        </w:rPr>
        <w:t>度</w:t>
        <w:tab/>
        <w:t>设</w:t>
      </w:r>
      <w:r>
        <w:rPr>
          <w:spacing w:val="28"/>
          <w:sz w:val="45"/>
        </w:rPr>
        <w:t xml:space="preserve"> </w:t>
      </w:r>
      <w:r>
        <w:rPr>
          <w:sz w:val="45"/>
        </w:rPr>
        <w:t>计</w:t>
        <w:tab/>
        <w:t>现</w:t>
      </w:r>
      <w:r>
        <w:rPr>
          <w:spacing w:val="28"/>
          <w:sz w:val="45"/>
        </w:rPr>
        <w:t xml:space="preserve"> </w:t>
      </w:r>
      <w:r>
        <w:rPr>
          <w:sz w:val="45"/>
        </w:rPr>
        <w:t>行</w:t>
      </w:r>
    </w:p>
    <w:p>
      <w:pPr>
        <w:spacing w:before="156"/>
        <w:ind w:left="242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检 查 日 期</w:t>
      </w:r>
    </w:p>
    <w:p>
      <w:pPr>
        <w:spacing w:after="0"/>
        <w:jc w:val="left"/>
        <w:rPr>
          <w:sz w:val="45"/>
        </w:rPr>
        <w:sectPr>
          <w:footerReference w:type="default" r:id="rId11"/>
          <w:type w:val="continuous"/>
          <w:pgSz w:w="17860" w:h="25260"/>
          <w:pgMar w:top="1580" w:right="660" w:bottom="280" w:left="1100" w:header="708" w:footer="708"/>
          <w:pgNumType w:start="6"/>
          <w:cols w:num="3" w:space="708" w:equalWidth="0">
            <w:col w:w="3150" w:space="40"/>
            <w:col w:w="5494" w:space="2169"/>
            <w:col w:w="5247" w:space="0"/>
          </w:cols>
        </w:sectPr>
      </w:pPr>
    </w:p>
    <w:p>
      <w:pPr>
        <w:tabs>
          <w:tab w:val="left" w:pos="1009"/>
          <w:tab w:val="left" w:pos="1264"/>
          <w:tab w:val="left" w:pos="1775"/>
          <w:tab w:val="left" w:pos="2290"/>
          <w:tab w:val="left" w:pos="2545"/>
          <w:tab w:val="left" w:pos="3311"/>
        </w:tabs>
        <w:spacing w:before="98" w:line="156" w:lineRule="auto"/>
        <w:ind w:left="242" w:right="36" w:firstLine="0"/>
        <w:jc w:val="left"/>
        <w:rPr>
          <w:sz w:val="45"/>
        </w:rPr>
      </w:pPr>
      <w:r>
        <w:rPr>
          <w:sz w:val="45"/>
        </w:rPr>
        <w:t>地</w:t>
        <w:tab/>
        <w:t>质</w:t>
        <w:tab/>
        <w:t>情</w:t>
        <w:tab/>
        <w:tab/>
        <w:t>况</w:t>
        <w:tab/>
      </w:r>
      <w:r>
        <w:rPr>
          <w:spacing w:val="-16"/>
          <w:sz w:val="45"/>
        </w:rPr>
        <w:t>及</w:t>
      </w:r>
      <w:r>
        <w:rPr>
          <w:sz w:val="45"/>
        </w:rPr>
        <w:t>基</w:t>
        <w:tab/>
        <w:tab/>
        <w:t>础</w:t>
        <w:tab/>
        <w:tab/>
        <w:t>类</w:t>
        <w:tab/>
      </w:r>
      <w:r>
        <w:rPr>
          <w:spacing w:val="-16"/>
          <w:sz w:val="45"/>
        </w:rPr>
        <w:t>型</w:t>
      </w:r>
    </w:p>
    <w:p>
      <w:pPr>
        <w:spacing w:before="204"/>
        <w:ind w:left="336" w:right="0" w:firstLine="0"/>
        <w:jc w:val="left"/>
        <w:rPr>
          <w:sz w:val="45"/>
        </w:rPr>
      </w:pPr>
      <w:r>
        <w:rPr>
          <w:spacing w:val="6"/>
          <w:sz w:val="45"/>
        </w:rPr>
        <w:t>外 墙 面 层 做 法</w:t>
      </w:r>
    </w:p>
    <w:p>
      <w:pPr>
        <w:pStyle w:val="BodyText"/>
        <w:spacing w:before="6"/>
        <w:rPr>
          <w:sz w:val="56"/>
        </w:rPr>
      </w:pPr>
      <w:r>
        <w:br w:type="column"/>
      </w:r>
    </w:p>
    <w:p>
      <w:pPr>
        <w:tabs>
          <w:tab w:val="left" w:pos="2101"/>
          <w:tab w:val="left" w:pos="5320"/>
          <w:tab w:val="left" w:pos="7189"/>
        </w:tabs>
        <w:spacing w:before="0" w:line="685" w:lineRule="exact"/>
        <w:ind w:left="229" w:right="0" w:firstLine="0"/>
        <w:jc w:val="left"/>
        <w:rPr>
          <w:sz w:val="45"/>
        </w:rPr>
      </w:pPr>
      <w:r>
        <w:rPr>
          <w:sz w:val="45"/>
        </w:rPr>
        <w:t>□清水墙</w:t>
        <w:tab/>
        <w:t>□外保温层涂料</w:t>
        <w:tab/>
        <w:t>□饰面砖</w:t>
        <w:tab/>
        <w:t>□玻璃幕墙</w:t>
      </w:r>
    </w:p>
    <w:p>
      <w:pPr>
        <w:tabs>
          <w:tab w:val="left" w:pos="3001"/>
        </w:tabs>
        <w:spacing w:before="0" w:line="639" w:lineRule="exact"/>
        <w:ind w:left="229" w:right="0" w:firstLine="0"/>
        <w:jc w:val="left"/>
        <w:rPr>
          <w:sz w:val="45"/>
        </w:rPr>
      </w:pPr>
      <w:r>
        <w:rPr>
          <w:sz w:val="45"/>
        </w:rPr>
        <w:t>□铝合金幕墙</w:t>
        <w:tab/>
        <w:t>□石材幕墙</w:t>
      </w:r>
    </w:p>
    <w:p>
      <w:pPr>
        <w:spacing w:after="0" w:line="639" w:lineRule="exact"/>
        <w:jc w:val="left"/>
        <w:rPr>
          <w:sz w:val="45"/>
        </w:rPr>
        <w:sectPr>
          <w:footerReference w:type="default" r:id="rId12"/>
          <w:type w:val="continuous"/>
          <w:pgSz w:w="17860" w:h="25260"/>
          <w:pgMar w:top="1580" w:right="660" w:bottom="280" w:left="1100" w:header="708" w:footer="708"/>
          <w:pgNumType w:start="7"/>
          <w:cols w:num="2" w:space="708" w:equalWidth="0">
            <w:col w:w="3802" w:space="40"/>
            <w:col w:w="12258" w:space="0"/>
          </w:cols>
        </w:sectPr>
      </w:pPr>
    </w:p>
    <w:p>
      <w:pPr>
        <w:tabs>
          <w:tab w:val="left" w:pos="1297"/>
          <w:tab w:val="left" w:pos="2352"/>
          <w:tab w:val="left" w:pos="3407"/>
          <w:tab w:val="left" w:pos="4070"/>
          <w:tab w:val="left" w:pos="5942"/>
          <w:tab w:val="left" w:pos="6392"/>
          <w:tab w:val="left" w:pos="7361"/>
          <w:tab w:val="left" w:pos="8780"/>
          <w:tab w:val="left" w:pos="10198"/>
          <w:tab w:val="left" w:pos="12518"/>
        </w:tabs>
        <w:spacing w:before="91" w:line="156" w:lineRule="auto"/>
        <w:ind w:left="242" w:right="2386" w:firstLine="0"/>
        <w:jc w:val="left"/>
        <w:rPr>
          <w:sz w:val="45"/>
        </w:rPr>
      </w:pPr>
      <w:r>
        <w:rPr>
          <w:sz w:val="45"/>
        </w:rPr>
        <w:t>房</w:t>
        <w:tab/>
        <w:t>屋</w:t>
        <w:tab/>
        <w:t>建</w:t>
        <w:tab/>
        <w:t>筑</w:t>
        <w:tab/>
        <w:t>□给排水</w:t>
        <w:tab/>
        <w:t>□供热</w:t>
        <w:tab/>
        <w:t>□燃气</w:t>
        <w:tab/>
        <w:t>□供电</w:t>
        <w:tab/>
        <w:t>□中央空调</w:t>
        <w:tab/>
        <w:t>□电</w:t>
      </w:r>
      <w:r>
        <w:rPr>
          <w:spacing w:val="-16"/>
          <w:sz w:val="45"/>
        </w:rPr>
        <w:t>梯</w:t>
      </w:r>
      <w:r>
        <w:rPr>
          <w:sz w:val="45"/>
        </w:rPr>
        <w:t xml:space="preserve">设 施 设 备 </w:t>
      </w:r>
      <w:r>
        <w:rPr>
          <w:spacing w:val="62"/>
          <w:sz w:val="45"/>
        </w:rPr>
        <w:t xml:space="preserve"> </w:t>
      </w:r>
      <w:r>
        <w:rPr>
          <w:sz w:val="45"/>
        </w:rPr>
        <w:t>种</w:t>
      </w:r>
      <w:r>
        <w:rPr>
          <w:spacing w:val="50"/>
          <w:sz w:val="45"/>
        </w:rPr>
        <w:t xml:space="preserve"> </w:t>
      </w:r>
      <w:r>
        <w:rPr>
          <w:sz w:val="45"/>
        </w:rPr>
        <w:t>类</w:t>
        <w:tab/>
        <w:t>□压力容器</w:t>
        <w:tab/>
        <w:t>□锅炉</w:t>
      </w:r>
    </w:p>
    <w:p>
      <w:pPr>
        <w:spacing w:before="27"/>
        <w:ind w:left="411" w:right="0" w:hanging="170"/>
        <w:jc w:val="left"/>
        <w:rPr>
          <w:sz w:val="45"/>
        </w:rPr>
      </w:pPr>
      <w:r>
        <w:rPr>
          <w:spacing w:val="64"/>
          <w:sz w:val="45"/>
        </w:rPr>
        <w:t>消防与防雷系统</w:t>
      </w:r>
    </w:p>
    <w:p>
      <w:pPr>
        <w:tabs>
          <w:tab w:val="left" w:pos="1269"/>
          <w:tab w:val="left" w:pos="2122"/>
          <w:tab w:val="left" w:pos="2258"/>
          <w:tab w:val="left" w:pos="2979"/>
          <w:tab w:val="left" w:pos="3219"/>
        </w:tabs>
        <w:spacing w:before="8" w:line="1030" w:lineRule="atLeast"/>
        <w:ind w:left="336" w:right="12427" w:firstLine="75"/>
        <w:jc w:val="left"/>
        <w:rPr>
          <w:sz w:val="45"/>
        </w:rPr>
      </w:pPr>
      <w:r>
        <w:rPr>
          <w:sz w:val="45"/>
        </w:rPr>
        <w:t>历</w:t>
        <w:tab/>
        <w:t>史</w:t>
        <w:tab/>
        <w:t>状</w:t>
        <w:tab/>
        <w:t>况评</w:t>
        <w:tab/>
        <w:t>估</w:t>
        <w:tab/>
        <w:tab/>
        <w:t>依</w:t>
        <w:tab/>
        <w:tab/>
      </w:r>
      <w:r>
        <w:rPr>
          <w:spacing w:val="-17"/>
          <w:sz w:val="45"/>
        </w:rPr>
        <w:t>据</w:t>
      </w:r>
    </w:p>
    <w:p>
      <w:pPr>
        <w:spacing w:after="0" w:line="1030" w:lineRule="atLeast"/>
        <w:jc w:val="left"/>
        <w:rPr>
          <w:sz w:val="45"/>
        </w:rPr>
        <w:sectPr>
          <w:footerReference w:type="default" r:id="rId13"/>
          <w:type w:val="continuous"/>
          <w:pgSz w:w="17860" w:h="25260"/>
          <w:pgMar w:top="1580" w:right="660" w:bottom="280" w:left="1100" w:header="708" w:footer="708"/>
          <w:pgNumType w:start="8"/>
          <w:cols w:space="708"/>
        </w:sectPr>
      </w:pPr>
    </w:p>
    <w:p>
      <w:pPr>
        <w:tabs>
          <w:tab w:val="left" w:pos="1247"/>
          <w:tab w:val="left" w:pos="2147"/>
        </w:tabs>
        <w:spacing w:before="34" w:line="252" w:lineRule="auto"/>
        <w:ind w:left="347" w:right="38" w:firstLine="0"/>
        <w:jc w:val="left"/>
        <w:rPr>
          <w:sz w:val="45"/>
        </w:rPr>
      </w:pPr>
      <w:r>
        <w:rPr>
          <w:sz w:val="45"/>
        </w:rPr>
        <w:t>鉴定负责</w:t>
      </w:r>
      <w:r>
        <w:rPr>
          <w:spacing w:val="-18"/>
          <w:sz w:val="45"/>
        </w:rPr>
        <w:t>人</w:t>
      </w:r>
      <w:r>
        <w:rPr>
          <w:sz w:val="45"/>
        </w:rPr>
        <w:t>鉴</w:t>
        <w:tab/>
        <w:t>定</w:t>
        <w:tab/>
      </w:r>
      <w:r>
        <w:rPr>
          <w:spacing w:val="-18"/>
          <w:sz w:val="45"/>
        </w:rPr>
        <w:t>人</w:t>
      </w:r>
    </w:p>
    <w:p>
      <w:pPr>
        <w:tabs>
          <w:tab w:val="left" w:pos="5361"/>
        </w:tabs>
        <w:spacing w:before="34"/>
        <w:ind w:left="0" w:right="3238" w:firstLine="0"/>
        <w:jc w:val="right"/>
        <w:rPr>
          <w:sz w:val="45"/>
        </w:rPr>
      </w:pPr>
      <w:r>
        <w:br w:type="column"/>
      </w:r>
      <w:r>
        <w:rPr>
          <w:sz w:val="45"/>
        </w:rPr>
        <w:t>审核人</w:t>
        <w:tab/>
        <w:t>批准人</w:t>
      </w:r>
    </w:p>
    <w:p>
      <w:pPr>
        <w:spacing w:before="45"/>
        <w:ind w:left="0" w:right="3238" w:firstLine="0"/>
        <w:jc w:val="right"/>
        <w:rPr>
          <w:sz w:val="45"/>
        </w:rPr>
      </w:pPr>
      <w:r>
        <w:rPr>
          <w:sz w:val="45"/>
        </w:rPr>
        <w:t>编写人</w:t>
      </w:r>
    </w:p>
    <w:p>
      <w:pPr>
        <w:spacing w:after="0"/>
        <w:jc w:val="right"/>
        <w:rPr>
          <w:sz w:val="45"/>
        </w:rPr>
        <w:sectPr>
          <w:footerReference w:type="default" r:id="rId14"/>
          <w:type w:val="continuous"/>
          <w:pgSz w:w="17860" w:h="25260"/>
          <w:pgMar w:top="1580" w:right="660" w:bottom="280" w:left="1100" w:header="708" w:footer="708"/>
          <w:pgNumType w:start="9"/>
          <w:cols w:num="2" w:space="708" w:equalWidth="0">
            <w:col w:w="2638" w:space="3163"/>
            <w:col w:w="1029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before="114"/>
        <w:ind w:left="2780" w:right="711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27</w:t>
      </w:r>
    </w:p>
    <w:p>
      <w:pPr>
        <w:spacing w:after="0"/>
        <w:jc w:val="center"/>
        <w:rPr>
          <w:rFonts w:ascii="Arial"/>
          <w:sz w:val="27"/>
        </w:rPr>
        <w:sectPr>
          <w:footerReference w:type="default" r:id="rId15"/>
          <w:type w:val="continuous"/>
          <w:pgSz w:w="17860" w:h="25260"/>
          <w:pgMar w:top="1580" w:right="660" w:bottom="280" w:left="1100" w:header="708" w:footer="708"/>
          <w:pgNumType w:start="10"/>
          <w:cols w:space="708"/>
        </w:sectPr>
      </w:pPr>
    </w:p>
    <w:p>
      <w:pPr>
        <w:pStyle w:val="Heading4"/>
        <w:spacing w:line="846" w:lineRule="exact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841375</wp:posOffset>
            </wp:positionH>
            <wp:positionV relativeFrom="page">
              <wp:posOffset>2362200</wp:posOffset>
            </wp:positionV>
            <wp:extent cx="9763125" cy="1188339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63125" cy="1188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</w:rPr>
        <w:t>（</w:t>
      </w:r>
      <w:r>
        <w:t>鉴定机构名称）安全评估报告</w:t>
      </w:r>
    </w:p>
    <w:p>
      <w:pPr>
        <w:tabs>
          <w:tab w:val="left" w:pos="2954"/>
          <w:tab w:val="left" w:pos="10511"/>
          <w:tab w:val="left" w:pos="11771"/>
          <w:tab w:val="left" w:pos="12615"/>
          <w:tab w:val="left" w:pos="13875"/>
        </w:tabs>
        <w:spacing w:before="170"/>
        <w:ind w:left="1060" w:right="0" w:firstLine="0"/>
        <w:jc w:val="left"/>
        <w:rPr>
          <w:sz w:val="42"/>
        </w:rPr>
      </w:pPr>
      <w:r>
        <w:rPr>
          <w:sz w:val="42"/>
        </w:rPr>
        <w:t>报告编号</w:t>
        <w:tab/>
        <w:t>：</w:t>
        <w:tab/>
        <w:t>共</w:t>
        <w:tab/>
        <w:t>页</w:t>
        <w:tab/>
        <w:t>第</w:t>
        <w:tab/>
        <w:t>页</w:t>
      </w:r>
    </w:p>
    <w:p>
      <w:pPr>
        <w:spacing w:before="117"/>
        <w:ind w:left="411" w:right="0" w:firstLine="0"/>
        <w:jc w:val="left"/>
        <w:rPr>
          <w:sz w:val="45"/>
        </w:rPr>
      </w:pPr>
      <w:r>
        <w:rPr>
          <w:sz w:val="45"/>
        </w:rPr>
        <w:t>图纸资料：</w:t>
      </w:r>
    </w:p>
    <w:p>
      <w:pPr>
        <w:pStyle w:val="BodyText"/>
        <w:rPr>
          <w:sz w:val="58"/>
        </w:rPr>
      </w:pPr>
    </w:p>
    <w:p>
      <w:pPr>
        <w:pStyle w:val="BodyText"/>
        <w:spacing w:before="5"/>
        <w:rPr>
          <w:sz w:val="49"/>
        </w:rPr>
      </w:pPr>
    </w:p>
    <w:p>
      <w:pPr>
        <w:spacing w:before="1"/>
        <w:ind w:left="411" w:right="0" w:firstLine="0"/>
        <w:jc w:val="left"/>
        <w:rPr>
          <w:sz w:val="45"/>
        </w:rPr>
      </w:pPr>
      <w:r>
        <w:rPr>
          <w:sz w:val="45"/>
        </w:rPr>
        <w:t>分项现场检查结果（主要安全隐患</w:t>
      </w:r>
      <w:r>
        <w:rPr>
          <w:spacing w:val="-224"/>
          <w:sz w:val="45"/>
        </w:rPr>
        <w:t>）</w:t>
      </w:r>
      <w:r>
        <w:rPr>
          <w:sz w:val="45"/>
        </w:rPr>
        <w:t>：</w:t>
      </w:r>
    </w:p>
    <w:p>
      <w:pPr>
        <w:pStyle w:val="BodyText"/>
        <w:rPr>
          <w:sz w:val="58"/>
        </w:rPr>
      </w:pPr>
    </w:p>
    <w:p>
      <w:pPr>
        <w:pStyle w:val="BodyText"/>
        <w:spacing w:before="7"/>
        <w:rPr>
          <w:sz w:val="49"/>
        </w:rPr>
      </w:pPr>
    </w:p>
    <w:p>
      <w:pPr>
        <w:spacing w:before="0" w:line="271" w:lineRule="auto"/>
        <w:ind w:left="411" w:right="12535" w:firstLine="0"/>
        <w:jc w:val="left"/>
        <w:rPr>
          <w:sz w:val="45"/>
        </w:rPr>
      </w:pPr>
      <w:r>
        <w:rPr>
          <w:sz w:val="45"/>
        </w:rPr>
        <w:t>安全评估结论： 地基基础：</w:t>
      </w:r>
    </w:p>
    <w:p>
      <w:pPr>
        <w:spacing w:before="0" w:line="271" w:lineRule="auto"/>
        <w:ind w:left="411" w:right="9835" w:firstLine="0"/>
        <w:jc w:val="left"/>
        <w:rPr>
          <w:sz w:val="45"/>
        </w:rPr>
      </w:pPr>
      <w:r>
        <w:rPr>
          <w:sz w:val="45"/>
        </w:rPr>
        <w:t>主体结构和建筑构件与部件： 建筑装饰装修：</w:t>
      </w:r>
    </w:p>
    <w:p>
      <w:pPr>
        <w:spacing w:before="0" w:line="827" w:lineRule="exact"/>
        <w:ind w:left="411" w:right="0" w:firstLine="0"/>
        <w:jc w:val="left"/>
        <w:rPr>
          <w:sz w:val="45"/>
        </w:rPr>
      </w:pPr>
      <w:r>
        <w:rPr>
          <w:sz w:val="45"/>
        </w:rPr>
        <w:t>建筑设备及系统：</w:t>
      </w:r>
    </w:p>
    <w:p>
      <w:pPr>
        <w:pStyle w:val="BodyText"/>
        <w:rPr>
          <w:sz w:val="58"/>
        </w:rPr>
      </w:pPr>
    </w:p>
    <w:p>
      <w:pPr>
        <w:pStyle w:val="BodyText"/>
        <w:spacing w:before="3"/>
        <w:rPr>
          <w:sz w:val="49"/>
        </w:rPr>
      </w:pPr>
    </w:p>
    <w:p>
      <w:pPr>
        <w:spacing w:before="0"/>
        <w:ind w:left="411" w:right="0" w:firstLine="0"/>
        <w:jc w:val="left"/>
        <w:rPr>
          <w:sz w:val="45"/>
        </w:rPr>
      </w:pPr>
      <w:r>
        <w:rPr>
          <w:sz w:val="45"/>
        </w:rPr>
        <w:t>处理建议：</w:t>
      </w:r>
    </w:p>
    <w:p>
      <w:pPr>
        <w:spacing w:after="0"/>
        <w:jc w:val="left"/>
        <w:rPr>
          <w:sz w:val="45"/>
        </w:rPr>
        <w:sectPr>
          <w:footerReference w:type="default" r:id="rId17"/>
          <w:pgSz w:w="17860" w:h="25260"/>
          <w:pgMar w:top="1700" w:right="660" w:bottom="1960" w:left="1100" w:header="0" w:footer="1765"/>
          <w:pgNumType w:start="28"/>
          <w:cols w:space="708"/>
        </w:sectPr>
      </w:pPr>
    </w:p>
    <w:p>
      <w:pPr>
        <w:pStyle w:val="Heading4"/>
        <w:spacing w:before="15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841375</wp:posOffset>
            </wp:positionH>
            <wp:positionV relativeFrom="page">
              <wp:posOffset>2362200</wp:posOffset>
            </wp:positionV>
            <wp:extent cx="9559925" cy="12022963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9925" cy="120229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（</w:t>
      </w:r>
      <w:r>
        <w:t>鉴定机构名称）安全评估报告</w:t>
      </w:r>
    </w:p>
    <w:p>
      <w:pPr>
        <w:tabs>
          <w:tab w:val="left" w:pos="2954"/>
          <w:tab w:val="left" w:pos="10724"/>
          <w:tab w:val="left" w:pos="11984"/>
          <w:tab w:val="left" w:pos="12827"/>
          <w:tab w:val="left" w:pos="14087"/>
        </w:tabs>
        <w:spacing w:before="286"/>
        <w:ind w:left="1060" w:right="0" w:firstLine="0"/>
        <w:jc w:val="left"/>
        <w:rPr>
          <w:sz w:val="42"/>
        </w:rPr>
      </w:pPr>
      <w:r>
        <w:rPr>
          <w:sz w:val="42"/>
        </w:rPr>
        <w:t>报告编号</w:t>
        <w:tab/>
        <w:t>：</w:t>
        <w:tab/>
        <w:t>共</w:t>
        <w:tab/>
        <w:t>页</w:t>
        <w:tab/>
        <w:t>第</w:t>
        <w:tab/>
        <w:t>页</w:t>
      </w:r>
    </w:p>
    <w:p>
      <w:pPr>
        <w:pStyle w:val="BodyText"/>
        <w:spacing w:before="11"/>
        <w:rPr>
          <w:sz w:val="52"/>
        </w:rPr>
      </w:pPr>
    </w:p>
    <w:p>
      <w:pPr>
        <w:spacing w:before="1"/>
        <w:ind w:left="844" w:right="0" w:firstLine="0"/>
        <w:jc w:val="left"/>
        <w:rPr>
          <w:sz w:val="45"/>
        </w:rPr>
      </w:pPr>
      <w:r>
        <w:rPr>
          <w:sz w:val="45"/>
        </w:rPr>
        <w:t>一、房屋建筑概况</w:t>
      </w:r>
    </w:p>
    <w:p>
      <w:pPr>
        <w:pStyle w:val="BodyText"/>
        <w:rPr>
          <w:sz w:val="58"/>
        </w:rPr>
      </w:pPr>
    </w:p>
    <w:p>
      <w:pPr>
        <w:pStyle w:val="BodyText"/>
        <w:spacing w:before="17"/>
        <w:rPr>
          <w:sz w:val="50"/>
        </w:rPr>
      </w:pPr>
    </w:p>
    <w:p>
      <w:pPr>
        <w:spacing w:before="0"/>
        <w:ind w:left="844" w:right="0" w:firstLine="0"/>
        <w:jc w:val="left"/>
        <w:rPr>
          <w:sz w:val="45"/>
        </w:rPr>
      </w:pPr>
      <w:r>
        <w:rPr>
          <w:sz w:val="45"/>
        </w:rPr>
        <w:t>二、评估范围和内容</w:t>
      </w:r>
    </w:p>
    <w:p>
      <w:pPr>
        <w:pStyle w:val="BodyText"/>
        <w:rPr>
          <w:sz w:val="58"/>
        </w:rPr>
      </w:pPr>
    </w:p>
    <w:p>
      <w:pPr>
        <w:pStyle w:val="BodyText"/>
        <w:rPr>
          <w:sz w:val="54"/>
        </w:rPr>
      </w:pPr>
    </w:p>
    <w:p>
      <w:pPr>
        <w:spacing w:before="1"/>
        <w:ind w:left="844" w:right="0" w:firstLine="0"/>
        <w:jc w:val="left"/>
        <w:rPr>
          <w:sz w:val="45"/>
        </w:rPr>
      </w:pPr>
      <w:r>
        <w:rPr>
          <w:sz w:val="45"/>
        </w:rPr>
        <w:t>三、安全评估的依据和检查设备</w:t>
      </w:r>
    </w:p>
    <w:p>
      <w:pPr>
        <w:pStyle w:val="BodyText"/>
        <w:rPr>
          <w:sz w:val="58"/>
        </w:rPr>
      </w:pPr>
    </w:p>
    <w:p>
      <w:pPr>
        <w:pStyle w:val="BodyText"/>
        <w:spacing w:before="7"/>
        <w:rPr>
          <w:sz w:val="55"/>
        </w:rPr>
      </w:pPr>
    </w:p>
    <w:p>
      <w:pPr>
        <w:spacing w:before="0"/>
        <w:ind w:left="844" w:right="0" w:firstLine="0"/>
        <w:jc w:val="left"/>
        <w:rPr>
          <w:sz w:val="45"/>
        </w:rPr>
      </w:pPr>
      <w:r>
        <w:rPr>
          <w:sz w:val="45"/>
        </w:rPr>
        <w:t>四、分项现场检查结果</w:t>
      </w:r>
    </w:p>
    <w:p>
      <w:pPr>
        <w:pStyle w:val="BodyText"/>
        <w:rPr>
          <w:sz w:val="58"/>
        </w:rPr>
      </w:pPr>
    </w:p>
    <w:p>
      <w:pPr>
        <w:pStyle w:val="BodyText"/>
        <w:spacing w:before="7"/>
        <w:rPr>
          <w:sz w:val="49"/>
        </w:rPr>
      </w:pPr>
    </w:p>
    <w:p>
      <w:pPr>
        <w:spacing w:before="0"/>
        <w:ind w:left="844" w:right="0" w:firstLine="0"/>
        <w:jc w:val="left"/>
        <w:rPr>
          <w:sz w:val="45"/>
        </w:rPr>
      </w:pPr>
      <w:r>
        <w:rPr>
          <w:sz w:val="45"/>
        </w:rPr>
        <w:t>五、安全评估结论</w:t>
      </w:r>
    </w:p>
    <w:p>
      <w:pPr>
        <w:pStyle w:val="BodyText"/>
        <w:rPr>
          <w:sz w:val="58"/>
        </w:rPr>
      </w:pPr>
    </w:p>
    <w:p>
      <w:pPr>
        <w:pStyle w:val="BodyText"/>
        <w:spacing w:before="7"/>
        <w:rPr>
          <w:sz w:val="49"/>
        </w:rPr>
      </w:pPr>
    </w:p>
    <w:p>
      <w:pPr>
        <w:spacing w:before="0"/>
        <w:ind w:left="844" w:right="0" w:firstLine="0"/>
        <w:jc w:val="left"/>
        <w:rPr>
          <w:sz w:val="45"/>
        </w:rPr>
      </w:pPr>
      <w:r>
        <w:rPr>
          <w:sz w:val="45"/>
        </w:rPr>
        <w:t>六、处理建议</w:t>
      </w:r>
    </w:p>
    <w:p>
      <w:pPr>
        <w:spacing w:after="0"/>
        <w:jc w:val="left"/>
        <w:rPr>
          <w:sz w:val="45"/>
        </w:rPr>
        <w:sectPr>
          <w:footerReference w:type="default" r:id="rId19"/>
          <w:pgSz w:w="17860" w:h="25260"/>
          <w:pgMar w:top="1800" w:right="660" w:bottom="1960" w:left="1100" w:header="0" w:footer="1765"/>
          <w:pgNumType w:start="29"/>
          <w:cols w:space="708"/>
        </w:sectPr>
      </w:pPr>
    </w:p>
    <w:p>
      <w:pPr>
        <w:pStyle w:val="Heading3"/>
        <w:spacing w:before="6"/>
        <w:ind w:left="752" w:right="711"/>
        <w:jc w:val="center"/>
      </w:pPr>
      <w:r>
        <w:t>评估结论异议处理</w:t>
      </w:r>
    </w:p>
    <w:p>
      <w:pPr>
        <w:pStyle w:val="BodyText"/>
        <w:spacing w:before="372" w:line="204" w:lineRule="auto"/>
        <w:ind w:left="1060" w:right="926" w:firstLine="925"/>
      </w:pPr>
      <w:r>
        <w:rPr>
          <w:w w:val="95"/>
        </w:rPr>
        <w:t>委托人及利害关系人对房屋建筑安全评估结论有异议</w:t>
      </w:r>
      <w:r>
        <w:rPr>
          <w:spacing w:val="-60"/>
          <w:w w:val="95"/>
        </w:rPr>
        <w:t xml:space="preserve">的,可按下列  </w:t>
      </w:r>
      <w:r>
        <w:t>规定处理：</w:t>
      </w:r>
    </w:p>
    <w:p>
      <w:pPr>
        <w:pStyle w:val="BodyText"/>
        <w:spacing w:line="204" w:lineRule="auto"/>
        <w:ind w:left="1060" w:right="349" w:firstLine="925"/>
      </w:pPr>
      <w:r>
        <w:t>（一）委托人有异议的，应当在合同约定期限内向原鉴定机构提</w:t>
      </w:r>
      <w:r>
        <w:rPr>
          <w:w w:val="95"/>
        </w:rPr>
        <w:t>出书面异议，鉴定机构应当在合同约定期限内对委托人予以书面答复。</w:t>
      </w:r>
    </w:p>
    <w:p>
      <w:pPr>
        <w:pStyle w:val="BodyText"/>
        <w:spacing w:line="204" w:lineRule="auto"/>
        <w:ind w:left="1060" w:right="705" w:firstLine="925"/>
      </w:pPr>
      <w:r>
        <w:rPr>
          <w:w w:val="95"/>
        </w:rPr>
        <w:t>（二）</w:t>
      </w:r>
      <w:r>
        <w:rPr>
          <w:spacing w:val="-1"/>
          <w:w w:val="95"/>
        </w:rPr>
        <w:t xml:space="preserve">利害关系人有异议的，应当及时向原鉴定机构提出书面异  </w:t>
      </w:r>
      <w:r>
        <w:rPr>
          <w:spacing w:val="-5"/>
        </w:rPr>
        <w:t>议。鉴定机构应当在</w:t>
      </w:r>
      <w:r>
        <w:t>15</w:t>
      </w:r>
      <w:r>
        <w:rPr>
          <w:spacing w:val="-7"/>
        </w:rPr>
        <w:t xml:space="preserve"> 个工作日内对异议人予以书面答复。</w:t>
      </w:r>
    </w:p>
    <w:p>
      <w:pPr>
        <w:pStyle w:val="BodyText"/>
        <w:spacing w:line="204" w:lineRule="auto"/>
        <w:ind w:left="1060" w:right="672" w:firstLine="925"/>
        <w:jc w:val="both"/>
      </w:pPr>
      <w:r>
        <w:rPr>
          <w:w w:val="95"/>
        </w:rPr>
        <w:t xml:space="preserve">（三）委托人及利害关系人对安全评估结论有异议又不能协商解  </w:t>
      </w:r>
      <w:r>
        <w:rPr>
          <w:spacing w:val="-1"/>
          <w:w w:val="95"/>
        </w:rPr>
        <w:t xml:space="preserve">决的，可以在安全评估结论有效期内，向市房屋安全管理事务中心提  </w:t>
      </w:r>
      <w:r>
        <w:t>出安全评估程序符合性审查或安全评估结论可靠性审查。</w:t>
      </w:r>
    </w:p>
    <w:p>
      <w:pPr>
        <w:pStyle w:val="BodyText"/>
        <w:spacing w:line="204" w:lineRule="auto"/>
        <w:ind w:left="1060" w:right="672" w:firstLine="925"/>
        <w:jc w:val="both"/>
      </w:pPr>
      <w:r>
        <w:rPr>
          <w:w w:val="95"/>
        </w:rPr>
        <w:t xml:space="preserve">市房屋安全管理事务中心负责对安全评估异议项目进行程序符合  </w:t>
      </w:r>
      <w:r>
        <w:rPr>
          <w:spacing w:val="-1"/>
          <w:w w:val="95"/>
        </w:rPr>
        <w:t xml:space="preserve">性审查，发现问题的，责令房屋安全鉴定机构按照规定程序改进或者  </w:t>
      </w:r>
      <w:r>
        <w:t>重新进行安全评估。</w:t>
      </w:r>
    </w:p>
    <w:p>
      <w:pPr>
        <w:pStyle w:val="BodyText"/>
        <w:spacing w:line="204" w:lineRule="auto"/>
        <w:ind w:left="1060" w:right="672" w:firstLine="925"/>
        <w:jc w:val="both"/>
      </w:pPr>
      <w:r>
        <w:rPr>
          <w:w w:val="95"/>
        </w:rPr>
        <w:t xml:space="preserve">异议项目涉及安全评估结论可靠性审查的，异议人可以在市房屋  </w:t>
      </w:r>
      <w:r>
        <w:rPr>
          <w:spacing w:val="-1"/>
          <w:w w:val="95"/>
        </w:rPr>
        <w:t xml:space="preserve">安全管理事务中心的组织下，从北京市建设工程质量与房屋安全鉴定   专家库中随机选取相关专家组成审查组，对安全评估过程采用的技术   路线、测试方法、计算方法、评定方法的适用性和可靠性进行审查，   专家组审查费用由异议人先行支付。经审查发现问题的，由市房屋安   全管理事务中心责令房屋安全鉴定机构对鉴定报告进行完善，或者重  </w:t>
      </w:r>
      <w:r>
        <w:t>新进行鉴定。</w:t>
      </w:r>
    </w:p>
    <w:p>
      <w:pPr>
        <w:pStyle w:val="BodyText"/>
        <w:spacing w:line="707" w:lineRule="exact"/>
        <w:ind w:left="1985"/>
      </w:pPr>
      <w:r>
        <w:t>安全评估结论改变的，房屋安全鉴定机构应当重新出具鉴定报告，</w:t>
      </w:r>
    </w:p>
    <w:p>
      <w:pPr>
        <w:pStyle w:val="BodyText"/>
        <w:spacing w:before="4" w:line="204" w:lineRule="auto"/>
        <w:ind w:left="1060" w:right="672"/>
      </w:pPr>
      <w:r>
        <w:rPr>
          <w:spacing w:val="-1"/>
          <w:w w:val="95"/>
        </w:rPr>
        <w:t xml:space="preserve">并承担专家组审查费用；安全评估结论不变的，市房屋安全管理事务  </w:t>
      </w:r>
      <w:r>
        <w:t>中心应当向异议人出具书面答复。</w:t>
      </w:r>
    </w:p>
    <w:p>
      <w:pPr>
        <w:pStyle w:val="BodyText"/>
        <w:spacing w:before="6"/>
        <w:rPr>
          <w:sz w:val="35"/>
        </w:rPr>
      </w:pPr>
    </w:p>
    <w:p>
      <w:pPr>
        <w:pStyle w:val="BodyText"/>
        <w:spacing w:line="819" w:lineRule="exact"/>
        <w:ind w:left="1060"/>
      </w:pPr>
      <w:r>
        <w:t>北京市房屋安全管理事务中心联系方式</w:t>
      </w:r>
    </w:p>
    <w:p>
      <w:pPr>
        <w:pStyle w:val="BodyText"/>
        <w:tabs>
          <w:tab w:val="left" w:pos="11966"/>
        </w:tabs>
        <w:spacing w:before="29" w:line="204" w:lineRule="auto"/>
        <w:ind w:left="1060" w:right="3652"/>
      </w:pPr>
      <w:r>
        <w:t>地址：北京市西城区广莲路</w:t>
      </w:r>
      <w:r>
        <w:rPr>
          <w:spacing w:val="-14"/>
        </w:rPr>
        <w:t xml:space="preserve"> </w:t>
      </w:r>
      <w:r>
        <w:t>1</w:t>
      </w:r>
      <w:r>
        <w:rPr>
          <w:spacing w:val="-27"/>
        </w:rPr>
        <w:t xml:space="preserve"> </w:t>
      </w:r>
      <w:r>
        <w:t>号建工大厦</w:t>
      </w:r>
      <w:r>
        <w:rPr>
          <w:spacing w:val="-16"/>
        </w:rPr>
        <w:t xml:space="preserve"> </w:t>
      </w:r>
      <w:r>
        <w:t>B</w:t>
      </w:r>
      <w:r>
        <w:rPr>
          <w:spacing w:val="-29"/>
        </w:rPr>
        <w:t xml:space="preserve"> </w:t>
      </w:r>
      <w:r>
        <w:t>座</w:t>
      </w:r>
      <w:r>
        <w:rPr>
          <w:spacing w:val="-24"/>
        </w:rPr>
        <w:t xml:space="preserve"> </w:t>
      </w:r>
      <w:r>
        <w:t>615</w:t>
        <w:tab/>
      </w:r>
      <w:r>
        <w:rPr>
          <w:spacing w:val="-18"/>
        </w:rPr>
        <w:t>室</w:t>
      </w:r>
      <w:r>
        <w:t>电话：010-</w:t>
      </w:r>
    </w:p>
    <w:p>
      <w:pPr>
        <w:spacing w:after="0" w:line="204" w:lineRule="auto"/>
        <w:sectPr>
          <w:footerReference w:type="default" r:id="rId20"/>
          <w:pgSz w:w="17860" w:h="25260"/>
          <w:pgMar w:top="1680" w:right="660" w:bottom="1960" w:left="1100" w:header="0" w:footer="1765"/>
          <w:pgNumType w:start="30"/>
          <w:cols w:space="708"/>
        </w:sectPr>
      </w:pPr>
    </w:p>
    <w:p>
      <w:pPr>
        <w:pStyle w:val="BodyText"/>
        <w:spacing w:before="17"/>
        <w:rPr>
          <w:sz w:val="15"/>
        </w:rPr>
      </w:pPr>
    </w:p>
    <w:p>
      <w:pPr>
        <w:pStyle w:val="Heading3"/>
        <w:spacing w:before="24"/>
        <w:ind w:right="460"/>
        <w:jc w:val="center"/>
      </w:pPr>
      <w:r>
        <w:t>评估报告的有关要求</w:t>
      </w:r>
    </w:p>
    <w:p>
      <w:pPr>
        <w:pStyle w:val="BodyText"/>
        <w:rPr>
          <w:rFonts w:ascii="宋体"/>
          <w:b/>
          <w:sz w:val="54"/>
        </w:rPr>
      </w:pPr>
    </w:p>
    <w:p>
      <w:pPr>
        <w:pStyle w:val="BodyText"/>
        <w:spacing w:before="2"/>
        <w:rPr>
          <w:rFonts w:ascii="宋体"/>
          <w:b/>
          <w:sz w:val="52"/>
        </w:rPr>
      </w:pPr>
    </w:p>
    <w:p>
      <w:pPr>
        <w:pStyle w:val="ListParagraph"/>
        <w:numPr>
          <w:ilvl w:val="0"/>
          <w:numId w:val="11"/>
        </w:numPr>
        <w:tabs>
          <w:tab w:val="left" w:pos="2404"/>
        </w:tabs>
        <w:spacing w:before="0" w:after="0" w:line="312" w:lineRule="auto"/>
        <w:ind w:left="1060" w:right="1467" w:firstLine="939"/>
        <w:jc w:val="left"/>
        <w:rPr>
          <w:sz w:val="48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1950920</wp:posOffset>
            </wp:positionV>
            <wp:extent cx="5715000" cy="56642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66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评估报告的在线填写页应当包括房屋建筑的基本信息、图</w:t>
      </w:r>
      <w:r>
        <w:rPr>
          <w:w w:val="95"/>
          <w:sz w:val="48"/>
        </w:rPr>
        <w:t>纸资料、现场检查结果（主要缺陷情况</w:t>
      </w:r>
      <w:r>
        <w:rPr>
          <w:spacing w:val="-316"/>
          <w:w w:val="95"/>
          <w:sz w:val="48"/>
        </w:rPr>
        <w:t>）</w:t>
      </w:r>
      <w:r>
        <w:rPr>
          <w:spacing w:val="-2"/>
          <w:w w:val="95"/>
          <w:sz w:val="48"/>
        </w:rPr>
        <w:t xml:space="preserve">、安全评估结论和处理建  </w:t>
      </w:r>
      <w:r>
        <w:rPr>
          <w:sz w:val="48"/>
        </w:rPr>
        <w:t>议。评估报告的正文应当紧接评估结论另起一页开始；</w:t>
      </w:r>
    </w:p>
    <w:p>
      <w:pPr>
        <w:pStyle w:val="ListParagraph"/>
        <w:numPr>
          <w:ilvl w:val="0"/>
          <w:numId w:val="11"/>
        </w:numPr>
        <w:tabs>
          <w:tab w:val="left" w:pos="2398"/>
        </w:tabs>
        <w:spacing w:before="7" w:after="0" w:line="312" w:lineRule="auto"/>
        <w:ind w:left="1060" w:right="1501" w:firstLine="939"/>
        <w:jc w:val="both"/>
        <w:rPr>
          <w:sz w:val="48"/>
        </w:rPr>
      </w:pPr>
      <w:r>
        <w:rPr>
          <w:w w:val="99"/>
          <w:sz w:val="48"/>
        </w:rPr>
        <w:t>“委托人（单位</w:t>
      </w:r>
      <w:r>
        <w:rPr>
          <w:spacing w:val="-242"/>
          <w:w w:val="99"/>
          <w:sz w:val="48"/>
        </w:rPr>
        <w:t>）</w:t>
      </w:r>
      <w:r>
        <w:rPr>
          <w:spacing w:val="-1"/>
          <w:w w:val="99"/>
          <w:sz w:val="48"/>
        </w:rPr>
        <w:t>”应当填写全称，且与签章一致，不得使</w:t>
      </w:r>
      <w:r>
        <w:rPr>
          <w:sz w:val="48"/>
        </w:rPr>
        <w:t>用简称。联系人及其电话号码应当准确；房屋建筑名称和房屋建筑地址应当详细填写，不得使用简称；</w:t>
      </w:r>
    </w:p>
    <w:p>
      <w:pPr>
        <w:pStyle w:val="ListParagraph"/>
        <w:numPr>
          <w:ilvl w:val="0"/>
          <w:numId w:val="11"/>
        </w:numPr>
        <w:tabs>
          <w:tab w:val="left" w:pos="2398"/>
        </w:tabs>
        <w:spacing w:before="9" w:after="0" w:line="240" w:lineRule="auto"/>
        <w:ind w:left="2397" w:right="0" w:hanging="398"/>
        <w:jc w:val="left"/>
        <w:rPr>
          <w:sz w:val="48"/>
        </w:rPr>
      </w:pPr>
      <w:r>
        <w:rPr>
          <w:sz w:val="48"/>
        </w:rPr>
        <w:t>“房屋属性”应当填写农村房屋、城镇房屋；</w:t>
      </w:r>
    </w:p>
    <w:p>
      <w:pPr>
        <w:pStyle w:val="ListParagraph"/>
        <w:numPr>
          <w:ilvl w:val="0"/>
          <w:numId w:val="11"/>
        </w:numPr>
        <w:tabs>
          <w:tab w:val="left" w:pos="2404"/>
        </w:tabs>
        <w:spacing w:before="268" w:after="0" w:line="312" w:lineRule="auto"/>
        <w:ind w:left="1060" w:right="1630" w:firstLine="939"/>
        <w:jc w:val="both"/>
        <w:rPr>
          <w:sz w:val="48"/>
        </w:rPr>
      </w:pPr>
      <w:r>
        <w:rPr>
          <w:sz w:val="48"/>
        </w:rPr>
        <w:t>“房屋建筑设计用途”应当填写住宅、学校、幼儿园、办</w:t>
      </w:r>
      <w:r>
        <w:rPr>
          <w:spacing w:val="-1"/>
          <w:w w:val="95"/>
          <w:sz w:val="48"/>
        </w:rPr>
        <w:t xml:space="preserve">公用房、影剧院、商场、医院、体育场馆、车站、娱乐场所、工  </w:t>
      </w:r>
      <w:r>
        <w:rPr>
          <w:sz w:val="48"/>
        </w:rPr>
        <w:t>业厂房、其他等；</w:t>
      </w:r>
    </w:p>
    <w:p>
      <w:pPr>
        <w:pStyle w:val="ListParagraph"/>
        <w:numPr>
          <w:ilvl w:val="0"/>
          <w:numId w:val="11"/>
        </w:numPr>
        <w:tabs>
          <w:tab w:val="left" w:pos="2398"/>
        </w:tabs>
        <w:spacing w:before="9" w:after="0" w:line="312" w:lineRule="auto"/>
        <w:ind w:left="1060" w:right="1268" w:firstLine="93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“房屋建筑实际使用性质”应当填写公共建筑、民用建筑、 </w:t>
      </w:r>
      <w:r>
        <w:rPr>
          <w:sz w:val="48"/>
        </w:rPr>
        <w:t>工业厂房；</w:t>
      </w:r>
    </w:p>
    <w:p>
      <w:pPr>
        <w:pStyle w:val="ListParagraph"/>
        <w:numPr>
          <w:ilvl w:val="0"/>
          <w:numId w:val="11"/>
        </w:numPr>
        <w:tabs>
          <w:tab w:val="left" w:pos="2398"/>
        </w:tabs>
        <w:spacing w:before="4" w:after="0" w:line="312" w:lineRule="auto"/>
        <w:ind w:left="1060" w:right="1503" w:firstLine="939"/>
        <w:jc w:val="left"/>
        <w:rPr>
          <w:sz w:val="48"/>
        </w:rPr>
      </w:pPr>
      <w:r>
        <w:rPr>
          <w:spacing w:val="-2"/>
          <w:sz w:val="48"/>
        </w:rPr>
        <w:t xml:space="preserve">“抗震设计依据”应当填写 </w:t>
      </w:r>
      <w:r>
        <w:rPr>
          <w:sz w:val="48"/>
        </w:rPr>
        <w:t>89</w:t>
      </w:r>
      <w:r>
        <w:rPr>
          <w:spacing w:val="-6"/>
          <w:sz w:val="48"/>
        </w:rPr>
        <w:t xml:space="preserve"> 以前规范、</w:t>
      </w:r>
      <w:r>
        <w:rPr>
          <w:sz w:val="48"/>
        </w:rPr>
        <w:t>89</w:t>
      </w:r>
      <w:r>
        <w:rPr>
          <w:spacing w:val="-9"/>
          <w:sz w:val="48"/>
        </w:rPr>
        <w:t xml:space="preserve"> 规范、</w:t>
      </w:r>
      <w:r>
        <w:rPr>
          <w:sz w:val="48"/>
        </w:rPr>
        <w:t>2001 规范、2010</w:t>
      </w:r>
      <w:r>
        <w:rPr>
          <w:spacing w:val="-5"/>
          <w:sz w:val="48"/>
        </w:rPr>
        <w:t xml:space="preserve"> 规范、无抗震设防；</w:t>
      </w:r>
    </w:p>
    <w:p>
      <w:pPr>
        <w:pStyle w:val="ListParagraph"/>
        <w:numPr>
          <w:ilvl w:val="0"/>
          <w:numId w:val="11"/>
        </w:numPr>
        <w:tabs>
          <w:tab w:val="left" w:pos="2404"/>
        </w:tabs>
        <w:spacing w:before="4" w:after="0" w:line="240" w:lineRule="auto"/>
        <w:ind w:left="2403" w:right="0" w:hanging="404"/>
        <w:jc w:val="left"/>
        <w:rPr>
          <w:sz w:val="48"/>
        </w:rPr>
      </w:pPr>
      <w:r>
        <w:rPr>
          <w:sz w:val="48"/>
        </w:rPr>
        <w:t>“结构类型”应当填写木结构、砖木结构、砖混结构、钢</w:t>
      </w:r>
    </w:p>
    <w:p>
      <w:pPr>
        <w:spacing w:after="0" w:line="240" w:lineRule="auto"/>
        <w:jc w:val="left"/>
        <w:rPr>
          <w:sz w:val="48"/>
        </w:rPr>
        <w:sectPr>
          <w:footerReference w:type="default" r:id="rId22"/>
          <w:pgSz w:w="17860" w:h="25260"/>
          <w:pgMar w:top="2420" w:right="660" w:bottom="2000" w:left="1100" w:header="0" w:footer="1813"/>
          <w:pgNumType w:start="35"/>
          <w:cols w:space="708"/>
        </w:sectPr>
      </w:pPr>
    </w:p>
    <w:p>
      <w:pPr>
        <w:pStyle w:val="BodyText"/>
        <w:spacing w:line="59" w:lineRule="exact"/>
        <w:ind w:left="10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665083" cy="38004"/>
            <wp:effectExtent l="0" t="0" r="0" b="0"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50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16"/>
        </w:rPr>
      </w:pPr>
    </w:p>
    <w:p>
      <w:pPr>
        <w:pStyle w:val="BodyText"/>
        <w:spacing w:line="859" w:lineRule="exact"/>
        <w:ind w:left="1060"/>
      </w:pPr>
      <w:r>
        <w:t>筋混凝土结构、钢结构、其他等；</w:t>
      </w:r>
    </w:p>
    <w:p>
      <w:pPr>
        <w:pStyle w:val="ListParagraph"/>
        <w:numPr>
          <w:ilvl w:val="0"/>
          <w:numId w:val="12"/>
        </w:numPr>
        <w:tabs>
          <w:tab w:val="left" w:pos="2398"/>
        </w:tabs>
        <w:spacing w:before="267" w:after="0" w:line="240" w:lineRule="auto"/>
        <w:ind w:left="2397" w:right="0" w:hanging="398"/>
        <w:jc w:val="left"/>
        <w:rPr>
          <w:sz w:val="48"/>
        </w:rPr>
      </w:pPr>
      <w:r>
        <w:rPr>
          <w:sz w:val="48"/>
        </w:rPr>
        <w:t>“建筑类别”应当填写高层房屋、多层房屋、单层房屋；</w:t>
      </w:r>
    </w:p>
    <w:p>
      <w:pPr>
        <w:pStyle w:val="ListParagraph"/>
        <w:numPr>
          <w:ilvl w:val="0"/>
          <w:numId w:val="12"/>
        </w:numPr>
        <w:tabs>
          <w:tab w:val="left" w:pos="2398"/>
        </w:tabs>
        <w:spacing w:before="267" w:after="0" w:line="240" w:lineRule="auto"/>
        <w:ind w:left="2397" w:right="0" w:hanging="398"/>
        <w:jc w:val="left"/>
        <w:rPr>
          <w:sz w:val="48"/>
        </w:rPr>
      </w:pPr>
      <w:r>
        <w:rPr>
          <w:sz w:val="48"/>
        </w:rPr>
        <w:t>“评估分类”应当填写Ⅰ类、Ⅱ类；</w:t>
      </w:r>
    </w:p>
    <w:p>
      <w:pPr>
        <w:pStyle w:val="ListParagraph"/>
        <w:numPr>
          <w:ilvl w:val="0"/>
          <w:numId w:val="12"/>
        </w:numPr>
        <w:tabs>
          <w:tab w:val="left" w:pos="2678"/>
        </w:tabs>
        <w:spacing w:before="271" w:after="0" w:line="240" w:lineRule="auto"/>
        <w:ind w:left="2677" w:right="0" w:hanging="678"/>
        <w:jc w:val="left"/>
        <w:rPr>
          <w:sz w:val="48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613483</wp:posOffset>
            </wp:positionV>
            <wp:extent cx="8064500" cy="83185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831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“评估类型”应当填写安全评估、应急评估；</w:t>
      </w:r>
    </w:p>
    <w:p>
      <w:pPr>
        <w:pStyle w:val="ListParagraph"/>
        <w:numPr>
          <w:ilvl w:val="0"/>
          <w:numId w:val="12"/>
        </w:numPr>
        <w:tabs>
          <w:tab w:val="left" w:pos="2678"/>
        </w:tabs>
        <w:spacing w:before="267" w:after="0" w:line="312" w:lineRule="auto"/>
        <w:ind w:left="1060" w:right="1466" w:firstLine="93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“地质情况”应当填写稳定地基区、滑坡区、崩塌区、沉 </w:t>
      </w:r>
      <w:r>
        <w:rPr>
          <w:sz w:val="48"/>
        </w:rPr>
        <w:t>陷区、地裂缝区、泥石流区、行洪区、采空区、其他等；</w:t>
      </w:r>
    </w:p>
    <w:p>
      <w:pPr>
        <w:pStyle w:val="ListParagraph"/>
        <w:numPr>
          <w:ilvl w:val="0"/>
          <w:numId w:val="12"/>
        </w:numPr>
        <w:tabs>
          <w:tab w:val="left" w:pos="2678"/>
        </w:tabs>
        <w:spacing w:before="5" w:after="0" w:line="312" w:lineRule="auto"/>
        <w:ind w:left="1060" w:right="1270" w:firstLine="939"/>
        <w:jc w:val="left"/>
        <w:rPr>
          <w:sz w:val="48"/>
        </w:rPr>
      </w:pPr>
      <w:r>
        <w:rPr>
          <w:spacing w:val="-16"/>
          <w:sz w:val="48"/>
        </w:rPr>
        <w:t>“历史状况”应当填写房屋建筑拆改情况、用途变更情况</w:t>
      </w:r>
      <w:r>
        <w:rPr>
          <w:spacing w:val="-4"/>
          <w:sz w:val="48"/>
        </w:rPr>
        <w:t>、评估与鉴定情况、维修情况等；</w:t>
      </w:r>
    </w:p>
    <w:p>
      <w:pPr>
        <w:pStyle w:val="ListParagraph"/>
        <w:numPr>
          <w:ilvl w:val="0"/>
          <w:numId w:val="12"/>
        </w:numPr>
        <w:tabs>
          <w:tab w:val="left" w:pos="2922"/>
        </w:tabs>
        <w:spacing w:before="7" w:after="0" w:line="312" w:lineRule="auto"/>
        <w:ind w:left="1060" w:right="1684" w:firstLine="939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“评估依据”应当填写结论依据的主要评估标准，当依 </w:t>
      </w:r>
      <w:r>
        <w:rPr>
          <w:sz w:val="48"/>
        </w:rPr>
        <w:t>据规范、标准较多时，可在报告正文中列出；</w:t>
      </w:r>
    </w:p>
    <w:p>
      <w:pPr>
        <w:pStyle w:val="ListParagraph"/>
        <w:numPr>
          <w:ilvl w:val="0"/>
          <w:numId w:val="12"/>
        </w:numPr>
        <w:tabs>
          <w:tab w:val="left" w:pos="2922"/>
        </w:tabs>
        <w:spacing w:before="4" w:after="0" w:line="312" w:lineRule="auto"/>
        <w:ind w:left="1060" w:right="1551" w:firstLine="939"/>
        <w:jc w:val="both"/>
        <w:rPr>
          <w:sz w:val="48"/>
        </w:rPr>
      </w:pPr>
      <w:r>
        <w:rPr>
          <w:spacing w:val="-39"/>
          <w:w w:val="95"/>
          <w:sz w:val="48"/>
        </w:rPr>
        <w:t xml:space="preserve">“图纸资料”、“分项现场检查结果”、“安全评估结论”  </w:t>
      </w:r>
      <w:r>
        <w:rPr>
          <w:sz w:val="48"/>
        </w:rPr>
        <w:t>及“处理建议”的文字描述应当准确、简洁且应当与报告正文一致；</w:t>
      </w:r>
    </w:p>
    <w:p>
      <w:pPr>
        <w:pStyle w:val="BodyText"/>
        <w:spacing w:before="9" w:line="312" w:lineRule="auto"/>
        <w:ind w:left="2000" w:right="1648"/>
      </w:pPr>
      <w:r>
        <w:t xml:space="preserve">“图纸资料”应当写明有关房屋建筑的资料名称；           </w:t>
      </w:r>
      <w:r>
        <w:rPr>
          <w:spacing w:val="-1"/>
          <w:w w:val="95"/>
        </w:rPr>
        <w:t>“分项现场检查结果”应当写明在资料核查及现场检查中发</w:t>
      </w:r>
    </w:p>
    <w:p>
      <w:pPr>
        <w:pStyle w:val="BodyText"/>
        <w:spacing w:before="5" w:line="312" w:lineRule="auto"/>
        <w:ind w:left="2000" w:right="1648" w:hanging="940"/>
      </w:pPr>
      <w:r>
        <w:t xml:space="preserve">现的，影响评估结论的主要损伤及缺陷；                               </w:t>
      </w:r>
      <w:r>
        <w:rPr>
          <w:spacing w:val="-1"/>
          <w:w w:val="95"/>
        </w:rPr>
        <w:t>“评估结论”应当按照相应的规范、规程、标准，编写评估</w:t>
      </w:r>
    </w:p>
    <w:p>
      <w:pPr>
        <w:pStyle w:val="BodyText"/>
        <w:spacing w:before="3"/>
        <w:ind w:left="1060"/>
      </w:pPr>
      <w:r>
        <w:t>结论，且应当包含对评估结论的解释；</w:t>
      </w:r>
    </w:p>
    <w:p>
      <w:pPr>
        <w:spacing w:after="0"/>
        <w:sectPr>
          <w:footerReference w:type="default" r:id="rId25"/>
          <w:pgSz w:w="17860" w:h="25260"/>
          <w:pgMar w:top="1280" w:right="660" w:bottom="2020" w:left="1100" w:header="0" w:footer="1813"/>
          <w:pgNumType w:start="36"/>
          <w:cols w:space="708"/>
        </w:sectPr>
      </w:pPr>
    </w:p>
    <w:p>
      <w:pPr>
        <w:pStyle w:val="BodyText"/>
        <w:spacing w:line="832" w:lineRule="exact"/>
        <w:ind w:left="2000"/>
      </w:pPr>
      <w:r>
        <w:t>“处理建议”应当根据评估结论给出适合的建议；</w:t>
      </w:r>
    </w:p>
    <w:p>
      <w:pPr>
        <w:pStyle w:val="ListParagraph"/>
        <w:numPr>
          <w:ilvl w:val="0"/>
          <w:numId w:val="10"/>
        </w:numPr>
        <w:tabs>
          <w:tab w:val="left" w:pos="2678"/>
        </w:tabs>
        <w:spacing w:before="267" w:after="0" w:line="312" w:lineRule="auto"/>
        <w:ind w:left="1060" w:right="1450" w:firstLine="93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评估报告正文应当做到信息完备、层次清楚、文字简练、 </w:t>
      </w:r>
      <w:r>
        <w:rPr>
          <w:sz w:val="48"/>
        </w:rPr>
        <w:t>结论准确，且应当包括下述六个部分：</w:t>
      </w:r>
    </w:p>
    <w:p>
      <w:pPr>
        <w:pStyle w:val="ListParagraph"/>
        <w:numPr>
          <w:ilvl w:val="0"/>
          <w:numId w:val="9"/>
        </w:numPr>
        <w:tabs>
          <w:tab w:val="left" w:pos="3254"/>
        </w:tabs>
        <w:spacing w:before="7" w:after="0" w:line="312" w:lineRule="auto"/>
        <w:ind w:left="1060" w:right="1620" w:firstLine="939"/>
        <w:jc w:val="both"/>
        <w:rPr>
          <w:sz w:val="48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1779343</wp:posOffset>
            </wp:positionV>
            <wp:extent cx="5715000" cy="5664200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66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95"/>
          <w:sz w:val="48"/>
        </w:rPr>
        <w:t xml:space="preserve">房屋建筑概况---应当按照房屋建筑实际情况及设计图 </w:t>
      </w:r>
      <w:r>
        <w:rPr>
          <w:w w:val="95"/>
          <w:sz w:val="48"/>
        </w:rPr>
        <w:t xml:space="preserve">纸分别编写地基基础、主体结构和建筑构件与部件、建筑装饰装  修、建筑设备及系统等基本情况，并附带轴线的结构平面图和房  </w:t>
      </w:r>
      <w:r>
        <w:rPr>
          <w:sz w:val="48"/>
        </w:rPr>
        <w:t>屋建筑全景图照片；</w:t>
      </w:r>
    </w:p>
    <w:p>
      <w:pPr>
        <w:pStyle w:val="ListParagraph"/>
        <w:numPr>
          <w:ilvl w:val="0"/>
          <w:numId w:val="9"/>
        </w:numPr>
        <w:tabs>
          <w:tab w:val="left" w:pos="3240"/>
        </w:tabs>
        <w:spacing w:before="8" w:after="0" w:line="240" w:lineRule="auto"/>
        <w:ind w:left="3239" w:right="0" w:hanging="1240"/>
        <w:jc w:val="left"/>
        <w:rPr>
          <w:sz w:val="48"/>
        </w:rPr>
      </w:pPr>
      <w:r>
        <w:rPr>
          <w:sz w:val="48"/>
        </w:rPr>
        <w:t>评估范围和内容——现场实际检查的项目；</w:t>
      </w:r>
    </w:p>
    <w:p>
      <w:pPr>
        <w:pStyle w:val="ListParagraph"/>
        <w:numPr>
          <w:ilvl w:val="0"/>
          <w:numId w:val="9"/>
        </w:numPr>
        <w:tabs>
          <w:tab w:val="left" w:pos="3240"/>
        </w:tabs>
        <w:spacing w:before="271" w:after="0" w:line="312" w:lineRule="auto"/>
        <w:ind w:left="1060" w:right="1503" w:firstLine="939"/>
        <w:jc w:val="both"/>
        <w:rPr>
          <w:sz w:val="48"/>
        </w:rPr>
      </w:pPr>
      <w:r>
        <w:rPr>
          <w:spacing w:val="-5"/>
          <w:sz w:val="48"/>
        </w:rPr>
        <w:t>检查评估的依据和设备——评估工作所依据的标准、</w:t>
      </w:r>
      <w:r>
        <w:rPr>
          <w:spacing w:val="-4"/>
          <w:sz w:val="48"/>
        </w:rPr>
        <w:t>规范、规程和使用的设备</w:t>
      </w:r>
      <w:r>
        <w:rPr>
          <w:sz w:val="48"/>
        </w:rPr>
        <w:t>（应当注明仪器编号及使用时间、环境</w:t>
      </w:r>
      <w:r>
        <w:rPr>
          <w:w w:val="99"/>
          <w:sz w:val="48"/>
        </w:rPr>
        <w:t>以供追溯</w:t>
      </w:r>
      <w:r>
        <w:rPr>
          <w:spacing w:val="-238"/>
          <w:w w:val="99"/>
          <w:sz w:val="48"/>
        </w:rPr>
        <w:t>）</w:t>
      </w:r>
      <w:r>
        <w:rPr>
          <w:w w:val="99"/>
          <w:sz w:val="48"/>
        </w:rPr>
        <w:t>；</w:t>
      </w:r>
    </w:p>
    <w:p>
      <w:pPr>
        <w:pStyle w:val="ListParagraph"/>
        <w:numPr>
          <w:ilvl w:val="0"/>
          <w:numId w:val="9"/>
        </w:numPr>
        <w:tabs>
          <w:tab w:val="left" w:pos="3240"/>
        </w:tabs>
        <w:spacing w:before="6" w:after="0" w:line="312" w:lineRule="auto"/>
        <w:ind w:left="1060" w:right="1528" w:firstLine="939"/>
        <w:jc w:val="left"/>
        <w:rPr>
          <w:sz w:val="48"/>
        </w:rPr>
      </w:pPr>
      <w:r>
        <w:rPr>
          <w:sz w:val="48"/>
        </w:rPr>
        <w:t>现场检查结果——应当如实反映房屋建筑的图纸核查</w:t>
      </w:r>
      <w:r>
        <w:rPr>
          <w:spacing w:val="-4"/>
          <w:sz w:val="48"/>
        </w:rPr>
        <w:t>及检查结果；</w:t>
      </w:r>
    </w:p>
    <w:p>
      <w:pPr>
        <w:pStyle w:val="ListParagraph"/>
        <w:numPr>
          <w:ilvl w:val="0"/>
          <w:numId w:val="9"/>
        </w:numPr>
        <w:tabs>
          <w:tab w:val="left" w:pos="3240"/>
        </w:tabs>
        <w:spacing w:before="7" w:after="0" w:line="312" w:lineRule="auto"/>
        <w:ind w:left="1060" w:right="1498" w:firstLine="939"/>
        <w:jc w:val="left"/>
        <w:rPr>
          <w:sz w:val="48"/>
        </w:rPr>
      </w:pPr>
      <w:r>
        <w:rPr>
          <w:spacing w:val="-9"/>
          <w:sz w:val="48"/>
        </w:rPr>
        <w:t>安全评估结论——按照相应的规范、规程、标准，根</w:t>
      </w:r>
      <w:r>
        <w:rPr>
          <w:spacing w:val="-4"/>
          <w:sz w:val="48"/>
        </w:rPr>
        <w:t>据现场检查结果对照各项指标进行分部评估；</w:t>
      </w:r>
    </w:p>
    <w:p>
      <w:pPr>
        <w:pStyle w:val="ListParagraph"/>
        <w:numPr>
          <w:ilvl w:val="0"/>
          <w:numId w:val="9"/>
        </w:numPr>
        <w:tabs>
          <w:tab w:val="left" w:pos="3240"/>
        </w:tabs>
        <w:spacing w:before="5" w:after="0" w:line="312" w:lineRule="auto"/>
        <w:ind w:left="1060" w:right="1528" w:firstLine="939"/>
        <w:jc w:val="left"/>
        <w:rPr>
          <w:sz w:val="48"/>
        </w:rPr>
      </w:pPr>
      <w:r>
        <w:rPr>
          <w:sz w:val="48"/>
        </w:rPr>
        <w:t>处理建议——按安全评估结果和相关法律法规提出处</w:t>
      </w:r>
      <w:r>
        <w:rPr>
          <w:spacing w:val="-5"/>
          <w:sz w:val="48"/>
        </w:rPr>
        <w:t>理意见。</w:t>
      </w:r>
    </w:p>
    <w:p>
      <w:pPr>
        <w:pStyle w:val="ListParagraph"/>
        <w:numPr>
          <w:ilvl w:val="0"/>
          <w:numId w:val="10"/>
        </w:numPr>
        <w:tabs>
          <w:tab w:val="left" w:pos="2678"/>
        </w:tabs>
        <w:spacing w:before="3" w:after="0" w:line="240" w:lineRule="auto"/>
        <w:ind w:left="2677" w:right="0" w:hanging="678"/>
        <w:jc w:val="left"/>
        <w:rPr>
          <w:sz w:val="48"/>
        </w:rPr>
      </w:pPr>
      <w:r>
        <w:rPr>
          <w:spacing w:val="-7"/>
          <w:sz w:val="48"/>
        </w:rPr>
        <w:t>评估报告正文中的图、表格和照片应当放在评估报告框之</w:t>
      </w:r>
    </w:p>
    <w:p>
      <w:pPr>
        <w:spacing w:after="0" w:line="240" w:lineRule="auto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https://d.book118.com/166145223000010103</w:t>
        </w:r>
      </w:hyperlink>
    </w:p>
    <w:p>
      <w:pPr>
        <w:spacing w:after="0" w:line="240" w:lineRule="auto"/>
        <w:jc w:val="left"/>
        <w:rPr>
          <w:sz w:val="48"/>
        </w:rPr>
      </w:pPr>
    </w:p>
    <w:sectPr>
      <w:footerReference w:type="default" r:id="rId27"/>
      <w:pgSz w:w="17860" w:h="25260"/>
      <w:pgMar w:top="1660" w:right="660" w:bottom="2040" w:left="1100" w:header="0" w:footer="1813"/>
      <w:pgNumType w:start="3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.5pt;height:15.5pt;margin-top:1163.52pt;margin-left:635.9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0"/>
                    <w:sz w:val="27"/>
                  </w:rPr>
                  <w:t>26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5pt;height:15.65pt;margin-top:1163.52pt;margin-left:624.7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5pt;height:15.65pt;margin-top:1163.52pt;margin-left:624.7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5pt;height:15.65pt;margin-top:1163.52pt;margin-left:624.7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1.85pt;height:19.2pt;margin-top:1158.98pt;margin-left:434.4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50"/>
                  <w:ind w:left="106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35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1.85pt;height:19.2pt;margin-top:1158.98pt;margin-left:434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50"/>
                  <w:ind w:left="106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36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1.85pt;height:19.2pt;margin-top:1158.98pt;margin-left:434.4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50"/>
                  <w:ind w:left="106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E07E6"/>
    <w:multiLevelType w:val="hybridMultilevel"/>
    <w:tmpl w:val="00000000"/>
    <w:lvl w:ilvl="0">
      <w:start w:val="1"/>
      <w:numFmt w:val="decimal"/>
      <w:lvlText w:val="（%1）"/>
      <w:lvlJc w:val="left"/>
      <w:pPr>
        <w:ind w:left="3261" w:hanging="1243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543" w:hanging="12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7" w:hanging="12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1" w:hanging="12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5" w:hanging="12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79" w:hanging="12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3" w:hanging="12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7" w:hanging="12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1" w:hanging="1243"/>
      </w:pPr>
      <w:rPr>
        <w:rFonts w:hint="default"/>
      </w:rPr>
    </w:lvl>
  </w:abstractNum>
  <w:abstractNum w:abstractNumId="1">
    <w:nsid w:val="09AEAEF0"/>
    <w:multiLevelType w:val="hybridMultilevel"/>
    <w:tmpl w:val="00000000"/>
    <w:lvl w:ilvl="0">
      <w:start w:val="1"/>
      <w:numFmt w:val="decimal"/>
      <w:lvlText w:val="（%1）"/>
      <w:lvlJc w:val="left"/>
      <w:pPr>
        <w:ind w:left="3261" w:hanging="1243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543" w:hanging="12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7" w:hanging="12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1" w:hanging="12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5" w:hanging="12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79" w:hanging="12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3" w:hanging="12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7" w:hanging="12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1" w:hanging="1243"/>
      </w:pPr>
      <w:rPr>
        <w:rFonts w:hint="default"/>
      </w:rPr>
    </w:lvl>
  </w:abstractNum>
  <w:abstractNum w:abstractNumId="2">
    <w:nsid w:val="1ECB7247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04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563" w:hanging="4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7" w:hanging="4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1" w:hanging="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1" w:hanging="404"/>
      </w:pPr>
      <w:rPr>
        <w:rFonts w:hint="default"/>
      </w:rPr>
    </w:lvl>
  </w:abstractNum>
  <w:abstractNum w:abstractNumId="3">
    <w:nsid w:val="25ECECF6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04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563" w:hanging="4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7" w:hanging="4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1" w:hanging="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1" w:hanging="404"/>
      </w:pPr>
      <w:rPr>
        <w:rFonts w:hint="default"/>
      </w:rPr>
    </w:lvl>
  </w:abstractNum>
  <w:abstractNum w:abstractNumId="4">
    <w:nsid w:val="271D082E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04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563" w:hanging="4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7" w:hanging="4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1" w:hanging="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1" w:hanging="404"/>
      </w:pPr>
      <w:rPr>
        <w:rFonts w:hint="default"/>
      </w:rPr>
    </w:lvl>
  </w:abstractNum>
  <w:abstractNum w:abstractNumId="5">
    <w:nsid w:val="33EB9DCA"/>
    <w:multiLevelType w:val="hybridMultilevel"/>
    <w:tmpl w:val="00000000"/>
    <w:lvl w:ilvl="0">
      <w:start w:val="1"/>
      <w:numFmt w:val="decimal"/>
      <w:lvlText w:val="（%1）"/>
      <w:lvlJc w:val="left"/>
      <w:pPr>
        <w:ind w:left="3239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52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7" w:hanging="1240"/>
      </w:pPr>
      <w:rPr>
        <w:rFonts w:hint="default"/>
      </w:rPr>
    </w:lvl>
  </w:abstractNum>
  <w:abstractNum w:abstractNumId="6">
    <w:nsid w:val="5C593316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04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563" w:hanging="4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7" w:hanging="4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1" w:hanging="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1" w:hanging="404"/>
      </w:pPr>
      <w:rPr>
        <w:rFonts w:hint="default"/>
      </w:rPr>
    </w:lvl>
  </w:abstractNum>
  <w:abstractNum w:abstractNumId="7">
    <w:nsid w:val="5DAEDCE8"/>
    <w:multiLevelType w:val="hybridMultilevel"/>
    <w:tmpl w:val="00000000"/>
    <w:lvl w:ilvl="0">
      <w:start w:val="1"/>
      <w:numFmt w:val="decimal"/>
      <w:lvlText w:val="（%1）"/>
      <w:lvlJc w:val="left"/>
      <w:pPr>
        <w:ind w:left="3239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52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7" w:hanging="1240"/>
      </w:pPr>
      <w:rPr>
        <w:rFonts w:hint="default"/>
      </w:rPr>
    </w:lvl>
  </w:abstractNum>
  <w:abstractNum w:abstractNumId="8">
    <w:nsid w:val="600B29CB"/>
    <w:multiLevelType w:val="hybridMultilevel"/>
    <w:tmpl w:val="00000000"/>
    <w:lvl w:ilvl="0">
      <w:start w:val="1"/>
      <w:numFmt w:val="decimal"/>
      <w:lvlText w:val="（%1）"/>
      <w:lvlJc w:val="left"/>
      <w:pPr>
        <w:ind w:left="3239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52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7" w:hanging="1240"/>
      </w:pPr>
      <w:rPr>
        <w:rFonts w:hint="default"/>
      </w:rPr>
    </w:lvl>
  </w:abstractNum>
  <w:abstractNum w:abstractNumId="9">
    <w:nsid w:val="71F0608A"/>
    <w:multiLevelType w:val="hybridMultilevel"/>
    <w:tmpl w:val="00000000"/>
    <w:lvl w:ilvl="0">
      <w:start w:val="1"/>
      <w:numFmt w:val="decimal"/>
      <w:lvlText w:val="（%1）"/>
      <w:lvlJc w:val="left"/>
      <w:pPr>
        <w:ind w:left="1060" w:hanging="1254"/>
        <w:jc w:val="left"/>
      </w:pPr>
      <w:rPr>
        <w:rFonts w:ascii="微软雅黑" w:eastAsia="微软雅黑" w:hAnsi="微软雅黑" w:cs="微软雅黑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563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7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1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1" w:hanging="1254"/>
      </w:pPr>
      <w:rPr>
        <w:rFonts w:hint="default"/>
      </w:rPr>
    </w:lvl>
  </w:abstractNum>
  <w:abstractNum w:abstractNumId="10">
    <w:nsid w:val="76CFA314"/>
    <w:multiLevelType w:val="hybridMultilevel"/>
    <w:tmpl w:val="00000000"/>
    <w:lvl w:ilvl="0">
      <w:start w:val="1"/>
      <w:numFmt w:val="decimal"/>
      <w:lvlText w:val="（%1）"/>
      <w:lvlJc w:val="left"/>
      <w:pPr>
        <w:ind w:left="3239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52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7" w:hanging="1240"/>
      </w:pPr>
      <w:rPr>
        <w:rFonts w:hint="default"/>
      </w:rPr>
    </w:lvl>
  </w:abstractNum>
  <w:abstractNum w:abstractNumId="11">
    <w:nsid w:val="7DC7D981"/>
    <w:multiLevelType w:val="hybridMultilevel"/>
    <w:tmpl w:val="00000000"/>
    <w:lvl w:ilvl="0">
      <w:start w:val="1"/>
      <w:numFmt w:val="decimal"/>
      <w:lvlText w:val="（%1）"/>
      <w:lvlJc w:val="left"/>
      <w:pPr>
        <w:ind w:left="3239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52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7" w:hanging="1240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5"/>
  </w:num>
  <w:num w:numId="5">
    <w:abstractNumId w:val="2"/>
  </w:num>
  <w:num w:numId="6">
    <w:abstractNumId w:val="1"/>
  </w:num>
  <w:num w:numId="7">
    <w:abstractNumId w:val="11"/>
  </w:num>
  <w:num w:numId="8">
    <w:abstractNumId w:val="7"/>
  </w:num>
  <w:num w:numId="9">
    <w:abstractNumId w:val="9"/>
  </w:num>
  <w:num w:numId="10">
    <w:abstractNumId w:val="3"/>
  </w:num>
  <w:num w:numId="11">
    <w:abstractNumId w:val="4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1332" w:lineRule="exact"/>
      <w:outlineLvl w:val="0"/>
    </w:pPr>
    <w:rPr>
      <w:rFonts w:ascii="宋体" w:eastAsia="宋体" w:hAnsi="宋体" w:cs="宋体"/>
      <w:b/>
      <w:bCs/>
      <w:sz w:val="108"/>
      <w:szCs w:val="108"/>
    </w:rPr>
  </w:style>
  <w:style w:type="paragraph" w:styleId="Heading2">
    <w:name w:val="heading 2"/>
    <w:basedOn w:val="Normal"/>
    <w:uiPriority w:val="1"/>
    <w:qFormat/>
    <w:pPr>
      <w:spacing w:before="469"/>
      <w:outlineLvl w:val="1"/>
    </w:pPr>
    <w:rPr>
      <w:rFonts w:ascii="宋体" w:eastAsia="宋体" w:hAnsi="宋体" w:cs="宋体"/>
      <w:b/>
      <w:bCs/>
      <w:sz w:val="78"/>
      <w:szCs w:val="78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宋体" w:eastAsia="宋体" w:hAnsi="宋体" w:cs="宋体"/>
      <w:b/>
      <w:bCs/>
      <w:sz w:val="54"/>
      <w:szCs w:val="54"/>
    </w:rPr>
  </w:style>
  <w:style w:type="paragraph" w:styleId="Heading4">
    <w:name w:val="heading 4"/>
    <w:basedOn w:val="Normal"/>
    <w:uiPriority w:val="1"/>
    <w:qFormat/>
    <w:pPr>
      <w:ind w:right="157"/>
      <w:jc w:val="center"/>
      <w:outlineLvl w:val="3"/>
    </w:pPr>
    <w:rPr>
      <w:rFonts w:ascii="宋体" w:eastAsia="宋体" w:hAnsi="宋体" w:cs="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267"/>
      <w:ind w:left="1060" w:firstLine="93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image" Target="media/image5.png" /><Relationship Id="rId17" Type="http://schemas.openxmlformats.org/officeDocument/2006/relationships/footer" Target="footer9.xml" /><Relationship Id="rId18" Type="http://schemas.openxmlformats.org/officeDocument/2006/relationships/image" Target="media/image6.png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image" Target="media/image7.png" /><Relationship Id="rId22" Type="http://schemas.openxmlformats.org/officeDocument/2006/relationships/footer" Target="footer12.xml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footer" Target="footer13.xml" /><Relationship Id="rId26" Type="http://schemas.openxmlformats.org/officeDocument/2006/relationships/hyperlink" Target="https://d.book118.com/166145223000010103" TargetMode="External" /><Relationship Id="rId27" Type="http://schemas.openxmlformats.org/officeDocument/2006/relationships/footer" Target="footer14.xm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2024-02-28T17:12:19Z</dcterms:created>
  <dcterms:modified xsi:type="dcterms:W3CDTF">2024-02-28T17:12:19Z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2022-12-14T00:00:00Z</vt:filetime>
  </property>
  <property fmtid="{D5CDD505-2E9C-101B-9397-08002B2CF9AE}" pid="3" name="LastSaved">
    <vt:filetime>2024-02-28T00:00:00Z</vt:filetime>
  </property>
</Properties>
</file>