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酸碱平衡调节药项目规划设计纲要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11" w:history="1">
        <w:r>
          <w:rPr>
            <w:rFonts w:ascii="仿宋" w:eastAsia="仿宋" w:hAnsi="仿宋" w:cs="仿宋" w:hint="eastAsia"/>
            <w:lang w:eastAsia="zh-CN"/>
          </w:rPr>
          <w:t>概论</w:t>
        </w:r>
        <w:r>
          <w:tab/>
        </w:r>
        <w:r>
          <w:fldChar w:fldCharType="begin"/>
        </w:r>
        <w:r>
          <w:instrText xml:space="preserve"> PAGEREF _Toc20211 \h </w:instrText>
        </w:r>
        <w:r>
          <w:fldChar w:fldCharType="separate"/>
        </w:r>
        <w:r>
          <w:t>3</w:t>
        </w:r>
        <w:r>
          <w:fldChar w:fldCharType="end"/>
        </w:r>
      </w:hyperlink>
    </w:p>
    <w:p>
      <w:pPr>
        <w:pStyle w:val="TOC1"/>
        <w:tabs>
          <w:tab w:val="right" w:leader="dot" w:pos="8306"/>
        </w:tabs>
      </w:pPr>
      <w:hyperlink w:anchor="_Toc8843" w:history="1">
        <w:r>
          <w:rPr>
            <w:rFonts w:ascii="仿宋" w:eastAsia="仿宋" w:hAnsi="仿宋" w:cs="仿宋" w:hint="eastAsia"/>
            <w:lang w:eastAsia="zh-CN"/>
          </w:rPr>
          <w:t>一、工艺说明</w:t>
        </w:r>
        <w:r>
          <w:tab/>
        </w:r>
        <w:r>
          <w:fldChar w:fldCharType="begin"/>
        </w:r>
        <w:r>
          <w:instrText xml:space="preserve"> PAGEREF _Toc8843 \h </w:instrText>
        </w:r>
        <w:r>
          <w:fldChar w:fldCharType="separate"/>
        </w:r>
        <w:r>
          <w:t>3</w:t>
        </w:r>
        <w:r>
          <w:fldChar w:fldCharType="end"/>
        </w:r>
      </w:hyperlink>
    </w:p>
    <w:p>
      <w:pPr>
        <w:pStyle w:val="TOC2"/>
        <w:tabs>
          <w:tab w:val="right" w:leader="dot" w:pos="8306"/>
        </w:tabs>
      </w:pPr>
      <w:hyperlink w:anchor="_Toc23767" w:history="1">
        <w:r>
          <w:rPr>
            <w:rFonts w:ascii="仿宋" w:eastAsia="仿宋" w:hAnsi="仿宋" w:cs="仿宋" w:hint="eastAsia"/>
            <w:lang w:eastAsia="zh-CN"/>
          </w:rPr>
          <w:t>(一)、技术管理特点</w:t>
        </w:r>
        <w:r>
          <w:tab/>
        </w:r>
        <w:r>
          <w:fldChar w:fldCharType="begin"/>
        </w:r>
        <w:r>
          <w:instrText xml:space="preserve"> PAGEREF _Toc23767 \h </w:instrText>
        </w:r>
        <w:r>
          <w:fldChar w:fldCharType="separate"/>
        </w:r>
        <w:r>
          <w:t>3</w:t>
        </w:r>
        <w:r>
          <w:fldChar w:fldCharType="end"/>
        </w:r>
      </w:hyperlink>
    </w:p>
    <w:p>
      <w:pPr>
        <w:pStyle w:val="TOC2"/>
        <w:tabs>
          <w:tab w:val="right" w:leader="dot" w:pos="8306"/>
        </w:tabs>
      </w:pPr>
      <w:hyperlink w:anchor="_Toc10859" w:history="1">
        <w:r>
          <w:rPr>
            <w:rFonts w:ascii="仿宋" w:eastAsia="仿宋" w:hAnsi="仿宋" w:cs="仿宋" w:hint="eastAsia"/>
            <w:lang w:eastAsia="zh-CN"/>
          </w:rPr>
          <w:t>(二)、酸碱平衡调节药项目工艺技术设计方案</w:t>
        </w:r>
        <w:r>
          <w:tab/>
        </w:r>
        <w:r>
          <w:fldChar w:fldCharType="begin"/>
        </w:r>
        <w:r>
          <w:instrText xml:space="preserve"> PAGEREF _Toc10859 \h </w:instrText>
        </w:r>
        <w:r>
          <w:fldChar w:fldCharType="separate"/>
        </w:r>
        <w:r>
          <w:t>4</w:t>
        </w:r>
        <w:r>
          <w:fldChar w:fldCharType="end"/>
        </w:r>
      </w:hyperlink>
    </w:p>
    <w:p>
      <w:pPr>
        <w:pStyle w:val="TOC2"/>
        <w:tabs>
          <w:tab w:val="right" w:leader="dot" w:pos="8306"/>
        </w:tabs>
      </w:pPr>
      <w:hyperlink w:anchor="_Toc14650" w:history="1">
        <w:r>
          <w:rPr>
            <w:rFonts w:ascii="仿宋" w:eastAsia="仿宋" w:hAnsi="仿宋" w:cs="仿宋" w:hint="eastAsia"/>
            <w:lang w:eastAsia="zh-CN"/>
          </w:rPr>
          <w:t>(三)、设备选型方案</w:t>
        </w:r>
        <w:r>
          <w:tab/>
        </w:r>
        <w:r>
          <w:fldChar w:fldCharType="begin"/>
        </w:r>
        <w:r>
          <w:instrText xml:space="preserve"> PAGEREF _Toc14650 \h </w:instrText>
        </w:r>
        <w:r>
          <w:fldChar w:fldCharType="separate"/>
        </w:r>
        <w:r>
          <w:t>5</w:t>
        </w:r>
        <w:r>
          <w:fldChar w:fldCharType="end"/>
        </w:r>
      </w:hyperlink>
    </w:p>
    <w:p>
      <w:pPr>
        <w:pStyle w:val="TOC1"/>
        <w:tabs>
          <w:tab w:val="right" w:leader="dot" w:pos="8306"/>
        </w:tabs>
      </w:pPr>
      <w:hyperlink w:anchor="_Toc8023" w:history="1">
        <w:r>
          <w:rPr>
            <w:rFonts w:ascii="仿宋" w:eastAsia="仿宋" w:hAnsi="仿宋" w:cs="仿宋" w:hint="eastAsia"/>
            <w:lang w:eastAsia="zh-CN"/>
          </w:rPr>
          <w:t>二、酸碱平衡调节药项目可持续发展</w:t>
        </w:r>
        <w:r>
          <w:tab/>
        </w:r>
        <w:r>
          <w:fldChar w:fldCharType="begin"/>
        </w:r>
        <w:r>
          <w:instrText xml:space="preserve"> PAGEREF _Toc8023 \h </w:instrText>
        </w:r>
        <w:r>
          <w:fldChar w:fldCharType="separate"/>
        </w:r>
        <w:r>
          <w:t>7</w:t>
        </w:r>
        <w:r>
          <w:fldChar w:fldCharType="end"/>
        </w:r>
      </w:hyperlink>
    </w:p>
    <w:p>
      <w:pPr>
        <w:pStyle w:val="TOC2"/>
        <w:tabs>
          <w:tab w:val="right" w:leader="dot" w:pos="8306"/>
        </w:tabs>
      </w:pPr>
      <w:hyperlink w:anchor="_Toc2512" w:history="1">
        <w:r>
          <w:rPr>
            <w:rFonts w:ascii="仿宋" w:eastAsia="仿宋" w:hAnsi="仿宋" w:cs="仿宋" w:hint="eastAsia"/>
            <w:lang w:eastAsia="zh-CN"/>
          </w:rPr>
          <w:t>(一)、可持续战略与实践</w:t>
        </w:r>
        <w:r>
          <w:tab/>
        </w:r>
        <w:r>
          <w:fldChar w:fldCharType="begin"/>
        </w:r>
        <w:r>
          <w:instrText xml:space="preserve"> PAGEREF _Toc2512 \h </w:instrText>
        </w:r>
        <w:r>
          <w:fldChar w:fldCharType="separate"/>
        </w:r>
        <w:r>
          <w:t>7</w:t>
        </w:r>
        <w:r>
          <w:fldChar w:fldCharType="end"/>
        </w:r>
      </w:hyperlink>
    </w:p>
    <w:p>
      <w:pPr>
        <w:pStyle w:val="TOC2"/>
        <w:tabs>
          <w:tab w:val="right" w:leader="dot" w:pos="8306"/>
        </w:tabs>
      </w:pPr>
      <w:hyperlink w:anchor="_Toc13986" w:history="1">
        <w:r>
          <w:rPr>
            <w:rFonts w:ascii="仿宋" w:eastAsia="仿宋" w:hAnsi="仿宋" w:cs="仿宋" w:hint="eastAsia"/>
            <w:lang w:eastAsia="zh-CN"/>
          </w:rPr>
          <w:t>(二)、环保与社会责任</w:t>
        </w:r>
        <w:r>
          <w:tab/>
        </w:r>
        <w:r>
          <w:fldChar w:fldCharType="begin"/>
        </w:r>
        <w:r>
          <w:instrText xml:space="preserve"> PAGEREF _Toc13986 \h </w:instrText>
        </w:r>
        <w:r>
          <w:fldChar w:fldCharType="separate"/>
        </w:r>
        <w:r>
          <w:t>8</w:t>
        </w:r>
        <w:r>
          <w:fldChar w:fldCharType="end"/>
        </w:r>
      </w:hyperlink>
    </w:p>
    <w:p>
      <w:pPr>
        <w:pStyle w:val="TOC1"/>
        <w:tabs>
          <w:tab w:val="right" w:leader="dot" w:pos="8306"/>
        </w:tabs>
      </w:pPr>
      <w:hyperlink w:anchor="_Toc25445" w:history="1">
        <w:r>
          <w:rPr>
            <w:rFonts w:ascii="仿宋" w:eastAsia="仿宋" w:hAnsi="仿宋" w:cs="仿宋" w:hint="eastAsia"/>
            <w:lang w:eastAsia="zh-CN"/>
          </w:rPr>
          <w:t>三、酸碱平衡调节药项目建设单位说明</w:t>
        </w:r>
        <w:r>
          <w:tab/>
        </w:r>
        <w:r>
          <w:fldChar w:fldCharType="begin"/>
        </w:r>
        <w:r>
          <w:instrText xml:space="preserve"> PAGEREF _Toc25445 \h </w:instrText>
        </w:r>
        <w:r>
          <w:fldChar w:fldCharType="separate"/>
        </w:r>
        <w:r>
          <w:t>9</w:t>
        </w:r>
        <w:r>
          <w:fldChar w:fldCharType="end"/>
        </w:r>
      </w:hyperlink>
    </w:p>
    <w:p>
      <w:pPr>
        <w:pStyle w:val="TOC2"/>
        <w:tabs>
          <w:tab w:val="right" w:leader="dot" w:pos="8306"/>
        </w:tabs>
      </w:pPr>
      <w:hyperlink w:anchor="_Toc7077" w:history="1">
        <w:r>
          <w:rPr>
            <w:rFonts w:ascii="仿宋" w:eastAsia="仿宋" w:hAnsi="仿宋" w:cs="仿宋" w:hint="eastAsia"/>
            <w:lang w:eastAsia="zh-CN"/>
          </w:rPr>
          <w:t>(一)、酸碱平衡调节药项目承办单位基本情况</w:t>
        </w:r>
        <w:r>
          <w:tab/>
        </w:r>
        <w:r>
          <w:fldChar w:fldCharType="begin"/>
        </w:r>
        <w:r>
          <w:instrText xml:space="preserve"> PAGEREF _Toc7077 \h </w:instrText>
        </w:r>
        <w:r>
          <w:fldChar w:fldCharType="separate"/>
        </w:r>
        <w:r>
          <w:t>9</w:t>
        </w:r>
        <w:r>
          <w:fldChar w:fldCharType="end"/>
        </w:r>
      </w:hyperlink>
    </w:p>
    <w:p>
      <w:pPr>
        <w:pStyle w:val="TOC2"/>
        <w:tabs>
          <w:tab w:val="right" w:leader="dot" w:pos="8306"/>
        </w:tabs>
      </w:pPr>
      <w:hyperlink w:anchor="_Toc28351" w:history="1">
        <w:r>
          <w:rPr>
            <w:rFonts w:ascii="仿宋" w:eastAsia="仿宋" w:hAnsi="仿宋" w:cs="仿宋" w:hint="eastAsia"/>
            <w:lang w:eastAsia="zh-CN"/>
          </w:rPr>
          <w:t>(二)、公司经济效益分析</w:t>
        </w:r>
        <w:r>
          <w:tab/>
        </w:r>
        <w:r>
          <w:fldChar w:fldCharType="begin"/>
        </w:r>
        <w:r>
          <w:instrText xml:space="preserve"> PAGEREF _Toc28351 \h </w:instrText>
        </w:r>
        <w:r>
          <w:fldChar w:fldCharType="separate"/>
        </w:r>
        <w:r>
          <w:t>9</w:t>
        </w:r>
        <w:r>
          <w:fldChar w:fldCharType="end"/>
        </w:r>
      </w:hyperlink>
    </w:p>
    <w:p>
      <w:pPr>
        <w:pStyle w:val="TOC1"/>
        <w:tabs>
          <w:tab w:val="right" w:leader="dot" w:pos="8306"/>
        </w:tabs>
      </w:pPr>
      <w:hyperlink w:anchor="_Toc7055" w:history="1">
        <w:r>
          <w:rPr>
            <w:rFonts w:ascii="仿宋" w:eastAsia="仿宋" w:hAnsi="仿宋" w:cs="仿宋" w:hint="eastAsia"/>
            <w:lang w:eastAsia="zh-CN"/>
          </w:rPr>
          <w:t>四、酸碱平衡调节药项目文档管理</w:t>
        </w:r>
        <w:r>
          <w:tab/>
        </w:r>
        <w:r>
          <w:fldChar w:fldCharType="begin"/>
        </w:r>
        <w:r>
          <w:instrText xml:space="preserve"> PAGEREF _Toc7055 \h </w:instrText>
        </w:r>
        <w:r>
          <w:fldChar w:fldCharType="separate"/>
        </w:r>
        <w:r>
          <w:t>10</w:t>
        </w:r>
        <w:r>
          <w:fldChar w:fldCharType="end"/>
        </w:r>
      </w:hyperlink>
    </w:p>
    <w:p>
      <w:pPr>
        <w:pStyle w:val="TOC2"/>
        <w:tabs>
          <w:tab w:val="right" w:leader="dot" w:pos="8306"/>
        </w:tabs>
      </w:pPr>
      <w:hyperlink w:anchor="_Toc5552" w:history="1">
        <w:r>
          <w:rPr>
            <w:rFonts w:ascii="仿宋" w:eastAsia="仿宋" w:hAnsi="仿宋" w:cs="仿宋" w:hint="eastAsia"/>
            <w:lang w:eastAsia="zh-CN"/>
          </w:rPr>
          <w:t>(一)、文档编制与审查</w:t>
        </w:r>
        <w:r>
          <w:tab/>
        </w:r>
        <w:r>
          <w:fldChar w:fldCharType="begin"/>
        </w:r>
        <w:r>
          <w:instrText xml:space="preserve"> PAGEREF _Toc5552 \h </w:instrText>
        </w:r>
        <w:r>
          <w:fldChar w:fldCharType="separate"/>
        </w:r>
        <w:r>
          <w:t>10</w:t>
        </w:r>
        <w:r>
          <w:fldChar w:fldCharType="end"/>
        </w:r>
      </w:hyperlink>
    </w:p>
    <w:p>
      <w:pPr>
        <w:pStyle w:val="TOC2"/>
        <w:tabs>
          <w:tab w:val="right" w:leader="dot" w:pos="8306"/>
        </w:tabs>
      </w:pPr>
      <w:hyperlink w:anchor="_Toc3279" w:history="1">
        <w:r>
          <w:rPr>
            <w:rFonts w:ascii="仿宋" w:eastAsia="仿宋" w:hAnsi="仿宋" w:cs="仿宋" w:hint="eastAsia"/>
            <w:lang w:eastAsia="zh-CN"/>
          </w:rPr>
          <w:t>(二)、文档发布与分发</w:t>
        </w:r>
        <w:r>
          <w:tab/>
        </w:r>
        <w:r>
          <w:fldChar w:fldCharType="begin"/>
        </w:r>
        <w:r>
          <w:instrText xml:space="preserve"> PAGEREF _Toc3279 \h </w:instrText>
        </w:r>
        <w:r>
          <w:fldChar w:fldCharType="separate"/>
        </w:r>
        <w:r>
          <w:t>12</w:t>
        </w:r>
        <w:r>
          <w:fldChar w:fldCharType="end"/>
        </w:r>
      </w:hyperlink>
    </w:p>
    <w:p>
      <w:pPr>
        <w:pStyle w:val="TOC2"/>
        <w:tabs>
          <w:tab w:val="right" w:leader="dot" w:pos="8306"/>
        </w:tabs>
      </w:pPr>
      <w:hyperlink w:anchor="_Toc354" w:history="1">
        <w:r>
          <w:rPr>
            <w:rFonts w:ascii="仿宋" w:eastAsia="仿宋" w:hAnsi="仿宋" w:cs="仿宋" w:hint="eastAsia"/>
            <w:lang w:eastAsia="zh-CN"/>
          </w:rPr>
          <w:t>(三)、文档存档与归档</w:t>
        </w:r>
        <w:r>
          <w:tab/>
        </w:r>
        <w:r>
          <w:fldChar w:fldCharType="begin"/>
        </w:r>
        <w:r>
          <w:instrText xml:space="preserve"> PAGEREF _Toc354 \h </w:instrText>
        </w:r>
        <w:r>
          <w:fldChar w:fldCharType="separate"/>
        </w:r>
        <w:r>
          <w:t>12</w:t>
        </w:r>
        <w:r>
          <w:fldChar w:fldCharType="end"/>
        </w:r>
      </w:hyperlink>
    </w:p>
    <w:p>
      <w:pPr>
        <w:pStyle w:val="TOC1"/>
        <w:tabs>
          <w:tab w:val="right" w:leader="dot" w:pos="8306"/>
        </w:tabs>
      </w:pPr>
      <w:hyperlink w:anchor="_Toc13959" w:history="1">
        <w:r>
          <w:rPr>
            <w:rFonts w:ascii="仿宋" w:eastAsia="仿宋" w:hAnsi="仿宋" w:cs="仿宋" w:hint="eastAsia"/>
            <w:lang w:eastAsia="zh-CN"/>
          </w:rPr>
          <w:t>五、酸碱平衡调节药项目危机管理</w:t>
        </w:r>
        <w:r>
          <w:tab/>
        </w:r>
        <w:r>
          <w:fldChar w:fldCharType="begin"/>
        </w:r>
        <w:r>
          <w:instrText xml:space="preserve"> PAGEREF _Toc13959 \h </w:instrText>
        </w:r>
        <w:r>
          <w:fldChar w:fldCharType="separate"/>
        </w:r>
        <w:r>
          <w:t>14</w:t>
        </w:r>
        <w:r>
          <w:fldChar w:fldCharType="end"/>
        </w:r>
      </w:hyperlink>
    </w:p>
    <w:p>
      <w:pPr>
        <w:pStyle w:val="TOC2"/>
        <w:tabs>
          <w:tab w:val="right" w:leader="dot" w:pos="8306"/>
        </w:tabs>
      </w:pPr>
      <w:hyperlink w:anchor="_Toc15468" w:history="1">
        <w:r>
          <w:rPr>
            <w:rFonts w:ascii="仿宋" w:eastAsia="仿宋" w:hAnsi="仿宋" w:cs="仿宋" w:hint="eastAsia"/>
            <w:lang w:eastAsia="zh-CN"/>
          </w:rPr>
          <w:t>(一)、危机预警与识别</w:t>
        </w:r>
        <w:r>
          <w:tab/>
        </w:r>
        <w:r>
          <w:fldChar w:fldCharType="begin"/>
        </w:r>
        <w:r>
          <w:instrText xml:space="preserve"> PAGEREF _Toc15468 \h </w:instrText>
        </w:r>
        <w:r>
          <w:fldChar w:fldCharType="separate"/>
        </w:r>
        <w:r>
          <w:t>14</w:t>
        </w:r>
        <w:r>
          <w:fldChar w:fldCharType="end"/>
        </w:r>
      </w:hyperlink>
    </w:p>
    <w:p>
      <w:pPr>
        <w:pStyle w:val="TOC2"/>
        <w:tabs>
          <w:tab w:val="right" w:leader="dot" w:pos="8306"/>
        </w:tabs>
      </w:pPr>
      <w:hyperlink w:anchor="_Toc24817" w:history="1">
        <w:r>
          <w:rPr>
            <w:rFonts w:ascii="仿宋" w:eastAsia="仿宋" w:hAnsi="仿宋" w:cs="仿宋" w:hint="eastAsia"/>
            <w:lang w:eastAsia="zh-CN"/>
          </w:rPr>
          <w:t>(二)、危机应对与恢复</w:t>
        </w:r>
        <w:r>
          <w:tab/>
        </w:r>
        <w:r>
          <w:fldChar w:fldCharType="begin"/>
        </w:r>
        <w:r>
          <w:instrText xml:space="preserve"> PAGEREF _Toc24817 \h </w:instrText>
        </w:r>
        <w:r>
          <w:fldChar w:fldCharType="separate"/>
        </w:r>
        <w:r>
          <w:t>15</w:t>
        </w:r>
        <w:r>
          <w:fldChar w:fldCharType="end"/>
        </w:r>
      </w:hyperlink>
    </w:p>
    <w:p>
      <w:pPr>
        <w:pStyle w:val="TOC1"/>
        <w:tabs>
          <w:tab w:val="right" w:leader="dot" w:pos="8306"/>
        </w:tabs>
      </w:pPr>
      <w:hyperlink w:anchor="_Toc7734" w:history="1">
        <w:r>
          <w:rPr>
            <w:rFonts w:ascii="仿宋" w:eastAsia="仿宋" w:hAnsi="仿宋" w:cs="仿宋" w:hint="eastAsia"/>
            <w:lang w:eastAsia="zh-CN"/>
          </w:rPr>
          <w:t>六、酸碱平衡调节药项目绩效评估</w:t>
        </w:r>
        <w:r>
          <w:tab/>
        </w:r>
        <w:r>
          <w:fldChar w:fldCharType="begin"/>
        </w:r>
        <w:r>
          <w:instrText xml:space="preserve"> PAGEREF _Toc7734 \h </w:instrText>
        </w:r>
        <w:r>
          <w:fldChar w:fldCharType="separate"/>
        </w:r>
        <w:r>
          <w:t>16</w:t>
        </w:r>
        <w:r>
          <w:fldChar w:fldCharType="end"/>
        </w:r>
      </w:hyperlink>
    </w:p>
    <w:p>
      <w:pPr>
        <w:pStyle w:val="TOC2"/>
        <w:tabs>
          <w:tab w:val="right" w:leader="dot" w:pos="8306"/>
        </w:tabs>
      </w:pPr>
      <w:hyperlink w:anchor="_Toc15776" w:history="1">
        <w:r>
          <w:rPr>
            <w:rFonts w:ascii="仿宋" w:eastAsia="仿宋" w:hAnsi="仿宋" w:cs="仿宋" w:hint="eastAsia"/>
            <w:lang w:eastAsia="zh-CN"/>
          </w:rPr>
          <w:t>(一)、绩效评估指标</w:t>
        </w:r>
        <w:r>
          <w:tab/>
        </w:r>
        <w:r>
          <w:fldChar w:fldCharType="begin"/>
        </w:r>
        <w:r>
          <w:instrText xml:space="preserve"> PAGEREF _Toc15776 \h </w:instrText>
        </w:r>
        <w:r>
          <w:fldChar w:fldCharType="separate"/>
        </w:r>
        <w:r>
          <w:t>16</w:t>
        </w:r>
        <w:r>
          <w:fldChar w:fldCharType="end"/>
        </w:r>
      </w:hyperlink>
    </w:p>
    <w:p>
      <w:pPr>
        <w:pStyle w:val="TOC2"/>
        <w:tabs>
          <w:tab w:val="right" w:leader="dot" w:pos="8306"/>
        </w:tabs>
      </w:pPr>
      <w:hyperlink w:anchor="_Toc4773" w:history="1">
        <w:r>
          <w:rPr>
            <w:rFonts w:ascii="仿宋" w:eastAsia="仿宋" w:hAnsi="仿宋" w:cs="仿宋" w:hint="eastAsia"/>
            <w:lang w:eastAsia="zh-CN"/>
          </w:rPr>
          <w:t>(二)、绩效评估方法</w:t>
        </w:r>
        <w:r>
          <w:tab/>
        </w:r>
        <w:r>
          <w:fldChar w:fldCharType="begin"/>
        </w:r>
        <w:r>
          <w:instrText xml:space="preserve"> PAGEREF _Toc4773 \h </w:instrText>
        </w:r>
        <w:r>
          <w:fldChar w:fldCharType="separate"/>
        </w:r>
        <w:r>
          <w:t>17</w:t>
        </w:r>
        <w:r>
          <w:fldChar w:fldCharType="end"/>
        </w:r>
      </w:hyperlink>
    </w:p>
    <w:p>
      <w:pPr>
        <w:pStyle w:val="TOC2"/>
        <w:tabs>
          <w:tab w:val="right" w:leader="dot" w:pos="8306"/>
        </w:tabs>
      </w:pPr>
      <w:hyperlink w:anchor="_Toc3834" w:history="1">
        <w:r>
          <w:rPr>
            <w:rFonts w:ascii="仿宋" w:eastAsia="仿宋" w:hAnsi="仿宋" w:cs="仿宋" w:hint="eastAsia"/>
            <w:lang w:eastAsia="zh-CN"/>
          </w:rPr>
          <w:t>(三)、绩效评估周期</w:t>
        </w:r>
        <w:r>
          <w:tab/>
        </w:r>
        <w:r>
          <w:fldChar w:fldCharType="begin"/>
        </w:r>
        <w:r>
          <w:instrText xml:space="preserve"> PAGEREF _Toc3834 \h </w:instrText>
        </w:r>
        <w:r>
          <w:fldChar w:fldCharType="separate"/>
        </w:r>
        <w:r>
          <w:t>18</w:t>
        </w:r>
        <w:r>
          <w:fldChar w:fldCharType="end"/>
        </w:r>
      </w:hyperlink>
    </w:p>
    <w:p>
      <w:pPr>
        <w:pStyle w:val="TOC1"/>
        <w:tabs>
          <w:tab w:val="right" w:leader="dot" w:pos="8306"/>
        </w:tabs>
      </w:pPr>
      <w:hyperlink w:anchor="_Toc10299" w:history="1">
        <w:r>
          <w:rPr>
            <w:rFonts w:ascii="仿宋" w:eastAsia="仿宋" w:hAnsi="仿宋" w:cs="仿宋" w:hint="eastAsia"/>
            <w:lang w:eastAsia="zh-CN"/>
          </w:rPr>
          <w:t>七、酸碱平衡调节药项目技术管理</w:t>
        </w:r>
        <w:r>
          <w:tab/>
        </w:r>
        <w:r>
          <w:fldChar w:fldCharType="begin"/>
        </w:r>
        <w:r>
          <w:instrText xml:space="preserve"> PAGEREF _Toc10299 \h </w:instrText>
        </w:r>
        <w:r>
          <w:fldChar w:fldCharType="separate"/>
        </w:r>
        <w:r>
          <w:t>20</w:t>
        </w:r>
        <w:r>
          <w:fldChar w:fldCharType="end"/>
        </w:r>
      </w:hyperlink>
    </w:p>
    <w:p>
      <w:pPr>
        <w:pStyle w:val="TOC2"/>
        <w:tabs>
          <w:tab w:val="right" w:leader="dot" w:pos="8306"/>
        </w:tabs>
      </w:pPr>
      <w:hyperlink w:anchor="_Toc28776" w:history="1">
        <w:r>
          <w:rPr>
            <w:rFonts w:ascii="仿宋" w:eastAsia="仿宋" w:hAnsi="仿宋" w:cs="仿宋" w:hint="eastAsia"/>
            <w:lang w:eastAsia="zh-CN"/>
          </w:rPr>
          <w:t>(一)、技术方案选用方向</w:t>
        </w:r>
        <w:r>
          <w:tab/>
        </w:r>
        <w:r>
          <w:fldChar w:fldCharType="begin"/>
        </w:r>
        <w:r>
          <w:instrText xml:space="preserve"> PAGEREF _Toc28776 \h </w:instrText>
        </w:r>
        <w:r>
          <w:fldChar w:fldCharType="separate"/>
        </w:r>
        <w:r>
          <w:t>20</w:t>
        </w:r>
        <w:r>
          <w:fldChar w:fldCharType="end"/>
        </w:r>
      </w:hyperlink>
    </w:p>
    <w:p>
      <w:pPr>
        <w:pStyle w:val="TOC2"/>
        <w:tabs>
          <w:tab w:val="right" w:leader="dot" w:pos="8306"/>
        </w:tabs>
      </w:pPr>
      <w:hyperlink w:anchor="_Toc24579" w:history="1">
        <w:r>
          <w:rPr>
            <w:rFonts w:ascii="仿宋" w:eastAsia="仿宋" w:hAnsi="仿宋" w:cs="仿宋" w:hint="eastAsia"/>
            <w:lang w:eastAsia="zh-CN"/>
          </w:rPr>
          <w:t>(二)、工艺技术方案选用原则</w:t>
        </w:r>
        <w:r>
          <w:tab/>
        </w:r>
        <w:r>
          <w:fldChar w:fldCharType="begin"/>
        </w:r>
        <w:r>
          <w:instrText xml:space="preserve"> PAGEREF _Toc24579 \h </w:instrText>
        </w:r>
        <w:r>
          <w:fldChar w:fldCharType="separate"/>
        </w:r>
        <w:r>
          <w:t>21</w:t>
        </w:r>
        <w:r>
          <w:fldChar w:fldCharType="end"/>
        </w:r>
      </w:hyperlink>
    </w:p>
    <w:p>
      <w:pPr>
        <w:pStyle w:val="TOC2"/>
        <w:tabs>
          <w:tab w:val="right" w:leader="dot" w:pos="8306"/>
        </w:tabs>
      </w:pPr>
      <w:hyperlink w:anchor="_Toc27907" w:history="1">
        <w:r>
          <w:rPr>
            <w:rFonts w:ascii="仿宋" w:eastAsia="仿宋" w:hAnsi="仿宋" w:cs="仿宋" w:hint="eastAsia"/>
            <w:lang w:eastAsia="zh-CN"/>
          </w:rPr>
          <w:t>(三)、工艺技术方案要求</w:t>
        </w:r>
        <w:r>
          <w:tab/>
        </w:r>
        <w:r>
          <w:fldChar w:fldCharType="begin"/>
        </w:r>
        <w:r>
          <w:instrText xml:space="preserve"> PAGEREF _Toc27907 \h </w:instrText>
        </w:r>
        <w:r>
          <w:fldChar w:fldCharType="separate"/>
        </w:r>
        <w:r>
          <w:t>24</w:t>
        </w:r>
        <w:r>
          <w:fldChar w:fldCharType="end"/>
        </w:r>
      </w:hyperlink>
    </w:p>
    <w:p>
      <w:pPr>
        <w:pStyle w:val="TOC1"/>
        <w:tabs>
          <w:tab w:val="right" w:leader="dot" w:pos="8306"/>
        </w:tabs>
      </w:pPr>
      <w:hyperlink w:anchor="_Toc22011" w:history="1">
        <w:r>
          <w:rPr>
            <w:rFonts w:ascii="仿宋" w:eastAsia="仿宋" w:hAnsi="仿宋" w:cs="仿宋" w:hint="eastAsia"/>
            <w:lang w:eastAsia="zh-CN"/>
          </w:rPr>
          <w:t>八、生产安全保护</w:t>
        </w:r>
        <w:r>
          <w:tab/>
        </w:r>
        <w:r>
          <w:fldChar w:fldCharType="begin"/>
        </w:r>
        <w:r>
          <w:instrText xml:space="preserve"> PAGEREF _Toc22011 \h </w:instrText>
        </w:r>
        <w:r>
          <w:fldChar w:fldCharType="separate"/>
        </w:r>
        <w:r>
          <w:t>26</w:t>
        </w:r>
        <w:r>
          <w:fldChar w:fldCharType="end"/>
        </w:r>
      </w:hyperlink>
    </w:p>
    <w:p>
      <w:pPr>
        <w:pStyle w:val="TOC2"/>
        <w:tabs>
          <w:tab w:val="right" w:leader="dot" w:pos="8306"/>
        </w:tabs>
      </w:pPr>
      <w:hyperlink w:anchor="_Toc16598" w:history="1">
        <w:r>
          <w:rPr>
            <w:rFonts w:ascii="仿宋" w:eastAsia="仿宋" w:hAnsi="仿宋" w:cs="仿宋" w:hint="eastAsia"/>
            <w:lang w:eastAsia="zh-CN"/>
          </w:rPr>
          <w:t>(一)、消防安全</w:t>
        </w:r>
        <w:r>
          <w:tab/>
        </w:r>
        <w:r>
          <w:fldChar w:fldCharType="begin"/>
        </w:r>
        <w:r>
          <w:instrText xml:space="preserve"> PAGEREF _Toc16598 \h </w:instrText>
        </w:r>
        <w:r>
          <w:fldChar w:fldCharType="separate"/>
        </w:r>
        <w:r>
          <w:t>26</w:t>
        </w:r>
        <w:r>
          <w:fldChar w:fldCharType="end"/>
        </w:r>
      </w:hyperlink>
    </w:p>
    <w:p>
      <w:pPr>
        <w:pStyle w:val="TOC2"/>
        <w:tabs>
          <w:tab w:val="right" w:leader="dot" w:pos="8306"/>
        </w:tabs>
      </w:pPr>
      <w:hyperlink w:anchor="_Toc19950" w:history="1">
        <w:r>
          <w:rPr>
            <w:rFonts w:ascii="仿宋" w:eastAsia="仿宋" w:hAnsi="仿宋" w:cs="仿宋" w:hint="eastAsia"/>
            <w:lang w:eastAsia="zh-CN"/>
          </w:rPr>
          <w:t>(二)、防火防爆总图布置措施</w:t>
        </w:r>
        <w:r>
          <w:tab/>
        </w:r>
        <w:r>
          <w:fldChar w:fldCharType="begin"/>
        </w:r>
        <w:r>
          <w:instrText xml:space="preserve"> PAGEREF _Toc19950 \h </w:instrText>
        </w:r>
        <w:r>
          <w:fldChar w:fldCharType="separate"/>
        </w:r>
        <w:r>
          <w:t>27</w:t>
        </w:r>
        <w:r>
          <w:fldChar w:fldCharType="end"/>
        </w:r>
      </w:hyperlink>
    </w:p>
    <w:p>
      <w:pPr>
        <w:pStyle w:val="TOC2"/>
        <w:tabs>
          <w:tab w:val="right" w:leader="dot" w:pos="8306"/>
        </w:tabs>
      </w:pPr>
      <w:hyperlink w:anchor="_Toc16608" w:history="1">
        <w:r>
          <w:rPr>
            <w:rFonts w:ascii="仿宋" w:eastAsia="仿宋" w:hAnsi="仿宋" w:cs="仿宋" w:hint="eastAsia"/>
            <w:lang w:eastAsia="zh-CN"/>
          </w:rPr>
          <w:t>(三)、自然灾害防范措施</w:t>
        </w:r>
        <w:r>
          <w:tab/>
        </w:r>
        <w:r>
          <w:fldChar w:fldCharType="begin"/>
        </w:r>
        <w:r>
          <w:instrText xml:space="preserve"> PAGEREF _Toc16608 \h </w:instrText>
        </w:r>
        <w:r>
          <w:fldChar w:fldCharType="separate"/>
        </w:r>
        <w:r>
          <w:t>28</w:t>
        </w:r>
        <w:r>
          <w:fldChar w:fldCharType="end"/>
        </w:r>
      </w:hyperlink>
    </w:p>
    <w:p>
      <w:pPr>
        <w:pStyle w:val="TOC2"/>
        <w:tabs>
          <w:tab w:val="right" w:leader="dot" w:pos="8306"/>
        </w:tabs>
      </w:pPr>
      <w:hyperlink w:anchor="_Toc20425" w:history="1">
        <w:r>
          <w:rPr>
            <w:rFonts w:ascii="仿宋" w:eastAsia="仿宋" w:hAnsi="仿宋" w:cs="仿宋" w:hint="eastAsia"/>
            <w:lang w:eastAsia="zh-CN"/>
          </w:rPr>
          <w:t>(四)、安全色及安全标志使用要求</w:t>
        </w:r>
        <w:r>
          <w:tab/>
        </w:r>
        <w:r>
          <w:fldChar w:fldCharType="begin"/>
        </w:r>
        <w:r>
          <w:instrText xml:space="preserve"> PAGEREF _Toc20425 \h </w:instrText>
        </w:r>
        <w:r>
          <w:fldChar w:fldCharType="separate"/>
        </w:r>
        <w:r>
          <w:t>29</w:t>
        </w:r>
        <w:r>
          <w:fldChar w:fldCharType="end"/>
        </w:r>
      </w:hyperlink>
    </w:p>
    <w:p>
      <w:pPr>
        <w:pStyle w:val="TOC2"/>
        <w:tabs>
          <w:tab w:val="right" w:leader="dot" w:pos="8306"/>
        </w:tabs>
      </w:pPr>
      <w:hyperlink w:anchor="_Toc2176" w:history="1">
        <w:r>
          <w:rPr>
            <w:rFonts w:ascii="仿宋" w:eastAsia="仿宋" w:hAnsi="仿宋" w:cs="仿宋" w:hint="eastAsia"/>
            <w:lang w:eastAsia="zh-CN"/>
          </w:rPr>
          <w:t>(五)、防尘防毒措施</w:t>
        </w:r>
        <w:r>
          <w:tab/>
        </w:r>
        <w:r>
          <w:fldChar w:fldCharType="begin"/>
        </w:r>
        <w:r>
          <w:instrText xml:space="preserve"> PAGEREF _Toc2176 \h </w:instrText>
        </w:r>
        <w:r>
          <w:fldChar w:fldCharType="separate"/>
        </w:r>
        <w:r>
          <w:t>30</w:t>
        </w:r>
        <w:r>
          <w:fldChar w:fldCharType="end"/>
        </w:r>
      </w:hyperlink>
    </w:p>
    <w:p>
      <w:pPr>
        <w:pStyle w:val="TOC2"/>
        <w:tabs>
          <w:tab w:val="right" w:leader="dot" w:pos="8306"/>
        </w:tabs>
      </w:pPr>
      <w:hyperlink w:anchor="_Toc6133" w:history="1">
        <w:r>
          <w:rPr>
            <w:rFonts w:ascii="仿宋" w:eastAsia="仿宋" w:hAnsi="仿宋" w:cs="仿宋" w:hint="eastAsia"/>
            <w:lang w:eastAsia="zh-CN"/>
          </w:rPr>
          <w:t>(六)、防静电、触电防护及防雷措施</w:t>
        </w:r>
        <w:r>
          <w:tab/>
        </w:r>
        <w:r>
          <w:fldChar w:fldCharType="begin"/>
        </w:r>
        <w:r>
          <w:instrText xml:space="preserve"> PAGEREF _Toc6133 \h </w:instrText>
        </w:r>
        <w:r>
          <w:fldChar w:fldCharType="separate"/>
        </w:r>
        <w:r>
          <w:t>31</w:t>
        </w:r>
        <w:r>
          <w:fldChar w:fldCharType="end"/>
        </w:r>
      </w:hyperlink>
    </w:p>
    <w:p>
      <w:pPr>
        <w:pStyle w:val="TOC2"/>
        <w:tabs>
          <w:tab w:val="right" w:leader="dot" w:pos="8306"/>
        </w:tabs>
      </w:pPr>
      <w:hyperlink w:anchor="_Toc16117" w:history="1">
        <w:r>
          <w:rPr>
            <w:rFonts w:ascii="仿宋" w:eastAsia="仿宋" w:hAnsi="仿宋" w:cs="仿宋" w:hint="eastAsia"/>
            <w:lang w:eastAsia="zh-CN"/>
          </w:rPr>
          <w:t>(七)、机械设备安全保障措施</w:t>
        </w:r>
        <w:r>
          <w:tab/>
        </w:r>
        <w:r>
          <w:fldChar w:fldCharType="begin"/>
        </w:r>
        <w:r>
          <w:instrText xml:space="preserve"> PAGEREF _Toc16117 \h </w:instrText>
        </w:r>
        <w:r>
          <w:fldChar w:fldCharType="separate"/>
        </w:r>
        <w:r>
          <w:t>33</w:t>
        </w:r>
        <w:r>
          <w:fldChar w:fldCharType="end"/>
        </w:r>
      </w:hyperlink>
    </w:p>
    <w:p>
      <w:pPr>
        <w:pStyle w:val="TOC1"/>
        <w:tabs>
          <w:tab w:val="right" w:leader="dot" w:pos="8306"/>
        </w:tabs>
      </w:pPr>
      <w:hyperlink w:anchor="_Toc839" w:history="1">
        <w:r>
          <w:rPr>
            <w:rFonts w:ascii="仿宋" w:eastAsia="仿宋" w:hAnsi="仿宋" w:cs="仿宋" w:hint="eastAsia"/>
            <w:lang w:eastAsia="zh-CN"/>
          </w:rPr>
          <w:t>九、酸碱平衡调节药项目经营效益</w:t>
        </w:r>
        <w:r>
          <w:tab/>
        </w:r>
        <w:r>
          <w:fldChar w:fldCharType="begin"/>
        </w:r>
        <w:r>
          <w:instrText xml:space="preserve"> PAGEREF _Toc839 \h </w:instrText>
        </w:r>
        <w:r>
          <w:fldChar w:fldCharType="separate"/>
        </w:r>
        <w:r>
          <w:t>34</w:t>
        </w:r>
        <w:r>
          <w:fldChar w:fldCharType="end"/>
        </w:r>
      </w:hyperlink>
    </w:p>
    <w:p>
      <w:pPr>
        <w:pStyle w:val="TOC2"/>
        <w:tabs>
          <w:tab w:val="right" w:leader="dot" w:pos="8306"/>
        </w:tabs>
      </w:pPr>
      <w:hyperlink w:anchor="_Toc7695" w:history="1">
        <w:r>
          <w:rPr>
            <w:rFonts w:ascii="仿宋" w:eastAsia="仿宋" w:hAnsi="仿宋" w:cs="仿宋" w:hint="eastAsia"/>
            <w:lang w:eastAsia="zh-CN"/>
          </w:rPr>
          <w:t>(一)、经济评价财务测算</w:t>
        </w:r>
        <w:r>
          <w:tab/>
        </w:r>
        <w:r>
          <w:fldChar w:fldCharType="begin"/>
        </w:r>
        <w:r>
          <w:instrText xml:space="preserve"> PAGEREF _Toc7695 \h </w:instrText>
        </w:r>
        <w:r>
          <w:fldChar w:fldCharType="separate"/>
        </w:r>
        <w:r>
          <w:t>34</w:t>
        </w:r>
        <w:r>
          <w:fldChar w:fldCharType="end"/>
        </w:r>
      </w:hyperlink>
    </w:p>
    <w:p>
      <w:pPr>
        <w:pStyle w:val="TOC2"/>
        <w:tabs>
          <w:tab w:val="right" w:leader="dot" w:pos="8306"/>
        </w:tabs>
      </w:pPr>
      <w:hyperlink w:anchor="_Toc7025" w:history="1">
        <w:r>
          <w:rPr>
            <w:rFonts w:ascii="仿宋" w:eastAsia="仿宋" w:hAnsi="仿宋" w:cs="仿宋" w:hint="eastAsia"/>
            <w:lang w:eastAsia="zh-CN"/>
          </w:rPr>
          <w:t>(二)、酸碱平衡调节药项目盈利能力分析</w:t>
        </w:r>
        <w:r>
          <w:tab/>
        </w:r>
        <w:r>
          <w:fldChar w:fldCharType="begin"/>
        </w:r>
        <w:r>
          <w:instrText xml:space="preserve"> PAGEREF _Toc7025 \h </w:instrText>
        </w:r>
        <w:r>
          <w:fldChar w:fldCharType="separate"/>
        </w:r>
        <w:r>
          <w:t>36</w:t>
        </w:r>
        <w:r>
          <w:fldChar w:fldCharType="end"/>
        </w:r>
      </w:hyperlink>
    </w:p>
    <w:p>
      <w:pPr>
        <w:pStyle w:val="TOC1"/>
        <w:tabs>
          <w:tab w:val="right" w:leader="dot" w:pos="8306"/>
        </w:tabs>
      </w:pPr>
      <w:hyperlink w:anchor="_Toc27467" w:history="1">
        <w:r>
          <w:rPr>
            <w:rFonts w:ascii="仿宋" w:eastAsia="仿宋" w:hAnsi="仿宋" w:cs="仿宋" w:hint="eastAsia"/>
            <w:lang w:eastAsia="zh-CN"/>
          </w:rPr>
          <w:t>十、酸碱平衡调节药项目社会影响</w:t>
        </w:r>
        <w:r>
          <w:tab/>
        </w:r>
        <w:r>
          <w:fldChar w:fldCharType="begin"/>
        </w:r>
        <w:r>
          <w:instrText xml:space="preserve"> PAGEREF _Toc27467 \h </w:instrText>
        </w:r>
        <w:r>
          <w:fldChar w:fldCharType="separate"/>
        </w:r>
        <w:r>
          <w:t>36</w:t>
        </w:r>
        <w:r>
          <w:fldChar w:fldCharType="end"/>
        </w:r>
      </w:hyperlink>
    </w:p>
    <w:p>
      <w:pPr>
        <w:pStyle w:val="TOC2"/>
        <w:tabs>
          <w:tab w:val="right" w:leader="dot" w:pos="8306"/>
        </w:tabs>
      </w:pPr>
      <w:hyperlink w:anchor="_Toc20523" w:history="1">
        <w:r>
          <w:rPr>
            <w:rFonts w:ascii="仿宋" w:eastAsia="仿宋" w:hAnsi="仿宋" w:cs="仿宋" w:hint="eastAsia"/>
            <w:lang w:eastAsia="zh-CN"/>
          </w:rPr>
          <w:t>(一)、社会责任与义务</w:t>
        </w:r>
        <w:r>
          <w:tab/>
        </w:r>
        <w:r>
          <w:fldChar w:fldCharType="begin"/>
        </w:r>
        <w:r>
          <w:instrText xml:space="preserve"> PAGEREF _Toc20523 \h </w:instrText>
        </w:r>
        <w:r>
          <w:fldChar w:fldCharType="separate"/>
        </w:r>
        <w:r>
          <w:t>36</w:t>
        </w:r>
        <w:r>
          <w:fldChar w:fldCharType="end"/>
        </w:r>
      </w:hyperlink>
    </w:p>
    <w:p>
      <w:pPr>
        <w:pStyle w:val="TOC2"/>
        <w:tabs>
          <w:tab w:val="right" w:leader="dot" w:pos="8306"/>
        </w:tabs>
      </w:pPr>
      <w:hyperlink w:anchor="_Toc24304" w:history="1">
        <w:r>
          <w:rPr>
            <w:rFonts w:ascii="仿宋" w:eastAsia="仿宋" w:hAnsi="仿宋" w:cs="仿宋" w:hint="eastAsia"/>
            <w:lang w:eastAsia="zh-CN"/>
          </w:rPr>
          <w:t>(二)、社会参与与沟通</w:t>
        </w:r>
        <w:r>
          <w:tab/>
        </w:r>
        <w:r>
          <w:fldChar w:fldCharType="begin"/>
        </w:r>
        <w:r>
          <w:instrText xml:space="preserve"> PAGEREF _Toc24304 \h </w:instrText>
        </w:r>
        <w:r>
          <w:fldChar w:fldCharType="separate"/>
        </w:r>
        <w:r>
          <w:t>37</w:t>
        </w:r>
        <w:r>
          <w:fldChar w:fldCharType="end"/>
        </w:r>
      </w:hyperlink>
    </w:p>
    <w:p>
      <w:pPr>
        <w:pStyle w:val="TOC1"/>
        <w:tabs>
          <w:tab w:val="right" w:leader="dot" w:pos="8306"/>
        </w:tabs>
      </w:pPr>
      <w:hyperlink w:anchor="_Toc2661" w:history="1">
        <w:r>
          <w:rPr>
            <w:rFonts w:ascii="仿宋" w:eastAsia="仿宋" w:hAnsi="仿宋" w:cs="仿宋" w:hint="eastAsia"/>
            <w:lang w:eastAsia="zh-CN"/>
          </w:rPr>
          <w:t>十一、酸碱平衡调节药项目环境影响分析</w:t>
        </w:r>
        <w:r>
          <w:tab/>
        </w:r>
        <w:r>
          <w:fldChar w:fldCharType="begin"/>
        </w:r>
        <w:r>
          <w:instrText xml:space="preserve"> PAGEREF _Toc2661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24" w:history="1">
        <w:r>
          <w:rPr>
            <w:rFonts w:ascii="仿宋" w:eastAsia="仿宋" w:hAnsi="仿宋" w:cs="仿宋" w:hint="eastAsia"/>
            <w:lang w:eastAsia="zh-CN"/>
          </w:rPr>
          <w:t>(一)、建设区域环境质量现状</w:t>
        </w:r>
        <w:r>
          <w:tab/>
        </w:r>
        <w:r>
          <w:fldChar w:fldCharType="begin"/>
        </w:r>
        <w:r>
          <w:instrText xml:space="preserve"> PAGEREF _Toc4324 \h </w:instrText>
        </w:r>
        <w:r>
          <w:fldChar w:fldCharType="separate"/>
        </w:r>
        <w:r>
          <w:t>38</w:t>
        </w:r>
        <w:r>
          <w:fldChar w:fldCharType="end"/>
        </w:r>
      </w:hyperlink>
    </w:p>
    <w:p>
      <w:pPr>
        <w:pStyle w:val="TOC2"/>
        <w:tabs>
          <w:tab w:val="right" w:leader="dot" w:pos="8306"/>
        </w:tabs>
      </w:pPr>
      <w:hyperlink w:anchor="_Toc29250" w:history="1">
        <w:r>
          <w:rPr>
            <w:rFonts w:ascii="仿宋" w:eastAsia="仿宋" w:hAnsi="仿宋" w:cs="仿宋" w:hint="eastAsia"/>
            <w:lang w:eastAsia="zh-CN"/>
          </w:rPr>
          <w:t>(二)、建设期环境保护</w:t>
        </w:r>
        <w:r>
          <w:tab/>
        </w:r>
        <w:r>
          <w:fldChar w:fldCharType="begin"/>
        </w:r>
        <w:r>
          <w:instrText xml:space="preserve"> PAGEREF _Toc29250 \h </w:instrText>
        </w:r>
        <w:r>
          <w:fldChar w:fldCharType="separate"/>
        </w:r>
        <w:r>
          <w:t>39</w:t>
        </w:r>
        <w:r>
          <w:fldChar w:fldCharType="end"/>
        </w:r>
      </w:hyperlink>
    </w:p>
    <w:p>
      <w:pPr>
        <w:pStyle w:val="TOC2"/>
        <w:tabs>
          <w:tab w:val="right" w:leader="dot" w:pos="8306"/>
        </w:tabs>
      </w:pPr>
      <w:hyperlink w:anchor="_Toc333" w:history="1">
        <w:r>
          <w:rPr>
            <w:rFonts w:ascii="仿宋" w:eastAsia="仿宋" w:hAnsi="仿宋" w:cs="仿宋" w:hint="eastAsia"/>
            <w:lang w:eastAsia="zh-CN"/>
          </w:rPr>
          <w:t>(三)、运营期环境保护</w:t>
        </w:r>
        <w:r>
          <w:tab/>
        </w:r>
        <w:r>
          <w:fldChar w:fldCharType="begin"/>
        </w:r>
        <w:r>
          <w:instrText xml:space="preserve"> PAGEREF _Toc333 \h </w:instrText>
        </w:r>
        <w:r>
          <w:fldChar w:fldCharType="separate"/>
        </w:r>
        <w:r>
          <w:t>41</w:t>
        </w:r>
        <w:r>
          <w:fldChar w:fldCharType="end"/>
        </w:r>
      </w:hyperlink>
    </w:p>
    <w:p>
      <w:pPr>
        <w:pStyle w:val="TOC2"/>
        <w:tabs>
          <w:tab w:val="right" w:leader="dot" w:pos="8306"/>
        </w:tabs>
      </w:pPr>
      <w:hyperlink w:anchor="_Toc17833" w:history="1">
        <w:r>
          <w:rPr>
            <w:rFonts w:ascii="仿宋" w:eastAsia="仿宋" w:hAnsi="仿宋" w:cs="仿宋" w:hint="eastAsia"/>
            <w:lang w:eastAsia="zh-CN"/>
          </w:rPr>
          <w:t>(四)、酸碱平衡调节药项目建设对区域经济的影响</w:t>
        </w:r>
        <w:r>
          <w:tab/>
        </w:r>
        <w:r>
          <w:fldChar w:fldCharType="begin"/>
        </w:r>
        <w:r>
          <w:instrText xml:space="preserve"> PAGEREF _Toc17833 \h </w:instrText>
        </w:r>
        <w:r>
          <w:fldChar w:fldCharType="separate"/>
        </w:r>
        <w:r>
          <w:t>42</w:t>
        </w:r>
        <w:r>
          <w:fldChar w:fldCharType="end"/>
        </w:r>
      </w:hyperlink>
    </w:p>
    <w:p>
      <w:pPr>
        <w:pStyle w:val="TOC2"/>
        <w:tabs>
          <w:tab w:val="right" w:leader="dot" w:pos="8306"/>
        </w:tabs>
      </w:pPr>
      <w:hyperlink w:anchor="_Toc17227" w:history="1">
        <w:r>
          <w:rPr>
            <w:rFonts w:ascii="仿宋" w:eastAsia="仿宋" w:hAnsi="仿宋" w:cs="仿宋" w:hint="eastAsia"/>
            <w:lang w:eastAsia="zh-CN"/>
          </w:rPr>
          <w:t>(五)、废弃物处理</w:t>
        </w:r>
        <w:r>
          <w:tab/>
        </w:r>
        <w:r>
          <w:fldChar w:fldCharType="begin"/>
        </w:r>
        <w:r>
          <w:instrText xml:space="preserve"> PAGEREF _Toc17227 \h </w:instrText>
        </w:r>
        <w:r>
          <w:fldChar w:fldCharType="separate"/>
        </w:r>
        <w:r>
          <w:t>44</w:t>
        </w:r>
        <w:r>
          <w:fldChar w:fldCharType="end"/>
        </w:r>
      </w:hyperlink>
    </w:p>
    <w:p>
      <w:pPr>
        <w:pStyle w:val="TOC2"/>
        <w:tabs>
          <w:tab w:val="right" w:leader="dot" w:pos="8306"/>
        </w:tabs>
      </w:pPr>
      <w:hyperlink w:anchor="_Toc19637" w:history="1">
        <w:r>
          <w:rPr>
            <w:rFonts w:ascii="仿宋" w:eastAsia="仿宋" w:hAnsi="仿宋" w:cs="仿宋" w:hint="eastAsia"/>
            <w:lang w:eastAsia="zh-CN"/>
          </w:rPr>
          <w:t>(六)、特殊环境影响分析</w:t>
        </w:r>
        <w:r>
          <w:tab/>
        </w:r>
        <w:r>
          <w:fldChar w:fldCharType="begin"/>
        </w:r>
        <w:r>
          <w:instrText xml:space="preserve"> PAGEREF _Toc19637 \h </w:instrText>
        </w:r>
        <w:r>
          <w:fldChar w:fldCharType="separate"/>
        </w:r>
        <w:r>
          <w:t>45</w:t>
        </w:r>
        <w:r>
          <w:fldChar w:fldCharType="end"/>
        </w:r>
      </w:hyperlink>
    </w:p>
    <w:p>
      <w:pPr>
        <w:pStyle w:val="TOC2"/>
        <w:tabs>
          <w:tab w:val="right" w:leader="dot" w:pos="8306"/>
        </w:tabs>
      </w:pPr>
      <w:hyperlink w:anchor="_Toc16956" w:history="1">
        <w:r>
          <w:rPr>
            <w:rFonts w:ascii="仿宋" w:eastAsia="仿宋" w:hAnsi="仿宋" w:cs="仿宋" w:hint="eastAsia"/>
            <w:lang w:eastAsia="zh-CN"/>
          </w:rPr>
          <w:t>(七)、清洁生产</w:t>
        </w:r>
        <w:r>
          <w:tab/>
        </w:r>
        <w:r>
          <w:fldChar w:fldCharType="begin"/>
        </w:r>
        <w:r>
          <w:instrText xml:space="preserve"> PAGEREF _Toc16956 \h </w:instrText>
        </w:r>
        <w:r>
          <w:fldChar w:fldCharType="separate"/>
        </w:r>
        <w:r>
          <w:t>47</w:t>
        </w:r>
        <w:r>
          <w:fldChar w:fldCharType="end"/>
        </w:r>
      </w:hyperlink>
    </w:p>
    <w:p>
      <w:pPr>
        <w:pStyle w:val="TOC2"/>
        <w:tabs>
          <w:tab w:val="right" w:leader="dot" w:pos="8306"/>
        </w:tabs>
      </w:pPr>
      <w:hyperlink w:anchor="_Toc8776" w:history="1">
        <w:r>
          <w:rPr>
            <w:rFonts w:ascii="仿宋" w:eastAsia="仿宋" w:hAnsi="仿宋" w:cs="仿宋" w:hint="eastAsia"/>
            <w:lang w:eastAsia="zh-CN"/>
          </w:rPr>
          <w:t>(八)、环境保护综合评价</w:t>
        </w:r>
        <w:r>
          <w:tab/>
        </w:r>
        <w:r>
          <w:fldChar w:fldCharType="begin"/>
        </w:r>
        <w:r>
          <w:instrText xml:space="preserve"> PAGEREF _Toc8776 \h </w:instrText>
        </w:r>
        <w:r>
          <w:fldChar w:fldCharType="separate"/>
        </w:r>
        <w:r>
          <w:t>48</w:t>
        </w:r>
        <w:r>
          <w:fldChar w:fldCharType="end"/>
        </w:r>
      </w:hyperlink>
    </w:p>
    <w:p>
      <w:pPr>
        <w:pStyle w:val="TOC1"/>
        <w:tabs>
          <w:tab w:val="right" w:leader="dot" w:pos="8306"/>
        </w:tabs>
      </w:pPr>
      <w:hyperlink w:anchor="_Toc7790" w:history="1">
        <w:r>
          <w:rPr>
            <w:rFonts w:ascii="仿宋" w:eastAsia="仿宋" w:hAnsi="仿宋" w:cs="仿宋" w:hint="eastAsia"/>
            <w:lang w:eastAsia="zh-CN"/>
          </w:rPr>
          <w:t>十二、酸碱平衡调节药项目投资规划</w:t>
        </w:r>
        <w:r>
          <w:tab/>
        </w:r>
        <w:r>
          <w:fldChar w:fldCharType="begin"/>
        </w:r>
        <w:r>
          <w:instrText xml:space="preserve"> PAGEREF _Toc7790 \h </w:instrText>
        </w:r>
        <w:r>
          <w:fldChar w:fldCharType="separate"/>
        </w:r>
        <w:r>
          <w:t>49</w:t>
        </w:r>
        <w:r>
          <w:fldChar w:fldCharType="end"/>
        </w:r>
      </w:hyperlink>
    </w:p>
    <w:p>
      <w:pPr>
        <w:pStyle w:val="TOC2"/>
        <w:tabs>
          <w:tab w:val="right" w:leader="dot" w:pos="8306"/>
        </w:tabs>
      </w:pPr>
      <w:hyperlink w:anchor="_Toc31371" w:history="1">
        <w:r>
          <w:rPr>
            <w:rFonts w:ascii="仿宋" w:eastAsia="仿宋" w:hAnsi="仿宋" w:cs="仿宋" w:hint="eastAsia"/>
            <w:lang w:eastAsia="zh-CN"/>
          </w:rPr>
          <w:t>(一)、酸碱平衡调节药项目总投资估算</w:t>
        </w:r>
        <w:r>
          <w:tab/>
        </w:r>
        <w:r>
          <w:fldChar w:fldCharType="begin"/>
        </w:r>
        <w:r>
          <w:instrText xml:space="preserve"> PAGEREF _Toc31371 \h </w:instrText>
        </w:r>
        <w:r>
          <w:fldChar w:fldCharType="separate"/>
        </w:r>
        <w:r>
          <w:t>49</w:t>
        </w:r>
        <w:r>
          <w:fldChar w:fldCharType="end"/>
        </w:r>
      </w:hyperlink>
    </w:p>
    <w:p>
      <w:pPr>
        <w:pStyle w:val="TOC2"/>
        <w:tabs>
          <w:tab w:val="right" w:leader="dot" w:pos="8306"/>
        </w:tabs>
      </w:pPr>
      <w:hyperlink w:anchor="_Toc17462" w:history="1">
        <w:r>
          <w:rPr>
            <w:rFonts w:ascii="仿宋" w:eastAsia="仿宋" w:hAnsi="仿宋" w:cs="仿宋" w:hint="eastAsia"/>
            <w:lang w:eastAsia="zh-CN"/>
          </w:rPr>
          <w:t>(二)、资金筹措</w:t>
        </w:r>
        <w:r>
          <w:tab/>
        </w:r>
        <w:r>
          <w:fldChar w:fldCharType="begin"/>
        </w:r>
        <w:r>
          <w:instrText xml:space="preserve"> PAGEREF _Toc17462 \h </w:instrText>
        </w:r>
        <w:r>
          <w:fldChar w:fldCharType="separate"/>
        </w:r>
        <w:r>
          <w:t>50</w:t>
        </w:r>
        <w:r>
          <w:fldChar w:fldCharType="end"/>
        </w:r>
      </w:hyperlink>
    </w:p>
    <w:p>
      <w:pPr>
        <w:pStyle w:val="TOC1"/>
        <w:tabs>
          <w:tab w:val="right" w:leader="dot" w:pos="8306"/>
        </w:tabs>
      </w:pPr>
      <w:hyperlink w:anchor="_Toc7718" w:history="1">
        <w:r>
          <w:rPr>
            <w:rFonts w:ascii="仿宋" w:eastAsia="仿宋" w:hAnsi="仿宋" w:cs="仿宋" w:hint="eastAsia"/>
            <w:lang w:eastAsia="zh-CN"/>
          </w:rPr>
          <w:t>十三、酸碱平衡调节药项目工程方案分析</w:t>
        </w:r>
        <w:r>
          <w:tab/>
        </w:r>
        <w:r>
          <w:fldChar w:fldCharType="begin"/>
        </w:r>
        <w:r>
          <w:instrText xml:space="preserve"> PAGEREF _Toc7718 \h </w:instrText>
        </w:r>
        <w:r>
          <w:fldChar w:fldCharType="separate"/>
        </w:r>
        <w:r>
          <w:t>51</w:t>
        </w:r>
        <w:r>
          <w:fldChar w:fldCharType="end"/>
        </w:r>
      </w:hyperlink>
    </w:p>
    <w:p>
      <w:pPr>
        <w:pStyle w:val="TOC2"/>
        <w:tabs>
          <w:tab w:val="right" w:leader="dot" w:pos="8306"/>
        </w:tabs>
      </w:pPr>
      <w:hyperlink w:anchor="_Toc14512" w:history="1">
        <w:r>
          <w:rPr>
            <w:rFonts w:ascii="仿宋" w:eastAsia="仿宋" w:hAnsi="仿宋" w:cs="仿宋" w:hint="eastAsia"/>
            <w:lang w:eastAsia="zh-CN"/>
          </w:rPr>
          <w:t>(一)、建筑工程设计原则</w:t>
        </w:r>
        <w:r>
          <w:tab/>
        </w:r>
        <w:r>
          <w:fldChar w:fldCharType="begin"/>
        </w:r>
        <w:r>
          <w:instrText xml:space="preserve"> PAGEREF _Toc14512 \h </w:instrText>
        </w:r>
        <w:r>
          <w:fldChar w:fldCharType="separate"/>
        </w:r>
        <w:r>
          <w:t>51</w:t>
        </w:r>
        <w:r>
          <w:fldChar w:fldCharType="end"/>
        </w:r>
      </w:hyperlink>
    </w:p>
    <w:p>
      <w:pPr>
        <w:pStyle w:val="TOC2"/>
        <w:tabs>
          <w:tab w:val="right" w:leader="dot" w:pos="8306"/>
        </w:tabs>
      </w:pPr>
      <w:hyperlink w:anchor="_Toc18543" w:history="1">
        <w:r>
          <w:rPr>
            <w:rFonts w:ascii="仿宋" w:eastAsia="仿宋" w:hAnsi="仿宋" w:cs="仿宋" w:hint="eastAsia"/>
            <w:lang w:eastAsia="zh-CN"/>
          </w:rPr>
          <w:t>(二)、土建工程建设指标</w:t>
        </w:r>
        <w:r>
          <w:tab/>
        </w:r>
        <w:r>
          <w:fldChar w:fldCharType="begin"/>
        </w:r>
        <w:r>
          <w:instrText xml:space="preserve"> PAGEREF _Toc18543 \h </w:instrText>
        </w:r>
        <w:r>
          <w:fldChar w:fldCharType="separate"/>
        </w:r>
        <w:r>
          <w:t>54</w:t>
        </w:r>
        <w:r>
          <w:fldChar w:fldCharType="end"/>
        </w:r>
      </w:hyperlink>
    </w:p>
    <w:p>
      <w:pPr>
        <w:pStyle w:val="TOC1"/>
        <w:tabs>
          <w:tab w:val="right" w:leader="dot" w:pos="8306"/>
        </w:tabs>
      </w:pPr>
      <w:hyperlink w:anchor="_Toc12746" w:history="1">
        <w:r>
          <w:rPr>
            <w:rFonts w:ascii="仿宋" w:eastAsia="仿宋" w:hAnsi="仿宋" w:cs="仿宋" w:hint="eastAsia"/>
            <w:lang w:eastAsia="zh-CN"/>
          </w:rPr>
          <w:t>十四、质量管理体系</w:t>
        </w:r>
        <w:r>
          <w:tab/>
        </w:r>
        <w:r>
          <w:fldChar w:fldCharType="begin"/>
        </w:r>
        <w:r>
          <w:instrText xml:space="preserve"> PAGEREF _Toc12746 \h </w:instrText>
        </w:r>
        <w:r>
          <w:fldChar w:fldCharType="separate"/>
        </w:r>
        <w:r>
          <w:t>56</w:t>
        </w:r>
        <w:r>
          <w:fldChar w:fldCharType="end"/>
        </w:r>
      </w:hyperlink>
    </w:p>
    <w:p>
      <w:pPr>
        <w:pStyle w:val="TOC2"/>
        <w:tabs>
          <w:tab w:val="right" w:leader="dot" w:pos="8306"/>
        </w:tabs>
      </w:pPr>
      <w:hyperlink w:anchor="_Toc18406" w:history="1">
        <w:r>
          <w:rPr>
            <w:rFonts w:ascii="仿宋" w:eastAsia="仿宋" w:hAnsi="仿宋" w:cs="仿宋" w:hint="eastAsia"/>
            <w:lang w:eastAsia="zh-CN"/>
          </w:rPr>
          <w:t>(一)、质量目标与方针</w:t>
        </w:r>
        <w:r>
          <w:tab/>
        </w:r>
        <w:r>
          <w:fldChar w:fldCharType="begin"/>
        </w:r>
        <w:r>
          <w:instrText xml:space="preserve"> PAGEREF _Toc18406 \h </w:instrText>
        </w:r>
        <w:r>
          <w:fldChar w:fldCharType="separate"/>
        </w:r>
        <w:r>
          <w:t>56</w:t>
        </w:r>
        <w:r>
          <w:fldChar w:fldCharType="end"/>
        </w:r>
      </w:hyperlink>
    </w:p>
    <w:p>
      <w:pPr>
        <w:pStyle w:val="TOC2"/>
        <w:tabs>
          <w:tab w:val="right" w:leader="dot" w:pos="8306"/>
        </w:tabs>
      </w:pPr>
      <w:hyperlink w:anchor="_Toc31547" w:history="1">
        <w:r>
          <w:rPr>
            <w:rFonts w:ascii="仿宋" w:eastAsia="仿宋" w:hAnsi="仿宋" w:cs="仿宋" w:hint="eastAsia"/>
            <w:lang w:eastAsia="zh-CN"/>
          </w:rPr>
          <w:t>(二)、质量管理责任</w:t>
        </w:r>
        <w:r>
          <w:tab/>
        </w:r>
        <w:r>
          <w:fldChar w:fldCharType="begin"/>
        </w:r>
        <w:r>
          <w:instrText xml:space="preserve"> PAGEREF _Toc31547 \h </w:instrText>
        </w:r>
        <w:r>
          <w:fldChar w:fldCharType="separate"/>
        </w:r>
        <w:r>
          <w:t>57</w:t>
        </w:r>
        <w:r>
          <w:fldChar w:fldCharType="end"/>
        </w:r>
      </w:hyperlink>
    </w:p>
    <w:p>
      <w:pPr>
        <w:pStyle w:val="TOC2"/>
        <w:tabs>
          <w:tab w:val="right" w:leader="dot" w:pos="8306"/>
        </w:tabs>
      </w:pPr>
      <w:hyperlink w:anchor="_Toc31667" w:history="1">
        <w:r>
          <w:rPr>
            <w:rFonts w:ascii="仿宋" w:eastAsia="仿宋" w:hAnsi="仿宋" w:cs="仿宋" w:hint="eastAsia"/>
            <w:lang w:eastAsia="zh-CN"/>
          </w:rPr>
          <w:t>(三)、质量管理体系文件</w:t>
        </w:r>
        <w:r>
          <w:tab/>
        </w:r>
        <w:r>
          <w:fldChar w:fldCharType="begin"/>
        </w:r>
        <w:r>
          <w:instrText xml:space="preserve"> PAGEREF _Toc31667 \h </w:instrText>
        </w:r>
        <w:r>
          <w:fldChar w:fldCharType="separate"/>
        </w:r>
        <w:r>
          <w:t>58</w:t>
        </w:r>
        <w:r>
          <w:fldChar w:fldCharType="end"/>
        </w:r>
      </w:hyperlink>
    </w:p>
    <w:p>
      <w:pPr>
        <w:pStyle w:val="TOC2"/>
        <w:tabs>
          <w:tab w:val="right" w:leader="dot" w:pos="8306"/>
        </w:tabs>
      </w:pPr>
      <w:hyperlink w:anchor="_Toc30866" w:history="1">
        <w:r>
          <w:rPr>
            <w:rFonts w:ascii="仿宋" w:eastAsia="仿宋" w:hAnsi="仿宋" w:cs="仿宋" w:hint="eastAsia"/>
            <w:lang w:eastAsia="zh-CN"/>
          </w:rPr>
          <w:t>(四)、质量培训与教育</w:t>
        </w:r>
        <w:r>
          <w:tab/>
        </w:r>
        <w:r>
          <w:fldChar w:fldCharType="begin"/>
        </w:r>
        <w:r>
          <w:instrText xml:space="preserve"> PAGEREF _Toc30866 \h </w:instrText>
        </w:r>
        <w:r>
          <w:fldChar w:fldCharType="separate"/>
        </w:r>
        <w:r>
          <w:t>61</w:t>
        </w:r>
        <w:r>
          <w:fldChar w:fldCharType="end"/>
        </w:r>
      </w:hyperlink>
    </w:p>
    <w:p>
      <w:pPr>
        <w:pStyle w:val="TOC2"/>
        <w:tabs>
          <w:tab w:val="right" w:leader="dot" w:pos="8306"/>
        </w:tabs>
      </w:pPr>
      <w:hyperlink w:anchor="_Toc24074" w:history="1">
        <w:r>
          <w:rPr>
            <w:rFonts w:ascii="仿宋" w:eastAsia="仿宋" w:hAnsi="仿宋" w:cs="仿宋" w:hint="eastAsia"/>
            <w:lang w:eastAsia="zh-CN"/>
          </w:rPr>
          <w:t>(五)、质量审核与评价</w:t>
        </w:r>
        <w:r>
          <w:tab/>
        </w:r>
        <w:r>
          <w:fldChar w:fldCharType="begin"/>
        </w:r>
        <w:r>
          <w:instrText xml:space="preserve"> PAGEREF _Toc24074 \h </w:instrText>
        </w:r>
        <w:r>
          <w:fldChar w:fldCharType="separate"/>
        </w:r>
        <w:r>
          <w:t>62</w:t>
        </w:r>
        <w:r>
          <w:fldChar w:fldCharType="end"/>
        </w:r>
      </w:hyperlink>
    </w:p>
    <w:p>
      <w:pPr>
        <w:pStyle w:val="TOC2"/>
        <w:tabs>
          <w:tab w:val="right" w:leader="dot" w:pos="8306"/>
        </w:tabs>
      </w:pPr>
      <w:hyperlink w:anchor="_Toc21651" w:history="1">
        <w:r>
          <w:rPr>
            <w:rFonts w:ascii="仿宋" w:eastAsia="仿宋" w:hAnsi="仿宋" w:cs="仿宋" w:hint="eastAsia"/>
            <w:lang w:eastAsia="zh-CN"/>
          </w:rPr>
          <w:t>(六)、不符合与纠正措施</w:t>
        </w:r>
        <w:r>
          <w:tab/>
        </w:r>
        <w:r>
          <w:fldChar w:fldCharType="begin"/>
        </w:r>
        <w:r>
          <w:instrText xml:space="preserve"> PAGEREF _Toc21651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84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376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酸碱平衡调节药项目的技术管理特点体现在其创新导向。通过引入最先进的技术趋势和解决方案，酸碱平衡调节药项目致力于提升科技含量、提高质量和效率水平。这意味着我们将采用最新的工具和方法，确保酸碱平衡调节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酸碱平衡调节药项目技术管理的显著特征。通过整合不同领域的技术资源，我们实现了跨学科的协同工作。这有助于优化技术架构，提高整体效能。此外，整合性策略还促进了不同技术团队之间的紧密沟通和高效合作，确保酸碱平衡调节药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酸碱平衡调节药项目所采用的技术。通过不断优化技术方案，酸碱平衡调节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酸碱平衡调节药项目团队将在酸碱平衡调节药项目初期识别可能的技术风险，并采取相应的预防和应对措施。通过建立健全的风险评估机制，酸碱平衡调节药项目能够在实施过程中及时发现并解决潜在的技术问题，保障酸碱平衡调节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酸碱平衡调节药项目中，技术将成为酸碱平衡调节药项目成功的有力支持。这一深度剖析揭示了技术管理在酸碱平衡调节药项目实施中的关键作用，为酸碱平衡调节药项目的技术基础奠定了坚实的基础。</w:t>
      </w:r>
    </w:p>
    <w:p>
      <w:pPr>
        <w:pStyle w:val="Heading2"/>
        <w:ind w:firstLine="560" w:firstLineChars="200"/>
        <w:rPr>
          <w:rFonts w:ascii="仿宋" w:eastAsia="仿宋" w:hAnsi="仿宋" w:cs="仿宋" w:hint="eastAsia"/>
          <w:sz w:val="28"/>
          <w:lang w:eastAsia="zh-CN"/>
        </w:rPr>
      </w:pPr>
      <w:bookmarkStart w:id="4" w:name="_Toc10859"/>
      <w:r>
        <w:rPr>
          <w:rFonts w:ascii="仿宋" w:eastAsia="仿宋" w:hAnsi="仿宋" w:cs="仿宋" w:hint="eastAsia"/>
          <w:sz w:val="28"/>
          <w:lang w:eastAsia="zh-CN"/>
        </w:rPr>
        <w:t>(二)、酸碱平衡调节药项目工艺技术设计方案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酸碱平衡调节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酸碱平衡调节药项目将严格按照相关行业规范要求进行组织。通过有效控制产品质量，酸碱平衡调节药项目将致力于为顾客提供优质的酸碱平衡调节药项目产品和良好的服务。这体现了酸碱平衡调节药项目对于生产活动合规性和质量标准的高度重视，为酸碱平衡调节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酸碱平衡调节药项目注重生态效益和清洁生产原则。酸碱平衡调节药项目建设将紧密结合地方特色经济发展，与社会经济发展规划和区域环境保护规划方案相协调一致。通过与当地区域自然生态系统的结合，酸碱平衡调节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酸碱平衡调节药项目产品具有多样化的客户需求和个性化的特点。因此，酸碱平衡调节药项目产品规格品种多样，且单批生产数量较小。为满足这一特点，酸碱平衡调节药项目承办单位将建设先进的柔性制造生产线。通过广泛应用柔性制造技术，酸碱平衡调节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酸碱平衡调节药项目采用的技术具有较高的技术含量和自动化水平，处于国内先进水平。这一技术选用不仅体现了对生产效率、质量和环境友好性的高标准要求，同时为酸碱平衡调节药项目的可持续发展奠定了坚实的基础。</w:t>
      </w:r>
    </w:p>
    <w:p>
      <w:pPr>
        <w:pStyle w:val="Heading2"/>
        <w:ind w:firstLine="560" w:firstLineChars="200"/>
        <w:rPr>
          <w:rFonts w:ascii="仿宋" w:eastAsia="仿宋" w:hAnsi="仿宋" w:cs="仿宋" w:hint="eastAsia"/>
          <w:sz w:val="28"/>
          <w:lang w:eastAsia="zh-CN"/>
        </w:rPr>
      </w:pPr>
      <w:bookmarkStart w:id="5" w:name="_Toc1465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为确保酸碱平衡调节药项目的高效生产和技术实施，我们制定了一套精心设计的设备选型方案，以满足酸碱平衡调节药项目生产、质量和环保的要求。该方案的主要特点如下：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酸碱平衡调节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针对酸碱平衡调节药项目产品的多样性和小批量生产的特点，我们将建设柔性制造生产线。通过在设备选型中考虑柔性制造技术，可以灵活应对不同产品规格和生产需求，实现生产线的高度灵活性和适应性。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8023"/>
      <w:r>
        <w:rPr>
          <w:rFonts w:ascii="仿宋" w:eastAsia="仿宋" w:hAnsi="仿宋" w:cs="仿宋" w:hint="eastAsia"/>
          <w:sz w:val="28"/>
          <w:lang w:eastAsia="zh-CN"/>
        </w:rPr>
        <w:t>二、酸碱平衡调节药项目可持续发展</w:t>
      </w:r>
      <w:bookmarkEnd w:id="6"/>
    </w:p>
    <w:p>
      <w:pPr>
        <w:pStyle w:val="Heading2"/>
        <w:rPr>
          <w:rFonts w:ascii="仿宋" w:eastAsia="仿宋" w:hAnsi="仿宋" w:cs="仿宋" w:hint="eastAsia"/>
          <w:lang w:eastAsia="zh-CN"/>
        </w:rPr>
      </w:pPr>
      <w:bookmarkStart w:id="7" w:name="_Toc2512"/>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酸碱平衡调节药项目中，酸碱平衡调节药项目团队着眼于未来，明确了可持续发展的战略方向。制定的具体可持续发展目标包括降低资源使用、采用环保技术、最大化社会效益等。这一步骤不仅有助于酸碱平衡调节药项目在环保和社会责任方面达到最高标准，也为未来提供了明确的指引，确保酸碱平衡调节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可持续实践的融入酸碱平衡调节药项目管理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可持续实践已经贯穿于整个酸碱平衡调节药项目管理周期。从酸碱平衡调节药项目规划开始，酸碱平衡调节药项目团队就考虑了环境和社会的因素。在执行阶段，酸碱平衡调节药项目团队积极推动绿色技术的应用，优化资源利用。此外，关注员工的社会责任，通过培训和沟通活动提高员工对可持续发展的认知，使他们能够在日常工作中践行可持续实践。这些举措不仅为酸碱平衡调节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3986"/>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扎根于酸碱平衡调节药项目的可持续发展理念，我们深信环保与社会责任是酸碱平衡调节药项目成功的关键支柱。在酸碱平衡调节药项目的每一步，我们都致力于通过创新和实践，履行对环境和社会的坚定责任。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酸碱平衡调节药项目团队通过引入先进的环保技术、建立高效的废物处理系统以及推动能源节约措施，积极履行环保责任。定期的环保监测和评估确保酸碱平衡调节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酸碱平衡调节药项目不仅致力于自身可持续发展，还注重对社会的回馈。通过支持社区酸碱平衡调节药项目、参与慈善事业、提供培训机会等方式，酸碱平衡调节药项目积极履行社会责任。与当地社区建立积极互动，关注员工的工作与生活平衡，以及员工的身心健康，是酸碱平衡调节药项目在社会责任层面的关键举措。这样的实践不仅增强了酸碱平衡调节药项目在社会中的声誉，也促进了社会的共同繁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25445"/>
      <w:r>
        <w:rPr>
          <w:rFonts w:ascii="仿宋" w:eastAsia="仿宋" w:hAnsi="仿宋" w:cs="仿宋" w:hint="eastAsia"/>
          <w:sz w:val="28"/>
          <w:lang w:eastAsia="zh-CN"/>
        </w:rPr>
        <w:t>三、酸碱平衡调节药项目建设单位说明</w:t>
      </w:r>
      <w:bookmarkEnd w:id="9"/>
    </w:p>
    <w:p>
      <w:pPr>
        <w:pStyle w:val="Heading2"/>
        <w:rPr>
          <w:rFonts w:ascii="仿宋" w:eastAsia="仿宋" w:hAnsi="仿宋" w:cs="仿宋" w:hint="eastAsia"/>
          <w:lang w:eastAsia="zh-CN"/>
        </w:rPr>
      </w:pPr>
      <w:bookmarkStart w:id="10" w:name="_Toc7077"/>
      <w:r>
        <w:rPr>
          <w:rFonts w:ascii="仿宋" w:eastAsia="仿宋" w:hAnsi="仿宋" w:cs="仿宋" w:hint="eastAsia"/>
          <w:lang w:eastAsia="zh-CN"/>
        </w:rPr>
        <w:t>(一)、酸碱平衡调节药项目承办单位基本情况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8351"/>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酸碱平衡调节药项目承办单位的XXXX，我们着眼于实现可持续的经济效益。通过技术创新和解决方案的提供，公司预计在酸碱平衡调节药项目执行期间将获得可观的收入增长。这一收入来源主要包括酸碱平衡调节药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同时，我们注重成本控制和效率提升，以确保酸碱平衡调节药项目的可持续盈利。透过精细的管理和资源优化，公司期望实现酸碱平衡调节药项目利润最大化。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酸碱平衡调节药项目实施进行全面的投资评估，包括酸碱平衡调节药项目启动阶段的资金投入和后续运营成本。通过对酸碱平衡调节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酸碱平衡调节药项目实施过程中具备足够的资金流动性，公司将进行详尽的现金流分析。这包括资金需求的合理预测、酸碱平衡调节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7055"/>
      <w:r>
        <w:rPr>
          <w:rFonts w:ascii="仿宋" w:eastAsia="仿宋" w:hAnsi="仿宋" w:cs="仿宋" w:hint="eastAsia"/>
          <w:sz w:val="28"/>
          <w:lang w:eastAsia="zh-CN"/>
        </w:rPr>
        <w:t>四、酸碱平衡调节药项目文档管理</w:t>
      </w:r>
      <w:bookmarkEnd w:id="12"/>
    </w:p>
    <w:p>
      <w:pPr>
        <w:pStyle w:val="Heading2"/>
        <w:rPr>
          <w:rFonts w:ascii="仿宋" w:eastAsia="仿宋" w:hAnsi="仿宋" w:cs="仿宋" w:hint="eastAsia"/>
          <w:lang w:eastAsia="zh-CN"/>
        </w:rPr>
      </w:pPr>
      <w:bookmarkStart w:id="13" w:name="_Toc5552"/>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酸碱平衡调节药项目高度重视文档的质量和准确性，以支持酸碱平衡调节药项目的各项活动和决策。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酸碱平衡调节药项目文档的编制始于酸碱平衡调节药项目计划的初期，我们制定了详细的文档编制计划，明确了每个文档的内容、格式和编写责任人。在酸碱平衡调节药项目启动阶段，我们首先编制了酸碱平衡调节药项目章程，明确定义了酸碱平衡调节药项目的目标、范围、风险等关键要素。随后，酸碱平衡调节药项目团队根据计划陆续编制了需求文档、设计文档、测试文档等各类文档，确保酸碱平衡调节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酸碱平衡调节药项目管理中的重要环节，旨在确保酸碱平衡调节药项目文档符合质量标准和酸碱平衡调节药项目需求。在酸碱平衡调节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酸碱平衡调节药项目相关利益方和专业领域的专家对文档进行独立审查。这有助于获取更全面、客观的反馈，确保酸碱平衡调节药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酸碱平衡调节药项目在文档编制与审查方面建立了严格的管理机制，通过规范的流程和多维度的审查，确保酸碱平衡调节药项目文档的质量、准确性和可靠性，为酸碱平衡调节药项目的顺利推进提供了有力支持。</w:t>
      </w:r>
    </w:p>
    <w:p>
      <w:pPr>
        <w:pStyle w:val="Heading2"/>
        <w:ind w:firstLine="560" w:firstLineChars="200"/>
        <w:rPr>
          <w:rFonts w:ascii="仿宋" w:eastAsia="仿宋" w:hAnsi="仿宋" w:cs="仿宋" w:hint="eastAsia"/>
          <w:sz w:val="28"/>
          <w:lang w:eastAsia="zh-CN"/>
        </w:rPr>
      </w:pPr>
      <w:bookmarkStart w:id="14" w:name="_Toc3279"/>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在酸碱平衡调节药项目中，我们致力于优化文档发布与分发过程，以确保信息的高效传递和团队间协作的顺畅进行。以下是我们采取的关键优化策略：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我们通过多渠道发布文档，包括电子邮件、酸碱平衡调节药项目管理平台、内部网站等，以满足不同团队成员的偏好和需求。多渠道发布确保了信息的全面覆盖。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我们采用了精细的权限控制，确保只有授权人员可以访问敏感信息。这种安全措施保护了酸碱平衡调节药项目文档的机密性，防止了未经授权的信息泄露。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354"/>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酸碱平衡调节药项目生命周期中一个至关重要的环节，直接关系到酸碱平衡调节药项目信息的长期保存和历史记录的完整性。在酸碱平衡调节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3959"/>
      <w:r>
        <w:rPr>
          <w:rFonts w:ascii="仿宋" w:eastAsia="仿宋" w:hAnsi="仿宋" w:cs="仿宋" w:hint="eastAsia"/>
          <w:sz w:val="28"/>
          <w:lang w:eastAsia="zh-CN"/>
        </w:rPr>
        <w:t>五、酸碱平衡调节药项目危机管理</w:t>
      </w:r>
      <w:bookmarkEnd w:id="16"/>
    </w:p>
    <w:p>
      <w:pPr>
        <w:pStyle w:val="Heading2"/>
        <w:rPr>
          <w:rFonts w:ascii="仿宋" w:eastAsia="仿宋" w:hAnsi="仿宋" w:cs="仿宋" w:hint="eastAsia"/>
          <w:lang w:eastAsia="zh-CN"/>
        </w:rPr>
      </w:pPr>
      <w:bookmarkStart w:id="17" w:name="_Toc15468"/>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酸碱平衡调节药项目危机管理中，危机预警与识别是确保酸碱平衡调节药项目稳健运行的核心步骤。通过建立全面的监测机制，酸碱平衡调节药项目团队旨在及时发现和理解潜在的风险和危机因素，以便采取及时的预防和应对措施，确保酸碱平衡调节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酸碱平衡调节药项目团队全面分析了整个酸碱平衡调节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酸碱平衡调节药项目团队着重于明确定义酸碱平衡调节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酸碱平衡调节药项目进展的持续监控，团队能够及时发现潜在问题并作出迅速反应。酸碱平衡调节药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在这一阶段，团队的专业素养和反应速度将发挥至关重要的作用，以确保潜在危机能够在初期得到有效的处理，最大程度地减轻负面影响。通过危机预警与识别，酸碱平衡调节药项目得以更有序、可控地推进。</w:t>
      </w:r>
    </w:p>
    <w:p>
      <w:pPr>
        <w:pStyle w:val="Heading2"/>
        <w:ind w:firstLine="560" w:firstLineChars="200"/>
        <w:rPr>
          <w:rFonts w:ascii="仿宋" w:eastAsia="仿宋" w:hAnsi="仿宋" w:cs="仿宋" w:hint="eastAsia"/>
          <w:sz w:val="28"/>
          <w:lang w:eastAsia="zh-CN"/>
        </w:rPr>
      </w:pPr>
      <w:bookmarkStart w:id="18" w:name="_Toc24817"/>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在危机发生时，酸碱平衡调节药项目团队立即行动，成立了应急小组。该小组的任务是迅速制定并实施紧急应对措施，以最小化潜在损失。以下是采取的主要措施：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暂停酸碱平衡调节药项目进度：为遏制危机蔓延，酸碱平衡调节药项目暂时停止进行，以便全面评估当前状况。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资源重新分配：重新评估酸碱平衡调节药项目资源的分配，确保最大限度地减小损失。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实时沟通：与关键利益相关者建立实时沟通机制，向他们传递酸碱平衡调节药项目危机的实际状况，保障酸碱平衡调节药项目核心利益。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在紧急应对的同时，酸碱平衡调节药项目团队强调了团队协作和有效沟通的重要性。以下是团队协作的关键举措：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信息共享机制：建立了信息共享平台，确保团队成员能够及时获取酸碱平衡调节药项目危机的实时信息。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领导者沟通：酸碱平衡调节药项目领导者通过定期会议和即时沟通工具，指导团队应对危机，保持团队稳定运行。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随着危机得到初步控制，酸碱平衡调节药项目团队转向制定恢复计划，以确保酸碱平衡调节药项目能够从中迅速恢复。主要恢复计划包括：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修复受损的进度计划：重新评估酸碱平衡调节药项目进度，制定修复计划，确保酸碱平衡调节药项目尽快回归正常进程。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重新调整资源分配：优化资源分配，确保酸碱平衡调节药项目在有限资源下高效运转。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风险管理机制加强：对酸碱平衡调节药项目风险进行全面评估，制定更强化的风险管理策略，以预防未来可能的危机。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7734"/>
      <w:r>
        <w:rPr>
          <w:rFonts w:ascii="仿宋" w:eastAsia="仿宋" w:hAnsi="仿宋" w:cs="仿宋" w:hint="eastAsia"/>
          <w:sz w:val="28"/>
          <w:lang w:eastAsia="zh-CN"/>
        </w:rPr>
        <w:t>六、酸碱平衡调节药项目绩效评估</w:t>
      </w:r>
      <w:bookmarkEnd w:id="19"/>
    </w:p>
    <w:p>
      <w:pPr>
        <w:pStyle w:val="Heading2"/>
        <w:rPr>
          <w:rFonts w:ascii="仿宋" w:eastAsia="仿宋" w:hAnsi="仿宋" w:cs="仿宋" w:hint="eastAsia"/>
          <w:lang w:eastAsia="zh-CN"/>
        </w:rPr>
      </w:pPr>
      <w:bookmarkStart w:id="20" w:name="_Toc15776"/>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酸碱平衡调节药项目中，我们设计了一套全面的绩效评估指标，以确保酸碱平衡调节药项目的可控和成功交付。这些指标跨足酸碱平衡调节药项目目标、成本、进度和质量等多个维度，为我们提供了全面洞察酸碱平衡调节药项目的健康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https://d.book118.com/167004130135006052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C6206D"/>
    <w:rsid w:val="39C620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7004130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2024-03-02T14:27:00Z</dcterms:created>
  <dcterms:modified xsi:type="dcterms:W3CDTF">2024-03-02T14:27:29Z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E5C0B035FF6540259A433A6BA70742B9_11</vt:lpwstr>
  </property>
  <property fmtid="{D5CDD505-2E9C-101B-9397-08002B2CF9AE}" pid="3" name="KSOProductBuildVer">
    <vt:lpwstr>2052-12.1.0.16388</vt:lpwstr>
  </property>
</Properties>
</file>