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黑体" w:eastAsia="黑体" w:hint="eastAsia"/>
          <w:sz w:val="32"/>
          <w:szCs w:val="32"/>
        </w:rPr>
      </w:pPr>
      <w:r>
        <w:rPr>
          <w:rFonts w:ascii="黑体" w:eastAsia="黑体" w:hint="eastAsia"/>
          <w:sz w:val="32"/>
          <w:szCs w:val="32"/>
        </w:rPr>
        <w:t>附件1</w:t>
      </w:r>
    </w:p>
    <w:tbl>
      <w:tblPr>
        <w:tblStyle w:val="TableNormal"/>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366"/>
        <w:gridCol w:w="2490"/>
      </w:tblGrid>
      <w:tr>
        <w:tblPrEx>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762"/>
        </w:trPr>
        <w:tc>
          <w:tcPr>
            <w:tcW w:w="1366" w:type="dxa"/>
            <w:vAlign w:val="center"/>
          </w:tcPr>
          <w:p>
            <w:pPr>
              <w:jc w:val="center"/>
              <w:rPr>
                <w:rFonts w:ascii="仿宋_GB2312" w:eastAsia="仿宋_GB2312" w:hAnsi="宋体" w:hint="eastAsia"/>
                <w:b/>
                <w:sz w:val="32"/>
              </w:rPr>
            </w:pPr>
            <w:r>
              <w:rPr>
                <w:rFonts w:ascii="仿宋_GB2312" w:eastAsia="仿宋_GB2312" w:hAnsi="宋体" w:hint="eastAsia"/>
                <w:b/>
                <w:sz w:val="32"/>
              </w:rPr>
              <w:t>合同号</w:t>
            </w:r>
          </w:p>
        </w:tc>
        <w:tc>
          <w:tcPr>
            <w:tcW w:w="2490" w:type="dxa"/>
            <w:vAlign w:val="center"/>
          </w:tcPr>
          <w:p>
            <w:pPr>
              <w:rPr>
                <w:rFonts w:ascii="仿宋_GB2312" w:eastAsia="仿宋_GB2312" w:hAnsi="宋体" w:hint="eastAsia"/>
                <w:b/>
                <w:sz w:val="32"/>
              </w:rPr>
            </w:pPr>
            <w:r>
              <w:rPr>
                <w:rFonts w:ascii="仿宋_GB2312" w:eastAsia="仿宋_GB2312" w:hAnsi="宋体" w:hint="eastAsia"/>
                <w:b/>
                <w:sz w:val="32"/>
                <w:lang w:val="en-US" w:eastAsia="zh-CN"/>
              </w:rPr>
              <w:t xml:space="preserve">  Z20170009</w:t>
            </w:r>
          </w:p>
        </w:tc>
      </w:tr>
    </w:tbl>
    <w:p>
      <w:pPr>
        <w:rPr>
          <w:rFonts w:ascii="仿宋_GB2312" w:eastAsia="仿宋_GB2312" w:hAnsi="宋体" w:hint="eastAsia"/>
          <w:b/>
          <w:sz w:val="44"/>
        </w:rPr>
      </w:pPr>
    </w:p>
    <w:p>
      <w:pPr>
        <w:jc w:val="center"/>
        <w:rPr>
          <w:rFonts w:ascii="宋体" w:hAnsi="宋体" w:hint="eastAsia"/>
          <w:b/>
          <w:sz w:val="44"/>
        </w:rPr>
      </w:pPr>
      <w:r>
        <w:rPr>
          <w:rFonts w:ascii="宋体" w:hAnsi="宋体" w:hint="eastAsia"/>
          <w:b/>
          <w:sz w:val="44"/>
        </w:rPr>
        <w:t>广西壮族自治区卫生和计划生育委员会</w:t>
      </w:r>
    </w:p>
    <w:p>
      <w:pPr>
        <w:jc w:val="center"/>
        <w:rPr>
          <w:rFonts w:ascii="宋体" w:hAnsi="宋体"/>
          <w:b/>
          <w:sz w:val="44"/>
        </w:rPr>
      </w:pPr>
      <w:r>
        <w:rPr>
          <w:rFonts w:ascii="宋体" w:hAnsi="宋体" w:hint="eastAsia"/>
          <w:b/>
          <w:sz w:val="44"/>
        </w:rPr>
        <w:t>自筹经费科研课题申请书</w:t>
      </w:r>
      <w:r>
        <w:rPr>
          <w:rFonts w:ascii="宋体" w:hAnsi="宋体"/>
          <w:b/>
          <w:sz w:val="44"/>
        </w:rPr>
        <w:t>(</w:t>
      </w:r>
      <w:r>
        <w:rPr>
          <w:rFonts w:ascii="宋体" w:hAnsi="宋体" w:hint="eastAsia"/>
          <w:b/>
          <w:sz w:val="44"/>
        </w:rPr>
        <w:t>合同书</w:t>
      </w:r>
      <w:r>
        <w:rPr>
          <w:rFonts w:ascii="宋体" w:hAnsi="宋体"/>
          <w:b/>
          <w:sz w:val="44"/>
        </w:rPr>
        <w:t>)</w:t>
      </w:r>
    </w:p>
    <w:p>
      <w:pPr>
        <w:rPr>
          <w:rFonts w:ascii="仿宋_GB2312" w:eastAsia="仿宋_GB2312" w:hAnsi="宋体" w:hint="eastAsia"/>
        </w:rPr>
      </w:pPr>
    </w:p>
    <w:p>
      <w:pPr>
        <w:rPr>
          <w:rFonts w:ascii="仿宋_GB2312" w:eastAsia="仿宋_GB2312" w:hAnsi="宋体" w:hint="eastAsia"/>
        </w:rPr>
      </w:pPr>
    </w:p>
    <w:tbl>
      <w:tblPr>
        <w:tblStyle w:val="TableNormal"/>
        <w:jc w:val="center"/>
        <w:tblBorders>
          <w:top w:val="single" w:sz="4" w:space="0" w:color="auto"/>
          <w:left w:val="none" w:sz="0" w:space="0" w:color="auto"/>
          <w:bottom w:val="single" w:sz="4" w:space="0" w:color="auto"/>
          <w:right w:val="none" w:sz="0" w:space="0" w:color="auto"/>
          <w:insideH w:val="single" w:sz="4" w:space="0" w:color="auto"/>
          <w:insideV w:val="none" w:sz="0" w:space="0" w:color="auto"/>
        </w:tblBorders>
        <w:tblLayout w:type="fixed"/>
        <w:tblCellMar>
          <w:top w:w="0" w:type="dxa"/>
          <w:left w:w="108" w:type="dxa"/>
          <w:bottom w:w="0" w:type="dxa"/>
          <w:right w:w="108" w:type="dxa"/>
        </w:tblCellMar>
        <w:tblLook w:val="0000"/>
      </w:tblPr>
      <w:tblGrid>
        <w:gridCol w:w="2208"/>
        <w:gridCol w:w="6505"/>
      </w:tblGrid>
      <w:tr>
        <w:tblPrEx>
          <w:jc w:val="center"/>
          <w:tblBorders>
            <w:top w:val="single" w:sz="4" w:space="0" w:color="auto"/>
            <w:left w:val="none" w:sz="0" w:space="0" w:color="auto"/>
            <w:bottom w:val="single" w:sz="4" w:space="0" w:color="auto"/>
            <w:right w:val="none" w:sz="0" w:space="0" w:color="auto"/>
            <w:insideH w:val="single" w:sz="4" w:space="0" w:color="auto"/>
            <w:insideV w:val="none" w:sz="0" w:space="0" w:color="auto"/>
          </w:tblBorders>
          <w:tblLayout w:type="fixed"/>
          <w:tblCellMar>
            <w:top w:w="0" w:type="dxa"/>
            <w:left w:w="108" w:type="dxa"/>
            <w:bottom w:w="0" w:type="dxa"/>
            <w:right w:w="108" w:type="dxa"/>
          </w:tblCellMar>
          <w:tblLook w:val="0000"/>
        </w:tblPrEx>
        <w:trPr>
          <w:jc w:val="center"/>
        </w:trPr>
        <w:tc>
          <w:tcPr>
            <w:tcW w:w="2208" w:type="dxa"/>
            <w:tcBorders>
              <w:top w:val="nil"/>
              <w:bottom w:val="nil"/>
            </w:tcBorders>
          </w:tcPr>
          <w:p>
            <w:pPr>
              <w:spacing w:line="580" w:lineRule="exact"/>
              <w:jc w:val="distribute"/>
              <w:rPr>
                <w:rFonts w:ascii="仿宋_GB2312" w:eastAsia="仿宋_GB2312" w:hAnsi="宋体" w:hint="eastAsia"/>
                <w:sz w:val="32"/>
              </w:rPr>
            </w:pPr>
            <w:r>
              <w:rPr>
                <w:rFonts w:ascii="仿宋_GB2312" w:eastAsia="仿宋_GB2312" w:hAnsi="宋体" w:hint="eastAsia"/>
                <w:sz w:val="32"/>
              </w:rPr>
              <w:t>申请类别</w:t>
            </w:r>
          </w:p>
        </w:tc>
        <w:tc>
          <w:tcPr>
            <w:tcW w:w="6505" w:type="dxa"/>
            <w:tcBorders>
              <w:top w:val="nil"/>
            </w:tcBorders>
          </w:tcPr>
          <w:p>
            <w:pPr>
              <w:spacing w:line="580" w:lineRule="exact"/>
              <w:rPr>
                <w:rFonts w:ascii="仿宋_GB2312" w:eastAsia="仿宋_GB2312" w:hAnsi="宋体" w:hint="eastAsia"/>
                <w:sz w:val="32"/>
              </w:rPr>
            </w:pPr>
            <w:r>
              <w:rPr>
                <w:rFonts w:ascii="仿宋_GB2312" w:eastAsia="仿宋_GB2312" w:hAnsi="宋体" w:hint="eastAsia"/>
                <w:sz w:val="32"/>
              </w:rPr>
              <w:t>（</w:t>
            </w:r>
            <w:r>
              <w:rPr>
                <w:rFonts w:ascii="仿宋_GB2312" w:eastAsia="仿宋_GB2312" w:hAnsi="宋体" w:hint="eastAsia"/>
                <w:sz w:val="32"/>
                <w:bdr w:val="single" w:sz="4" w:space="0" w:color="auto"/>
              </w:rPr>
              <w:t>计划课题</w:t>
            </w:r>
            <w:r>
              <w:rPr>
                <w:rFonts w:ascii="仿宋_GB2312" w:eastAsia="仿宋_GB2312" w:hAnsi="宋体" w:hint="eastAsia"/>
                <w:sz w:val="32"/>
              </w:rPr>
              <w:t>、青年基金）</w:t>
            </w:r>
          </w:p>
        </w:tc>
      </w:tr>
      <w:tr>
        <w:tblPrEx>
          <w:jc w:val="center"/>
          <w:tblLayout w:type="fixed"/>
          <w:tblCellMar>
            <w:top w:w="0" w:type="dxa"/>
            <w:left w:w="108" w:type="dxa"/>
            <w:bottom w:w="0" w:type="dxa"/>
            <w:right w:w="108" w:type="dxa"/>
          </w:tblCellMar>
          <w:tblLook w:val="0000"/>
        </w:tblPrEx>
        <w:trPr>
          <w:jc w:val="center"/>
        </w:trPr>
        <w:tc>
          <w:tcPr>
            <w:tcW w:w="2208" w:type="dxa"/>
            <w:tcBorders>
              <w:top w:val="nil"/>
              <w:bottom w:val="nil"/>
            </w:tcBorders>
          </w:tcPr>
          <w:p>
            <w:pPr>
              <w:spacing w:line="580" w:lineRule="exact"/>
              <w:jc w:val="distribute"/>
              <w:rPr>
                <w:rFonts w:ascii="仿宋_GB2312" w:eastAsia="仿宋_GB2312" w:hAnsi="宋体" w:hint="eastAsia"/>
                <w:sz w:val="32"/>
              </w:rPr>
            </w:pPr>
            <w:r>
              <w:rPr>
                <w:rFonts w:ascii="仿宋_GB2312" w:eastAsia="仿宋_GB2312" w:hAnsi="宋体" w:hint="eastAsia"/>
                <w:sz w:val="32"/>
              </w:rPr>
              <w:t>研究领域</w:t>
            </w:r>
          </w:p>
        </w:tc>
        <w:tc>
          <w:tcPr>
            <w:tcW w:w="6505" w:type="dxa"/>
          </w:tcPr>
          <w:p>
            <w:pPr>
              <w:spacing w:line="580" w:lineRule="exact"/>
              <w:rPr>
                <w:rFonts w:ascii="仿宋_GB2312" w:eastAsia="仿宋_GB2312" w:hAnsi="宋体" w:hint="eastAsia"/>
                <w:sz w:val="32"/>
              </w:rPr>
            </w:pPr>
            <w:r>
              <w:rPr>
                <w:rFonts w:ascii="仿宋_GB2312" w:eastAsia="仿宋_GB2312" w:hAnsi="宋体" w:hint="eastAsia"/>
                <w:sz w:val="32"/>
              </w:rPr>
              <w:t>（基础、预防、</w:t>
            </w:r>
            <w:r>
              <w:rPr>
                <w:rFonts w:ascii="仿宋_GB2312" w:eastAsia="仿宋_GB2312" w:hAnsi="宋体" w:hint="eastAsia"/>
                <w:sz w:val="32"/>
                <w:bdr w:val="single" w:sz="4" w:space="0" w:color="auto"/>
              </w:rPr>
              <w:t>临床</w:t>
            </w:r>
            <w:r>
              <w:rPr>
                <w:rFonts w:ascii="仿宋_GB2312" w:eastAsia="仿宋_GB2312" w:hAnsi="宋体" w:hint="eastAsia"/>
                <w:sz w:val="32"/>
              </w:rPr>
              <w:t>、护理、其他）</w:t>
            </w:r>
          </w:p>
        </w:tc>
      </w:tr>
      <w:tr>
        <w:tblPrEx>
          <w:jc w:val="center"/>
          <w:tblLayout w:type="fixed"/>
          <w:tblCellMar>
            <w:top w:w="0" w:type="dxa"/>
            <w:left w:w="108" w:type="dxa"/>
            <w:bottom w:w="0" w:type="dxa"/>
            <w:right w:w="108" w:type="dxa"/>
          </w:tblCellMar>
          <w:tblLook w:val="0000"/>
        </w:tblPrEx>
        <w:trPr>
          <w:jc w:val="center"/>
        </w:trPr>
        <w:tc>
          <w:tcPr>
            <w:tcW w:w="2208" w:type="dxa"/>
            <w:tcBorders>
              <w:top w:val="nil"/>
              <w:bottom w:val="nil"/>
            </w:tcBorders>
          </w:tcPr>
          <w:p>
            <w:pPr>
              <w:spacing w:line="580" w:lineRule="exact"/>
              <w:jc w:val="distribute"/>
              <w:rPr>
                <w:rFonts w:ascii="仿宋_GB2312" w:eastAsia="仿宋_GB2312" w:hAnsi="宋体" w:hint="eastAsia"/>
                <w:sz w:val="32"/>
              </w:rPr>
            </w:pPr>
            <w:r>
              <w:rPr>
                <w:rFonts w:ascii="仿宋_GB2312" w:eastAsia="仿宋_GB2312" w:hAnsi="宋体" w:hint="eastAsia"/>
                <w:sz w:val="32"/>
              </w:rPr>
              <w:t>所属三级学科名称</w:t>
            </w:r>
          </w:p>
        </w:tc>
        <w:tc>
          <w:tcPr>
            <w:tcW w:w="6505" w:type="dxa"/>
          </w:tcPr>
          <w:p>
            <w:pPr>
              <w:spacing w:line="580" w:lineRule="exact"/>
              <w:ind w:firstLine="1600" w:firstLineChars="500"/>
              <w:rPr>
                <w:rFonts w:ascii="仿宋" w:eastAsia="仿宋" w:hAnsi="仿宋" w:hint="eastAsia"/>
                <w:sz w:val="32"/>
              </w:rPr>
            </w:pPr>
            <w:r>
              <w:rPr>
                <w:rFonts w:ascii="仿宋" w:eastAsia="仿宋" w:hAnsi="仿宋" w:hint="eastAsia"/>
                <w:sz w:val="32"/>
              </w:rPr>
              <w:t>康复医学科</w:t>
            </w:r>
          </w:p>
        </w:tc>
      </w:tr>
      <w:tr>
        <w:tblPrEx>
          <w:jc w:val="center"/>
          <w:tblLayout w:type="fixed"/>
          <w:tblCellMar>
            <w:top w:w="0" w:type="dxa"/>
            <w:left w:w="108" w:type="dxa"/>
            <w:bottom w:w="0" w:type="dxa"/>
            <w:right w:w="108" w:type="dxa"/>
          </w:tblCellMar>
          <w:tblLook w:val="0000"/>
        </w:tblPrEx>
        <w:trPr>
          <w:jc w:val="center"/>
        </w:trPr>
        <w:tc>
          <w:tcPr>
            <w:tcW w:w="2208" w:type="dxa"/>
            <w:tcBorders>
              <w:top w:val="nil"/>
              <w:bottom w:val="nil"/>
            </w:tcBorders>
          </w:tcPr>
          <w:p>
            <w:pPr>
              <w:spacing w:line="580" w:lineRule="exact"/>
              <w:jc w:val="distribute"/>
              <w:rPr>
                <w:rFonts w:ascii="仿宋_GB2312" w:eastAsia="仿宋_GB2312" w:hAnsi="宋体" w:hint="eastAsia"/>
                <w:sz w:val="32"/>
              </w:rPr>
            </w:pPr>
            <w:r>
              <w:rPr>
                <w:rFonts w:ascii="仿宋_GB2312" w:eastAsia="仿宋_GB2312" w:hAnsi="宋体" w:hint="eastAsia"/>
                <w:sz w:val="32"/>
              </w:rPr>
              <w:t>课题名称</w:t>
            </w:r>
          </w:p>
        </w:tc>
        <w:tc>
          <w:tcPr>
            <w:tcW w:w="6505" w:type="dxa"/>
          </w:tcPr>
          <w:p>
            <w:pPr>
              <w:spacing w:line="580" w:lineRule="exact"/>
              <w:rPr>
                <w:rFonts w:ascii="仿宋_GB2312" w:eastAsia="仿宋_GB2312" w:hAnsi="宋体" w:hint="eastAsia"/>
                <w:sz w:val="32"/>
                <w:szCs w:val="32"/>
              </w:rPr>
            </w:pPr>
            <w:r>
              <w:rPr>
                <w:rFonts w:ascii="仿宋" w:eastAsia="仿宋" w:hAnsi="仿宋" w:cs="仿宋" w:hint="eastAsia"/>
                <w:sz w:val="32"/>
                <w:szCs w:val="32"/>
              </w:rPr>
              <w:t>雷火灸结合电针治疗脊髓损伤后神经源性膀胱的临床观察</w:t>
            </w:r>
          </w:p>
        </w:tc>
      </w:tr>
      <w:tr>
        <w:tblPrEx>
          <w:jc w:val="center"/>
          <w:tblLayout w:type="fixed"/>
          <w:tblCellMar>
            <w:top w:w="0" w:type="dxa"/>
            <w:left w:w="108" w:type="dxa"/>
            <w:bottom w:w="0" w:type="dxa"/>
            <w:right w:w="108" w:type="dxa"/>
          </w:tblCellMar>
          <w:tblLook w:val="0000"/>
        </w:tblPrEx>
        <w:trPr>
          <w:jc w:val="center"/>
        </w:trPr>
        <w:tc>
          <w:tcPr>
            <w:tcW w:w="2208" w:type="dxa"/>
            <w:tcBorders>
              <w:top w:val="nil"/>
              <w:bottom w:val="nil"/>
            </w:tcBorders>
          </w:tcPr>
          <w:p>
            <w:pPr>
              <w:spacing w:line="580" w:lineRule="exact"/>
              <w:jc w:val="distribute"/>
              <w:rPr>
                <w:rFonts w:ascii="仿宋_GB2312" w:eastAsia="仿宋_GB2312" w:hAnsi="宋体" w:hint="eastAsia"/>
                <w:sz w:val="32"/>
              </w:rPr>
            </w:pPr>
            <w:r>
              <w:rPr>
                <w:rFonts w:ascii="仿宋_GB2312" w:eastAsia="仿宋_GB2312" w:hAnsi="宋体" w:hint="eastAsia"/>
                <w:sz w:val="32"/>
              </w:rPr>
              <w:t>申报单位</w:t>
            </w:r>
          </w:p>
        </w:tc>
        <w:tc>
          <w:tcPr>
            <w:tcW w:w="6505" w:type="dxa"/>
          </w:tcPr>
          <w:p>
            <w:pPr>
              <w:spacing w:line="580" w:lineRule="exact"/>
              <w:rPr>
                <w:rFonts w:ascii="仿宋_GB2312" w:eastAsia="仿宋_GB2312" w:hAnsi="宋体" w:hint="eastAsia"/>
                <w:sz w:val="32"/>
              </w:rPr>
            </w:pPr>
            <w:r>
              <w:rPr>
                <w:rFonts w:ascii="仿宋" w:eastAsia="仿宋" w:hAnsi="仿宋" w:cs="仿宋" w:hint="eastAsia"/>
                <w:sz w:val="32"/>
                <w:szCs w:val="32"/>
              </w:rPr>
              <w:t>广西柳州钢铁集团有限公司医院</w:t>
            </w:r>
          </w:p>
        </w:tc>
      </w:tr>
      <w:tr>
        <w:tblPrEx>
          <w:jc w:val="center"/>
          <w:tblLayout w:type="fixed"/>
          <w:tblCellMar>
            <w:top w:w="0" w:type="dxa"/>
            <w:left w:w="108" w:type="dxa"/>
            <w:bottom w:w="0" w:type="dxa"/>
            <w:right w:w="108" w:type="dxa"/>
          </w:tblCellMar>
          <w:tblLook w:val="0000"/>
        </w:tblPrEx>
        <w:trPr>
          <w:jc w:val="center"/>
        </w:trPr>
        <w:tc>
          <w:tcPr>
            <w:tcW w:w="2208" w:type="dxa"/>
            <w:tcBorders>
              <w:top w:val="nil"/>
              <w:bottom w:val="nil"/>
            </w:tcBorders>
          </w:tcPr>
          <w:p>
            <w:pPr>
              <w:spacing w:line="580" w:lineRule="exact"/>
              <w:jc w:val="distribute"/>
              <w:rPr>
                <w:rFonts w:ascii="仿宋_GB2312" w:eastAsia="仿宋_GB2312" w:hAnsi="宋体" w:hint="eastAsia"/>
                <w:sz w:val="32"/>
              </w:rPr>
            </w:pPr>
            <w:r>
              <w:rPr>
                <w:rFonts w:ascii="仿宋_GB2312" w:eastAsia="仿宋_GB2312" w:hAnsi="宋体" w:hint="eastAsia"/>
                <w:sz w:val="32"/>
              </w:rPr>
              <w:t>协作单位</w:t>
            </w:r>
          </w:p>
        </w:tc>
        <w:tc>
          <w:tcPr>
            <w:tcW w:w="6505" w:type="dxa"/>
          </w:tcPr>
          <w:p>
            <w:pPr>
              <w:spacing w:line="580" w:lineRule="exact"/>
              <w:rPr>
                <w:rFonts w:ascii="仿宋" w:eastAsia="仿宋" w:hAnsi="仿宋" w:hint="eastAsia"/>
                <w:sz w:val="32"/>
              </w:rPr>
            </w:pPr>
            <w:r>
              <w:rPr>
                <w:rFonts w:ascii="仿宋" w:eastAsia="仿宋" w:hAnsi="仿宋" w:hint="eastAsia"/>
                <w:sz w:val="32"/>
              </w:rPr>
              <w:t>无</w:t>
            </w:r>
          </w:p>
        </w:tc>
      </w:tr>
      <w:tr>
        <w:tblPrEx>
          <w:jc w:val="center"/>
          <w:tblLayout w:type="fixed"/>
          <w:tblCellMar>
            <w:top w:w="0" w:type="dxa"/>
            <w:left w:w="108" w:type="dxa"/>
            <w:bottom w:w="0" w:type="dxa"/>
            <w:right w:w="108" w:type="dxa"/>
          </w:tblCellMar>
          <w:tblLook w:val="0000"/>
        </w:tblPrEx>
        <w:trPr>
          <w:jc w:val="center"/>
        </w:trPr>
        <w:tc>
          <w:tcPr>
            <w:tcW w:w="2208" w:type="dxa"/>
            <w:tcBorders>
              <w:top w:val="nil"/>
              <w:bottom w:val="nil"/>
            </w:tcBorders>
          </w:tcPr>
          <w:p>
            <w:pPr>
              <w:spacing w:line="580" w:lineRule="exact"/>
              <w:jc w:val="distribute"/>
              <w:rPr>
                <w:rFonts w:ascii="仿宋_GB2312" w:eastAsia="仿宋_GB2312" w:hAnsi="宋体" w:hint="eastAsia"/>
                <w:sz w:val="32"/>
              </w:rPr>
            </w:pPr>
            <w:r>
              <w:rPr>
                <w:rFonts w:ascii="仿宋_GB2312" w:eastAsia="仿宋_GB2312" w:hAnsi="宋体" w:hint="eastAsia"/>
                <w:sz w:val="32"/>
              </w:rPr>
              <w:t>课题负责人</w:t>
            </w:r>
          </w:p>
        </w:tc>
        <w:tc>
          <w:tcPr>
            <w:tcW w:w="6505" w:type="dxa"/>
          </w:tcPr>
          <w:p>
            <w:pPr>
              <w:spacing w:line="580" w:lineRule="exact"/>
              <w:rPr>
                <w:rFonts w:ascii="仿宋" w:eastAsia="仿宋" w:hAnsi="仿宋" w:hint="eastAsia"/>
                <w:sz w:val="32"/>
              </w:rPr>
            </w:pPr>
            <w:r>
              <w:rPr>
                <w:rFonts w:ascii="仿宋" w:eastAsia="仿宋" w:hAnsi="仿宋" w:hint="eastAsia"/>
                <w:sz w:val="32"/>
              </w:rPr>
              <w:t>张海涛</w:t>
            </w:r>
          </w:p>
        </w:tc>
      </w:tr>
      <w:tr>
        <w:tblPrEx>
          <w:jc w:val="center"/>
          <w:tblLayout w:type="fixed"/>
          <w:tblCellMar>
            <w:top w:w="0" w:type="dxa"/>
            <w:left w:w="108" w:type="dxa"/>
            <w:bottom w:w="0" w:type="dxa"/>
            <w:right w:w="108" w:type="dxa"/>
          </w:tblCellMar>
          <w:tblLook w:val="0000"/>
        </w:tblPrEx>
        <w:trPr>
          <w:jc w:val="center"/>
        </w:trPr>
        <w:tc>
          <w:tcPr>
            <w:tcW w:w="2208" w:type="dxa"/>
            <w:tcBorders>
              <w:top w:val="nil"/>
              <w:bottom w:val="nil"/>
            </w:tcBorders>
          </w:tcPr>
          <w:p>
            <w:pPr>
              <w:spacing w:line="580" w:lineRule="exact"/>
              <w:jc w:val="distribute"/>
              <w:rPr>
                <w:rFonts w:ascii="仿宋_GB2312" w:eastAsia="仿宋_GB2312" w:hAnsi="宋体" w:hint="eastAsia"/>
                <w:sz w:val="32"/>
              </w:rPr>
            </w:pPr>
            <w:r>
              <w:rPr>
                <w:rFonts w:ascii="仿宋_GB2312" w:eastAsia="仿宋_GB2312" w:hAnsi="宋体" w:hint="eastAsia"/>
                <w:sz w:val="32"/>
              </w:rPr>
              <w:t>推荐单位</w:t>
            </w:r>
          </w:p>
        </w:tc>
        <w:tc>
          <w:tcPr>
            <w:tcW w:w="6505" w:type="dxa"/>
          </w:tcPr>
          <w:p>
            <w:pPr>
              <w:spacing w:line="580" w:lineRule="exact"/>
              <w:rPr>
                <w:rFonts w:ascii="仿宋" w:eastAsia="仿宋" w:hAnsi="仿宋" w:hint="eastAsia"/>
                <w:sz w:val="32"/>
              </w:rPr>
            </w:pPr>
            <w:r>
              <w:rPr>
                <w:rFonts w:ascii="仿宋" w:eastAsia="仿宋" w:hAnsi="仿宋" w:hint="eastAsia"/>
                <w:sz w:val="32"/>
              </w:rPr>
              <w:t>柳州市卫生和计划生育委员会</w:t>
            </w:r>
          </w:p>
        </w:tc>
      </w:tr>
      <w:tr>
        <w:tblPrEx>
          <w:jc w:val="center"/>
          <w:tblLayout w:type="fixed"/>
          <w:tblCellMar>
            <w:top w:w="0" w:type="dxa"/>
            <w:left w:w="108" w:type="dxa"/>
            <w:bottom w:w="0" w:type="dxa"/>
            <w:right w:w="108" w:type="dxa"/>
          </w:tblCellMar>
          <w:tblLook w:val="0000"/>
        </w:tblPrEx>
        <w:trPr>
          <w:jc w:val="center"/>
        </w:trPr>
        <w:tc>
          <w:tcPr>
            <w:tcW w:w="2208" w:type="dxa"/>
            <w:tcBorders>
              <w:top w:val="nil"/>
              <w:bottom w:val="nil"/>
            </w:tcBorders>
          </w:tcPr>
          <w:p>
            <w:pPr>
              <w:spacing w:line="580" w:lineRule="exact"/>
              <w:jc w:val="distribute"/>
              <w:rPr>
                <w:rFonts w:ascii="仿宋_GB2312" w:eastAsia="仿宋_GB2312" w:hAnsi="宋体" w:hint="eastAsia"/>
                <w:sz w:val="32"/>
              </w:rPr>
            </w:pPr>
            <w:r>
              <w:rPr>
                <w:rFonts w:ascii="仿宋_GB2312" w:eastAsia="仿宋_GB2312" w:hAnsi="宋体" w:hint="eastAsia"/>
                <w:sz w:val="32"/>
              </w:rPr>
              <w:t>计划周期</w:t>
            </w:r>
          </w:p>
        </w:tc>
        <w:tc>
          <w:tcPr>
            <w:tcW w:w="6505" w:type="dxa"/>
          </w:tcPr>
          <w:p>
            <w:pPr>
              <w:spacing w:line="580" w:lineRule="exact"/>
              <w:rPr>
                <w:rFonts w:ascii="仿宋" w:eastAsia="仿宋" w:hAnsi="仿宋" w:hint="eastAsia"/>
                <w:sz w:val="32"/>
              </w:rPr>
            </w:pPr>
            <w:r>
              <w:rPr>
                <w:rFonts w:ascii="仿宋" w:eastAsia="仿宋" w:hAnsi="仿宋" w:hint="eastAsia"/>
                <w:sz w:val="32"/>
              </w:rPr>
              <w:t>2017年1月至</w:t>
            </w:r>
            <w:r>
              <w:rPr>
                <w:rFonts w:ascii="仿宋" w:eastAsia="仿宋" w:hAnsi="仿宋"/>
                <w:sz w:val="32"/>
                <w:lang w:val="en-JM"/>
              </w:rPr>
              <w:t xml:space="preserve"> </w:t>
            </w:r>
            <w:r>
              <w:rPr>
                <w:rFonts w:ascii="仿宋" w:eastAsia="仿宋" w:hAnsi="仿宋" w:hint="eastAsia"/>
                <w:sz w:val="32"/>
                <w:lang w:val="en-JM"/>
              </w:rPr>
              <w:t>2019年12</w:t>
            </w:r>
            <w:r>
              <w:rPr>
                <w:rFonts w:ascii="仿宋" w:eastAsia="仿宋" w:hAnsi="仿宋"/>
                <w:sz w:val="32"/>
                <w:lang w:val="en-JM"/>
              </w:rPr>
              <w:t xml:space="preserve"> </w:t>
            </w:r>
            <w:r>
              <w:rPr>
                <w:rFonts w:ascii="仿宋" w:eastAsia="仿宋" w:hAnsi="仿宋" w:hint="eastAsia"/>
                <w:sz w:val="32"/>
              </w:rPr>
              <w:t>月</w:t>
            </w:r>
          </w:p>
        </w:tc>
      </w:tr>
      <w:tr>
        <w:tblPrEx>
          <w:jc w:val="center"/>
          <w:tblLayout w:type="fixed"/>
          <w:tblCellMar>
            <w:top w:w="0" w:type="dxa"/>
            <w:left w:w="108" w:type="dxa"/>
            <w:bottom w:w="0" w:type="dxa"/>
            <w:right w:w="108" w:type="dxa"/>
          </w:tblCellMar>
          <w:tblLook w:val="0000"/>
        </w:tblPrEx>
        <w:trPr>
          <w:jc w:val="center"/>
        </w:trPr>
        <w:tc>
          <w:tcPr>
            <w:tcW w:w="2208" w:type="dxa"/>
            <w:tcBorders>
              <w:top w:val="nil"/>
              <w:bottom w:val="nil"/>
            </w:tcBorders>
          </w:tcPr>
          <w:p>
            <w:pPr>
              <w:spacing w:line="580" w:lineRule="exact"/>
              <w:jc w:val="distribute"/>
              <w:rPr>
                <w:rFonts w:ascii="仿宋_GB2312" w:eastAsia="仿宋_GB2312" w:hAnsi="宋体" w:hint="eastAsia"/>
                <w:sz w:val="32"/>
              </w:rPr>
            </w:pPr>
            <w:r>
              <w:rPr>
                <w:rFonts w:ascii="仿宋_GB2312" w:eastAsia="仿宋_GB2312" w:hAnsi="宋体" w:hint="eastAsia"/>
                <w:sz w:val="32"/>
              </w:rPr>
              <w:t>申请日期</w:t>
            </w:r>
          </w:p>
        </w:tc>
        <w:tc>
          <w:tcPr>
            <w:tcW w:w="6505" w:type="dxa"/>
          </w:tcPr>
          <w:p>
            <w:pPr>
              <w:spacing w:line="580" w:lineRule="exact"/>
              <w:rPr>
                <w:rFonts w:ascii="仿宋" w:eastAsia="仿宋" w:hAnsi="仿宋" w:hint="eastAsia"/>
                <w:sz w:val="32"/>
              </w:rPr>
            </w:pPr>
            <w:r>
              <w:rPr>
                <w:rFonts w:ascii="仿宋" w:eastAsia="仿宋" w:hAnsi="仿宋" w:hint="eastAsia"/>
                <w:sz w:val="32"/>
              </w:rPr>
              <w:t>2017年3月1日</w:t>
            </w:r>
          </w:p>
        </w:tc>
      </w:tr>
    </w:tbl>
    <w:p>
      <w:pPr>
        <w:spacing w:line="580" w:lineRule="exact"/>
        <w:jc w:val="center"/>
        <w:rPr>
          <w:rFonts w:ascii="宋体" w:hAnsi="宋体" w:hint="eastAsia"/>
          <w:sz w:val="32"/>
        </w:rPr>
      </w:pPr>
    </w:p>
    <w:p>
      <w:pPr>
        <w:spacing w:line="580" w:lineRule="exact"/>
        <w:jc w:val="center"/>
        <w:rPr>
          <w:rFonts w:ascii="宋体" w:hAnsi="宋体" w:hint="eastAsia"/>
          <w:sz w:val="32"/>
        </w:rPr>
      </w:pPr>
      <w:r>
        <w:rPr>
          <w:rFonts w:ascii="宋体" w:hAnsi="宋体" w:hint="eastAsia"/>
          <w:sz w:val="32"/>
        </w:rPr>
        <w:t>广西壮族自治区卫生和计划生育委员会编制</w:t>
      </w:r>
    </w:p>
    <w:p>
      <w:pPr>
        <w:spacing w:line="580" w:lineRule="exact"/>
        <w:jc w:val="center"/>
        <w:rPr>
          <w:rFonts w:ascii="宋体" w:hAnsi="宋体" w:hint="eastAsia"/>
          <w:sz w:val="32"/>
        </w:rPr>
      </w:pPr>
    </w:p>
    <w:p>
      <w:pPr>
        <w:spacing w:line="580" w:lineRule="exact"/>
        <w:jc w:val="center"/>
        <w:rPr>
          <w:rFonts w:ascii="宋体" w:hAnsi="宋体" w:hint="eastAsia"/>
          <w:sz w:val="32"/>
        </w:rPr>
        <w:sectPr>
          <w:headerReference w:type="default" r:id="rId4"/>
          <w:footerReference w:type="even" r:id="rId5"/>
          <w:footerReference w:type="default" r:id="rId6"/>
          <w:pgSz w:w="11907" w:h="16840"/>
          <w:pgMar w:top="1701" w:right="1418" w:bottom="1418" w:left="1701" w:header="851" w:footer="992" w:gutter="0"/>
          <w:pgNumType w:fmt="numberInDash" w:start="0"/>
          <w:cols w:space="708"/>
          <w:docGrid w:type="linesAndChars" w:linePitch="312"/>
        </w:sectPr>
      </w:pPr>
      <w:r>
        <w:rPr>
          <w:rFonts w:ascii="宋体" w:hAnsi="宋体" w:hint="eastAsia"/>
          <w:sz w:val="32"/>
        </w:rPr>
        <w:t>2017年1月</w:t>
      </w:r>
    </w:p>
    <w:p>
      <w:pPr>
        <w:spacing w:line="580" w:lineRule="exact"/>
        <w:jc w:val="center"/>
        <w:rPr>
          <w:rFonts w:ascii="宋体" w:hAnsi="宋体" w:hint="eastAsia"/>
          <w:b/>
          <w:sz w:val="44"/>
          <w:szCs w:val="44"/>
        </w:rPr>
      </w:pPr>
    </w:p>
    <w:p>
      <w:pPr>
        <w:spacing w:line="580" w:lineRule="exact"/>
        <w:jc w:val="center"/>
        <w:rPr>
          <w:rFonts w:ascii="宋体" w:hAnsi="宋体" w:hint="eastAsia"/>
          <w:b/>
          <w:sz w:val="44"/>
          <w:szCs w:val="44"/>
        </w:rPr>
      </w:pPr>
      <w:r>
        <w:rPr>
          <w:rFonts w:ascii="宋体" w:hAnsi="宋体" w:hint="eastAsia"/>
          <w:b/>
          <w:sz w:val="44"/>
          <w:szCs w:val="44"/>
        </w:rPr>
        <w:t>说  明</w:t>
      </w:r>
    </w:p>
    <w:p>
      <w:pPr>
        <w:spacing w:line="580" w:lineRule="exact"/>
        <w:ind w:firstLine="640" w:firstLineChars="200"/>
        <w:rPr>
          <w:rFonts w:ascii="仿宋_GB2312" w:eastAsia="仿宋_GB2312" w:hAnsi="宋体" w:hint="eastAsia"/>
          <w:sz w:val="32"/>
        </w:rPr>
      </w:pPr>
      <w:r>
        <w:rPr>
          <w:rFonts w:ascii="仿宋_GB2312" w:eastAsia="仿宋_GB2312" w:hAnsi="宋体" w:hint="eastAsia"/>
          <w:sz w:val="32"/>
          <w:szCs w:val="32"/>
        </w:rPr>
        <w:t>一、本申请书是申报广西壮族自治区卫生和计划生育委员会自筹经费科研课题的重要文字依据，由课题申报单位填写。填写前请阅读《广西卫生厅自筹经费科研课题管理办法》（试行）。</w:t>
      </w:r>
    </w:p>
    <w:p>
      <w:pPr>
        <w:spacing w:line="52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二、申请者对本表所列各项，必须实事求是、逐条认真填写，表达要简明、扼要，用词严谨，字迹工整清晰，不得空缺（若无内容填</w:t>
      </w:r>
      <w:r>
        <w:rPr>
          <w:rFonts w:ascii="仿宋_GB2312" w:eastAsia="仿宋_GB2312" w:hAnsi="宋体" w:hint="eastAsia"/>
          <w:sz w:val="32"/>
          <w:szCs w:val="32"/>
        </w:rPr>
        <w:t>“</w:t>
      </w:r>
      <w:r>
        <w:rPr>
          <w:rFonts w:ascii="仿宋_GB2312" w:eastAsia="仿宋_GB2312" w:hAnsi="宋体" w:hint="eastAsia"/>
          <w:sz w:val="32"/>
          <w:szCs w:val="32"/>
        </w:rPr>
        <w:t>无</w:t>
      </w:r>
      <w:r>
        <w:rPr>
          <w:rFonts w:ascii="仿宋_GB2312" w:eastAsia="仿宋_GB2312" w:hAnsi="宋体" w:hint="eastAsia"/>
          <w:sz w:val="32"/>
          <w:szCs w:val="32"/>
        </w:rPr>
        <w:t>”</w:t>
      </w:r>
      <w:r>
        <w:rPr>
          <w:rFonts w:ascii="仿宋_GB2312" w:eastAsia="仿宋_GB2312" w:hAnsi="宋体" w:hint="eastAsia"/>
          <w:sz w:val="32"/>
          <w:szCs w:val="32"/>
        </w:rPr>
        <w:t>）；表格中标题使用三号字、正文使用四号字，字体均为仿宋。</w:t>
      </w:r>
    </w:p>
    <w:p>
      <w:pPr>
        <w:spacing w:line="52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三、外来语要同时用原文和中文表达，第一次出现的缩写词须注出全称。题目一律用中文表述。</w:t>
      </w:r>
    </w:p>
    <w:p>
      <w:pPr>
        <w:spacing w:line="52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四、</w:t>
      </w:r>
      <w:r>
        <w:rPr>
          <w:rFonts w:ascii="仿宋_GB2312" w:eastAsia="仿宋_GB2312" w:hAnsi="宋体" w:hint="eastAsia"/>
          <w:sz w:val="32"/>
          <w:szCs w:val="32"/>
        </w:rPr>
        <w:t>“</w:t>
      </w:r>
      <w:r>
        <w:rPr>
          <w:rFonts w:ascii="仿宋_GB2312" w:eastAsia="仿宋_GB2312" w:hAnsi="宋体" w:hint="eastAsia"/>
          <w:sz w:val="32"/>
          <w:szCs w:val="32"/>
        </w:rPr>
        <w:t>合同号</w:t>
      </w:r>
      <w:r>
        <w:rPr>
          <w:rFonts w:ascii="仿宋_GB2312" w:eastAsia="仿宋_GB2312" w:hAnsi="宋体" w:hint="eastAsia"/>
          <w:sz w:val="32"/>
          <w:szCs w:val="32"/>
        </w:rPr>
        <w:t>”</w:t>
      </w:r>
      <w:r>
        <w:rPr>
          <w:rFonts w:ascii="仿宋_GB2312" w:eastAsia="仿宋_GB2312" w:hAnsi="宋体" w:hint="eastAsia"/>
          <w:sz w:val="32"/>
          <w:szCs w:val="32"/>
        </w:rPr>
        <w:t>，由广西壮族自治区卫生和计划生育委员会统一编制。</w:t>
      </w:r>
    </w:p>
    <w:p>
      <w:pPr>
        <w:spacing w:line="52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五、</w:t>
      </w:r>
      <w:r>
        <w:rPr>
          <w:rFonts w:ascii="仿宋_GB2312" w:eastAsia="仿宋_GB2312" w:hAnsi="宋体" w:hint="eastAsia"/>
          <w:sz w:val="32"/>
          <w:szCs w:val="32"/>
        </w:rPr>
        <w:t>“</w:t>
      </w:r>
      <w:r>
        <w:rPr>
          <w:rFonts w:ascii="仿宋_GB2312" w:eastAsia="仿宋_GB2312" w:hAnsi="宋体" w:hint="eastAsia"/>
          <w:sz w:val="32"/>
          <w:szCs w:val="32"/>
        </w:rPr>
        <w:t>课题名称</w:t>
      </w:r>
      <w:r>
        <w:rPr>
          <w:rFonts w:ascii="仿宋_GB2312" w:eastAsia="仿宋_GB2312" w:hAnsi="宋体" w:hint="eastAsia"/>
          <w:sz w:val="32"/>
          <w:szCs w:val="32"/>
        </w:rPr>
        <w:t>”</w:t>
      </w:r>
      <w:r>
        <w:rPr>
          <w:rFonts w:ascii="仿宋_GB2312" w:eastAsia="仿宋_GB2312" w:hAnsi="宋体" w:hint="eastAsia"/>
          <w:sz w:val="32"/>
          <w:szCs w:val="32"/>
        </w:rPr>
        <w:t>，</w:t>
      </w:r>
      <w:r>
        <w:rPr>
          <w:rFonts w:hint="eastAsia"/>
        </w:rPr>
        <w:t xml:space="preserve"> </w:t>
      </w:r>
      <w:r>
        <w:rPr>
          <w:rFonts w:ascii="仿宋_GB2312" w:eastAsia="仿宋_GB2312" w:hAnsi="宋体" w:hint="eastAsia"/>
          <w:sz w:val="32"/>
          <w:szCs w:val="32"/>
        </w:rPr>
        <w:t>填写申报课题的名称（由申报单位自定），要突出课题的主题和特性，文字简单、明确，不能有标点符号，字数</w:t>
      </w:r>
      <w:r>
        <w:rPr>
          <w:rFonts w:ascii="仿宋_GB2312" w:eastAsia="仿宋_GB2312" w:hAnsi="宋体" w:hint="eastAsia"/>
          <w:spacing w:val="-4"/>
          <w:sz w:val="32"/>
          <w:szCs w:val="32"/>
        </w:rPr>
        <w:t>最多不超过35个汉字。</w:t>
      </w:r>
    </w:p>
    <w:p>
      <w:pPr>
        <w:spacing w:line="52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六、</w:t>
      </w:r>
      <w:r>
        <w:rPr>
          <w:rFonts w:ascii="仿宋_GB2312" w:eastAsia="仿宋_GB2312" w:hAnsi="宋体" w:hint="eastAsia"/>
          <w:sz w:val="32"/>
          <w:szCs w:val="32"/>
        </w:rPr>
        <w:t>“</w:t>
      </w:r>
      <w:r>
        <w:rPr>
          <w:rFonts w:ascii="仿宋_GB2312" w:eastAsia="仿宋_GB2312" w:hAnsi="宋体" w:hint="eastAsia"/>
          <w:sz w:val="32"/>
          <w:szCs w:val="32"/>
        </w:rPr>
        <w:t>推荐单位</w:t>
      </w:r>
      <w:r>
        <w:rPr>
          <w:rFonts w:ascii="仿宋_GB2312" w:eastAsia="仿宋_GB2312" w:hAnsi="宋体" w:hint="eastAsia"/>
          <w:sz w:val="32"/>
          <w:szCs w:val="32"/>
        </w:rPr>
        <w:t>”</w:t>
      </w:r>
      <w:r>
        <w:rPr>
          <w:rFonts w:ascii="仿宋_GB2312" w:eastAsia="仿宋_GB2312" w:hAnsi="宋体" w:hint="eastAsia"/>
          <w:sz w:val="32"/>
          <w:szCs w:val="32"/>
        </w:rPr>
        <w:t>，为课题申报单位所在地的地级市卫生计生行政部门，区直各卫生计生单位不用填写。</w:t>
      </w:r>
    </w:p>
    <w:p>
      <w:pPr>
        <w:spacing w:line="52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七、凡选择性栏目，请将相应的提示符框选，如</w:t>
      </w:r>
      <w:r>
        <w:rPr>
          <w:rFonts w:ascii="仿宋_GB2312" w:eastAsia="仿宋_GB2312" w:hAnsi="宋体" w:hint="eastAsia"/>
          <w:sz w:val="32"/>
          <w:szCs w:val="32"/>
          <w:bdr w:val="single" w:sz="4" w:space="0" w:color="auto"/>
        </w:rPr>
        <w:t xml:space="preserve"> A </w:t>
      </w:r>
      <w:r>
        <w:rPr>
          <w:rFonts w:ascii="仿宋_GB2312" w:eastAsia="仿宋_GB2312" w:hAnsi="宋体" w:hint="eastAsia"/>
          <w:sz w:val="32"/>
          <w:szCs w:val="32"/>
        </w:rPr>
        <w:t>等。</w:t>
      </w:r>
    </w:p>
    <w:p>
      <w:pPr>
        <w:spacing w:line="52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八、请各申报单位在申报前填写好合同书</w:t>
      </w:r>
      <w:r>
        <w:rPr>
          <w:rFonts w:ascii="仿宋_GB2312" w:eastAsia="仿宋_GB2312" w:hAnsi="宋体" w:hint="eastAsia"/>
          <w:sz w:val="32"/>
          <w:szCs w:val="32"/>
        </w:rPr>
        <w:t>“</w:t>
      </w:r>
      <w:r>
        <w:rPr>
          <w:rFonts w:ascii="仿宋_GB2312" w:eastAsia="仿宋_GB2312" w:hAnsi="宋体" w:hint="eastAsia"/>
          <w:sz w:val="32"/>
          <w:szCs w:val="32"/>
        </w:rPr>
        <w:t>共同条款</w:t>
      </w:r>
      <w:r>
        <w:rPr>
          <w:rFonts w:ascii="仿宋_GB2312" w:eastAsia="仿宋_GB2312" w:hAnsi="宋体" w:hint="eastAsia"/>
          <w:sz w:val="32"/>
          <w:szCs w:val="32"/>
        </w:rPr>
        <w:t>”</w:t>
      </w:r>
      <w:r>
        <w:rPr>
          <w:rFonts w:ascii="仿宋_GB2312" w:eastAsia="仿宋_GB2312" w:hAnsi="宋体" w:hint="eastAsia"/>
          <w:sz w:val="32"/>
          <w:szCs w:val="32"/>
        </w:rPr>
        <w:t>及签订合同的乙方信息等有关内容并盖章，合同书</w:t>
      </w:r>
      <w:r>
        <w:rPr>
          <w:rFonts w:ascii="仿宋_GB2312" w:eastAsia="仿宋_GB2312" w:hAnsi="宋体" w:hint="eastAsia"/>
          <w:sz w:val="32"/>
          <w:szCs w:val="32"/>
        </w:rPr>
        <w:t>“</w:t>
      </w:r>
      <w:r>
        <w:rPr>
          <w:rFonts w:ascii="仿宋_GB2312" w:eastAsia="仿宋_GB2312" w:hAnsi="宋体" w:hint="eastAsia"/>
          <w:sz w:val="32"/>
          <w:szCs w:val="32"/>
        </w:rPr>
        <w:t>签订日期</w:t>
      </w:r>
      <w:r>
        <w:rPr>
          <w:rFonts w:ascii="仿宋_GB2312" w:eastAsia="仿宋_GB2312" w:hAnsi="宋体" w:hint="eastAsia"/>
          <w:sz w:val="32"/>
          <w:szCs w:val="32"/>
        </w:rPr>
        <w:t>”</w:t>
      </w:r>
      <w:r>
        <w:rPr>
          <w:rFonts w:ascii="仿宋_GB2312" w:eastAsia="仿宋_GB2312" w:hAnsi="宋体" w:hint="eastAsia"/>
          <w:sz w:val="32"/>
          <w:szCs w:val="32"/>
        </w:rPr>
        <w:t>由广西壮族自治区卫生和计划生育委员会委统一填写。</w:t>
      </w:r>
    </w:p>
    <w:p>
      <w:pPr>
        <w:spacing w:line="520" w:lineRule="exact"/>
        <w:ind w:firstLine="640" w:firstLineChars="200"/>
        <w:rPr>
          <w:rFonts w:ascii="仿宋_GB2312" w:eastAsia="仿宋_GB2312" w:hAnsi="宋体" w:hint="eastAsia"/>
          <w:sz w:val="32"/>
          <w:szCs w:val="32"/>
        </w:rPr>
        <w:sectPr>
          <w:headerReference w:type="default" r:id="rId7"/>
          <w:footerReference w:type="even" r:id="rId8"/>
          <w:footerReference w:type="default" r:id="rId9"/>
          <w:type w:val="nextPage"/>
          <w:pgSz w:w="11907" w:h="16840"/>
          <w:pgMar w:top="1701" w:right="1418" w:bottom="1418" w:left="1701" w:header="851" w:footer="992" w:gutter="0"/>
          <w:pgNumType w:fmt="numberInDash" w:start="1"/>
          <w:cols w:space="708"/>
          <w:titlePg w:val="0"/>
          <w:docGrid w:type="linesAndChars" w:linePitch="312"/>
        </w:sectPr>
      </w:pPr>
      <w:r>
        <w:rPr>
          <w:rFonts w:ascii="仿宋_GB2312" w:eastAsia="仿宋_GB2312" w:hAnsi="宋体" w:hint="eastAsia"/>
          <w:sz w:val="32"/>
          <w:szCs w:val="32"/>
        </w:rPr>
        <w:t>九、本申请书可到</w:t>
      </w:r>
      <w:bookmarkStart w:id="0" w:name="_Hlt58556313"/>
      <w:bookmarkStart w:id="1" w:name="_Hlt58556314"/>
      <w:r>
        <w:rPr>
          <w:rFonts w:ascii="仿宋_GB2312" w:eastAsia="仿宋_GB2312" w:hAnsi="宋体" w:cs="宋体" w:hint="eastAsia"/>
          <w:kern w:val="0"/>
          <w:sz w:val="32"/>
          <w:szCs w:val="32"/>
        </w:rPr>
        <w:t>广西壮族自治区卫生和计划生育委员会信息网</w:t>
      </w:r>
      <w:r>
        <w:rPr>
          <w:rFonts w:ascii="仿宋_GB2312" w:eastAsia="仿宋_GB2312" w:hint="eastAsia"/>
          <w:sz w:val="32"/>
          <w:szCs w:val="32"/>
        </w:rPr>
        <w:t>http://www.gxhfpc.gov.cn/</w:t>
      </w:r>
      <w:r>
        <w:rPr>
          <w:rFonts w:ascii="仿宋_GB2312" w:eastAsia="仿宋_GB2312" w:hAnsi="宋体" w:hint="eastAsia"/>
          <w:sz w:val="32"/>
          <w:szCs w:val="32"/>
        </w:rPr>
        <w:t>科教处页面下载</w:t>
      </w:r>
      <w:bookmarkEnd w:id="0"/>
      <w:bookmarkEnd w:id="1"/>
      <w:r>
        <w:rPr>
          <w:rFonts w:ascii="仿宋_GB2312" w:eastAsia="仿宋_GB2312" w:hAnsi="宋体" w:hint="eastAsia"/>
          <w:sz w:val="32"/>
          <w:szCs w:val="32"/>
        </w:rPr>
        <w:t>。</w:t>
      </w:r>
    </w:p>
    <w:p>
      <w:pPr>
        <w:spacing w:line="520" w:lineRule="exact"/>
        <w:ind w:firstLine="640" w:firstLineChars="200"/>
        <w:rPr>
          <w:rFonts w:ascii="仿宋_GB2312" w:eastAsia="仿宋_GB2312" w:hAnsi="宋体" w:hint="eastAsia"/>
          <w:sz w:val="32"/>
          <w:szCs w:val="32"/>
        </w:rPr>
        <w:sectPr>
          <w:headerReference w:type="default" r:id="rId10"/>
          <w:footerReference w:type="even" r:id="rId11"/>
          <w:footerReference w:type="default" r:id="rId12"/>
          <w:type w:val="nextPage"/>
          <w:pgSz w:w="11907" w:h="16840"/>
          <w:pgMar w:top="1701" w:right="1418" w:bottom="1418" w:left="1701" w:header="851" w:footer="992" w:gutter="0"/>
          <w:pgNumType w:fmt="numberInDash" w:start="2"/>
          <w:cols w:space="708"/>
          <w:titlePg w:val="0"/>
          <w:docGrid w:type="linesAndChars" w:linePitch="312"/>
        </w:sectPr>
      </w:pPr>
      <w:r>
        <w:rPr>
          <w:rFonts w:ascii="仿宋_GB2312" w:eastAsia="仿宋_GB2312" w:hAnsi="宋体" w:hint="eastAsia"/>
          <w:sz w:val="32"/>
          <w:szCs w:val="32"/>
        </w:rPr>
        <w:t>十、本说明在正式申请书中不必保留。</w:t>
      </w:r>
    </w:p>
    <w:p>
      <w:pPr>
        <w:spacing w:after="156" w:afterLines="50" w:line="580" w:lineRule="exact"/>
        <w:jc w:val="center"/>
        <w:rPr>
          <w:rFonts w:ascii="宋体" w:hAnsi="宋体" w:hint="eastAsia"/>
          <w:b/>
          <w:bCs/>
          <w:sz w:val="44"/>
        </w:rPr>
      </w:pPr>
      <w:r>
        <w:rPr>
          <w:rFonts w:ascii="宋体" w:hAnsi="宋体" w:hint="eastAsia"/>
          <w:b/>
          <w:bCs/>
          <w:sz w:val="44"/>
        </w:rPr>
        <w:t>简  表</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09"/>
        <w:gridCol w:w="743"/>
        <w:gridCol w:w="1690"/>
        <w:gridCol w:w="2085"/>
        <w:gridCol w:w="213"/>
        <w:gridCol w:w="631"/>
        <w:gridCol w:w="6"/>
        <w:gridCol w:w="12"/>
        <w:gridCol w:w="1043"/>
        <w:gridCol w:w="1378"/>
        <w:gridCol w:w="12"/>
        <w:gridCol w:w="847"/>
        <w:gridCol w:w="1141"/>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Before w:val="1"/>
          <w:wBefore w:w="209" w:type="dxa"/>
          <w:cantSplit/>
          <w:trHeight w:val="172"/>
          <w:jc w:val="center"/>
        </w:trPr>
        <w:tc>
          <w:tcPr>
            <w:vMerge w:val="restart"/>
            <w:vAlign w:val="center"/>
          </w:tcPr>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课</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题</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负</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责</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人</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情</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况</w:t>
            </w:r>
          </w:p>
        </w:tc>
        <w:tc>
          <w:tcPr/>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姓</w:t>
            </w:r>
            <w:r>
              <w:rPr>
                <w:rFonts w:ascii="仿宋_GB2312" w:eastAsia="仿宋_GB2312" w:hAnsi="宋体"/>
                <w:sz w:val="28"/>
                <w:szCs w:val="28"/>
              </w:rPr>
              <w:t xml:space="preserve">  </w:t>
            </w:r>
            <w:r>
              <w:rPr>
                <w:rFonts w:ascii="仿宋_GB2312" w:eastAsia="仿宋_GB2312" w:hAnsi="宋体" w:hint="eastAsia"/>
                <w:sz w:val="28"/>
                <w:szCs w:val="28"/>
              </w:rPr>
              <w:t>名</w:t>
            </w:r>
          </w:p>
        </w:tc>
        <w:tc>
          <w:tcPr>
            <w:vAlign w:val="center"/>
          </w:tcPr>
          <w:p>
            <w:pPr>
              <w:spacing w:line="420" w:lineRule="exact"/>
              <w:rPr>
                <w:rFonts w:ascii="仿宋" w:eastAsia="仿宋" w:hAnsi="仿宋" w:hint="eastAsia"/>
                <w:sz w:val="28"/>
                <w:szCs w:val="28"/>
              </w:rPr>
            </w:pPr>
            <w:r>
              <w:rPr>
                <w:rFonts w:ascii="仿宋" w:eastAsia="仿宋" w:hAnsi="仿宋" w:hint="eastAsia"/>
                <w:sz w:val="28"/>
                <w:szCs w:val="28"/>
              </w:rPr>
              <w:t>张海涛</w:t>
            </w:r>
          </w:p>
        </w:tc>
        <w:tc>
          <w:tcPr>
            <w:gridSpan w:val="3"/>
            <w:vAlign w:val="center"/>
          </w:tcPr>
          <w:p>
            <w:pPr>
              <w:spacing w:line="420" w:lineRule="exact"/>
              <w:rPr>
                <w:rFonts w:ascii="仿宋" w:eastAsia="仿宋" w:hAnsi="仿宋" w:hint="eastAsia"/>
                <w:sz w:val="28"/>
                <w:szCs w:val="28"/>
              </w:rPr>
            </w:pPr>
            <w:r>
              <w:rPr>
                <w:rFonts w:ascii="仿宋" w:eastAsia="仿宋" w:hAnsi="仿宋" w:hint="eastAsia"/>
                <w:sz w:val="28"/>
                <w:szCs w:val="28"/>
              </w:rPr>
              <w:t>性别</w:t>
            </w:r>
          </w:p>
        </w:tc>
        <w:tc>
          <w:tcPr>
            <w:gridSpan w:val="2"/>
            <w:vAlign w:val="center"/>
          </w:tcPr>
          <w:p>
            <w:pPr>
              <w:spacing w:line="420" w:lineRule="exact"/>
              <w:rPr>
                <w:rFonts w:ascii="仿宋" w:eastAsia="仿宋" w:hAnsi="仿宋" w:hint="eastAsia"/>
                <w:sz w:val="28"/>
                <w:szCs w:val="28"/>
              </w:rPr>
            </w:pPr>
            <w:r>
              <w:rPr>
                <w:rFonts w:ascii="仿宋" w:eastAsia="仿宋" w:hAnsi="仿宋" w:hint="eastAsia"/>
                <w:sz w:val="28"/>
                <w:szCs w:val="28"/>
              </w:rPr>
              <w:t>男</w:t>
            </w:r>
          </w:p>
        </w:tc>
        <w:tc>
          <w:tcPr>
            <w:vAlign w:val="center"/>
          </w:tcPr>
          <w:p>
            <w:pPr>
              <w:spacing w:line="420" w:lineRule="exact"/>
              <w:jc w:val="center"/>
              <w:rPr>
                <w:rFonts w:ascii="仿宋" w:eastAsia="仿宋" w:hAnsi="仿宋" w:hint="eastAsia"/>
                <w:sz w:val="28"/>
                <w:szCs w:val="28"/>
              </w:rPr>
            </w:pPr>
            <w:r>
              <w:rPr>
                <w:rFonts w:ascii="仿宋" w:eastAsia="仿宋" w:hAnsi="仿宋" w:hint="eastAsia"/>
                <w:sz w:val="28"/>
                <w:szCs w:val="28"/>
              </w:rPr>
              <w:t>出生年月</w:t>
            </w:r>
          </w:p>
        </w:tc>
        <w:tc>
          <w:tcPr>
            <w:gridSpan w:val="3"/>
            <w:vAlign w:val="center"/>
          </w:tcPr>
          <w:p>
            <w:pPr>
              <w:spacing w:line="420" w:lineRule="exact"/>
              <w:rPr>
                <w:rFonts w:ascii="仿宋" w:eastAsia="仿宋" w:hAnsi="仿宋" w:hint="eastAsia"/>
                <w:sz w:val="28"/>
                <w:szCs w:val="28"/>
              </w:rPr>
            </w:pPr>
            <w:r>
              <w:rPr>
                <w:rFonts w:ascii="仿宋" w:eastAsia="仿宋" w:hAnsi="仿宋" w:hint="eastAsia"/>
                <w:sz w:val="28"/>
                <w:szCs w:val="28"/>
              </w:rPr>
              <w:t>1975.10</w:t>
            </w:r>
          </w:p>
        </w:tc>
      </w:tr>
      <w:tr>
        <w:tblPrEx>
          <w:jc w:val="center"/>
          <w:tblLayout w:type="fixed"/>
          <w:tblCellMar>
            <w:top w:w="0" w:type="dxa"/>
            <w:left w:w="108" w:type="dxa"/>
            <w:bottom w:w="0" w:type="dxa"/>
            <w:right w:w="108" w:type="dxa"/>
          </w:tblCellMar>
          <w:tblLook w:val="0000"/>
        </w:tblPrEx>
        <w:trPr>
          <w:gridBefore w:val="1"/>
          <w:wBefore w:w="209" w:type="dxa"/>
          <w:cantSplit/>
          <w:trHeight w:val="172"/>
          <w:jc w:val="center"/>
        </w:trPr>
        <w:tc>
          <w:tcPr>
            <w:vMerge/>
            <w:vAlign w:val="center"/>
          </w:tcPr>
          <w:p>
            <w:pPr>
              <w:spacing w:line="420" w:lineRule="exact"/>
              <w:jc w:val="center"/>
              <w:rPr>
                <w:rFonts w:ascii="仿宋_GB2312" w:eastAsia="仿宋_GB2312" w:hAnsi="宋体"/>
                <w:sz w:val="28"/>
                <w:szCs w:val="28"/>
              </w:rPr>
            </w:pPr>
          </w:p>
        </w:tc>
        <w:tc>
          <w:tcPr/>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技术职称</w:t>
            </w:r>
          </w:p>
        </w:tc>
        <w:tc>
          <w:tcPr>
            <w:vAlign w:val="center"/>
          </w:tcPr>
          <w:p>
            <w:pPr>
              <w:spacing w:line="420" w:lineRule="exact"/>
              <w:rPr>
                <w:rFonts w:ascii="仿宋" w:eastAsia="仿宋" w:hAnsi="仿宋" w:hint="eastAsia"/>
                <w:sz w:val="28"/>
                <w:szCs w:val="28"/>
              </w:rPr>
            </w:pPr>
            <w:r>
              <w:rPr>
                <w:rFonts w:ascii="仿宋" w:eastAsia="仿宋" w:hAnsi="仿宋" w:hint="eastAsia"/>
                <w:sz w:val="28"/>
                <w:szCs w:val="28"/>
              </w:rPr>
              <w:t>副主任医师</w:t>
            </w:r>
          </w:p>
        </w:tc>
        <w:tc>
          <w:tcPr>
            <w:gridSpan w:val="5"/>
            <w:vAlign w:val="center"/>
          </w:tcPr>
          <w:p>
            <w:pPr>
              <w:spacing w:line="420" w:lineRule="exact"/>
              <w:jc w:val="center"/>
              <w:rPr>
                <w:rFonts w:ascii="仿宋" w:eastAsia="仿宋" w:hAnsi="仿宋" w:hint="eastAsia"/>
                <w:sz w:val="28"/>
                <w:szCs w:val="28"/>
              </w:rPr>
            </w:pPr>
            <w:r>
              <w:rPr>
                <w:rFonts w:ascii="仿宋" w:eastAsia="仿宋" w:hAnsi="仿宋" w:hint="eastAsia"/>
                <w:sz w:val="28"/>
                <w:szCs w:val="28"/>
              </w:rPr>
              <w:t>所学专业</w:t>
            </w:r>
          </w:p>
        </w:tc>
        <w:tc>
          <w:tcPr>
            <w:gridSpan w:val="4"/>
            <w:vAlign w:val="center"/>
          </w:tcPr>
          <w:p>
            <w:pPr>
              <w:spacing w:line="420" w:lineRule="exact"/>
              <w:rPr>
                <w:rFonts w:ascii="仿宋" w:eastAsia="仿宋" w:hAnsi="仿宋" w:hint="eastAsia"/>
                <w:sz w:val="28"/>
                <w:szCs w:val="28"/>
              </w:rPr>
            </w:pPr>
            <w:r>
              <w:rPr>
                <w:rFonts w:ascii="仿宋" w:eastAsia="仿宋" w:hAnsi="仿宋" w:hint="eastAsia"/>
                <w:sz w:val="28"/>
                <w:szCs w:val="28"/>
              </w:rPr>
              <w:t>中西医结合临床</w:t>
            </w:r>
          </w:p>
        </w:tc>
      </w:tr>
      <w:tr>
        <w:tblPrEx>
          <w:jc w:val="center"/>
          <w:tblLayout w:type="fixed"/>
          <w:tblCellMar>
            <w:top w:w="0" w:type="dxa"/>
            <w:left w:w="108" w:type="dxa"/>
            <w:bottom w:w="0" w:type="dxa"/>
            <w:right w:w="108" w:type="dxa"/>
          </w:tblCellMar>
          <w:tblLook w:val="0000"/>
        </w:tblPrEx>
        <w:trPr>
          <w:gridBefore w:val="1"/>
          <w:wBefore w:w="209" w:type="dxa"/>
          <w:cantSplit/>
          <w:trHeight w:val="172"/>
          <w:jc w:val="center"/>
        </w:trPr>
        <w:tc>
          <w:tcPr>
            <w:vMerge/>
            <w:vAlign w:val="center"/>
          </w:tcPr>
          <w:p>
            <w:pPr>
              <w:spacing w:line="420" w:lineRule="exact"/>
              <w:jc w:val="center"/>
              <w:rPr>
                <w:rFonts w:ascii="仿宋_GB2312" w:eastAsia="仿宋_GB2312" w:hAnsi="宋体"/>
                <w:sz w:val="28"/>
                <w:szCs w:val="28"/>
              </w:rPr>
            </w:pPr>
          </w:p>
        </w:tc>
        <w:tc>
          <w:tcPr/>
          <w:p>
            <w:pPr>
              <w:spacing w:line="420" w:lineRule="exact"/>
              <w:rPr>
                <w:rFonts w:ascii="仿宋_GB2312" w:eastAsia="仿宋_GB2312" w:hAnsi="宋体" w:hint="eastAsia"/>
                <w:spacing w:val="-30"/>
                <w:sz w:val="28"/>
                <w:szCs w:val="28"/>
              </w:rPr>
            </w:pPr>
            <w:r>
              <w:rPr>
                <w:rFonts w:ascii="仿宋_GB2312" w:eastAsia="仿宋_GB2312" w:hAnsi="宋体" w:hint="eastAsia"/>
                <w:spacing w:val="-30"/>
                <w:sz w:val="28"/>
                <w:szCs w:val="28"/>
              </w:rPr>
              <w:t>现从事的专业</w:t>
            </w:r>
          </w:p>
        </w:tc>
        <w:tc>
          <w:tcPr>
            <w:vAlign w:val="center"/>
          </w:tcPr>
          <w:p>
            <w:pPr>
              <w:spacing w:line="420" w:lineRule="exact"/>
              <w:rPr>
                <w:rFonts w:ascii="仿宋" w:eastAsia="仿宋" w:hAnsi="仿宋" w:hint="eastAsia"/>
                <w:sz w:val="28"/>
                <w:szCs w:val="28"/>
              </w:rPr>
            </w:pPr>
            <w:r>
              <w:rPr>
                <w:rFonts w:ascii="仿宋" w:eastAsia="仿宋" w:hAnsi="仿宋" w:hint="eastAsia"/>
                <w:sz w:val="28"/>
                <w:szCs w:val="28"/>
              </w:rPr>
              <w:t>康复医学</w:t>
            </w:r>
          </w:p>
        </w:tc>
        <w:tc>
          <w:tcPr>
            <w:gridSpan w:val="2"/>
            <w:vAlign w:val="center"/>
          </w:tcPr>
          <w:p>
            <w:pPr>
              <w:spacing w:line="420" w:lineRule="exact"/>
              <w:rPr>
                <w:rFonts w:ascii="仿宋" w:eastAsia="仿宋" w:hAnsi="仿宋"/>
                <w:sz w:val="28"/>
                <w:szCs w:val="28"/>
              </w:rPr>
            </w:pPr>
            <w:r>
              <w:rPr>
                <w:rFonts w:ascii="仿宋" w:eastAsia="仿宋" w:hAnsi="仿宋" w:hint="eastAsia"/>
                <w:sz w:val="28"/>
                <w:szCs w:val="28"/>
              </w:rPr>
              <w:t>学位</w:t>
            </w:r>
          </w:p>
        </w:tc>
        <w:tc>
          <w:tcPr>
            <w:gridSpan w:val="7"/>
            <w:vAlign w:val="center"/>
          </w:tcPr>
          <w:p>
            <w:pPr>
              <w:spacing w:line="420" w:lineRule="exact"/>
              <w:rPr>
                <w:rFonts w:ascii="仿宋" w:eastAsia="仿宋" w:hAnsi="仿宋"/>
                <w:sz w:val="28"/>
                <w:szCs w:val="28"/>
              </w:rPr>
            </w:pPr>
            <w:r>
              <w:rPr>
                <w:rFonts w:ascii="仿宋" w:eastAsia="仿宋" w:hAnsi="仿宋"/>
                <w:sz w:val="28"/>
                <w:szCs w:val="28"/>
              </w:rPr>
              <w:t>A.</w:t>
            </w:r>
            <w:r>
              <w:rPr>
                <w:rFonts w:ascii="仿宋" w:eastAsia="仿宋" w:hAnsi="仿宋" w:hint="eastAsia"/>
                <w:sz w:val="28"/>
                <w:szCs w:val="28"/>
              </w:rPr>
              <w:t xml:space="preserve">博士   </w:t>
            </w:r>
            <w:r>
              <w:rPr>
                <w:rFonts w:ascii="仿宋" w:eastAsia="仿宋" w:hAnsi="仿宋"/>
                <w:sz w:val="28"/>
                <w:szCs w:val="28"/>
                <w:bdr w:val="single" w:sz="4" w:space="0" w:color="auto"/>
              </w:rPr>
              <w:t>B.</w:t>
            </w:r>
            <w:r>
              <w:rPr>
                <w:rFonts w:ascii="仿宋" w:eastAsia="仿宋" w:hAnsi="仿宋" w:hint="eastAsia"/>
                <w:sz w:val="28"/>
                <w:szCs w:val="28"/>
              </w:rPr>
              <w:t>硕士   C</w:t>
            </w:r>
            <w:r>
              <w:rPr>
                <w:rFonts w:ascii="仿宋" w:eastAsia="仿宋" w:hAnsi="仿宋"/>
                <w:sz w:val="28"/>
                <w:szCs w:val="28"/>
              </w:rPr>
              <w:t>.</w:t>
            </w:r>
            <w:r>
              <w:rPr>
                <w:rFonts w:ascii="仿宋" w:eastAsia="仿宋" w:hAnsi="仿宋" w:hint="eastAsia"/>
                <w:sz w:val="28"/>
                <w:szCs w:val="28"/>
              </w:rPr>
              <w:t>学士</w:t>
            </w:r>
          </w:p>
        </w:tc>
      </w:tr>
      <w:tr>
        <w:tblPrEx>
          <w:jc w:val="center"/>
          <w:tblLayout w:type="fixed"/>
          <w:tblCellMar>
            <w:top w:w="0" w:type="dxa"/>
            <w:left w:w="108" w:type="dxa"/>
            <w:bottom w:w="0" w:type="dxa"/>
            <w:right w:w="108" w:type="dxa"/>
          </w:tblCellMar>
          <w:tblLook w:val="0000"/>
        </w:tblPrEx>
        <w:trPr>
          <w:gridBefore w:val="1"/>
          <w:wBefore w:w="209" w:type="dxa"/>
          <w:cantSplit/>
          <w:trHeight w:val="172"/>
          <w:jc w:val="center"/>
        </w:trPr>
        <w:tc>
          <w:tcPr>
            <w:vMerge/>
            <w:vAlign w:val="center"/>
          </w:tcPr>
          <w:p>
            <w:pPr>
              <w:spacing w:line="420" w:lineRule="exact"/>
              <w:jc w:val="center"/>
              <w:rPr>
                <w:rFonts w:ascii="仿宋_GB2312" w:eastAsia="仿宋_GB2312" w:hAnsi="宋体"/>
                <w:sz w:val="28"/>
                <w:szCs w:val="28"/>
              </w:rPr>
            </w:pPr>
          </w:p>
        </w:tc>
        <w:tc>
          <w:tcPr/>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是否留学</w:t>
            </w:r>
          </w:p>
        </w:tc>
        <w:tc>
          <w:tcPr>
            <w:vAlign w:val="center"/>
          </w:tcPr>
          <w:p>
            <w:pPr>
              <w:spacing w:line="420" w:lineRule="exact"/>
              <w:rPr>
                <w:rFonts w:ascii="仿宋" w:eastAsia="仿宋" w:hAnsi="仿宋" w:hint="eastAsia"/>
                <w:sz w:val="28"/>
                <w:szCs w:val="28"/>
              </w:rPr>
            </w:pPr>
            <w:r>
              <w:rPr>
                <w:rFonts w:ascii="仿宋" w:eastAsia="仿宋" w:hAnsi="仿宋" w:hint="eastAsia"/>
                <w:sz w:val="28"/>
                <w:szCs w:val="28"/>
              </w:rPr>
              <w:t xml:space="preserve">1.是   </w:t>
            </w:r>
            <w:r>
              <w:rPr>
                <w:rFonts w:ascii="仿宋" w:eastAsia="仿宋" w:hAnsi="仿宋" w:hint="eastAsia"/>
                <w:sz w:val="28"/>
                <w:szCs w:val="28"/>
                <w:bdr w:val="single" w:sz="4" w:space="0" w:color="auto"/>
              </w:rPr>
              <w:t xml:space="preserve"> 2.</w:t>
            </w:r>
            <w:r>
              <w:rPr>
                <w:rFonts w:ascii="仿宋" w:eastAsia="仿宋" w:hAnsi="仿宋" w:hint="eastAsia"/>
                <w:sz w:val="28"/>
                <w:szCs w:val="28"/>
              </w:rPr>
              <w:t>否</w:t>
            </w:r>
          </w:p>
        </w:tc>
        <w:tc>
          <w:tcPr>
            <w:gridSpan w:val="3"/>
            <w:vAlign w:val="center"/>
          </w:tcPr>
          <w:p>
            <w:pPr>
              <w:spacing w:line="420" w:lineRule="exact"/>
              <w:rPr>
                <w:rFonts w:ascii="仿宋" w:eastAsia="仿宋" w:hAnsi="仿宋" w:hint="eastAsia"/>
                <w:sz w:val="28"/>
                <w:szCs w:val="28"/>
              </w:rPr>
            </w:pPr>
            <w:r>
              <w:rPr>
                <w:rFonts w:ascii="仿宋" w:eastAsia="仿宋" w:hAnsi="仿宋" w:hint="eastAsia"/>
                <w:sz w:val="28"/>
                <w:szCs w:val="28"/>
              </w:rPr>
              <w:t>时间</w:t>
            </w:r>
          </w:p>
        </w:tc>
        <w:tc>
          <w:tcPr>
            <w:gridSpan w:val="6"/>
            <w:vAlign w:val="center"/>
          </w:tcPr>
          <w:p>
            <w:pPr>
              <w:spacing w:line="420" w:lineRule="exact"/>
              <w:rPr>
                <w:rFonts w:ascii="仿宋" w:eastAsia="仿宋" w:hAnsi="仿宋" w:hint="eastAsia"/>
                <w:sz w:val="28"/>
                <w:szCs w:val="28"/>
              </w:rPr>
            </w:pPr>
            <w:r>
              <w:rPr>
                <w:rFonts w:ascii="仿宋" w:eastAsia="仿宋" w:hAnsi="仿宋" w:hint="eastAsia"/>
                <w:sz w:val="28"/>
                <w:szCs w:val="28"/>
              </w:rPr>
              <w:t xml:space="preserve">      年   月至     年  月</w:t>
            </w:r>
          </w:p>
        </w:tc>
      </w:tr>
      <w:tr>
        <w:tblPrEx>
          <w:jc w:val="center"/>
          <w:tblLayout w:type="fixed"/>
          <w:tblCellMar>
            <w:top w:w="0" w:type="dxa"/>
            <w:left w:w="108" w:type="dxa"/>
            <w:bottom w:w="0" w:type="dxa"/>
            <w:right w:w="108" w:type="dxa"/>
          </w:tblCellMar>
          <w:tblLook w:val="0000"/>
        </w:tblPrEx>
        <w:trPr>
          <w:gridBefore w:val="1"/>
          <w:wBefore w:w="209" w:type="dxa"/>
          <w:cantSplit/>
          <w:trHeight w:val="172"/>
          <w:jc w:val="center"/>
        </w:trPr>
        <w:tc>
          <w:tcPr>
            <w:vMerge/>
            <w:vAlign w:val="center"/>
          </w:tcPr>
          <w:p>
            <w:pPr>
              <w:spacing w:line="420" w:lineRule="exact"/>
              <w:jc w:val="center"/>
              <w:rPr>
                <w:rFonts w:ascii="仿宋_GB2312" w:eastAsia="仿宋_GB2312" w:hAnsi="宋体"/>
                <w:sz w:val="28"/>
                <w:szCs w:val="28"/>
              </w:rPr>
            </w:pPr>
          </w:p>
        </w:tc>
        <w:tc>
          <w:tcPr/>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通讯地址</w:t>
            </w:r>
          </w:p>
        </w:tc>
        <w:tc>
          <w:tcPr>
            <w:gridSpan w:val="6"/>
            <w:vAlign w:val="center"/>
          </w:tcPr>
          <w:p>
            <w:pPr>
              <w:spacing w:line="420" w:lineRule="exact"/>
              <w:rPr>
                <w:rFonts w:ascii="仿宋" w:eastAsia="仿宋" w:hAnsi="仿宋"/>
                <w:sz w:val="28"/>
                <w:szCs w:val="28"/>
              </w:rPr>
            </w:pPr>
            <w:r>
              <w:rPr>
                <w:rFonts w:ascii="仿宋" w:eastAsia="仿宋" w:hAnsi="仿宋" w:hint="eastAsia"/>
                <w:sz w:val="28"/>
                <w:szCs w:val="28"/>
              </w:rPr>
              <w:t>广西柳州市雀儿山路9号</w:t>
            </w:r>
          </w:p>
        </w:tc>
        <w:tc>
          <w:tcPr>
            <w:vAlign w:val="center"/>
          </w:tcPr>
          <w:p>
            <w:pPr>
              <w:spacing w:line="420" w:lineRule="exact"/>
              <w:rPr>
                <w:rFonts w:ascii="仿宋" w:eastAsia="仿宋" w:hAnsi="仿宋" w:hint="eastAsia"/>
                <w:sz w:val="28"/>
                <w:szCs w:val="28"/>
              </w:rPr>
            </w:pPr>
            <w:r>
              <w:rPr>
                <w:rFonts w:ascii="仿宋" w:eastAsia="仿宋" w:hAnsi="仿宋" w:hint="eastAsia"/>
                <w:sz w:val="28"/>
                <w:szCs w:val="28"/>
              </w:rPr>
              <w:t>邮政编码</w:t>
            </w:r>
          </w:p>
        </w:tc>
        <w:tc>
          <w:tcPr>
            <w:gridSpan w:val="3"/>
            <w:vAlign w:val="center"/>
          </w:tcPr>
          <w:p>
            <w:pPr>
              <w:spacing w:line="420" w:lineRule="exact"/>
              <w:rPr>
                <w:rFonts w:ascii="仿宋" w:eastAsia="仿宋" w:hAnsi="仿宋" w:hint="eastAsia"/>
                <w:sz w:val="28"/>
                <w:szCs w:val="28"/>
              </w:rPr>
            </w:pPr>
            <w:r>
              <w:rPr>
                <w:rFonts w:ascii="仿宋" w:eastAsia="仿宋" w:hAnsi="仿宋" w:hint="eastAsia"/>
                <w:sz w:val="28"/>
                <w:szCs w:val="28"/>
              </w:rPr>
              <w:t>545002</w:t>
            </w:r>
          </w:p>
        </w:tc>
      </w:tr>
      <w:tr>
        <w:tblPrEx>
          <w:jc w:val="center"/>
          <w:tblLayout w:type="fixed"/>
          <w:tblCellMar>
            <w:top w:w="0" w:type="dxa"/>
            <w:left w:w="108" w:type="dxa"/>
            <w:bottom w:w="0" w:type="dxa"/>
            <w:right w:w="108" w:type="dxa"/>
          </w:tblCellMar>
          <w:tblLook w:val="0000"/>
        </w:tblPrEx>
        <w:trPr>
          <w:gridBefore w:val="1"/>
          <w:wBefore w:w="209" w:type="dxa"/>
          <w:cantSplit/>
          <w:trHeight w:val="172"/>
          <w:jc w:val="center"/>
        </w:trPr>
        <w:tc>
          <w:tcPr>
            <w:vMerge/>
            <w:vAlign w:val="center"/>
          </w:tcPr>
          <w:p>
            <w:pPr>
              <w:spacing w:line="420" w:lineRule="exact"/>
              <w:jc w:val="center"/>
              <w:rPr>
                <w:rFonts w:ascii="仿宋_GB2312" w:eastAsia="仿宋_GB2312" w:hAnsi="宋体"/>
                <w:sz w:val="28"/>
                <w:szCs w:val="28"/>
              </w:rPr>
            </w:pPr>
          </w:p>
        </w:tc>
        <w:tc>
          <w:tcPr/>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联系电话</w:t>
            </w:r>
          </w:p>
        </w:tc>
        <w:tc>
          <w:tcPr>
            <w:gridSpan w:val="2"/>
            <w:vAlign w:val="center"/>
          </w:tcPr>
          <w:p>
            <w:pPr>
              <w:spacing w:line="420" w:lineRule="exact"/>
              <w:rPr>
                <w:rFonts w:ascii="仿宋" w:eastAsia="仿宋" w:hAnsi="仿宋" w:hint="eastAsia"/>
                <w:sz w:val="28"/>
                <w:szCs w:val="28"/>
              </w:rPr>
            </w:pPr>
            <w:r>
              <w:rPr>
                <w:rFonts w:ascii="仿宋" w:eastAsia="仿宋" w:hAnsi="仿宋" w:hint="eastAsia"/>
                <w:sz w:val="28"/>
                <w:szCs w:val="28"/>
              </w:rPr>
              <w:t>0772-2595091</w:t>
            </w:r>
          </w:p>
        </w:tc>
        <w:tc>
          <w:tcPr>
            <w:gridSpan w:val="4"/>
            <w:vAlign w:val="center"/>
          </w:tcPr>
          <w:p>
            <w:pPr>
              <w:spacing w:line="420" w:lineRule="exact"/>
              <w:jc w:val="center"/>
              <w:rPr>
                <w:rFonts w:ascii="仿宋" w:eastAsia="仿宋" w:hAnsi="仿宋" w:hint="eastAsia"/>
                <w:sz w:val="28"/>
                <w:szCs w:val="28"/>
              </w:rPr>
            </w:pPr>
            <w:r>
              <w:rPr>
                <w:rFonts w:ascii="仿宋" w:eastAsia="仿宋" w:hAnsi="仿宋" w:hint="eastAsia"/>
                <w:sz w:val="28"/>
                <w:szCs w:val="28"/>
              </w:rPr>
              <w:t>手机</w:t>
            </w:r>
          </w:p>
        </w:tc>
        <w:tc>
          <w:tcPr>
            <w:gridSpan w:val="4"/>
            <w:vAlign w:val="center"/>
          </w:tcPr>
          <w:p>
            <w:pPr>
              <w:spacing w:line="420" w:lineRule="exact"/>
              <w:rPr>
                <w:rFonts w:ascii="仿宋" w:eastAsia="仿宋" w:hAnsi="仿宋" w:hint="eastAsia"/>
                <w:sz w:val="28"/>
                <w:szCs w:val="28"/>
              </w:rPr>
            </w:pPr>
            <w:r>
              <w:rPr>
                <w:rFonts w:ascii="仿宋" w:eastAsia="仿宋" w:hAnsi="仿宋" w:hint="eastAsia"/>
                <w:sz w:val="28"/>
                <w:szCs w:val="28"/>
              </w:rPr>
              <w:t>13707825348</w:t>
            </w:r>
          </w:p>
        </w:tc>
      </w:tr>
      <w:tr>
        <w:tblPrEx>
          <w:jc w:val="center"/>
          <w:tblLayout w:type="fixed"/>
          <w:tblCellMar>
            <w:top w:w="0" w:type="dxa"/>
            <w:left w:w="108" w:type="dxa"/>
            <w:bottom w:w="0" w:type="dxa"/>
            <w:right w:w="108" w:type="dxa"/>
          </w:tblCellMar>
          <w:tblLook w:val="0000"/>
        </w:tblPrEx>
        <w:trPr>
          <w:gridBefore w:val="1"/>
          <w:wBefore w:w="209" w:type="dxa"/>
          <w:cantSplit/>
          <w:trHeight w:val="172"/>
          <w:jc w:val="center"/>
        </w:trPr>
        <w:tc>
          <w:tcPr>
            <w:vMerge w:val="restart"/>
            <w:vAlign w:val="center"/>
          </w:tcPr>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课</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题</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一</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般</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情</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况</w:t>
            </w:r>
          </w:p>
        </w:tc>
        <w:tc>
          <w:tcPr/>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课题名称</w:t>
            </w:r>
          </w:p>
        </w:tc>
        <w:tc>
          <w:tcPr>
            <w:gridSpan w:val="10"/>
            <w:vAlign w:val="center"/>
          </w:tcPr>
          <w:p>
            <w:pPr>
              <w:spacing w:line="420" w:lineRule="exact"/>
              <w:rPr>
                <w:rFonts w:ascii="仿宋_GB2312" w:eastAsia="仿宋_GB2312" w:hAnsi="宋体"/>
                <w:sz w:val="28"/>
                <w:szCs w:val="28"/>
              </w:rPr>
            </w:pPr>
            <w:r>
              <w:rPr>
                <w:rFonts w:ascii="仿宋" w:eastAsia="仿宋" w:hAnsi="仿宋" w:cs="仿宋" w:hint="eastAsia"/>
                <w:sz w:val="28"/>
                <w:szCs w:val="28"/>
              </w:rPr>
              <w:t>雷火灸结合电针治疗脊髓损伤后神经源性膀胱的临床观察</w:t>
            </w:r>
          </w:p>
        </w:tc>
      </w:tr>
      <w:tr>
        <w:tblPrEx>
          <w:jc w:val="center"/>
          <w:tblLayout w:type="fixed"/>
          <w:tblCellMar>
            <w:top w:w="0" w:type="dxa"/>
            <w:left w:w="108" w:type="dxa"/>
            <w:bottom w:w="0" w:type="dxa"/>
            <w:right w:w="108" w:type="dxa"/>
          </w:tblCellMar>
          <w:tblLook w:val="0000"/>
        </w:tblPrEx>
        <w:trPr>
          <w:gridBefore w:val="1"/>
          <w:wBefore w:w="209" w:type="dxa"/>
          <w:cantSplit/>
          <w:trHeight w:val="172"/>
          <w:jc w:val="center"/>
        </w:trPr>
        <w:tc>
          <w:tcPr>
            <w:vMerge/>
            <w:vAlign w:val="center"/>
          </w:tcPr>
          <w:p>
            <w:pPr>
              <w:spacing w:line="420" w:lineRule="exact"/>
              <w:jc w:val="center"/>
              <w:rPr>
                <w:rFonts w:ascii="仿宋_GB2312" w:eastAsia="仿宋_GB2312" w:hAnsi="宋体"/>
                <w:sz w:val="28"/>
                <w:szCs w:val="28"/>
              </w:rPr>
            </w:pPr>
          </w:p>
        </w:tc>
        <w:tc>
          <w:tcPr/>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研究领域</w:t>
            </w:r>
          </w:p>
        </w:tc>
        <w:tc>
          <w:tcPr>
            <w:gridSpan w:val="10"/>
            <w:vAlign w:val="center"/>
          </w:tcPr>
          <w:p>
            <w:pPr>
              <w:spacing w:line="420" w:lineRule="exact"/>
              <w:rPr>
                <w:rFonts w:ascii="仿宋" w:eastAsia="仿宋" w:hAnsi="仿宋" w:hint="eastAsia"/>
                <w:sz w:val="28"/>
                <w:szCs w:val="28"/>
              </w:rPr>
            </w:pPr>
            <w:r>
              <w:rPr>
                <w:rFonts w:ascii="仿宋" w:eastAsia="仿宋" w:hAnsi="仿宋" w:hint="eastAsia"/>
                <w:sz w:val="28"/>
                <w:szCs w:val="28"/>
              </w:rPr>
              <w:t xml:space="preserve">1.基础医学   </w:t>
            </w:r>
            <w:r>
              <w:rPr>
                <w:rFonts w:ascii="仿宋" w:eastAsia="仿宋" w:hAnsi="仿宋"/>
                <w:sz w:val="28"/>
                <w:szCs w:val="28"/>
              </w:rPr>
              <w:t>2.</w:t>
            </w:r>
            <w:r>
              <w:rPr>
                <w:rFonts w:ascii="仿宋" w:eastAsia="仿宋" w:hAnsi="仿宋" w:hint="eastAsia"/>
                <w:sz w:val="28"/>
                <w:szCs w:val="28"/>
              </w:rPr>
              <w:t xml:space="preserve">预防医学、卫生学   </w:t>
            </w:r>
            <w:r>
              <w:rPr>
                <w:rFonts w:ascii="仿宋" w:eastAsia="仿宋" w:hAnsi="仿宋"/>
                <w:sz w:val="28"/>
                <w:szCs w:val="28"/>
              </w:rPr>
              <w:t>3.</w:t>
            </w:r>
            <w:r>
              <w:rPr>
                <w:rFonts w:ascii="仿宋" w:eastAsia="仿宋" w:hAnsi="仿宋" w:hint="eastAsia"/>
                <w:sz w:val="28"/>
                <w:szCs w:val="28"/>
                <w:bdr w:val="single" w:sz="4" w:space="0" w:color="auto"/>
              </w:rPr>
              <w:t>临床医学</w:t>
            </w:r>
            <w:r>
              <w:rPr>
                <w:rFonts w:ascii="仿宋" w:eastAsia="仿宋" w:hAnsi="仿宋"/>
                <w:sz w:val="28"/>
                <w:szCs w:val="28"/>
              </w:rPr>
              <w:t xml:space="preserve"> </w:t>
            </w:r>
            <w:r>
              <w:rPr>
                <w:rFonts w:ascii="仿宋" w:eastAsia="仿宋" w:hAnsi="仿宋" w:hint="eastAsia"/>
                <w:sz w:val="28"/>
                <w:szCs w:val="28"/>
              </w:rPr>
              <w:t xml:space="preserve">   </w:t>
            </w:r>
          </w:p>
          <w:p>
            <w:pPr>
              <w:spacing w:line="420" w:lineRule="exact"/>
              <w:rPr>
                <w:rFonts w:eastAsia="仿宋_GB2312"/>
                <w:sz w:val="28"/>
                <w:szCs w:val="28"/>
              </w:rPr>
            </w:pPr>
            <w:r>
              <w:rPr>
                <w:rFonts w:ascii="仿宋" w:eastAsia="仿宋" w:hAnsi="仿宋" w:hint="eastAsia"/>
                <w:sz w:val="28"/>
                <w:szCs w:val="28"/>
              </w:rPr>
              <w:t xml:space="preserve">4.护理学  </w:t>
            </w:r>
            <w:r>
              <w:rPr>
                <w:rFonts w:ascii="仿宋" w:eastAsia="仿宋" w:hAnsi="仿宋"/>
                <w:sz w:val="28"/>
                <w:szCs w:val="28"/>
              </w:rPr>
              <w:t xml:space="preserve"> </w:t>
            </w:r>
            <w:r>
              <w:rPr>
                <w:rFonts w:ascii="仿宋" w:eastAsia="仿宋" w:hAnsi="仿宋" w:hint="eastAsia"/>
                <w:sz w:val="28"/>
                <w:szCs w:val="28"/>
              </w:rPr>
              <w:t>5</w:t>
            </w:r>
            <w:r>
              <w:rPr>
                <w:rFonts w:ascii="仿宋" w:eastAsia="仿宋" w:hAnsi="仿宋"/>
                <w:sz w:val="28"/>
                <w:szCs w:val="28"/>
              </w:rPr>
              <w:t>.</w:t>
            </w:r>
            <w:r>
              <w:rPr>
                <w:rFonts w:ascii="仿宋" w:eastAsia="仿宋" w:hAnsi="仿宋" w:hint="eastAsia"/>
                <w:sz w:val="28"/>
                <w:szCs w:val="28"/>
              </w:rPr>
              <w:t>其他</w:t>
            </w:r>
          </w:p>
        </w:tc>
      </w:tr>
      <w:tr>
        <w:tblPrEx>
          <w:jc w:val="center"/>
          <w:tblLayout w:type="fixed"/>
          <w:tblCellMar>
            <w:top w:w="0" w:type="dxa"/>
            <w:left w:w="108" w:type="dxa"/>
            <w:bottom w:w="0" w:type="dxa"/>
            <w:right w:w="108" w:type="dxa"/>
          </w:tblCellMar>
          <w:tblLook w:val="0000"/>
        </w:tblPrEx>
        <w:trPr>
          <w:gridBefore w:val="1"/>
          <w:wBefore w:w="209" w:type="dxa"/>
          <w:cantSplit/>
          <w:trHeight w:val="172"/>
          <w:jc w:val="center"/>
        </w:trPr>
        <w:tc>
          <w:tcPr>
            <w:vMerge/>
            <w:vAlign w:val="center"/>
          </w:tcPr>
          <w:p>
            <w:pPr>
              <w:spacing w:line="420" w:lineRule="exact"/>
              <w:jc w:val="center"/>
              <w:rPr>
                <w:rFonts w:ascii="仿宋_GB2312" w:eastAsia="仿宋_GB2312" w:hAnsi="宋体"/>
                <w:sz w:val="28"/>
                <w:szCs w:val="28"/>
              </w:rPr>
            </w:pPr>
          </w:p>
        </w:tc>
        <w:tc>
          <w:tcPr/>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三级学科</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分类</w:t>
            </w:r>
          </w:p>
        </w:tc>
        <w:tc>
          <w:tcPr>
            <w:gridSpan w:val="10"/>
            <w:vAlign w:val="center"/>
          </w:tcPr>
          <w:p>
            <w:pPr>
              <w:spacing w:line="420" w:lineRule="exact"/>
              <w:rPr>
                <w:rFonts w:ascii="仿宋" w:eastAsia="仿宋" w:hAnsi="仿宋" w:hint="eastAsia"/>
                <w:sz w:val="28"/>
                <w:szCs w:val="28"/>
              </w:rPr>
            </w:pPr>
            <w:r>
              <w:rPr>
                <w:rFonts w:ascii="仿宋" w:eastAsia="仿宋" w:hAnsi="仿宋" w:hint="eastAsia"/>
                <w:sz w:val="28"/>
                <w:szCs w:val="28"/>
              </w:rPr>
              <w:t>康复医学科</w:t>
            </w:r>
          </w:p>
        </w:tc>
      </w:tr>
      <w:tr>
        <w:tblPrEx>
          <w:jc w:val="center"/>
          <w:tblLayout w:type="fixed"/>
          <w:tblCellMar>
            <w:top w:w="0" w:type="dxa"/>
            <w:left w:w="108" w:type="dxa"/>
            <w:bottom w:w="0" w:type="dxa"/>
            <w:right w:w="108" w:type="dxa"/>
          </w:tblCellMar>
          <w:tblLook w:val="0000"/>
        </w:tblPrEx>
        <w:trPr>
          <w:gridBefore w:val="1"/>
          <w:wBefore w:w="209" w:type="dxa"/>
          <w:cantSplit/>
          <w:trHeight w:val="172"/>
          <w:jc w:val="center"/>
        </w:trPr>
        <w:tc>
          <w:tcPr>
            <w:vMerge/>
            <w:vAlign w:val="center"/>
          </w:tcPr>
          <w:p>
            <w:pPr>
              <w:spacing w:line="420" w:lineRule="exact"/>
              <w:jc w:val="center"/>
              <w:rPr>
                <w:rFonts w:ascii="仿宋_GB2312" w:eastAsia="仿宋_GB2312" w:hAnsi="宋体"/>
                <w:sz w:val="28"/>
                <w:szCs w:val="28"/>
              </w:rPr>
            </w:pPr>
          </w:p>
        </w:tc>
        <w:tc>
          <w:tcPr/>
          <w:p>
            <w:pPr>
              <w:spacing w:line="420" w:lineRule="exact"/>
              <w:jc w:val="center"/>
              <w:rPr>
                <w:rFonts w:ascii="仿宋_GB2312" w:eastAsia="仿宋_GB2312" w:hAnsi="宋体" w:hint="eastAsia"/>
                <w:spacing w:val="-20"/>
                <w:sz w:val="28"/>
                <w:szCs w:val="28"/>
              </w:rPr>
            </w:pPr>
            <w:r>
              <w:rPr>
                <w:rFonts w:ascii="仿宋_GB2312" w:eastAsia="仿宋_GB2312" w:hAnsi="宋体" w:hint="eastAsia"/>
                <w:spacing w:val="-20"/>
                <w:sz w:val="28"/>
                <w:szCs w:val="28"/>
              </w:rPr>
              <w:t>课题组人员</w:t>
            </w:r>
          </w:p>
        </w:tc>
        <w:tc>
          <w:tcPr>
            <w:vAlign w:val="center"/>
          </w:tcPr>
          <w:p>
            <w:pPr>
              <w:spacing w:line="420" w:lineRule="exact"/>
              <w:ind w:right="140"/>
              <w:jc w:val="right"/>
              <w:rPr>
                <w:rFonts w:ascii="仿宋" w:eastAsia="仿宋" w:hAnsi="仿宋" w:hint="eastAsia"/>
                <w:sz w:val="28"/>
                <w:szCs w:val="28"/>
              </w:rPr>
            </w:pPr>
            <w:r>
              <w:rPr>
                <w:rFonts w:ascii="仿宋" w:eastAsia="仿宋" w:hAnsi="仿宋" w:hint="eastAsia"/>
                <w:sz w:val="28"/>
                <w:szCs w:val="28"/>
              </w:rPr>
              <w:t>共  8  人</w:t>
            </w:r>
          </w:p>
        </w:tc>
        <w:tc>
          <w:tcPr>
            <w:gridSpan w:val="4"/>
            <w:vAlign w:val="center"/>
          </w:tcPr>
          <w:p>
            <w:pPr>
              <w:spacing w:line="420" w:lineRule="exact"/>
              <w:rPr>
                <w:rFonts w:ascii="仿宋" w:eastAsia="仿宋" w:hAnsi="仿宋" w:hint="eastAsia"/>
                <w:sz w:val="28"/>
                <w:szCs w:val="28"/>
              </w:rPr>
            </w:pPr>
            <w:r>
              <w:rPr>
                <w:rFonts w:ascii="仿宋" w:eastAsia="仿宋" w:hAnsi="仿宋" w:hint="eastAsia"/>
                <w:sz w:val="28"/>
                <w:szCs w:val="28"/>
              </w:rPr>
              <w:t>高级</w:t>
            </w:r>
          </w:p>
        </w:tc>
        <w:tc>
          <w:tcPr>
            <w:vAlign w:val="center"/>
          </w:tcPr>
          <w:p>
            <w:pPr>
              <w:spacing w:line="420" w:lineRule="exact"/>
              <w:ind w:right="140"/>
              <w:jc w:val="right"/>
              <w:rPr>
                <w:rFonts w:ascii="仿宋" w:eastAsia="仿宋" w:hAnsi="仿宋" w:hint="eastAsia"/>
                <w:sz w:val="28"/>
                <w:szCs w:val="28"/>
              </w:rPr>
            </w:pPr>
            <w:r>
              <w:rPr>
                <w:rFonts w:ascii="仿宋" w:eastAsia="仿宋" w:hAnsi="仿宋" w:hint="eastAsia"/>
                <w:sz w:val="28"/>
                <w:szCs w:val="28"/>
              </w:rPr>
              <w:t>1人</w:t>
            </w:r>
          </w:p>
        </w:tc>
        <w:tc>
          <w:tcPr>
            <w:gridSpan w:val="2"/>
            <w:vAlign w:val="center"/>
          </w:tcPr>
          <w:p>
            <w:pPr>
              <w:spacing w:line="420" w:lineRule="exact"/>
              <w:rPr>
                <w:rFonts w:ascii="仿宋" w:eastAsia="仿宋" w:hAnsi="仿宋" w:hint="eastAsia"/>
                <w:sz w:val="28"/>
                <w:szCs w:val="28"/>
              </w:rPr>
            </w:pPr>
            <w:r>
              <w:rPr>
                <w:rFonts w:ascii="仿宋" w:eastAsia="仿宋" w:hAnsi="仿宋" w:hint="eastAsia"/>
                <w:sz w:val="28"/>
                <w:szCs w:val="28"/>
              </w:rPr>
              <w:t>中级3</w:t>
            </w:r>
            <w:r>
              <w:rPr>
                <w:rFonts w:ascii="仿宋" w:eastAsia="仿宋" w:hAnsi="仿宋"/>
                <w:sz w:val="28"/>
                <w:szCs w:val="28"/>
              </w:rPr>
              <w:t xml:space="preserve"> </w:t>
            </w:r>
            <w:r>
              <w:rPr>
                <w:rFonts w:ascii="仿宋" w:eastAsia="仿宋" w:hAnsi="仿宋" w:hint="eastAsia"/>
                <w:sz w:val="28"/>
                <w:szCs w:val="28"/>
              </w:rPr>
              <w:t>人</w:t>
            </w:r>
          </w:p>
        </w:tc>
        <w:tc>
          <w:tcPr>
            <w:vAlign w:val="center"/>
          </w:tcPr>
          <w:p>
            <w:pPr>
              <w:spacing w:line="420" w:lineRule="exact"/>
              <w:rPr>
                <w:rFonts w:ascii="仿宋" w:eastAsia="仿宋" w:hAnsi="仿宋" w:hint="eastAsia"/>
                <w:sz w:val="28"/>
                <w:szCs w:val="28"/>
              </w:rPr>
            </w:pPr>
            <w:r>
              <w:rPr>
                <w:rFonts w:ascii="仿宋" w:eastAsia="仿宋" w:hAnsi="仿宋" w:hint="eastAsia"/>
                <w:sz w:val="28"/>
                <w:szCs w:val="28"/>
              </w:rPr>
              <w:t>辅助</w:t>
            </w:r>
          </w:p>
        </w:tc>
        <w:tc>
          <w:tcPr>
            <w:vAlign w:val="center"/>
          </w:tcPr>
          <w:p>
            <w:pPr>
              <w:spacing w:line="420" w:lineRule="exact"/>
              <w:ind w:right="140"/>
              <w:jc w:val="right"/>
              <w:rPr>
                <w:rFonts w:ascii="仿宋" w:eastAsia="仿宋" w:hAnsi="仿宋" w:hint="eastAsia"/>
                <w:sz w:val="28"/>
                <w:szCs w:val="28"/>
              </w:rPr>
            </w:pPr>
            <w:r>
              <w:rPr>
                <w:rFonts w:ascii="仿宋" w:eastAsia="仿宋" w:hAnsi="仿宋" w:hint="eastAsia"/>
                <w:sz w:val="28"/>
                <w:szCs w:val="28"/>
              </w:rPr>
              <w:t>3人</w:t>
            </w:r>
          </w:p>
        </w:tc>
      </w:tr>
      <w:tr>
        <w:tblPrEx>
          <w:jc w:val="center"/>
          <w:tblLayout w:type="fixed"/>
          <w:tblCellMar>
            <w:top w:w="0" w:type="dxa"/>
            <w:left w:w="108" w:type="dxa"/>
            <w:bottom w:w="0" w:type="dxa"/>
            <w:right w:w="108" w:type="dxa"/>
          </w:tblCellMar>
          <w:tblLook w:val="0000"/>
        </w:tblPrEx>
        <w:trPr>
          <w:gridBefore w:val="1"/>
          <w:wBefore w:w="209" w:type="dxa"/>
          <w:cantSplit/>
          <w:trHeight w:val="3772"/>
          <w:jc w:val="center"/>
        </w:trPr>
        <w:tc>
          <w:tcPr>
            <w:vAlign w:val="center"/>
          </w:tcPr>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主</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要</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研</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究</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内</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容</w:t>
            </w:r>
          </w:p>
        </w:tc>
        <w:tc>
          <w:tcPr>
            <w:gridSpan w:val="11"/>
          </w:tcPr>
          <w:p>
            <w:pPr>
              <w:spacing w:line="400" w:lineRule="exact"/>
              <w:ind w:firstLine="560" w:firstLineChars="200"/>
              <w:rPr>
                <w:rFonts w:ascii="仿宋_GB2312" w:eastAsia="仿宋_GB2312" w:hAnsi="宋体" w:hint="eastAsia"/>
                <w:sz w:val="28"/>
                <w:szCs w:val="28"/>
              </w:rPr>
            </w:pPr>
            <w:bookmarkStart w:id="2" w:name="OLE_LINK11"/>
            <w:bookmarkStart w:id="3" w:name="OLE_LINK12"/>
            <w:r>
              <w:rPr>
                <w:rFonts w:ascii="仿宋" w:eastAsia="仿宋" w:hAnsi="仿宋" w:hint="eastAsia"/>
                <w:sz w:val="28"/>
                <w:szCs w:val="28"/>
              </w:rPr>
              <w:t>本课题通过雷火灸结合电针治疗</w:t>
            </w:r>
            <w:bookmarkEnd w:id="2"/>
            <w:bookmarkEnd w:id="3"/>
            <w:r>
              <w:rPr>
                <w:rFonts w:ascii="仿宋" w:eastAsia="仿宋" w:hAnsi="仿宋" w:hint="eastAsia"/>
                <w:sz w:val="28"/>
                <w:szCs w:val="28"/>
              </w:rPr>
              <w:t>脊髓损伤后神经源性膀胱的临床研究，达到观察其在改善膀胱自主排尿、减少残余尿量及提高患者生活质量方面的优势。本研究以我院住院治疗的脊髓损伤后神经源性膀胱患者为研究对象，共选择60例，通过数字随机法，分成雷火灸结合电针组（治疗组）和电针组（对照组），两组均联合常规膀胱再训练治疗，通过3个疗程治疗后，选取患者治疗前后排尿日记、生活质量评分以及尿流动力学等指标进行评估，验证雷火灸结合电针治疗脊髓损伤后神经源性膀胱，在改善膀胱自主排尿、减少残余尿量及提高患者生存质量方面</w:t>
            </w:r>
            <w:bookmarkStart w:id="4" w:name="OLE_LINK19"/>
            <w:bookmarkStart w:id="5" w:name="OLE_LINK20"/>
            <w:r>
              <w:rPr>
                <w:rFonts w:ascii="仿宋" w:eastAsia="仿宋" w:hAnsi="仿宋" w:hint="eastAsia"/>
                <w:sz w:val="28"/>
                <w:szCs w:val="28"/>
              </w:rPr>
              <w:t>具有优势。</w:t>
            </w:r>
            <w:bookmarkEnd w:id="4"/>
            <w:bookmarkEnd w:id="5"/>
            <w:r>
              <w:rPr>
                <w:rFonts w:ascii="仿宋" w:eastAsia="仿宋" w:hAnsi="仿宋" w:hint="eastAsia"/>
                <w:sz w:val="28"/>
                <w:szCs w:val="28"/>
              </w:rPr>
              <w:t>为临床推广雷火灸结合电针治疗神经源性膀胱提供理论依据，形成科室诊疗规范，借此进行初步</w:t>
            </w:r>
            <w:bookmarkStart w:id="6" w:name="OLE_LINK23"/>
            <w:bookmarkStart w:id="7" w:name="OLE_LINK24"/>
            <w:r>
              <w:rPr>
                <w:rFonts w:ascii="仿宋" w:eastAsia="仿宋" w:hAnsi="仿宋" w:hint="eastAsia"/>
                <w:sz w:val="28"/>
                <w:szCs w:val="28"/>
              </w:rPr>
              <w:t>推</w:t>
            </w:r>
            <w:bookmarkEnd w:id="6"/>
            <w:bookmarkEnd w:id="7"/>
            <w:r>
              <w:rPr>
                <w:rFonts w:ascii="仿宋" w:eastAsia="仿宋" w:hAnsi="仿宋" w:hint="eastAsia"/>
                <w:sz w:val="28"/>
                <w:szCs w:val="28"/>
              </w:rPr>
              <w:t>广示范，并总结推广经验，为扩大推广范围进行理论和经验上的准备。</w:t>
            </w:r>
          </w:p>
        </w:tc>
      </w:tr>
      <w:tr>
        <w:tblPrEx>
          <w:jc w:val="center"/>
          <w:tblLayout w:type="fixed"/>
          <w:tblCellMar>
            <w:top w:w="0" w:type="dxa"/>
            <w:left w:w="108" w:type="dxa"/>
            <w:bottom w:w="0" w:type="dxa"/>
            <w:right w:w="108" w:type="dxa"/>
          </w:tblCellMar>
          <w:tblLook w:val="0000"/>
        </w:tblPrEx>
        <w:trPr>
          <w:gridBefore w:val="1"/>
          <w:wBefore w:w="209" w:type="dxa"/>
          <w:cantSplit/>
          <w:trHeight w:val="2588"/>
          <w:jc w:val="center"/>
        </w:trPr>
        <w:tc>
          <w:tcPr>
            <w:vAlign w:val="center"/>
          </w:tcPr>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预</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期</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成</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果</w:t>
            </w:r>
          </w:p>
          <w:p>
            <w:pPr>
              <w:spacing w:line="420" w:lineRule="exact"/>
              <w:jc w:val="center"/>
              <w:rPr>
                <w:rFonts w:ascii="仿宋_GB2312" w:eastAsia="仿宋_GB2312" w:hAnsi="宋体" w:hint="eastAsia"/>
                <w:sz w:val="28"/>
                <w:szCs w:val="28"/>
              </w:rPr>
            </w:pPr>
            <w:r>
              <w:rPr>
                <w:rFonts w:ascii="仿宋_GB2312" w:eastAsia="仿宋_GB2312" w:hAnsi="宋体" w:hint="eastAsia"/>
                <w:sz w:val="28"/>
                <w:szCs w:val="28"/>
              </w:rPr>
              <w:t>摘</w:t>
            </w:r>
          </w:p>
          <w:p>
            <w:pPr>
              <w:spacing w:line="420" w:lineRule="exact"/>
              <w:jc w:val="center"/>
              <w:rPr>
                <w:rFonts w:ascii="仿宋_GB2312" w:eastAsia="仿宋_GB2312" w:hAnsi="宋体"/>
                <w:sz w:val="28"/>
                <w:szCs w:val="28"/>
              </w:rPr>
            </w:pPr>
            <w:r>
              <w:rPr>
                <w:rFonts w:ascii="仿宋_GB2312" w:eastAsia="仿宋_GB2312" w:hAnsi="宋体" w:hint="eastAsia"/>
                <w:sz w:val="28"/>
                <w:szCs w:val="28"/>
              </w:rPr>
              <w:t>录</w:t>
            </w:r>
          </w:p>
        </w:tc>
        <w:tc>
          <w:tcPr>
            <w:gridSpan w:val="11"/>
          </w:tcPr>
          <w:p>
            <w:pPr>
              <w:spacing w:line="400" w:lineRule="exact"/>
              <w:rPr>
                <w:rFonts w:ascii="仿宋" w:eastAsia="仿宋" w:hAnsi="仿宋" w:hint="eastAsia"/>
                <w:sz w:val="28"/>
                <w:szCs w:val="28"/>
              </w:rPr>
            </w:pPr>
            <w:r>
              <w:rPr>
                <w:rFonts w:ascii="仿宋" w:eastAsia="仿宋" w:hAnsi="仿宋" w:hint="eastAsia"/>
                <w:sz w:val="28"/>
                <w:szCs w:val="28"/>
              </w:rPr>
              <w:t>1.课题完成后，可验证雷火灸结合电针比电针在治疗脊髓损伤后神经源性膀胱方面具有更佳疗效。</w:t>
            </w:r>
          </w:p>
          <w:p>
            <w:pPr>
              <w:spacing w:line="400" w:lineRule="exact"/>
              <w:rPr>
                <w:rFonts w:ascii="仿宋" w:eastAsia="仿宋" w:hAnsi="仿宋" w:hint="eastAsia"/>
                <w:sz w:val="28"/>
                <w:szCs w:val="28"/>
              </w:rPr>
            </w:pPr>
            <w:r>
              <w:rPr>
                <w:rFonts w:ascii="仿宋" w:eastAsia="仿宋" w:hAnsi="仿宋" w:hint="eastAsia"/>
                <w:sz w:val="28"/>
                <w:szCs w:val="28"/>
              </w:rPr>
              <w:t>2.课题完成后在国内省级或核心期刊上发表学术文论3篇。</w:t>
            </w:r>
          </w:p>
          <w:p>
            <w:pPr>
              <w:spacing w:line="400" w:lineRule="exact"/>
              <w:rPr>
                <w:rFonts w:ascii="仿宋" w:eastAsia="仿宋" w:hAnsi="仿宋" w:hint="eastAsia"/>
                <w:sz w:val="28"/>
                <w:szCs w:val="28"/>
              </w:rPr>
            </w:pPr>
            <w:r>
              <w:rPr>
                <w:rFonts w:ascii="仿宋" w:eastAsia="仿宋" w:hAnsi="仿宋" w:hint="eastAsia"/>
                <w:sz w:val="28"/>
                <w:szCs w:val="28"/>
              </w:rPr>
              <w:t>3.通过课题研究，加快学科专业学术骨干和青年医师在科研方面的培养。</w:t>
            </w:r>
          </w:p>
          <w:p>
            <w:pPr>
              <w:spacing w:line="400" w:lineRule="exact"/>
              <w:rPr>
                <w:rFonts w:ascii="仿宋_GB2312" w:eastAsia="仿宋_GB2312" w:hAnsi="宋体"/>
                <w:sz w:val="28"/>
                <w:szCs w:val="28"/>
              </w:rPr>
            </w:pPr>
            <w:r>
              <w:rPr>
                <w:rFonts w:ascii="仿宋" w:eastAsia="仿宋" w:hAnsi="仿宋" w:hint="eastAsia"/>
                <w:sz w:val="28"/>
                <w:szCs w:val="28"/>
              </w:rPr>
              <w:t>4.研成果以康复课堂的形式分享。</w:t>
            </w:r>
          </w:p>
        </w:tc>
      </w:tr>
    </w:tbl>
    <w:p>
      <w:pPr>
        <w:sectPr>
          <w:headerReference w:type="default" r:id="rId13"/>
          <w:footerReference w:type="even" r:id="rId14"/>
          <w:footerReference w:type="default" r:id="rId15"/>
          <w:type w:val="nextPage"/>
          <w:pgSz w:w="11907" w:h="16840"/>
          <w:pgMar w:top="1701" w:right="1418" w:bottom="1418" w:left="1701" w:header="851" w:footer="992" w:gutter="0"/>
          <w:pgNumType w:fmt="numberInDash" w:start="3"/>
          <w:cols w:space="708"/>
          <w:titlePg w:val="0"/>
          <w:docGrid w:type="linesAndChars" w:linePitch="312"/>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525"/>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5630"/>
          <w:jc w:val="center"/>
        </w:trPr>
        <w:tc>
          <w:tcPr>
            <w:tcBorders>
              <w:bottom w:val="single" w:sz="4" w:space="0" w:color="auto"/>
            </w:tcBorders>
          </w:tcPr>
          <w:p>
            <w:pPr>
              <w:spacing w:line="420" w:lineRule="exact"/>
              <w:ind w:firstLine="560" w:firstLineChars="200"/>
              <w:rPr>
                <w:rFonts w:ascii="仿宋_GB2312" w:eastAsia="仿宋_GB2312" w:hAnsi="宋体"/>
                <w:b/>
                <w:bCs/>
                <w:sz w:val="28"/>
                <w:szCs w:val="28"/>
              </w:rPr>
            </w:pPr>
            <w:r>
              <w:rPr>
                <w:rFonts w:ascii="仿宋_GB2312" w:eastAsia="仿宋_GB2312" w:hAnsi="宋体"/>
                <w:b/>
                <w:bCs/>
                <w:sz w:val="28"/>
                <w:szCs w:val="28"/>
              </w:rPr>
              <w:t>1.</w:t>
            </w:r>
            <w:r>
              <w:rPr>
                <w:rFonts w:ascii="仿宋_GB2312" w:eastAsia="仿宋_GB2312" w:hAnsi="宋体" w:hint="eastAsia"/>
                <w:b/>
                <w:bCs/>
                <w:sz w:val="28"/>
                <w:szCs w:val="28"/>
              </w:rPr>
              <w:t>研究本课题的科学依据(包括国内外研究现状、发展趋势、主要问题、立题依据等)</w:t>
            </w:r>
          </w:p>
          <w:p>
            <w:pPr>
              <w:spacing w:line="500" w:lineRule="exact"/>
              <w:ind w:firstLine="560" w:firstLineChars="200"/>
              <w:rPr>
                <w:rFonts w:ascii="仿宋" w:eastAsia="仿宋" w:hAnsi="仿宋" w:hint="eastAsia"/>
                <w:sz w:val="28"/>
                <w:szCs w:val="28"/>
              </w:rPr>
            </w:pPr>
            <w:r>
              <w:rPr>
                <w:rFonts w:ascii="仿宋" w:eastAsia="仿宋" w:hAnsi="仿宋" w:cs="仿宋" w:hint="eastAsia"/>
                <w:sz w:val="28"/>
                <w:szCs w:val="28"/>
                <w:lang w:bidi="ar"/>
              </w:rPr>
              <w:t>神经源性膀胱是一类由于神经系统病变导致膀胱和</w:t>
            </w:r>
            <w:r>
              <w:rPr>
                <w:rFonts w:ascii="仿宋" w:eastAsia="仿宋" w:hAnsi="仿宋" w:cs="仿宋"/>
                <w:sz w:val="28"/>
                <w:szCs w:val="28"/>
                <w:lang w:bidi="ar"/>
              </w:rPr>
              <w:t>/</w:t>
            </w:r>
            <w:r>
              <w:rPr>
                <w:rFonts w:ascii="仿宋" w:eastAsia="仿宋" w:hAnsi="仿宋" w:cs="仿宋" w:hint="eastAsia"/>
                <w:sz w:val="28"/>
                <w:szCs w:val="28"/>
                <w:lang w:bidi="ar"/>
              </w:rPr>
              <w:t>或尿路功能障碍（即储尿和</w:t>
            </w:r>
            <w:r>
              <w:rPr>
                <w:rFonts w:ascii="仿宋" w:eastAsia="仿宋" w:hAnsi="仿宋" w:cs="仿宋"/>
                <w:sz w:val="28"/>
                <w:szCs w:val="28"/>
                <w:lang w:bidi="ar"/>
              </w:rPr>
              <w:t>/</w:t>
            </w:r>
            <w:r>
              <w:rPr>
                <w:rFonts w:ascii="仿宋" w:eastAsia="仿宋" w:hAnsi="仿宋" w:cs="仿宋" w:hint="eastAsia"/>
                <w:sz w:val="28"/>
                <w:szCs w:val="28"/>
                <w:lang w:bidi="ar"/>
              </w:rPr>
              <w:t>或排尿功能障碍），进而产生一系列下尿路症状及并发症的疾病总称。</w:t>
            </w:r>
            <w:r>
              <w:rPr>
                <w:rFonts w:ascii="仿宋" w:eastAsia="仿宋" w:hAnsi="仿宋" w:hint="eastAsia"/>
                <w:sz w:val="28"/>
                <w:szCs w:val="28"/>
              </w:rPr>
              <w:t>神经源性膀胱是脊髓损伤（SCI）后最常见的并发症之一。</w:t>
            </w:r>
            <w:r>
              <w:rPr>
                <w:rFonts w:ascii="仿宋" w:eastAsia="仿宋" w:hAnsi="仿宋" w:cs="仿宋" w:hint="eastAsia"/>
                <w:sz w:val="28"/>
                <w:szCs w:val="28"/>
                <w:lang w:bidi="ar"/>
              </w:rPr>
              <w:t>据相关资料显示，随着社会经济、现代建筑业和交通的不断发展，高处坠落及车祸也在逐年递增，全球</w:t>
            </w:r>
            <w:r>
              <w:rPr>
                <w:rFonts w:ascii="仿宋" w:eastAsia="仿宋" w:hAnsi="仿宋" w:cs="仿宋"/>
                <w:sz w:val="28"/>
                <w:szCs w:val="28"/>
                <w:lang w:bidi="ar"/>
              </w:rPr>
              <w:t>SCI</w:t>
            </w:r>
            <w:r>
              <w:rPr>
                <w:rFonts w:ascii="仿宋" w:eastAsia="仿宋" w:hAnsi="仿宋" w:cs="仿宋" w:hint="eastAsia"/>
                <w:sz w:val="28"/>
                <w:szCs w:val="28"/>
                <w:lang w:bidi="ar"/>
              </w:rPr>
              <w:t>的发病率为</w:t>
            </w:r>
            <w:r>
              <w:rPr>
                <w:rFonts w:ascii="仿宋" w:eastAsia="仿宋" w:hAnsi="仿宋" w:cs="仿宋"/>
                <w:sz w:val="28"/>
                <w:szCs w:val="28"/>
                <w:lang w:bidi="ar"/>
              </w:rPr>
              <w:t>20-60/100</w:t>
            </w:r>
            <w:r>
              <w:rPr>
                <w:rFonts w:ascii="仿宋" w:eastAsia="仿宋" w:hAnsi="仿宋" w:cs="仿宋" w:hint="eastAsia"/>
                <w:sz w:val="28"/>
                <w:szCs w:val="28"/>
                <w:lang w:bidi="ar"/>
              </w:rPr>
              <w:t>万</w:t>
            </w:r>
            <w:r>
              <w:rPr>
                <w:rFonts w:ascii="仿宋" w:eastAsia="仿宋" w:hAnsi="仿宋" w:cs="仿宋"/>
                <w:sz w:val="24"/>
                <w:vertAlign w:val="superscript"/>
                <w:lang w:bidi="ar"/>
              </w:rPr>
              <w:t>[1]</w:t>
            </w:r>
            <w:r>
              <w:rPr>
                <w:rFonts w:ascii="仿宋" w:eastAsia="仿宋" w:hAnsi="仿宋" w:cs="仿宋" w:hint="eastAsia"/>
                <w:sz w:val="28"/>
                <w:szCs w:val="28"/>
                <w:lang w:bidi="ar"/>
              </w:rPr>
              <w:t>。其临床多表现为膀胱储尿及排尿双重功能障碍，若不及时治疗，可发生反复尿路感染、膀胱结石、肾积水等，严重者可导致肾功能衰竭，严重影响患者的生存质量及预后，同时也给家庭和社会带来沉重的经济负担。</w:t>
            </w:r>
            <w:r>
              <w:rPr>
                <w:rFonts w:ascii="仿宋" w:eastAsia="仿宋" w:hAnsi="仿宋" w:hint="eastAsia"/>
                <w:sz w:val="28"/>
                <w:szCs w:val="28"/>
              </w:rPr>
              <w:t>目前</w:t>
            </w:r>
            <w:r>
              <w:rPr>
                <w:rFonts w:ascii="仿宋" w:eastAsia="仿宋" w:hAnsi="仿宋" w:hint="eastAsia"/>
                <w:bCs/>
                <w:sz w:val="28"/>
                <w:szCs w:val="28"/>
              </w:rPr>
              <w:t>神经源性膀胱治疗</w:t>
            </w:r>
            <w:r>
              <w:rPr>
                <w:rFonts w:ascii="仿宋" w:eastAsia="仿宋" w:hAnsi="仿宋" w:hint="eastAsia"/>
                <w:sz w:val="28"/>
                <w:szCs w:val="28"/>
              </w:rPr>
              <w:t>主要以电刺激疗法、磁刺激疗法、膀胱功能训练（包括间歇清洁导尿、留置导尿管等）药物注射和手术治疗为主</w:t>
            </w:r>
            <w:r>
              <w:rPr>
                <w:rFonts w:ascii="仿宋" w:eastAsia="仿宋" w:hAnsi="仿宋" w:hint="eastAsia"/>
                <w:sz w:val="24"/>
                <w:vertAlign w:val="superscript"/>
              </w:rPr>
              <w:t>[2]</w:t>
            </w:r>
            <w:r>
              <w:rPr>
                <w:rFonts w:ascii="仿宋" w:eastAsia="仿宋" w:hAnsi="仿宋" w:hint="eastAsia"/>
                <w:sz w:val="28"/>
                <w:szCs w:val="28"/>
              </w:rPr>
              <w:t xml:space="preserve"> ，本病至今尚无特效、理想的治疗方法，药物对症治疗一定程度缓解患者的症状、体征，但症状易反复且均有不同程度的毒副作用，远期疗效亦不甚理想；手术治疗、神经阻滞对神经源性膀胱也有一定的疗效，但因临床操作的创伤性、费用高、疗效不确切而受到限制，患者不易接受而难以推广。因此，在保证疗效，提高神经源性膀胱患者生活质量的情况下，寻求一种安全而又易于接受的保守治疗方法是我们临床医生特别是康复科医生的一项重要而迫切的使命。</w:t>
            </w:r>
          </w:p>
          <w:p>
            <w:pPr>
              <w:spacing w:after="0" w:line="500" w:lineRule="exact"/>
              <w:ind w:firstLine="560" w:firstLineChars="200"/>
              <w:rPr>
                <w:rFonts w:ascii="仿宋" w:eastAsia="仿宋" w:hAnsi="仿宋" w:hint="eastAsia"/>
                <w:kern w:val="0"/>
                <w:sz w:val="28"/>
                <w:szCs w:val="28"/>
              </w:rPr>
            </w:pPr>
            <w:r>
              <w:rPr>
                <w:rFonts w:ascii="仿宋" w:eastAsia="仿宋" w:hAnsi="仿宋" w:hint="eastAsia"/>
                <w:sz w:val="28"/>
                <w:szCs w:val="28"/>
              </w:rPr>
              <w:t>本病属中医</w:t>
            </w:r>
            <w:r>
              <w:rPr>
                <w:rFonts w:ascii="仿宋" w:eastAsia="仿宋" w:hAnsi="仿宋" w:hint="eastAsia"/>
                <w:sz w:val="28"/>
                <w:szCs w:val="28"/>
              </w:rPr>
              <w:t>“</w:t>
            </w:r>
            <w:r>
              <w:rPr>
                <w:rFonts w:ascii="仿宋" w:eastAsia="仿宋" w:hAnsi="仿宋" w:hint="eastAsia"/>
                <w:sz w:val="28"/>
                <w:szCs w:val="28"/>
              </w:rPr>
              <w:t>癃闭</w:t>
            </w:r>
            <w:r>
              <w:rPr>
                <w:rFonts w:ascii="仿宋" w:eastAsia="仿宋" w:hAnsi="仿宋" w:hint="eastAsia"/>
                <w:sz w:val="28"/>
                <w:szCs w:val="28"/>
              </w:rPr>
              <w:t>”</w:t>
            </w:r>
          </w:p>
        </w:tc>
      </w:tr>
    </w:tbl>
    <w:p>
      <w:pPr>
        <w:sectPr>
          <w:headerReference w:type="default" r:id="rId16"/>
          <w:footerReference w:type="even" r:id="rId17"/>
          <w:footerReference w:type="default" r:id="rId18"/>
          <w:type w:val="nextPage"/>
          <w:pgSz w:w="11907" w:h="16840"/>
          <w:pgMar w:top="1701" w:right="1418" w:bottom="1418" w:left="1701" w:header="851" w:footer="992" w:gutter="0"/>
          <w:pgNumType w:fmt="numberInDash" w:start="4"/>
          <w:cols w:space="708"/>
          <w:titlePg w:val="0"/>
          <w:docGrid w:type="linesAndChars" w:linePitch="312"/>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525"/>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5630"/>
          <w:jc w:val="center"/>
        </w:trPr>
        <w:tc>
          <w:tcPr>
            <w:tcBorders>
              <w:bottom w:val="single" w:sz="4" w:space="0" w:color="auto"/>
            </w:tcBorders>
          </w:tcPr>
          <w:p>
            <w:pPr>
              <w:spacing w:before="0" w:line="500" w:lineRule="exact"/>
              <w:ind w:firstLine="560" w:firstLineChars="200"/>
              <w:rPr>
                <w:rFonts w:ascii="仿宋" w:eastAsia="仿宋" w:hAnsi="仿宋" w:hint="eastAsia"/>
                <w:kern w:val="0"/>
                <w:sz w:val="28"/>
                <w:szCs w:val="28"/>
              </w:rPr>
            </w:pPr>
            <w:r>
              <w:rPr>
                <w:rFonts w:ascii="仿宋" w:eastAsia="仿宋" w:hAnsi="仿宋" w:hint="eastAsia"/>
                <w:sz w:val="28"/>
                <w:szCs w:val="28"/>
              </w:rPr>
              <w:t>的范畴，应用中医药治疗有着悠久的历史，具有简、便、廉、验的特点。其中，针灸作为传统康复医学不可或缺的手段，随着应用针灸疗法治疗神经源性膀胱的研究不断深入，疗法纷呈，并以其独特的体系在神经源性膀胱的治疗中取得了医患双方的认可。一般来说，正常的储尿与排尿反射是在中枢神经及外周神经系统以及相应的组织器官如膀胱逼尿肌、尿道括约肌、盆底肌等共同作用下完成。而神经源性膀胱的发生与多种因素有关，它的主要病变部位并非是膀胱，根本原因责之于神经系统的病变，以及全部涉及储尿与排尿通路相关的影响膀胱尿道功能的神经系统性疾病。有研究表明影响膀胱容量的主要是两个储尿反射，一是以交感神经传出为主的储尿反射和以阴部神经的传出活动为主的储尿反射</w:t>
            </w:r>
            <w:r>
              <w:rPr>
                <w:rFonts w:ascii="仿宋" w:eastAsia="仿宋" w:hAnsi="仿宋" w:hint="eastAsia"/>
                <w:sz w:val="28"/>
                <w:szCs w:val="28"/>
              </w:rPr>
              <w:t xml:space="preserve"> </w:t>
            </w:r>
            <w:r>
              <w:rPr>
                <w:rFonts w:ascii="仿宋" w:eastAsia="仿宋" w:hAnsi="仿宋" w:hint="eastAsia"/>
                <w:sz w:val="28"/>
                <w:szCs w:val="28"/>
                <w:vertAlign w:val="superscript"/>
              </w:rPr>
              <w:t>[3,4]</w:t>
            </w:r>
            <w:r>
              <w:rPr>
                <w:rFonts w:ascii="仿宋" w:eastAsia="仿宋" w:hAnsi="仿宋"/>
                <w:sz w:val="28"/>
                <w:szCs w:val="28"/>
              </w:rPr>
              <w:t xml:space="preserve"> </w:t>
            </w:r>
            <w:r>
              <w:rPr>
                <w:rFonts w:ascii="仿宋" w:eastAsia="仿宋" w:hAnsi="仿宋" w:hint="eastAsia"/>
                <w:sz w:val="28"/>
                <w:szCs w:val="28"/>
              </w:rPr>
              <w:t>，一旦支配膀胱的交感-副交感系统出现失衡就可能引发膀胱功能障碍。</w:t>
            </w:r>
            <w:r>
              <w:rPr>
                <w:rFonts w:ascii="仿宋" w:eastAsia="仿宋" w:hAnsi="仿宋" w:hint="eastAsia"/>
                <w:kern w:val="0"/>
                <w:sz w:val="28"/>
                <w:szCs w:val="28"/>
              </w:rPr>
              <w:t>因此，调节腰骶部的神经功能，改善膀胱的平衡状态，对神经源性膀胱患者的治疗有着重大的意义。</w:t>
            </w:r>
          </w:p>
          <w:p>
            <w:pPr>
              <w:tabs>
                <w:tab w:val="left" w:pos="-142"/>
              </w:tabs>
              <w:spacing w:line="500" w:lineRule="exact"/>
              <w:ind w:firstLine="560" w:firstLineChars="200"/>
              <w:rPr>
                <w:rFonts w:ascii="仿宋" w:eastAsia="仿宋" w:hAnsi="仿宋" w:hint="eastAsia"/>
                <w:sz w:val="28"/>
                <w:szCs w:val="28"/>
              </w:rPr>
            </w:pPr>
            <w:r>
              <w:rPr>
                <w:rFonts w:ascii="仿宋" w:eastAsia="仿宋" w:hAnsi="仿宋" w:hint="eastAsia"/>
                <w:kern w:val="0"/>
                <w:sz w:val="28"/>
                <w:szCs w:val="28"/>
              </w:rPr>
              <w:t>有研究证实，电刺激回路与神经根相连，电传导性好，电刺激能够释放和抑制神经元，在一定程度上调节神经活动，修复各级神经元的动态平衡，从而能实现膀胱逼尿肌和尿道括约肌协调作用。电针是微量电流刺激与针刺相互作用的结果。</w:t>
            </w:r>
            <w:r>
              <w:rPr>
                <w:rFonts w:ascii="仿宋" w:eastAsia="仿宋" w:hAnsi="仿宋" w:hint="eastAsia"/>
                <w:sz w:val="28"/>
                <w:szCs w:val="28"/>
              </w:rPr>
              <w:t>李景兴</w:t>
            </w:r>
            <w:r>
              <w:rPr>
                <w:rFonts w:ascii="仿宋" w:eastAsia="仿宋" w:hAnsi="仿宋" w:hint="eastAsia"/>
                <w:sz w:val="28"/>
                <w:szCs w:val="28"/>
                <w:vertAlign w:val="superscript"/>
              </w:rPr>
              <w:t>[5]</w:t>
            </w:r>
            <w:r>
              <w:rPr>
                <w:rFonts w:ascii="仿宋" w:eastAsia="仿宋" w:hAnsi="仿宋" w:hint="eastAsia"/>
                <w:sz w:val="28"/>
                <w:szCs w:val="28"/>
              </w:rPr>
              <w:t>等通过电针次膠、中极、三阴交研究骶髓损伤后尿储留的大鼠发现大鼠最大膀胱容量能明显下降,且可以</w:t>
            </w:r>
            <w:r>
              <w:rPr>
                <w:rFonts w:ascii="仿宋" w:eastAsia="仿宋" w:hAnsi="仿宋" w:hint="eastAsia"/>
                <w:sz w:val="28"/>
                <w:szCs w:val="28"/>
              </w:rPr>
              <w:t>—</w:t>
            </w:r>
            <w:r>
              <w:rPr>
                <w:rFonts w:ascii="仿宋" w:eastAsia="仿宋" w:hAnsi="仿宋" w:hint="eastAsia"/>
                <w:sz w:val="28"/>
                <w:szCs w:val="28"/>
              </w:rPr>
              <w:t>定程度的修复受损的膀胱神经组织细胞。张素花</w:t>
            </w:r>
            <w:r>
              <w:rPr>
                <w:rFonts w:ascii="仿宋" w:eastAsia="仿宋" w:hAnsi="仿宋" w:hint="eastAsia"/>
                <w:sz w:val="28"/>
                <w:szCs w:val="28"/>
                <w:vertAlign w:val="superscript"/>
              </w:rPr>
              <w:t>[6]</w:t>
            </w:r>
            <w:r>
              <w:rPr>
                <w:rFonts w:ascii="仿宋" w:eastAsia="仿宋" w:hAnsi="仿宋" w:hint="eastAsia"/>
                <w:sz w:val="28"/>
                <w:szCs w:val="28"/>
              </w:rPr>
              <w:t>用电针治疗脊髓损伤后神经源性膀胱患者结果显示电针能最大程度地抑制逼尿肌的收缩,增大膀胱容积,通过微量电流刺激腧穴可提高膀胱初始感觉阈从而达到治疗神经源性膀胱的作用。闫鹏</w:t>
            </w:r>
            <w:r>
              <w:rPr>
                <w:rFonts w:ascii="仿宋" w:eastAsia="仿宋" w:hAnsi="仿宋" w:hint="eastAsia"/>
                <w:sz w:val="28"/>
                <w:szCs w:val="28"/>
                <w:vertAlign w:val="superscript"/>
              </w:rPr>
              <w:t>[7]</w:t>
            </w:r>
            <w:r>
              <w:rPr>
                <w:rFonts w:ascii="仿宋" w:eastAsia="仿宋" w:hAnsi="仿宋" w:hint="eastAsia"/>
                <w:sz w:val="28"/>
                <w:szCs w:val="28"/>
              </w:rPr>
              <w:t>等通过观察不同频率电刺激脊髓损伤模型兔肛周皮肤调控神经源性膀胱内压结果表明电刺激可以促发神经递质的释放，平衡逼尿肌的过度活跃和抑制，从而调节膀胱活动的抑制和兴奋。爱坤</w:t>
            </w:r>
            <w:r>
              <w:rPr>
                <w:rFonts w:ascii="仿宋" w:eastAsia="仿宋" w:hAnsi="仿宋" w:hint="eastAsia"/>
                <w:sz w:val="28"/>
                <w:szCs w:val="28"/>
                <w:vertAlign w:val="superscript"/>
              </w:rPr>
              <w:t>[8]</w:t>
            </w:r>
            <w:r>
              <w:rPr>
                <w:rFonts w:ascii="仿宋" w:eastAsia="仿宋" w:hAnsi="仿宋" w:hint="eastAsia"/>
                <w:sz w:val="28"/>
                <w:szCs w:val="28"/>
              </w:rPr>
              <w:t>等通过研究电针对骶上脊髓损伤后神经源性膀胱大鼠脊髓组织中神经生长因子和酪氨酸激酶受体A表达的影响发现电针次髎、中极、三阴交穴可促发脊髓中NGF及受体TrkA的传递，从而使两者协同发挥生物学效应，进而加快了骶上脊髓损伤后脊髓功能的重塑，最终达到调节膀胱功能的功效。全仁夫</w:t>
            </w:r>
            <w:r>
              <w:rPr>
                <w:rFonts w:ascii="仿宋" w:eastAsia="仿宋" w:hAnsi="仿宋" w:hint="eastAsia"/>
                <w:sz w:val="28"/>
                <w:szCs w:val="28"/>
                <w:vertAlign w:val="superscript"/>
              </w:rPr>
              <w:t>[9]</w:t>
            </w:r>
            <w:r>
              <w:rPr>
                <w:rFonts w:ascii="仿宋" w:eastAsia="仿宋" w:hAnsi="仿宋" w:hint="eastAsia"/>
                <w:sz w:val="28"/>
                <w:szCs w:val="28"/>
              </w:rPr>
              <w:t>等观察芒针透刺秩边-水道穴对脊髓损伤后尿潴留膀胱尿动力学的影响，发现芒针通过刺激盆腔膀胱周围神经干，激活神经-脊髓传导通路，可有效纠正膀胱功能的紊乱。焦永波</w:t>
            </w:r>
            <w:r>
              <w:rPr>
                <w:rFonts w:ascii="仿宋" w:eastAsia="仿宋" w:hAnsi="仿宋" w:hint="eastAsia"/>
                <w:sz w:val="28"/>
                <w:szCs w:val="28"/>
                <w:vertAlign w:val="superscript"/>
              </w:rPr>
              <w:t>[10]</w:t>
            </w:r>
            <w:r>
              <w:rPr>
                <w:rFonts w:ascii="仿宋" w:eastAsia="仿宋" w:hAnsi="仿宋" w:hint="eastAsia"/>
                <w:sz w:val="28"/>
                <w:szCs w:val="28"/>
              </w:rPr>
              <w:t>等通过研究整理得出损伤节段夹脊穴、八髎穴、会阳穴、中极穴为脊髓损伤后神经源性膀胱的针灸基本处方，特别是联合腰骶部区电刺激可直接刺激脊髓的排尿中枢，激活协调逼尿肌和括约肌的反射性运动。崔氏</w:t>
            </w:r>
            <w:r>
              <w:rPr>
                <w:rFonts w:ascii="仿宋" w:eastAsia="仿宋" w:hAnsi="仿宋" w:hint="eastAsia"/>
                <w:sz w:val="28"/>
                <w:szCs w:val="28"/>
                <w:vertAlign w:val="superscript"/>
              </w:rPr>
              <w:t>[11]</w:t>
            </w:r>
            <w:r>
              <w:rPr>
                <w:rFonts w:ascii="仿宋" w:eastAsia="仿宋" w:hAnsi="仿宋" w:hint="eastAsia"/>
                <w:sz w:val="28"/>
                <w:szCs w:val="28"/>
              </w:rPr>
              <w:t>等采用针灸联合康复护理治疗脊髓损伤后神经源性膀胱发现此疗法可改善膀胱残余尿量和膀胱容量，从而促进膀胱功能的恢复。</w:t>
            </w:r>
          </w:p>
          <w:p>
            <w:pPr>
              <w:spacing w:after="0" w:line="500" w:lineRule="exact"/>
              <w:rPr>
                <w:rFonts w:ascii="仿宋" w:eastAsia="仿宋" w:hAnsi="仿宋" w:hint="eastAsia"/>
                <w:sz w:val="28"/>
                <w:szCs w:val="28"/>
              </w:rPr>
            </w:pPr>
            <w:r>
              <w:rPr>
                <w:rFonts w:ascii="仿宋" w:eastAsia="仿宋" w:hAnsi="仿宋" w:hint="eastAsia"/>
                <w:kern w:val="0"/>
                <w:sz w:val="28"/>
                <w:szCs w:val="28"/>
                <w:lang w:val="en-US" w:eastAsia="zh-CN"/>
              </w:rPr>
              <w:t xml:space="preserve">     </w:t>
            </w:r>
          </w:p>
        </w:tc>
      </w:tr>
    </w:tbl>
    <w:p>
      <w:pPr>
        <w:sectPr>
          <w:headerReference w:type="default" r:id="rId19"/>
          <w:footerReference w:type="even" r:id="rId20"/>
          <w:footerReference w:type="default" r:id="rId21"/>
          <w:type w:val="nextPage"/>
          <w:pgSz w:w="11907" w:h="16840"/>
          <w:pgMar w:top="1701" w:right="1418" w:bottom="1418" w:left="1701" w:header="851" w:footer="992" w:gutter="0"/>
          <w:pgNumType w:fmt="numberInDash" w:start="5"/>
          <w:cols w:space="708"/>
          <w:titlePg w:val="0"/>
          <w:docGrid w:type="linesAndChars" w:linePitch="312"/>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525"/>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5630"/>
          <w:jc w:val="center"/>
        </w:trPr>
        <w:tc>
          <w:tcPr>
            <w:tcBorders>
              <w:bottom w:val="single" w:sz="4" w:space="0" w:color="auto"/>
            </w:tcBorders>
          </w:tcPr>
          <w:p>
            <w:pPr>
              <w:spacing w:before="0" w:line="500" w:lineRule="exact"/>
              <w:rPr>
                <w:rFonts w:ascii="仿宋" w:eastAsia="仿宋" w:hAnsi="仿宋" w:hint="eastAsia"/>
                <w:sz w:val="28"/>
                <w:szCs w:val="28"/>
              </w:rPr>
            </w:pPr>
            <w:r>
              <w:rPr>
                <w:rFonts w:ascii="仿宋" w:eastAsia="仿宋" w:hAnsi="仿宋" w:hint="eastAsia"/>
                <w:sz w:val="28"/>
                <w:szCs w:val="28"/>
              </w:rPr>
              <w:t>古有云：针所不及，灸之为宜。如能在电针的基础上配合雷火灸治疗,尽早并且能最大限度的恢复患者的膀胱功能,提高患者的生存质量，将给更多</w:t>
            </w:r>
          </w:p>
          <w:p>
            <w:pPr>
              <w:tabs>
                <w:tab w:val="left" w:pos="-142"/>
              </w:tabs>
              <w:spacing w:line="500" w:lineRule="exact"/>
              <w:rPr>
                <w:rFonts w:ascii="仿宋" w:eastAsia="仿宋" w:hAnsi="仿宋" w:hint="eastAsia"/>
                <w:sz w:val="28"/>
                <w:szCs w:val="28"/>
              </w:rPr>
            </w:pPr>
            <w:r>
              <w:rPr>
                <w:rFonts w:ascii="仿宋" w:eastAsia="仿宋" w:hAnsi="仿宋" w:hint="eastAsia"/>
                <w:sz w:val="28"/>
                <w:szCs w:val="28"/>
              </w:rPr>
              <w:t>的患者带来希望。SCI患者重新进入其家庭,社会角色生活的愿望终将成为现实。研究表明，艾灸可以增补元气、温经活络以及促进机体气血调和，从而达到治愈疾病的作用。而雷火灸是在艾灸疗法的基础上，是在传统的雷火针灸改进而来，具有着药效力强、灸疗面广、高渗透性的特点。梁氏</w:t>
            </w:r>
            <w:r>
              <w:rPr>
                <w:rFonts w:ascii="仿宋" w:eastAsia="仿宋" w:hAnsi="仿宋" w:hint="eastAsia"/>
                <w:sz w:val="28"/>
                <w:szCs w:val="28"/>
                <w:vertAlign w:val="superscript"/>
              </w:rPr>
              <w:t>[12]</w:t>
            </w:r>
            <w:r>
              <w:rPr>
                <w:rFonts w:ascii="仿宋" w:eastAsia="仿宋" w:hAnsi="仿宋" w:hint="eastAsia"/>
                <w:sz w:val="28"/>
                <w:szCs w:val="28"/>
              </w:rPr>
              <w:t>运用雷火灸结合腹针治疗脊髓损伤后潴留型神经源性膀胱认为艾灸能够促进机体损伤的修复，恢复尿道括约肌和膀胱颈肌肉的主动控尿，而研究表明两者结合有助于膀胱排尿功能的恢复。综上，以针灸为代表的祖国传统医学在治疗脊髓损伤后神经源性膀胱的治疗上发挥着重要的作用。</w:t>
            </w:r>
          </w:p>
          <w:p>
            <w:pPr>
              <w:spacing w:line="500" w:lineRule="exact"/>
              <w:ind w:firstLine="560"/>
              <w:rPr>
                <w:rFonts w:ascii="仿宋" w:eastAsia="仿宋" w:hAnsi="仿宋" w:hint="eastAsia"/>
                <w:sz w:val="28"/>
                <w:szCs w:val="28"/>
              </w:rPr>
            </w:pPr>
            <w:r>
              <w:rPr>
                <w:rFonts w:ascii="仿宋" w:eastAsia="仿宋" w:hAnsi="仿宋" w:cs="仿宋" w:hint="eastAsia"/>
                <w:sz w:val="28"/>
                <w:szCs w:val="28"/>
              </w:rPr>
              <w:t>目前，神经源性膀胱治疗方式多样，但缺乏规范化的管控，诊疗标准不统一，治疗机理不明确，</w:t>
            </w:r>
            <w:r>
              <w:rPr>
                <w:rFonts w:ascii="仿宋" w:eastAsia="仿宋" w:hAnsi="仿宋" w:hint="eastAsia"/>
                <w:kern w:val="0"/>
                <w:sz w:val="28"/>
                <w:szCs w:val="28"/>
              </w:rPr>
              <w:t>临床疗效难以比较，尚需在大量实验和临床研究的基础上制定客观的诊疗标准。</w:t>
            </w:r>
            <w:r>
              <w:rPr>
                <w:rFonts w:ascii="仿宋" w:eastAsia="仿宋" w:hAnsi="仿宋" w:cs="仿宋" w:hint="eastAsia"/>
                <w:sz w:val="28"/>
                <w:szCs w:val="28"/>
              </w:rPr>
              <w:t>本课题基于多年在临床实践中发现雷火灸结合电针对治疗神经源性膀胱具有明显疗效，</w:t>
            </w:r>
            <w:r>
              <w:rPr>
                <w:rFonts w:ascii="仿宋" w:eastAsia="仿宋" w:hAnsi="仿宋" w:hint="eastAsia"/>
                <w:kern w:val="0"/>
                <w:sz w:val="28"/>
                <w:szCs w:val="28"/>
              </w:rPr>
              <w:t>采用电针疗法结合雷火灸，两者相互协同、共同激发</w:t>
            </w:r>
            <w:r>
              <w:rPr>
                <w:rFonts w:ascii="仿宋" w:eastAsia="仿宋" w:hAnsi="仿宋" w:cs="仿宋" w:hint="eastAsia"/>
                <w:sz w:val="28"/>
                <w:szCs w:val="28"/>
              </w:rPr>
              <w:t>对改善神经源性膀胱患者生存质量有着重大意义。因此，本项目</w:t>
            </w:r>
            <w:r>
              <w:rPr>
                <w:rFonts w:ascii="仿宋" w:eastAsia="仿宋" w:hAnsi="仿宋" w:hint="eastAsia"/>
                <w:sz w:val="28"/>
                <w:szCs w:val="28"/>
              </w:rPr>
              <w:t>通过对神经源性膀胱患者治疗前后临床有效性、安全性进行系统评估，以期获得雷火灸结合电针治疗神经源性膀胱的相关依据，以更好地为临床服务。</w:t>
            </w:r>
          </w:p>
          <w:p>
            <w:pPr>
              <w:spacing w:line="500" w:lineRule="exact"/>
              <w:ind w:firstLine="560"/>
              <w:rPr>
                <w:rFonts w:ascii="仿宋" w:eastAsia="仿宋" w:hAnsi="仿宋" w:hint="eastAsia"/>
                <w:sz w:val="28"/>
                <w:szCs w:val="28"/>
              </w:rPr>
            </w:pPr>
          </w:p>
          <w:p>
            <w:pPr>
              <w:spacing w:line="500" w:lineRule="exact"/>
              <w:ind w:firstLine="560" w:firstLineChars="200"/>
              <w:jc w:val="both"/>
              <w:rPr>
                <w:rFonts w:ascii="仿宋" w:eastAsia="仿宋" w:hAnsi="仿宋" w:hint="eastAsia"/>
                <w:sz w:val="28"/>
                <w:szCs w:val="28"/>
              </w:rPr>
            </w:pPr>
            <w:r>
              <w:rPr>
                <w:rFonts w:ascii="仿宋" w:eastAsia="仿宋" w:hAnsi="仿宋" w:hint="eastAsia"/>
                <w:sz w:val="28"/>
                <w:szCs w:val="28"/>
                <w:lang w:val="en-US" w:eastAsia="zh-CN"/>
              </w:rPr>
              <w:t xml:space="preserve">                       </w:t>
            </w:r>
            <w:r>
              <w:rPr>
                <w:rFonts w:ascii="仿宋" w:eastAsia="仿宋" w:hAnsi="仿宋" w:hint="eastAsia"/>
                <w:sz w:val="28"/>
                <w:szCs w:val="28"/>
              </w:rPr>
              <w:t>参考文献</w:t>
            </w:r>
          </w:p>
          <w:p>
            <w:pPr>
              <w:spacing w:line="360" w:lineRule="auto"/>
              <w:ind w:left="240" w:hanging="240" w:hangingChars="100"/>
              <w:rPr>
                <w:rFonts w:ascii="仿宋" w:eastAsia="仿宋" w:hAnsi="仿宋" w:hint="eastAsia"/>
                <w:sz w:val="24"/>
              </w:rPr>
            </w:pPr>
            <w:r>
              <w:rPr>
                <w:rFonts w:ascii="仿宋" w:eastAsia="仿宋" w:hAnsi="仿宋" w:hint="eastAsia"/>
                <w:sz w:val="24"/>
              </w:rPr>
              <w:t>[1]Bradbury EJ,McMahon SB.Spinal cord repair strategies:why do they work?Nat Rev Neurosci.2006;7(8):644-653.</w:t>
            </w:r>
          </w:p>
          <w:p>
            <w:pPr>
              <w:spacing w:line="360" w:lineRule="auto"/>
              <w:ind w:left="240" w:hanging="240" w:hangingChars="100"/>
              <w:rPr>
                <w:rFonts w:ascii="仿宋" w:eastAsia="仿宋" w:hAnsi="仿宋" w:hint="eastAsia"/>
                <w:sz w:val="24"/>
              </w:rPr>
            </w:pPr>
            <w:r>
              <w:rPr>
                <w:rFonts w:ascii="仿宋" w:eastAsia="仿宋" w:hAnsi="仿宋" w:hint="eastAsia"/>
                <w:sz w:val="24"/>
              </w:rPr>
              <w:t>[2]王桂荣，吴蔚，杨凤翔，等.膀胱尿压测定评定系统在糖尿病神经源性膀胱护理中的应用[J].中华现代护理杂志，2014，49（28）：3641-3648.</w:t>
            </w:r>
          </w:p>
          <w:p>
            <w:pPr>
              <w:spacing w:line="500" w:lineRule="exact"/>
              <w:ind w:left="360" w:hanging="360" w:hangingChars="150"/>
              <w:rPr>
                <w:rFonts w:ascii="仿宋" w:eastAsia="仿宋" w:hAnsi="仿宋"/>
                <w:sz w:val="24"/>
              </w:rPr>
            </w:pPr>
            <w:r>
              <w:rPr>
                <w:rFonts w:ascii="仿宋" w:eastAsia="仿宋" w:hAnsi="仿宋" w:hint="eastAsia"/>
                <w:sz w:val="24"/>
              </w:rPr>
              <w:t xml:space="preserve">[3]Lopatkin N A and R V Saliukov. Urination disorders in patients with spinal and spinal cord trauma. Urologiia, 2010(4): 54-61. </w:t>
            </w:r>
          </w:p>
          <w:p>
            <w:pPr>
              <w:spacing w:line="500" w:lineRule="exact"/>
              <w:ind w:left="360" w:hanging="360" w:hangingChars="150"/>
              <w:rPr>
                <w:rFonts w:ascii="仿宋" w:eastAsia="仿宋" w:hAnsi="仿宋" w:hint="eastAsia"/>
                <w:sz w:val="24"/>
              </w:rPr>
            </w:pPr>
            <w:r>
              <w:rPr>
                <w:rFonts w:ascii="仿宋" w:eastAsia="仿宋" w:hAnsi="仿宋" w:hint="eastAsia"/>
                <w:sz w:val="24"/>
              </w:rPr>
              <w:t xml:space="preserve">[4]Benarroch E E.Neural control of the bladder: recent  advances and neurologic implications.Neurology,2010.75(20): 1839-46. </w:t>
            </w:r>
          </w:p>
        </w:tc>
      </w:tr>
    </w:tbl>
    <w:p>
      <w:pPr>
        <w:sectPr>
          <w:headerReference w:type="default" r:id="rId22"/>
          <w:footerReference w:type="even" r:id="rId23"/>
          <w:footerReference w:type="default" r:id="rId24"/>
          <w:type w:val="nextPage"/>
          <w:pgSz w:w="11907" w:h="16840"/>
          <w:pgMar w:top="1701" w:right="1418" w:bottom="1418" w:left="1701" w:header="851" w:footer="992" w:gutter="0"/>
          <w:pgNumType w:fmt="numberInDash" w:start="6"/>
          <w:cols w:space="708"/>
          <w:titlePg w:val="0"/>
          <w:docGrid w:type="linesAndChars" w:linePitch="312"/>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525"/>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5630"/>
          <w:jc w:val="center"/>
        </w:trPr>
        <w:tc>
          <w:tcPr>
            <w:tcBorders>
              <w:bottom w:val="single" w:sz="4" w:space="0" w:color="auto"/>
            </w:tcBorders>
          </w:tcPr>
          <w:p>
            <w:pPr>
              <w:spacing w:line="500" w:lineRule="exact"/>
              <w:ind w:left="360" w:hanging="360" w:hangingChars="150"/>
              <w:rPr>
                <w:rFonts w:ascii="仿宋" w:eastAsia="仿宋" w:hAnsi="仿宋" w:hint="eastAsia"/>
                <w:sz w:val="24"/>
              </w:rPr>
            </w:pPr>
            <w:r>
              <w:rPr>
                <w:rFonts w:ascii="仿宋" w:eastAsia="仿宋" w:hAnsi="仿宋" w:hint="eastAsia"/>
                <w:sz w:val="24"/>
              </w:rPr>
              <w:t>[5]李景兴,张泓,艾坤等.电针对骶髓损伤后神经源性膀胱容量及其组织形态学的影响[J].中国组织工程研究2013,50(17):8697-8701.</w:t>
            </w:r>
          </w:p>
          <w:p>
            <w:pPr>
              <w:spacing w:line="500" w:lineRule="exact"/>
              <w:ind w:left="360" w:hanging="360" w:hangingChars="150"/>
              <w:rPr>
                <w:rFonts w:ascii="仿宋" w:eastAsia="仿宋" w:hAnsi="仿宋" w:hint="eastAsia"/>
                <w:sz w:val="24"/>
              </w:rPr>
            </w:pPr>
            <w:r>
              <w:rPr>
                <w:rFonts w:ascii="仿宋" w:eastAsia="仿宋" w:hAnsi="仿宋" w:hint="eastAsia"/>
                <w:sz w:val="24"/>
              </w:rPr>
              <w:t>[6]张素花.电针治疗脊髓损伤后神经源性膀胱45例临床观察[J].浙江中医杂志,2008,43(11):654.</w:t>
            </w:r>
          </w:p>
          <w:p>
            <w:pPr>
              <w:spacing w:line="500" w:lineRule="exact"/>
              <w:ind w:left="360" w:hanging="360" w:hangingChars="150"/>
              <w:rPr>
                <w:rFonts w:ascii="仿宋" w:eastAsia="仿宋" w:hAnsi="仿宋" w:hint="eastAsia"/>
                <w:sz w:val="24"/>
              </w:rPr>
            </w:pPr>
            <w:r>
              <w:rPr>
                <w:rFonts w:ascii="仿宋" w:eastAsia="仿宋" w:hAnsi="仿宋" w:hint="eastAsia"/>
                <w:sz w:val="24"/>
              </w:rPr>
              <w:t>[7]闫鹏，郑伟东，谭云冰，等.</w:t>
            </w:r>
            <w:r>
              <w:rPr>
                <w:rFonts w:hint="eastAsia"/>
              </w:rPr>
              <w:t xml:space="preserve"> </w:t>
            </w:r>
            <w:r>
              <w:rPr>
                <w:rFonts w:ascii="仿宋" w:eastAsia="仿宋" w:hAnsi="仿宋" w:hint="eastAsia"/>
                <w:sz w:val="24"/>
              </w:rPr>
              <w:t>电刺激脊髓损伤模型兔肛周皮肤调控神经源性膀胱内压[J]. 中国组织工程研究2015,49(19):7932-7937.</w:t>
            </w:r>
          </w:p>
          <w:p>
            <w:pPr>
              <w:spacing w:line="500" w:lineRule="exact"/>
              <w:ind w:left="408" w:hanging="408" w:hangingChars="170"/>
              <w:jc w:val="left"/>
              <w:rPr>
                <w:rFonts w:ascii="仿宋" w:eastAsia="仿宋" w:hAnsi="仿宋" w:hint="eastAsia"/>
                <w:sz w:val="24"/>
              </w:rPr>
            </w:pPr>
            <w:r>
              <w:rPr>
                <w:rFonts w:ascii="仿宋" w:eastAsia="仿宋" w:hAnsi="仿宋" w:hint="eastAsia"/>
                <w:sz w:val="24"/>
              </w:rPr>
              <w:t xml:space="preserve">[8]爱坤，张泓，匡静之，等.电针对骶上脊髓损伤后神经源性膀胱大鼠脊髓组织中神经生长因子和酪氨酸激酶受体A表达的影响[J].中国康复医学杂志2014,29(10):948-950. </w:t>
            </w:r>
          </w:p>
          <w:p>
            <w:pPr>
              <w:spacing w:line="500" w:lineRule="exact"/>
              <w:ind w:left="360" w:hanging="360" w:hangingChars="150"/>
              <w:rPr>
                <w:rFonts w:ascii="仿宋" w:eastAsia="仿宋" w:hAnsi="仿宋" w:hint="eastAsia"/>
                <w:sz w:val="24"/>
              </w:rPr>
            </w:pPr>
            <w:r>
              <w:rPr>
                <w:rFonts w:ascii="仿宋" w:eastAsia="仿宋" w:hAnsi="仿宋" w:hint="eastAsia"/>
                <w:sz w:val="24"/>
              </w:rPr>
              <w:t>[9]全仁夫，陈荣良，徐世超，等.芒针透刺秩边-水道穴对脊髓损伤后尿潴留膀胱尿动力学的影响[J]. 中国骨伤2013,26(1):54-58.</w:t>
            </w:r>
          </w:p>
          <w:p>
            <w:pPr>
              <w:spacing w:line="500" w:lineRule="exact"/>
              <w:ind w:left="480" w:hanging="480" w:hangingChars="200"/>
              <w:rPr>
                <w:rFonts w:ascii="仿宋" w:eastAsia="仿宋" w:hAnsi="仿宋" w:hint="eastAsia"/>
                <w:sz w:val="24"/>
              </w:rPr>
            </w:pPr>
            <w:r>
              <w:rPr>
                <w:rFonts w:ascii="仿宋" w:eastAsia="仿宋" w:hAnsi="仿宋" w:hint="eastAsia"/>
                <w:sz w:val="24"/>
              </w:rPr>
              <w:t>[10]焦永波，王晶，刘春茹，等.</w:t>
            </w:r>
            <w:r>
              <w:rPr>
                <w:rFonts w:hint="eastAsia"/>
              </w:rPr>
              <w:t xml:space="preserve"> </w:t>
            </w:r>
            <w:r>
              <w:rPr>
                <w:rFonts w:ascii="仿宋" w:eastAsia="仿宋" w:hAnsi="仿宋" w:hint="eastAsia"/>
                <w:sz w:val="24"/>
              </w:rPr>
              <w:t>电针治疗脊髓损伤后神经源性膀胱的取穴组方及理论探讨[J]. 中国临床医学2016,29(8):105-106.</w:t>
            </w:r>
          </w:p>
          <w:p>
            <w:pPr>
              <w:spacing w:line="500" w:lineRule="exact"/>
              <w:ind w:left="480" w:hanging="480" w:hangingChars="200"/>
              <w:rPr>
                <w:rFonts w:ascii="仿宋" w:eastAsia="仿宋" w:hAnsi="仿宋" w:hint="eastAsia"/>
                <w:sz w:val="24"/>
              </w:rPr>
            </w:pPr>
            <w:r>
              <w:rPr>
                <w:rFonts w:ascii="仿宋" w:eastAsia="仿宋" w:hAnsi="仿宋" w:hint="eastAsia"/>
                <w:sz w:val="24"/>
              </w:rPr>
              <w:t>[11]崔颖，郭宝.</w:t>
            </w:r>
            <w:r>
              <w:rPr>
                <w:rFonts w:hint="eastAsia"/>
              </w:rPr>
              <w:t xml:space="preserve"> </w:t>
            </w:r>
            <w:r>
              <w:rPr>
                <w:rFonts w:ascii="仿宋" w:eastAsia="仿宋" w:hAnsi="仿宋" w:hint="eastAsia"/>
                <w:sz w:val="24"/>
              </w:rPr>
              <w:t>针灸联合康复护理促进脊髓损伤后神经源性膀胱恢复[J]. 长春中医药大学学报2016,32(3):550-554.</w:t>
            </w:r>
          </w:p>
          <w:p>
            <w:pPr>
              <w:spacing w:line="500" w:lineRule="exact"/>
              <w:ind w:left="480" w:hanging="480" w:hangingChars="200"/>
              <w:rPr>
                <w:rFonts w:ascii="仿宋" w:eastAsia="仿宋" w:hAnsi="仿宋" w:hint="eastAsia"/>
                <w:sz w:val="24"/>
              </w:rPr>
            </w:pPr>
            <w:r>
              <w:rPr>
                <w:rFonts w:ascii="仿宋" w:eastAsia="仿宋" w:hAnsi="仿宋" w:hint="eastAsia"/>
                <w:sz w:val="24"/>
              </w:rPr>
              <w:t>[12]梁美光.</w:t>
            </w:r>
            <w:r>
              <w:rPr>
                <w:rFonts w:hint="eastAsia"/>
              </w:rPr>
              <w:t xml:space="preserve"> </w:t>
            </w:r>
            <w:r>
              <w:rPr>
                <w:rFonts w:ascii="仿宋" w:eastAsia="仿宋" w:hAnsi="仿宋" w:hint="eastAsia"/>
                <w:sz w:val="24"/>
              </w:rPr>
              <w:t>雷火灸结合腹针对脊髓损伤后潴留型神经源性膀胱的疗效观察[J]. 内蒙古中医药2014,8(23):60-61.</w:t>
            </w:r>
          </w:p>
          <w:p>
            <w:pPr>
              <w:spacing w:line="500" w:lineRule="exact"/>
              <w:ind w:left="360" w:hanging="360" w:hangingChars="150"/>
              <w:rPr>
                <w:rFonts w:ascii="仿宋" w:eastAsia="仿宋" w:hAnsi="仿宋" w:hint="eastAsia"/>
                <w:sz w:val="24"/>
              </w:rPr>
            </w:pPr>
          </w:p>
          <w:p>
            <w:pPr>
              <w:spacing w:line="500" w:lineRule="exact"/>
              <w:rPr>
                <w:rFonts w:ascii="仿宋" w:eastAsia="仿宋" w:hAnsi="仿宋" w:hint="eastAsia"/>
                <w:sz w:val="28"/>
                <w:szCs w:val="28"/>
              </w:rPr>
            </w:pPr>
          </w:p>
        </w:tc>
      </w:tr>
    </w:tbl>
    <w:p>
      <w:pPr>
        <w:sectPr>
          <w:headerReference w:type="default" r:id="rId25"/>
          <w:footerReference w:type="even" r:id="rId26"/>
          <w:footerReference w:type="default" r:id="rId27"/>
          <w:type w:val="nextPage"/>
          <w:pgSz w:w="11907" w:h="16840"/>
          <w:pgMar w:top="1701" w:right="1418" w:bottom="1418" w:left="1701" w:header="851" w:footer="992" w:gutter="0"/>
          <w:pgNumType w:fmt="numberInDash" w:start="7"/>
          <w:cols w:space="708"/>
          <w:titlePg w:val="0"/>
          <w:docGrid w:type="linesAndChars" w:linePitch="312"/>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525"/>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3298"/>
          <w:jc w:val="center"/>
        </w:trPr>
        <w:tc>
          <w:tcPr/>
          <w:p>
            <w:pPr>
              <w:spacing w:line="500" w:lineRule="exact"/>
              <w:rPr>
                <w:rFonts w:ascii="仿宋" w:eastAsia="仿宋" w:hAnsi="仿宋" w:hint="eastAsia"/>
                <w:sz w:val="24"/>
              </w:rPr>
            </w:pPr>
          </w:p>
          <w:p>
            <w:pPr>
              <w:spacing w:line="420" w:lineRule="exact"/>
              <w:ind w:firstLine="560" w:firstLineChars="200"/>
              <w:rPr>
                <w:rFonts w:ascii="仿宋_GB2312" w:eastAsia="仿宋_GB2312" w:hAnsi="宋体"/>
                <w:sz w:val="28"/>
                <w:szCs w:val="28"/>
              </w:rPr>
            </w:pPr>
          </w:p>
        </w:tc>
      </w:tr>
    </w:tbl>
    <w:p>
      <w:pPr>
        <w:sectPr>
          <w:headerReference w:type="default" r:id="rId28"/>
          <w:footerReference w:type="even" r:id="rId29"/>
          <w:footerReference w:type="default" r:id="rId30"/>
          <w:type w:val="nextPage"/>
          <w:pgSz w:w="11907" w:h="16840"/>
          <w:pgMar w:top="1701" w:right="1418" w:bottom="1418" w:left="1701" w:header="851" w:footer="992" w:gutter="0"/>
          <w:pgNumType w:fmt="numberInDash" w:start="8"/>
          <w:cols w:space="708"/>
          <w:titlePg w:val="0"/>
          <w:docGrid w:type="linesAndChars" w:linePitch="312"/>
        </w:sectPr>
      </w:pPr>
    </w:p>
    <w:tbl>
      <w:tblPr>
        <w:tblStyle w:val="TableNorm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9778"/>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7895"/>
        </w:trPr>
        <w:tc>
          <w:tcPr>
            <w:tcW w:w="9778" w:type="dxa"/>
          </w:tcPr>
          <w:p>
            <w:pPr>
              <w:spacing w:line="420" w:lineRule="exact"/>
              <w:rPr>
                <w:rFonts w:ascii="仿宋_GB2312" w:eastAsia="仿宋_GB2312" w:hAnsi="宋体"/>
                <w:b/>
                <w:bCs/>
                <w:sz w:val="28"/>
                <w:szCs w:val="28"/>
              </w:rPr>
            </w:pPr>
            <w:r>
              <w:rPr>
                <w:rFonts w:ascii="仿宋_GB2312" w:eastAsia="仿宋_GB2312" w:hAnsi="宋体"/>
                <w:b/>
                <w:bCs/>
                <w:sz w:val="28"/>
                <w:szCs w:val="28"/>
              </w:rPr>
              <w:t>2.</w:t>
            </w:r>
            <w:r>
              <w:rPr>
                <w:rFonts w:ascii="仿宋_GB2312" w:eastAsia="仿宋_GB2312" w:hAnsi="宋体" w:hint="eastAsia"/>
                <w:b/>
                <w:bCs/>
                <w:sz w:val="28"/>
                <w:szCs w:val="28"/>
              </w:rPr>
              <w:t>研究目标（包括阶段目标、最终目标、成果水平，社会、经济效益及推广应用等）</w:t>
            </w:r>
          </w:p>
          <w:p>
            <w:pPr>
              <w:adjustRightInd w:val="0"/>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2.1阶段目标：</w:t>
            </w:r>
          </w:p>
          <w:p>
            <w:pPr>
              <w:adjustRightInd w:val="0"/>
              <w:snapToGrid w:val="0"/>
              <w:spacing w:line="360" w:lineRule="auto"/>
              <w:ind w:firstLine="560" w:firstLineChars="200"/>
              <w:rPr>
                <w:rFonts w:ascii="仿宋" w:eastAsia="仿宋" w:hAnsi="仿宋" w:hint="eastAsia"/>
                <w:color w:val="000000"/>
                <w:sz w:val="28"/>
                <w:szCs w:val="28"/>
              </w:rPr>
            </w:pPr>
            <w:r>
              <w:rPr>
                <w:rFonts w:ascii="仿宋" w:eastAsia="仿宋" w:hAnsi="仿宋" w:cs="仿宋" w:hint="eastAsia"/>
                <w:sz w:val="28"/>
                <w:szCs w:val="28"/>
              </w:rPr>
              <w:t>第一阶段：</w:t>
            </w:r>
            <w:r>
              <w:rPr>
                <w:rFonts w:ascii="仿宋" w:eastAsia="仿宋" w:hAnsi="仿宋" w:hint="eastAsia"/>
                <w:color w:val="000000"/>
                <w:sz w:val="28"/>
                <w:szCs w:val="28"/>
              </w:rPr>
              <w:t>完成60例患者的招募工作、进行患者资料建档、量表问卷调查、治疗操作工作。</w:t>
            </w:r>
          </w:p>
          <w:p>
            <w:pPr>
              <w:adjustRightInd w:val="0"/>
              <w:snapToGrid w:val="0"/>
              <w:spacing w:line="360" w:lineRule="auto"/>
              <w:ind w:firstLine="560" w:firstLineChars="200"/>
              <w:rPr>
                <w:rFonts w:ascii="仿宋" w:eastAsia="仿宋" w:hAnsi="仿宋" w:hint="eastAsia"/>
                <w:color w:val="000000"/>
                <w:sz w:val="28"/>
                <w:szCs w:val="28"/>
              </w:rPr>
            </w:pPr>
            <w:r>
              <w:rPr>
                <w:rFonts w:ascii="仿宋" w:eastAsia="仿宋" w:hAnsi="仿宋" w:hint="eastAsia"/>
                <w:color w:val="000000"/>
                <w:sz w:val="28"/>
                <w:szCs w:val="28"/>
              </w:rPr>
              <w:t>第二阶段：完成数据收集工作，进行研究资料的整理，进行数据统计处理，公开发表学术论文3篇。</w:t>
            </w:r>
          </w:p>
          <w:p>
            <w:pPr>
              <w:adjustRightInd w:val="0"/>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2.2 最终目标：</w:t>
            </w:r>
          </w:p>
          <w:p>
            <w:pPr>
              <w:adjustRightInd w:val="0"/>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探索雷火灸结合电针对脊髓损伤后神经源性膀胱的治疗作用，为临床治疗神经源性膀胱提供理论依据。</w:t>
            </w:r>
          </w:p>
          <w:p>
            <w:pPr>
              <w:adjustRightInd w:val="0"/>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2.3 成果水平</w:t>
            </w:r>
          </w:p>
          <w:p>
            <w:pPr>
              <w:adjustRightInd w:val="0"/>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预计研究成果达到区内领先水平</w:t>
            </w:r>
          </w:p>
          <w:p>
            <w:pPr>
              <w:adjustRightInd w:val="0"/>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2.4 社会、经济效益</w:t>
            </w:r>
          </w:p>
          <w:p>
            <w:pPr>
              <w:adjustRightInd w:val="0"/>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该研究成果可减少患者的住院天数，降低治疗费用、减轻患者及家庭的经济负担，提高治疗有效率，提高患者的生存质量。</w:t>
            </w:r>
          </w:p>
          <w:p>
            <w:pPr>
              <w:adjustRightInd w:val="0"/>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2.5推广应用价值</w:t>
            </w:r>
          </w:p>
          <w:p>
            <w:pPr>
              <w:adjustRightInd w:val="0"/>
              <w:snapToGrid w:val="0"/>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本课题成果可指导医疗卫生人员对脊髓损伤后神经源性膀胱进行有效治疗。</w:t>
            </w:r>
          </w:p>
          <w:p>
            <w:pPr>
              <w:adjustRightInd w:val="0"/>
              <w:snapToGrid w:val="0"/>
              <w:spacing w:line="360" w:lineRule="auto"/>
              <w:ind w:firstLine="420" w:firstLineChars="200"/>
            </w:pPr>
          </w:p>
        </w:tc>
      </w:tr>
      <w:tr>
        <w:tblPrEx>
          <w:tblLayout w:type="fixed"/>
          <w:tblCellMar>
            <w:top w:w="0" w:type="dxa"/>
            <w:left w:w="108" w:type="dxa"/>
            <w:bottom w:w="0" w:type="dxa"/>
            <w:right w:w="108" w:type="dxa"/>
          </w:tblCellMar>
          <w:tblLook w:val="0000"/>
        </w:tblPrEx>
        <w:trPr>
          <w:trHeight w:val="2589"/>
        </w:trPr>
        <w:tc>
          <w:tcPr>
            <w:tcW w:w="9778" w:type="dxa"/>
          </w:tcPr>
          <w:p>
            <w:pPr>
              <w:spacing w:line="420" w:lineRule="exact"/>
              <w:rPr>
                <w:rFonts w:ascii="仿宋_GB2312" w:eastAsia="仿宋_GB2312" w:hAnsi="宋体" w:hint="eastAsia"/>
                <w:sz w:val="28"/>
                <w:szCs w:val="28"/>
              </w:rPr>
            </w:pPr>
            <w:r>
              <w:rPr>
                <w:rFonts w:ascii="仿宋_GB2312" w:eastAsia="仿宋_GB2312" w:hAnsi="宋体" w:hint="eastAsia"/>
                <w:sz w:val="28"/>
                <w:szCs w:val="28"/>
              </w:rPr>
              <w:t>预期成果形式：</w:t>
            </w:r>
          </w:p>
          <w:p>
            <w:pPr>
              <w:spacing w:line="420" w:lineRule="exact"/>
              <w:ind w:firstLine="560" w:firstLineChars="200"/>
              <w:rPr>
                <w:rFonts w:ascii="仿宋_GB2312" w:eastAsia="仿宋_GB2312" w:hAnsi="宋体"/>
                <w:sz w:val="28"/>
                <w:szCs w:val="28"/>
              </w:rPr>
            </w:pPr>
            <w:r>
              <w:rPr>
                <w:rFonts w:ascii="仿宋_GB2312" w:eastAsia="仿宋_GB2312" w:hAnsi="宋体" w:hint="eastAsia"/>
                <w:sz w:val="28"/>
                <w:szCs w:val="28"/>
                <w:bdr w:val="single" w:sz="4" w:space="0" w:color="auto"/>
              </w:rPr>
              <w:t>1</w:t>
            </w:r>
            <w:r>
              <w:rPr>
                <w:rFonts w:ascii="仿宋_GB2312" w:eastAsia="仿宋_GB2312" w:hAnsi="宋体" w:hint="eastAsia"/>
                <w:sz w:val="28"/>
                <w:szCs w:val="28"/>
              </w:rPr>
              <w:t>论文      2报告      3新技术方法    4产品</w:t>
            </w:r>
          </w:p>
          <w:p>
            <w:pPr>
              <w:spacing w:line="420" w:lineRule="exact"/>
              <w:rPr>
                <w:rFonts w:ascii="仿宋_GB2312" w:eastAsia="仿宋_GB2312" w:hAnsi="宋体" w:hint="eastAsia"/>
                <w:sz w:val="28"/>
                <w:szCs w:val="28"/>
              </w:rPr>
            </w:pPr>
          </w:p>
        </w:tc>
      </w:tr>
    </w:tbl>
    <w:p>
      <w:pPr>
        <w:sectPr>
          <w:headerReference w:type="default" r:id="rId31"/>
          <w:footerReference w:type="even" r:id="rId32"/>
          <w:footerReference w:type="default" r:id="rId33"/>
          <w:type w:val="nextPage"/>
          <w:pgSz w:w="11907" w:h="16840"/>
          <w:pgMar w:top="1701" w:right="1418" w:bottom="1418" w:left="1701" w:header="851" w:footer="992" w:gutter="0"/>
          <w:pgNumType w:fmt="numberInDash" w:start="9"/>
          <w:cols w:space="708"/>
          <w:titlePg w:val="0"/>
          <w:docGrid w:type="linesAndChars" w:linePitch="312"/>
        </w:sectPr>
      </w:pPr>
    </w:p>
    <w:tbl>
      <w:tblPr>
        <w:tblStyle w:val="TableNorm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9778"/>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13110"/>
        </w:trPr>
        <w:tc>
          <w:tcPr>
            <w:tcW w:w="9778" w:type="dxa"/>
          </w:tcPr>
          <w:p>
            <w:pPr>
              <w:spacing w:line="420" w:lineRule="exact"/>
              <w:ind w:firstLine="560" w:firstLineChars="200"/>
              <w:jc w:val="left"/>
              <w:rPr>
                <w:rFonts w:ascii="仿宋_GB2312" w:eastAsia="仿宋_GB2312" w:hAnsi="宋体" w:hint="eastAsia"/>
                <w:b/>
                <w:bCs/>
                <w:sz w:val="28"/>
                <w:szCs w:val="28"/>
              </w:rPr>
            </w:pPr>
            <w:r>
              <w:rPr>
                <w:rFonts w:ascii="仿宋_GB2312" w:eastAsia="仿宋_GB2312" w:hAnsi="宋体"/>
                <w:b/>
                <w:bCs/>
                <w:sz w:val="28"/>
                <w:szCs w:val="28"/>
              </w:rPr>
              <w:t>3.</w:t>
            </w:r>
            <w:r>
              <w:rPr>
                <w:rFonts w:ascii="仿宋_GB2312" w:eastAsia="仿宋_GB2312" w:hAnsi="宋体" w:hint="eastAsia"/>
                <w:b/>
                <w:bCs/>
                <w:sz w:val="28"/>
                <w:szCs w:val="28"/>
              </w:rPr>
              <w:t>研究内容（说明研究项目的具体内容并明确重点解决的科学问题，如应用基础研究，应写明其对学科进步的推动作用和应用前景）</w:t>
            </w:r>
          </w:p>
          <w:p>
            <w:pPr>
              <w:spacing w:line="500" w:lineRule="exact"/>
              <w:rPr>
                <w:rFonts w:ascii="仿宋" w:eastAsia="仿宋" w:hAnsi="仿宋" w:cs="仿宋" w:hint="eastAsia"/>
                <w:sz w:val="28"/>
                <w:szCs w:val="28"/>
              </w:rPr>
            </w:pPr>
            <w:r>
              <w:rPr>
                <w:rFonts w:ascii="仿宋" w:eastAsia="仿宋" w:hAnsi="仿宋" w:cs="仿宋" w:hint="eastAsia"/>
                <w:sz w:val="28"/>
                <w:szCs w:val="28"/>
              </w:rPr>
              <w:t xml:space="preserve">研究课题具体内容： </w:t>
            </w:r>
            <w:r>
              <w:rPr>
                <w:rFonts w:ascii="Wingdings" w:eastAsia="仿宋" w:hAnsi="Wingdings" w:cs="仿宋"/>
                <w:sz w:val="28"/>
                <w:szCs w:val="28"/>
              </w:rPr>
              <w:sym w:font="Wingdings" w:char="F081"/>
            </w:r>
            <w:r>
              <w:rPr>
                <w:rFonts w:ascii="仿宋" w:eastAsia="仿宋" w:hAnsi="仿宋" w:cs="仿宋" w:hint="eastAsia"/>
                <w:sz w:val="28"/>
                <w:szCs w:val="28"/>
              </w:rPr>
              <w:t>观察雷火灸结合电针（治疗组）治疗神经源性膀胱疗效和安全性。</w:t>
            </w:r>
            <w:r>
              <w:rPr>
                <w:rFonts w:ascii="Wingdings" w:eastAsia="仿宋" w:hAnsi="Wingdings" w:cs="仿宋"/>
                <w:sz w:val="28"/>
                <w:szCs w:val="28"/>
              </w:rPr>
              <w:sym w:font="Wingdings" w:char="F082"/>
            </w:r>
            <w:r>
              <w:rPr>
                <w:rFonts w:ascii="仿宋" w:eastAsia="仿宋" w:hAnsi="仿宋" w:cs="仿宋" w:hint="eastAsia"/>
                <w:sz w:val="28"/>
                <w:szCs w:val="28"/>
              </w:rPr>
              <w:t>与电针治疗（对照组）在改善膀胱功能作用方面作对比研究。</w:t>
            </w:r>
          </w:p>
          <w:p>
            <w:pPr>
              <w:autoSpaceDE w:val="0"/>
              <w:autoSpaceDN w:val="0"/>
              <w:adjustRightInd w:val="0"/>
              <w:spacing w:line="500" w:lineRule="exact"/>
              <w:jc w:val="left"/>
              <w:rPr>
                <w:rFonts w:ascii="仿宋" w:eastAsia="仿宋" w:hAnsi="仿宋" w:cs="仿宋" w:hint="eastAsia"/>
                <w:sz w:val="28"/>
                <w:szCs w:val="28"/>
              </w:rPr>
            </w:pPr>
            <w:r>
              <w:rPr>
                <w:rFonts w:ascii="仿宋" w:eastAsia="仿宋" w:hAnsi="仿宋" w:cs="仿宋" w:hint="eastAsia"/>
                <w:sz w:val="28"/>
                <w:szCs w:val="28"/>
              </w:rPr>
              <w:t>重点解决的科学问题：</w:t>
            </w:r>
            <w:r>
              <w:rPr>
                <w:rFonts w:ascii="Wingdings" w:eastAsia="仿宋" w:hAnsi="Wingdings" w:cs="仿宋"/>
                <w:sz w:val="28"/>
                <w:szCs w:val="28"/>
              </w:rPr>
              <w:sym w:font="Wingdings" w:char="F081"/>
            </w:r>
            <w:r>
              <w:rPr>
                <w:rFonts w:ascii="仿宋" w:eastAsia="仿宋" w:hAnsi="仿宋" w:cs="仿宋" w:hint="eastAsia"/>
                <w:sz w:val="28"/>
                <w:szCs w:val="28"/>
              </w:rPr>
              <w:t>对雷火灸结合电针治疗神经源性膀胱的机理进行探讨。</w:t>
            </w:r>
            <w:r>
              <w:rPr>
                <w:rFonts w:ascii="Wingdings" w:eastAsia="仿宋" w:hAnsi="Wingdings" w:cs="仿宋"/>
                <w:sz w:val="28"/>
                <w:szCs w:val="28"/>
              </w:rPr>
              <w:sym w:font="Wingdings" w:char="F082"/>
            </w:r>
            <w:r>
              <w:rPr>
                <w:rFonts w:ascii="仿宋" w:eastAsia="仿宋" w:hAnsi="仿宋" w:cs="仿宋" w:hint="eastAsia"/>
                <w:sz w:val="28"/>
                <w:szCs w:val="28"/>
              </w:rPr>
              <w:t>分析探讨雷火灸结合电针的安全性，可操作性，及电针治疗后膀胱平衡状态相对比研究，具有哪些优势，为临床提供数据。</w:t>
            </w:r>
          </w:p>
          <w:p>
            <w:pPr>
              <w:spacing w:line="420" w:lineRule="exact"/>
              <w:ind w:firstLine="560" w:firstLineChars="200"/>
              <w:jc w:val="left"/>
              <w:rPr>
                <w:rFonts w:ascii="仿宋_GB2312" w:eastAsia="仿宋_GB2312" w:hAnsi="宋体" w:hint="eastAsia"/>
                <w:sz w:val="28"/>
                <w:szCs w:val="28"/>
              </w:rPr>
            </w:pPr>
          </w:p>
        </w:tc>
      </w:tr>
    </w:tbl>
    <w:p>
      <w:pPr>
        <w:sectPr>
          <w:headerReference w:type="default" r:id="rId34"/>
          <w:footerReference w:type="even" r:id="rId35"/>
          <w:footerReference w:type="default" r:id="rId36"/>
          <w:type w:val="nextPage"/>
          <w:pgSz w:w="11907" w:h="16840"/>
          <w:pgMar w:top="1701" w:right="1418" w:bottom="1418" w:left="1701" w:header="851" w:footer="992" w:gutter="0"/>
          <w:pgNumType w:fmt="numberInDash" w:start="10"/>
          <w:cols w:space="708"/>
          <w:titlePg w:val="0"/>
          <w:docGrid w:type="linesAndChars" w:linePitch="312"/>
        </w:sectPr>
      </w:pPr>
    </w:p>
    <w:tbl>
      <w:tblPr>
        <w:tblStyle w:val="TableNorm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9778"/>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10714"/>
        </w:trPr>
        <w:tc>
          <w:tcPr>
            <w:tcW w:w="9778" w:type="dxa"/>
          </w:tcPr>
          <w:p>
            <w:pPr>
              <w:spacing w:line="420" w:lineRule="exact"/>
              <w:ind w:firstLine="560" w:firstLineChars="200"/>
              <w:jc w:val="left"/>
              <w:rPr>
                <w:rFonts w:ascii="仿宋_GB2312" w:eastAsia="仿宋_GB2312" w:hAnsi="宋体" w:hint="eastAsia"/>
                <w:b/>
                <w:bCs/>
                <w:sz w:val="28"/>
                <w:szCs w:val="28"/>
              </w:rPr>
            </w:pPr>
            <w:r>
              <w:rPr>
                <w:rFonts w:ascii="仿宋_GB2312" w:eastAsia="仿宋_GB2312" w:hAnsi="宋体"/>
                <w:b/>
                <w:bCs/>
                <w:sz w:val="28"/>
                <w:szCs w:val="28"/>
              </w:rPr>
              <w:t>4.</w:t>
            </w:r>
            <w:r>
              <w:rPr>
                <w:rFonts w:ascii="仿宋_GB2312" w:eastAsia="仿宋_GB2312" w:hAnsi="宋体" w:hint="eastAsia"/>
                <w:b/>
                <w:bCs/>
                <w:sz w:val="28"/>
                <w:szCs w:val="28"/>
              </w:rPr>
              <w:t>拟采取的研究方法和技术路线（包括研究工作的总体安排和理论分析、计算、实验方法和步骤及其可行性论证）</w:t>
            </w:r>
          </w:p>
          <w:p>
            <w:pPr>
              <w:spacing w:line="360" w:lineRule="auto"/>
              <w:rPr>
                <w:rFonts w:ascii="仿宋" w:eastAsia="仿宋" w:hAnsi="仿宋" w:cs="仿宋" w:hint="eastAsia"/>
                <w:sz w:val="28"/>
                <w:szCs w:val="28"/>
              </w:rPr>
            </w:pPr>
          </w:p>
          <w:p>
            <w:pPr>
              <w:spacing w:line="360" w:lineRule="auto"/>
              <w:rPr>
                <w:rFonts w:ascii="仿宋" w:eastAsia="仿宋" w:hAnsi="仿宋" w:cs="仿宋" w:hint="eastAsia"/>
                <w:sz w:val="28"/>
                <w:szCs w:val="28"/>
              </w:rPr>
            </w:pPr>
            <w:r>
              <w:rPr>
                <w:rFonts w:ascii="仿宋" w:eastAsia="仿宋" w:hAnsi="仿宋" w:cs="仿宋" w:hint="eastAsia"/>
                <w:sz w:val="28"/>
                <w:szCs w:val="28"/>
              </w:rPr>
              <w:t>研究方法及技术路线：</w:t>
            </w:r>
          </w:p>
          <w:p>
            <w:pPr>
              <w:tabs>
                <w:tab w:val="left" w:pos="3465"/>
              </w:tabs>
              <w:spacing w:line="360" w:lineRule="auto"/>
              <w:rPr>
                <w:rFonts w:ascii="仿宋" w:eastAsia="仿宋" w:hAnsi="仿宋" w:cs="仿宋" w:hint="eastAsia"/>
                <w:sz w:val="28"/>
                <w:szCs w:val="28"/>
              </w:rPr>
            </w:pPr>
            <w:r>
              <w:rPr>
                <w:rFonts w:ascii="仿宋" w:eastAsia="仿宋" w:hAnsi="仿宋" w:cs="仿宋" w:hint="eastAsia"/>
                <w:sz w:val="28"/>
                <w:szCs w:val="28"/>
              </w:rPr>
              <w:t>1.病例纳入</w:t>
            </w:r>
            <w:r>
              <w:rPr>
                <w:rFonts w:ascii="仿宋" w:eastAsia="仿宋" w:hAnsi="仿宋" w:cs="仿宋"/>
                <w:sz w:val="28"/>
                <w:szCs w:val="28"/>
              </w:rPr>
              <w:tab/>
            </w:r>
          </w:p>
          <w:p>
            <w:pPr>
              <w:spacing w:line="360" w:lineRule="auto"/>
              <w:rPr>
                <w:rFonts w:ascii="仿宋" w:eastAsia="仿宋" w:hAnsi="仿宋" w:cs="仿宋" w:hint="eastAsia"/>
                <w:sz w:val="28"/>
                <w:szCs w:val="28"/>
              </w:rPr>
            </w:pPr>
            <w:r>
              <w:rPr>
                <w:rFonts w:ascii="仿宋" w:eastAsia="仿宋" w:hAnsi="仿宋" w:cs="仿宋" w:hint="eastAsia"/>
                <w:sz w:val="28"/>
                <w:szCs w:val="28"/>
              </w:rPr>
              <w:t>1.1对象及分组：病患均来自广西柳州钢铁集团有限公司医院康复医学科病房，符合纳入标准共60例患者。按随机数字表法随机分成A、B两组，A组为雷火灸结合电针治疗组（治疗组）B组为电针治疗组（对照组），两组均</w:t>
            </w:r>
            <w:r>
              <w:rPr>
                <w:rFonts w:ascii="仿宋" w:eastAsia="仿宋" w:hAnsi="仿宋" w:hint="eastAsia"/>
                <w:sz w:val="28"/>
                <w:szCs w:val="28"/>
              </w:rPr>
              <w:t>联合常规膀胱再训练治疗</w:t>
            </w:r>
            <w:r>
              <w:rPr>
                <w:rFonts w:ascii="仿宋" w:eastAsia="仿宋" w:hAnsi="仿宋" w:cs="仿宋" w:hint="eastAsia"/>
                <w:sz w:val="28"/>
                <w:szCs w:val="28"/>
              </w:rPr>
              <w:t>，每组各30例。</w:t>
            </w:r>
          </w:p>
          <w:p>
            <w:pPr>
              <w:spacing w:line="360" w:lineRule="auto"/>
              <w:rPr>
                <w:rFonts w:ascii="仿宋" w:eastAsia="仿宋" w:hAnsi="仿宋" w:cs="仿宋" w:hint="eastAsia"/>
                <w:sz w:val="28"/>
                <w:szCs w:val="28"/>
              </w:rPr>
            </w:pPr>
            <w:r>
              <w:rPr>
                <w:rFonts w:ascii="仿宋" w:eastAsia="仿宋" w:hAnsi="仿宋" w:cs="仿宋" w:hint="eastAsia"/>
                <w:sz w:val="28"/>
                <w:szCs w:val="28"/>
              </w:rPr>
              <w:t>1.2纳入标准：</w:t>
            </w:r>
          </w:p>
          <w:p>
            <w:pPr>
              <w:spacing w:line="360" w:lineRule="auto"/>
              <w:rPr>
                <w:rFonts w:ascii="仿宋" w:eastAsia="仿宋" w:hAnsi="仿宋" w:cs="仿宋" w:hint="eastAsia"/>
                <w:sz w:val="28"/>
                <w:szCs w:val="28"/>
              </w:rPr>
            </w:pPr>
            <w:r>
              <w:rPr>
                <w:rFonts w:ascii="仿宋" w:eastAsia="仿宋" w:hAnsi="仿宋" w:cs="仿宋" w:hint="eastAsia"/>
                <w:sz w:val="28"/>
                <w:szCs w:val="28"/>
              </w:rPr>
              <w:t>(l)颈、胸、腰段脊髓损伤患者,诊断符合脊髓损伤神经学分类国际标准（2011年修订），并经脊髓的磁共振成像MRI或CT检查证实，由临床康复医师确诊；</w:t>
            </w:r>
          </w:p>
          <w:p>
            <w:pPr>
              <w:spacing w:line="360" w:lineRule="auto"/>
              <w:rPr>
                <w:rFonts w:ascii="仿宋" w:eastAsia="仿宋" w:hAnsi="仿宋" w:cs="仿宋" w:hint="eastAsia"/>
                <w:sz w:val="28"/>
                <w:szCs w:val="28"/>
              </w:rPr>
            </w:pPr>
            <w:r>
              <w:rPr>
                <w:rFonts w:ascii="仿宋" w:eastAsia="仿宋" w:hAnsi="仿宋" w:cs="仿宋" w:hint="eastAsia"/>
                <w:sz w:val="28"/>
                <w:szCs w:val="28"/>
              </w:rPr>
              <w:t>(2)尿流动力学检查提示存在逼尿肌反射亢进、逼尿肌无力或逼尿肌与尿道括约肌不协同收缩等异常，诊断为神经源性膀胱；</w:t>
            </w:r>
          </w:p>
          <w:p>
            <w:pPr>
              <w:spacing w:line="360" w:lineRule="auto"/>
              <w:rPr>
                <w:rFonts w:ascii="仿宋" w:eastAsia="仿宋" w:hAnsi="仿宋" w:cs="仿宋" w:hint="eastAsia"/>
                <w:sz w:val="28"/>
                <w:szCs w:val="28"/>
              </w:rPr>
            </w:pPr>
            <w:r>
              <w:rPr>
                <w:rFonts w:ascii="仿宋" w:eastAsia="仿宋" w:hAnsi="仿宋" w:cs="仿宋" w:hint="eastAsia"/>
                <w:sz w:val="28"/>
                <w:szCs w:val="28"/>
              </w:rPr>
              <w:t>(3)生命征相对稳定,无严重的临床合并症;</w:t>
            </w:r>
          </w:p>
          <w:p>
            <w:pPr>
              <w:spacing w:line="360" w:lineRule="auto"/>
              <w:rPr>
                <w:rFonts w:ascii="仿宋" w:eastAsia="仿宋" w:hAnsi="仿宋" w:cs="仿宋" w:hint="eastAsia"/>
                <w:sz w:val="28"/>
                <w:szCs w:val="28"/>
              </w:rPr>
            </w:pPr>
            <w:r>
              <w:rPr>
                <w:rFonts w:ascii="仿宋" w:eastAsia="仿宋" w:hAnsi="仿宋" w:cs="仿宋" w:hint="eastAsia"/>
                <w:sz w:val="28"/>
                <w:szCs w:val="28"/>
              </w:rPr>
              <w:t>(4)脊髓休克期已过（球海绵体反射阳性）者；</w:t>
            </w:r>
          </w:p>
          <w:p>
            <w:pPr>
              <w:spacing w:line="360" w:lineRule="auto"/>
              <w:rPr>
                <w:rFonts w:ascii="仿宋" w:eastAsia="仿宋" w:hAnsi="仿宋" w:cs="仿宋" w:hint="eastAsia"/>
                <w:sz w:val="28"/>
                <w:szCs w:val="28"/>
              </w:rPr>
            </w:pPr>
            <w:r>
              <w:rPr>
                <w:rFonts w:ascii="仿宋" w:eastAsia="仿宋" w:hAnsi="仿宋" w:cs="仿宋" w:hint="eastAsia"/>
                <w:sz w:val="28"/>
                <w:szCs w:val="28"/>
              </w:rPr>
              <w:t>(5)拔除导尿管者；</w:t>
            </w:r>
          </w:p>
          <w:p>
            <w:pPr>
              <w:spacing w:line="360" w:lineRule="auto"/>
              <w:rPr>
                <w:rFonts w:ascii="仿宋" w:eastAsia="仿宋" w:hAnsi="仿宋" w:cs="仿宋" w:hint="eastAsia"/>
                <w:sz w:val="28"/>
                <w:szCs w:val="28"/>
              </w:rPr>
            </w:pPr>
            <w:r>
              <w:rPr>
                <w:rFonts w:ascii="仿宋" w:eastAsia="仿宋" w:hAnsi="仿宋" w:cs="仿宋" w:hint="eastAsia"/>
                <w:sz w:val="28"/>
                <w:szCs w:val="28"/>
              </w:rPr>
              <w:t>(6)意识清楚，能配合并自愿接受项目研究，签署《知情同意书》者。</w:t>
            </w:r>
          </w:p>
          <w:p>
            <w:pPr>
              <w:spacing w:line="360" w:lineRule="auto"/>
              <w:rPr>
                <w:rFonts w:ascii="仿宋" w:eastAsia="仿宋" w:hAnsi="仿宋" w:cs="仿宋" w:hint="eastAsia"/>
                <w:sz w:val="28"/>
                <w:szCs w:val="28"/>
              </w:rPr>
            </w:pPr>
            <w:r>
              <w:rPr>
                <w:rFonts w:ascii="仿宋" w:eastAsia="仿宋" w:hAnsi="仿宋" w:cs="仿宋" w:hint="eastAsia"/>
                <w:sz w:val="28"/>
                <w:szCs w:val="28"/>
              </w:rPr>
              <w:t>1.3中医辨证分型：</w:t>
            </w:r>
          </w:p>
          <w:p>
            <w:pPr>
              <w:spacing w:line="360" w:lineRule="auto"/>
              <w:rPr>
                <w:rFonts w:ascii="仿宋" w:eastAsia="仿宋" w:hAnsi="仿宋" w:cs="仿宋" w:hint="eastAsia"/>
                <w:sz w:val="28"/>
                <w:szCs w:val="28"/>
              </w:rPr>
            </w:pPr>
            <w:r>
              <w:rPr>
                <w:rFonts w:ascii="仿宋" w:eastAsia="仿宋" w:hAnsi="仿宋" w:cs="仿宋" w:hint="eastAsia"/>
                <w:sz w:val="28"/>
                <w:szCs w:val="28"/>
              </w:rPr>
              <w:t>（1）气虚血瘀：身体疲倦无力,不想言语,面色淡白或晦滞;小便点滴不出、小腹胀满不适、舌淡暗或见痕斑,脉象沉涩；</w:t>
            </w:r>
          </w:p>
          <w:p>
            <w:pPr>
              <w:spacing w:line="360" w:lineRule="auto"/>
              <w:rPr>
                <w:rFonts w:ascii="仿宋" w:eastAsia="仿宋" w:hAnsi="仿宋" w:cs="仿宋" w:hint="eastAsia"/>
                <w:sz w:val="28"/>
                <w:szCs w:val="28"/>
              </w:rPr>
            </w:pPr>
            <w:r>
              <w:rPr>
                <w:rFonts w:ascii="仿宋" w:eastAsia="仿宋" w:hAnsi="仿宋" w:cs="仿宋" w:hint="eastAsia"/>
                <w:sz w:val="28"/>
                <w:szCs w:val="28"/>
              </w:rPr>
              <w:t>（2）脾肾阳虚:腹部胀满,大便稀烂,腹中冷痛,得温痛减。畏寒四肢冰冷或肢体肿胀,腰膝酸软,小便不利并见小便频数,夜尿频；舌质淡并见齿痕,苔白滑或薄白,脉沉细。</w:t>
            </w:r>
          </w:p>
          <w:p>
            <w:pPr>
              <w:spacing w:after="0" w:line="360" w:lineRule="auto"/>
              <w:rPr>
                <w:rFonts w:ascii="仿宋" w:eastAsia="仿宋" w:hAnsi="仿宋" w:cs="仿宋" w:hint="eastAsia"/>
                <w:sz w:val="28"/>
                <w:szCs w:val="28"/>
              </w:rPr>
            </w:pPr>
            <w:r>
              <w:rPr>
                <w:rFonts w:ascii="仿宋" w:eastAsia="仿宋" w:hAnsi="仿宋" w:cs="仿宋" w:hint="eastAsia"/>
                <w:sz w:val="28"/>
                <w:szCs w:val="28"/>
              </w:rPr>
              <w:t>（3）</w:t>
            </w:r>
          </w:p>
        </w:tc>
      </w:tr>
    </w:tbl>
    <w:p>
      <w:pPr>
        <w:sectPr>
          <w:headerReference w:type="default" r:id="rId37"/>
          <w:footerReference w:type="even" r:id="rId38"/>
          <w:footerReference w:type="default" r:id="rId39"/>
          <w:type w:val="nextPage"/>
          <w:pgSz w:w="11907" w:h="16840"/>
          <w:pgMar w:top="1701" w:right="1418" w:bottom="1418" w:left="1701" w:header="851" w:footer="992" w:gutter="0"/>
          <w:pgNumType w:fmt="numberInDash" w:start="11"/>
          <w:cols w:space="708"/>
          <w:titlePg w:val="0"/>
          <w:docGrid w:type="linesAndChars" w:linePitch="312"/>
        </w:sectPr>
      </w:pPr>
    </w:p>
    <w:tbl>
      <w:tblPr>
        <w:tblStyle w:val="TableNorm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9778"/>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10714"/>
        </w:trPr>
        <w:tc>
          <w:tcPr>
            <w:tcW w:w="9778" w:type="dxa"/>
          </w:tcPr>
          <w:p>
            <w:pPr>
              <w:spacing w:before="0" w:line="360" w:lineRule="auto"/>
              <w:rPr>
                <w:rFonts w:ascii="仿宋" w:eastAsia="仿宋" w:hAnsi="仿宋" w:cs="仿宋" w:hint="eastAsia"/>
                <w:sz w:val="28"/>
                <w:szCs w:val="28"/>
              </w:rPr>
            </w:pPr>
            <w:r>
              <w:rPr>
                <w:rFonts w:ascii="仿宋" w:eastAsia="仿宋" w:hAnsi="仿宋" w:hint="eastAsia"/>
                <w:sz w:val="28"/>
                <w:szCs w:val="28"/>
              </w:rPr>
              <w:t>湿热下注：脘腹痞闷，小便热赤混浊，或尿涩不爽，口舌生疮，大便臭溏，苔黄腻，脉濡数。</w:t>
            </w:r>
          </w:p>
          <w:p>
            <w:pPr>
              <w:spacing w:line="360" w:lineRule="auto"/>
              <w:rPr>
                <w:rFonts w:ascii="仿宋" w:eastAsia="仿宋" w:hAnsi="仿宋" w:cs="仿宋" w:hint="eastAsia"/>
                <w:sz w:val="28"/>
                <w:szCs w:val="28"/>
              </w:rPr>
            </w:pPr>
            <w:r>
              <w:rPr>
                <w:rFonts w:ascii="仿宋" w:eastAsia="仿宋" w:hAnsi="仿宋" w:cs="仿宋" w:hint="eastAsia"/>
                <w:sz w:val="28"/>
                <w:szCs w:val="28"/>
              </w:rPr>
              <w:t>1.4排除标准：</w:t>
            </w:r>
          </w:p>
          <w:p>
            <w:pPr>
              <w:spacing w:line="360" w:lineRule="auto"/>
              <w:rPr>
                <w:rFonts w:ascii="仿宋" w:eastAsia="仿宋" w:hAnsi="仿宋" w:cs="仿宋" w:hint="eastAsia"/>
                <w:sz w:val="28"/>
                <w:szCs w:val="28"/>
              </w:rPr>
            </w:pPr>
            <w:r>
              <w:rPr>
                <w:rFonts w:ascii="仿宋" w:eastAsia="仿宋" w:hAnsi="仿宋" w:cs="仿宋" w:hint="eastAsia"/>
                <w:sz w:val="28"/>
                <w:szCs w:val="28"/>
              </w:rPr>
              <w:t>(1)不符合以上纳入标准者；</w:t>
            </w:r>
          </w:p>
          <w:p>
            <w:pPr>
              <w:spacing w:line="360" w:lineRule="auto"/>
              <w:rPr>
                <w:rFonts w:ascii="仿宋" w:eastAsia="仿宋" w:hAnsi="仿宋" w:cs="仿宋" w:hint="eastAsia"/>
                <w:sz w:val="28"/>
                <w:szCs w:val="28"/>
              </w:rPr>
            </w:pPr>
            <w:r>
              <w:rPr>
                <w:rFonts w:ascii="仿宋" w:eastAsia="仿宋" w:hAnsi="仿宋" w:cs="仿宋" w:hint="eastAsia"/>
                <w:sz w:val="28"/>
                <w:szCs w:val="28"/>
              </w:rPr>
              <w:t>(2)存在严重认知功能障碍，不能配合治疗者；</w:t>
            </w:r>
          </w:p>
          <w:p>
            <w:pPr>
              <w:spacing w:line="360" w:lineRule="auto"/>
              <w:rPr>
                <w:rFonts w:ascii="仿宋" w:eastAsia="仿宋" w:hAnsi="仿宋" w:cs="仿宋" w:hint="eastAsia"/>
                <w:sz w:val="28"/>
                <w:szCs w:val="28"/>
              </w:rPr>
            </w:pPr>
            <w:r>
              <w:rPr>
                <w:rFonts w:ascii="仿宋" w:eastAsia="仿宋" w:hAnsi="仿宋" w:cs="仿宋" w:hint="eastAsia"/>
                <w:sz w:val="28"/>
                <w:szCs w:val="28"/>
              </w:rPr>
              <w:t>(3)有血小板减少症或凝血障碍性疾病者；</w:t>
            </w:r>
          </w:p>
          <w:p>
            <w:pPr>
              <w:spacing w:line="360" w:lineRule="auto"/>
              <w:rPr>
                <w:rFonts w:ascii="仿宋" w:eastAsia="仿宋" w:hAnsi="仿宋" w:cs="仿宋" w:hint="eastAsia"/>
                <w:sz w:val="28"/>
                <w:szCs w:val="28"/>
              </w:rPr>
            </w:pPr>
            <w:r>
              <w:rPr>
                <w:rFonts w:ascii="仿宋" w:eastAsia="仿宋" w:hAnsi="仿宋" w:cs="仿宋" w:hint="eastAsia"/>
                <w:sz w:val="28"/>
                <w:szCs w:val="28"/>
              </w:rPr>
              <w:t>(4)伴有心、脑、肺等重要脏器疾患者;合并有水电解质、酸碱平衡紊乱者;</w:t>
            </w:r>
          </w:p>
          <w:p>
            <w:pPr>
              <w:spacing w:line="360" w:lineRule="auto"/>
              <w:rPr>
                <w:rFonts w:ascii="仿宋" w:eastAsia="仿宋" w:hAnsi="仿宋" w:cs="仿宋" w:hint="eastAsia"/>
                <w:sz w:val="28"/>
                <w:szCs w:val="28"/>
              </w:rPr>
            </w:pPr>
            <w:r>
              <w:rPr>
                <w:rFonts w:ascii="仿宋" w:eastAsia="仿宋" w:hAnsi="仿宋" w:cs="仿宋" w:hint="eastAsia"/>
                <w:sz w:val="28"/>
                <w:szCs w:val="28"/>
              </w:rPr>
              <w:t>(5)既往有严重肾脏疾患、有严重的肾积水、膀胱造漏术、膀胱挛缩、尿道-前括约肌切开术及严重排尿植物神经系统过反射等疾患者;</w:t>
            </w:r>
          </w:p>
          <w:p>
            <w:pPr>
              <w:spacing w:line="360" w:lineRule="auto"/>
              <w:rPr>
                <w:rFonts w:ascii="仿宋" w:eastAsia="仿宋" w:hAnsi="仿宋" w:cs="仿宋" w:hint="eastAsia"/>
                <w:sz w:val="28"/>
                <w:szCs w:val="28"/>
              </w:rPr>
            </w:pPr>
            <w:r>
              <w:rPr>
                <w:rFonts w:ascii="仿宋" w:eastAsia="仿宋" w:hAnsi="仿宋" w:cs="仿宋" w:hint="eastAsia"/>
                <w:sz w:val="28"/>
                <w:szCs w:val="28"/>
              </w:rPr>
              <w:t>(6)检查发现有泌尿系统感染者；</w:t>
            </w:r>
          </w:p>
          <w:p>
            <w:pPr>
              <w:spacing w:line="360" w:lineRule="auto"/>
              <w:rPr>
                <w:rFonts w:ascii="仿宋" w:eastAsia="仿宋" w:hAnsi="仿宋" w:cs="仿宋" w:hint="eastAsia"/>
                <w:sz w:val="28"/>
                <w:szCs w:val="28"/>
              </w:rPr>
            </w:pPr>
            <w:r>
              <w:rPr>
                <w:rFonts w:ascii="仿宋" w:eastAsia="仿宋" w:hAnsi="仿宋" w:cs="仿宋" w:hint="eastAsia"/>
                <w:sz w:val="28"/>
                <w:szCs w:val="28"/>
              </w:rPr>
              <w:t>(7)不耐受针刺治疗者；</w:t>
            </w:r>
          </w:p>
          <w:p>
            <w:pPr>
              <w:spacing w:line="360" w:lineRule="auto"/>
              <w:rPr>
                <w:rFonts w:ascii="仿宋" w:eastAsia="仿宋" w:hAnsi="仿宋" w:cs="仿宋" w:hint="eastAsia"/>
                <w:sz w:val="28"/>
                <w:szCs w:val="28"/>
              </w:rPr>
            </w:pPr>
            <w:r>
              <w:rPr>
                <w:rFonts w:ascii="仿宋" w:eastAsia="仿宋" w:hAnsi="仿宋" w:cs="仿宋" w:hint="eastAsia"/>
                <w:sz w:val="28"/>
                <w:szCs w:val="28"/>
              </w:rPr>
              <w:t>(8)既往放置有心脏起搏器及有支架植入病史者。</w:t>
            </w:r>
          </w:p>
          <w:p>
            <w:pPr>
              <w:spacing w:line="360" w:lineRule="auto"/>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hint="eastAsia"/>
                <w:sz w:val="28"/>
                <w:szCs w:val="28"/>
                <w:lang w:val="en-US" w:eastAsia="zh-CN"/>
              </w:rPr>
              <w:t>5</w:t>
            </w:r>
            <w:r>
              <w:rPr>
                <w:rFonts w:ascii="仿宋" w:eastAsia="仿宋" w:hAnsi="仿宋" w:cs="仿宋" w:hint="eastAsia"/>
                <w:sz w:val="28"/>
                <w:szCs w:val="28"/>
              </w:rPr>
              <w:t>剔除标准</w:t>
            </w:r>
          </w:p>
          <w:p>
            <w:pPr>
              <w:spacing w:line="360" w:lineRule="auto"/>
              <w:rPr>
                <w:rFonts w:ascii="仿宋" w:eastAsia="仿宋" w:hAnsi="仿宋" w:cs="仿宋" w:hint="eastAsia"/>
                <w:sz w:val="28"/>
                <w:szCs w:val="28"/>
              </w:rPr>
            </w:pPr>
            <w:r>
              <w:rPr>
                <w:rFonts w:ascii="仿宋" w:eastAsia="仿宋" w:hAnsi="仿宋" w:cs="仿宋" w:hint="eastAsia"/>
                <w:sz w:val="28"/>
                <w:szCs w:val="28"/>
              </w:rPr>
              <w:t>(1)纳入后发现不符合诊断标准而被误纳入者；</w:t>
            </w:r>
          </w:p>
          <w:p>
            <w:pPr>
              <w:spacing w:line="360" w:lineRule="auto"/>
              <w:rPr>
                <w:rFonts w:ascii="仿宋" w:eastAsia="仿宋" w:hAnsi="仿宋" w:cs="仿宋" w:hint="eastAsia"/>
                <w:sz w:val="28"/>
                <w:szCs w:val="28"/>
              </w:rPr>
            </w:pPr>
            <w:r>
              <w:rPr>
                <w:rFonts w:ascii="仿宋" w:eastAsia="仿宋" w:hAnsi="仿宋" w:cs="仿宋" w:hint="eastAsia"/>
                <w:sz w:val="28"/>
                <w:szCs w:val="28"/>
              </w:rPr>
              <w:t>(2)家属或患者依从性差不宜继续接受试验者和自行退出者；</w:t>
            </w:r>
          </w:p>
          <w:p>
            <w:pPr>
              <w:spacing w:line="360" w:lineRule="auto"/>
              <w:rPr>
                <w:rFonts w:ascii="仿宋" w:eastAsia="仿宋" w:hAnsi="仿宋" w:cs="仿宋" w:hint="eastAsia"/>
                <w:sz w:val="28"/>
                <w:szCs w:val="28"/>
              </w:rPr>
            </w:pPr>
            <w:r>
              <w:rPr>
                <w:rFonts w:ascii="仿宋" w:eastAsia="仿宋" w:hAnsi="仿宋" w:cs="仿宋" w:hint="eastAsia"/>
                <w:sz w:val="28"/>
                <w:szCs w:val="28"/>
              </w:rPr>
              <w:t>(3)发生不良事件或特殊生理变化不适合继续治疗者；</w:t>
            </w:r>
          </w:p>
          <w:p>
            <w:pPr>
              <w:spacing w:line="360" w:lineRule="auto"/>
              <w:rPr>
                <w:rFonts w:ascii="仿宋" w:eastAsia="仿宋" w:hAnsi="仿宋" w:cs="仿宋" w:hint="eastAsia"/>
                <w:sz w:val="28"/>
                <w:szCs w:val="28"/>
              </w:rPr>
            </w:pPr>
            <w:r>
              <w:rPr>
                <w:rFonts w:ascii="仿宋" w:eastAsia="仿宋" w:hAnsi="仿宋" w:cs="仿宋" w:hint="eastAsia"/>
                <w:sz w:val="28"/>
                <w:szCs w:val="28"/>
              </w:rPr>
              <w:t>(4)观察中自然脱落、失访或死亡者；</w:t>
            </w:r>
          </w:p>
          <w:p>
            <w:pPr>
              <w:spacing w:line="360" w:lineRule="auto"/>
              <w:rPr>
                <w:rFonts w:ascii="仿宋" w:eastAsia="仿宋" w:hAnsi="仿宋" w:cs="仿宋" w:hint="eastAsia"/>
                <w:sz w:val="28"/>
                <w:szCs w:val="28"/>
              </w:rPr>
            </w:pPr>
            <w:r>
              <w:rPr>
                <w:rFonts w:ascii="仿宋" w:eastAsia="仿宋" w:hAnsi="仿宋" w:cs="仿宋" w:hint="eastAsia"/>
                <w:sz w:val="28"/>
                <w:szCs w:val="28"/>
              </w:rPr>
              <w:t>(5)</w:t>
            </w:r>
            <w:r>
              <w:rPr>
                <w:rFonts w:ascii="仿宋" w:eastAsia="仿宋" w:hAnsi="仿宋" w:hint="eastAsia"/>
                <w:sz w:val="28"/>
                <w:szCs w:val="28"/>
              </w:rPr>
              <w:t xml:space="preserve"> </w:t>
            </w:r>
            <w:r>
              <w:rPr>
                <w:rFonts w:ascii="仿宋" w:eastAsia="仿宋" w:hAnsi="仿宋" w:cs="仿宋" w:hint="eastAsia"/>
                <w:sz w:val="28"/>
                <w:szCs w:val="28"/>
              </w:rPr>
              <w:t>在治疗期间私自使用其他药物及治疗,影响有效性判断者。</w:t>
            </w:r>
          </w:p>
          <w:p>
            <w:pPr>
              <w:spacing w:line="360" w:lineRule="auto"/>
              <w:rPr>
                <w:rFonts w:ascii="仿宋" w:eastAsia="仿宋" w:hAnsi="仿宋" w:cs="仿宋" w:hint="eastAsia"/>
                <w:sz w:val="28"/>
                <w:szCs w:val="28"/>
              </w:rPr>
            </w:pPr>
            <w:r>
              <w:rPr>
                <w:rFonts w:ascii="仿宋" w:eastAsia="仿宋" w:hAnsi="仿宋" w:cs="仿宋" w:hint="eastAsia"/>
                <w:sz w:val="28"/>
                <w:szCs w:val="28"/>
              </w:rPr>
              <w:t xml:space="preserve"> 2.治疗方法：</w:t>
            </w:r>
          </w:p>
          <w:p>
            <w:pPr>
              <w:spacing w:line="360" w:lineRule="auto"/>
              <w:rPr>
                <w:rFonts w:ascii="仿宋" w:eastAsia="仿宋" w:hAnsi="仿宋" w:cs="仿宋" w:hint="eastAsia"/>
                <w:sz w:val="28"/>
                <w:szCs w:val="28"/>
              </w:rPr>
            </w:pPr>
            <w:r>
              <w:rPr>
                <w:rFonts w:ascii="仿宋" w:eastAsia="仿宋" w:hAnsi="仿宋" w:cs="仿宋" w:hint="eastAsia"/>
                <w:sz w:val="28"/>
                <w:szCs w:val="28"/>
              </w:rPr>
              <w:t xml:space="preserve"> 2.1 A、B两组患者均进行入院健康教育指导，制定饮水计划并根据其病情特点给予间歇导尿及相应的膀胱再训练治疗，包括：行为技巧、反射性排尿训练、代偿性排尿训练（Valsalva屏气法和Crede手法）、肛门牵张训练及盆底肌训练等。</w:t>
            </w:r>
          </w:p>
          <w:p>
            <w:pPr>
              <w:spacing w:after="0" w:line="360" w:lineRule="auto"/>
              <w:rPr>
                <w:rFonts w:ascii="仿宋" w:eastAsia="仿宋" w:hAnsi="仿宋" w:hint="eastAsia"/>
                <w:sz w:val="28"/>
                <w:szCs w:val="28"/>
              </w:rPr>
            </w:pPr>
            <w:r>
              <w:rPr>
                <w:rFonts w:ascii="仿宋" w:eastAsia="仿宋" w:hAnsi="仿宋" w:cs="仿宋" w:hint="eastAsia"/>
                <w:sz w:val="28"/>
                <w:szCs w:val="28"/>
              </w:rPr>
              <w:t>(1)</w:t>
            </w:r>
            <w:r>
              <w:rPr>
                <w:rFonts w:ascii="仿宋" w:eastAsia="仿宋" w:hAnsi="仿宋" w:hint="eastAsia"/>
                <w:sz w:val="28"/>
                <w:szCs w:val="28"/>
              </w:rPr>
              <w:t>制定计划饮水</w:t>
            </w:r>
            <w:r>
              <w:rPr>
                <w:rFonts w:ascii="仿宋" w:eastAsia="仿宋" w:hAnsi="仿宋" w:hint="eastAsia"/>
                <w:sz w:val="28"/>
                <w:szCs w:val="28"/>
              </w:rPr>
              <w:t xml:space="preserve"> </w:t>
            </w:r>
            <w:r>
              <w:rPr>
                <w:rFonts w:ascii="仿宋" w:eastAsia="仿宋" w:hAnsi="仿宋" w:hint="eastAsia"/>
                <w:sz w:val="28"/>
                <w:szCs w:val="28"/>
              </w:rPr>
              <w:t xml:space="preserve"> </w:t>
            </w:r>
            <w:r>
              <w:rPr>
                <w:rFonts w:ascii="仿宋" w:eastAsia="仿宋" w:hAnsi="仿宋" w:hint="eastAsia"/>
                <w:sz w:val="28"/>
                <w:szCs w:val="28"/>
              </w:rPr>
              <w:t xml:space="preserve"> 每天饮水量控在1500ml～2000ml，可分别设定为早餐、中餐、晚餐各400ml，上午10</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https://d.book118.com/167020063111006034</w:t>
        </w:r>
      </w:hyperlink>
    </w:p>
    <w:p/>
    <w:sectPr>
      <w:headerReference w:type="default" r:id="rId41"/>
      <w:footerReference w:type="even" r:id="rId42"/>
      <w:footerReference w:type="default" r:id="rId43"/>
      <w:type w:val="nextPage"/>
      <w:pgSz w:w="11907" w:h="16840"/>
      <w:pgMar w:top="1701" w:right="1418" w:bottom="1418" w:left="1701" w:header="851" w:footer="992" w:gutter="0"/>
      <w:pgNumType w:fmt="numberInDash" w:start="12"/>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楷体_GB2312">
    <w:altName w:val="楷体"/>
    <w:panose1 w:val="02010609030101010101"/>
    <w:charset w:val="86"/>
    <w:family w:val="modern"/>
    <w:pitch w:val="default"/>
    <w:sig w:usb0="00000001" w:usb1="080E0000" w:usb2="00000010" w:usb3="00000000" w:csb0="00040000" w:csb1="00000000"/>
  </w:font>
  <w:font w:name="仿宋_GB2312">
    <w:altName w:val="仿宋"/>
    <w:panose1 w:val="02010609030101010101"/>
    <w:charset w:val="86"/>
    <w:family w:val="modern"/>
    <w:pitch w:val="default"/>
    <w:sig w:usb0="00000001" w:usb1="080E0000" w:usb2="00000010" w:usb3="00000000" w:csb0="00040000" w:csb1="00000000"/>
  </w:font>
  <w:font w:name="黑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margin" w:hAnchor="text" w:yAlign="top"/>
      <w:tabs>
        <w:tab w:val="center" w:pos="4153"/>
        <w:tab w:val="right" w:pos="8306"/>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margin" w:hAnchor="text" w:yAlign="top"/>
      <w:tabs>
        <w:tab w:val="center" w:pos="4153"/>
        <w:tab w:val="right" w:pos="8306"/>
      </w:tabs>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margin" w:hAnchor="text" w:yAlign="top"/>
      <w:tabs>
        <w:tab w:val="center" w:pos="4153"/>
        <w:tab w:val="right" w:pos="8306"/>
      </w:tabs>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margin" w:hAnchor="text" w:yAlign="top"/>
      <w:tabs>
        <w:tab w:val="center" w:pos="4153"/>
        <w:tab w:val="right" w:pos="8306"/>
      </w:tabs>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margin" w:hAnchor="text" w:yAlign="top"/>
      <w:tabs>
        <w:tab w:val="center" w:pos="4153"/>
        <w:tab w:val="right" w:pos="8306"/>
      </w:tabs>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margin" w:hAnchor="text" w:yAlign="top"/>
      <w:tabs>
        <w:tab w:val="center" w:pos="4153"/>
        <w:tab w:val="right" w:pos="8306"/>
      </w:tabs>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margin" w:hAnchor="text" w:yAlign="top"/>
      <w:tabs>
        <w:tab w:val="center" w:pos="4153"/>
        <w:tab w:val="right" w:pos="8306"/>
      </w:tabs>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margin" w:hAnchor="text" w:yAlign="top"/>
      <w:tabs>
        <w:tab w:val="center" w:pos="4153"/>
        <w:tab w:val="right" w:pos="8306"/>
      </w:tabs>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margin" w:hAnchor="text" w:yAlign="top"/>
      <w:tabs>
        <w:tab w:val="center" w:pos="4153"/>
        <w:tab w:val="right" w:pos="8306"/>
      </w:tabs>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margin" w:hAnchor="text" w:yAlign="top"/>
      <w:tabs>
        <w:tab w:val="center" w:pos="4153"/>
        <w:tab w:val="right" w:pos="8306"/>
      </w:tabs>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margin" w:hAnchor="text" w:yAlign="top"/>
      <w:tabs>
        <w:tab w:val="center" w:pos="4153"/>
        <w:tab w:val="right" w:pos="8306"/>
      </w:tabs>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margin" w:hAnchor="text" w:yAlign="top"/>
      <w:tabs>
        <w:tab w:val="center" w:pos="4153"/>
        <w:tab w:val="right" w:pos="8306"/>
      </w:tabs>
      <w:ind w:right="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margin" w:hAnchor="text" w:yAlign="top"/>
      <w:tabs>
        <w:tab w:val="center" w:pos="4153"/>
        <w:tab w:val="right" w:pos="8306"/>
      </w:tabs>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91B73"/>
    <w:multiLevelType w:val="multilevel"/>
    <w:tmpl w:val="19F91B73"/>
    <w:lvl w:ilvl="0">
      <w:start w:val="2"/>
      <w:numFmt w:val="decimalEnclosedParen"/>
      <w:lvlText w:val="%1"/>
      <w:lvlJc w:val="left"/>
      <w:pPr>
        <w:ind w:left="1000" w:hanging="36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abstractNum w:abstractNumId="1">
    <w:nsid w:val="35861805"/>
    <w:multiLevelType w:val="multilevel"/>
    <w:tmpl w:val="35861805"/>
    <w:lvl w:ilvl="0">
      <w:start w:val="5"/>
      <w:numFmt w:val="decimal"/>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stylePaneFormatFilter w:val="3F01"/>
  <w:defaultTabStop w:val="425"/>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shapeLayoutLikeWW8/>
    <w:alignTablesRowByRow/>
    <w:doNotUseHTMLParagraphAutoSpacing/>
    <w:useWord97LineBreakRules/>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5A4D"/>
    <w:rsid w:val="00000BD0"/>
    <w:rsid w:val="000022BD"/>
    <w:rsid w:val="00014C2E"/>
    <w:rsid w:val="0002371D"/>
    <w:rsid w:val="000305A4"/>
    <w:rsid w:val="00044B95"/>
    <w:rsid w:val="00061E39"/>
    <w:rsid w:val="00062299"/>
    <w:rsid w:val="000672DA"/>
    <w:rsid w:val="00077916"/>
    <w:rsid w:val="00080EBB"/>
    <w:rsid w:val="000911A3"/>
    <w:rsid w:val="000A4CD6"/>
    <w:rsid w:val="000A6E5E"/>
    <w:rsid w:val="000C0040"/>
    <w:rsid w:val="000C2ADF"/>
    <w:rsid w:val="000C3647"/>
    <w:rsid w:val="000D279A"/>
    <w:rsid w:val="000E5169"/>
    <w:rsid w:val="000F0144"/>
    <w:rsid w:val="000F67DA"/>
    <w:rsid w:val="00102C8B"/>
    <w:rsid w:val="001078EC"/>
    <w:rsid w:val="00107937"/>
    <w:rsid w:val="0011221C"/>
    <w:rsid w:val="00143E1A"/>
    <w:rsid w:val="00164D8B"/>
    <w:rsid w:val="00173DC4"/>
    <w:rsid w:val="00180822"/>
    <w:rsid w:val="00184611"/>
    <w:rsid w:val="00185738"/>
    <w:rsid w:val="00190469"/>
    <w:rsid w:val="001955E4"/>
    <w:rsid w:val="001A6689"/>
    <w:rsid w:val="001C161D"/>
    <w:rsid w:val="001C2166"/>
    <w:rsid w:val="001F08DD"/>
    <w:rsid w:val="00213161"/>
    <w:rsid w:val="00217ECE"/>
    <w:rsid w:val="00223F27"/>
    <w:rsid w:val="00230C27"/>
    <w:rsid w:val="00244334"/>
    <w:rsid w:val="00246056"/>
    <w:rsid w:val="0024662C"/>
    <w:rsid w:val="00253395"/>
    <w:rsid w:val="002533BD"/>
    <w:rsid w:val="00270E4D"/>
    <w:rsid w:val="00290E55"/>
    <w:rsid w:val="002B2BF3"/>
    <w:rsid w:val="002C74FD"/>
    <w:rsid w:val="002D066D"/>
    <w:rsid w:val="002D34B3"/>
    <w:rsid w:val="002E2A45"/>
    <w:rsid w:val="002F0B94"/>
    <w:rsid w:val="002F62E0"/>
    <w:rsid w:val="00307298"/>
    <w:rsid w:val="0031096C"/>
    <w:rsid w:val="0031791B"/>
    <w:rsid w:val="00320297"/>
    <w:rsid w:val="00320680"/>
    <w:rsid w:val="003247EB"/>
    <w:rsid w:val="00331A10"/>
    <w:rsid w:val="003372AD"/>
    <w:rsid w:val="00375926"/>
    <w:rsid w:val="00381A4B"/>
    <w:rsid w:val="00383A5D"/>
    <w:rsid w:val="00386D41"/>
    <w:rsid w:val="00390F35"/>
    <w:rsid w:val="00393F7A"/>
    <w:rsid w:val="003972F1"/>
    <w:rsid w:val="003B0048"/>
    <w:rsid w:val="003F5A13"/>
    <w:rsid w:val="004034FD"/>
    <w:rsid w:val="00430605"/>
    <w:rsid w:val="00454FBD"/>
    <w:rsid w:val="00460DF6"/>
    <w:rsid w:val="00482549"/>
    <w:rsid w:val="0048733B"/>
    <w:rsid w:val="004A3AD3"/>
    <w:rsid w:val="004B6893"/>
    <w:rsid w:val="004C46C8"/>
    <w:rsid w:val="004E43A1"/>
    <w:rsid w:val="004E5775"/>
    <w:rsid w:val="004E7ED0"/>
    <w:rsid w:val="004F0993"/>
    <w:rsid w:val="00510382"/>
    <w:rsid w:val="0051355F"/>
    <w:rsid w:val="00542D2F"/>
    <w:rsid w:val="00556E2F"/>
    <w:rsid w:val="00565A4D"/>
    <w:rsid w:val="00587131"/>
    <w:rsid w:val="005B06D5"/>
    <w:rsid w:val="005B17DB"/>
    <w:rsid w:val="005F343D"/>
    <w:rsid w:val="0060300F"/>
    <w:rsid w:val="006141CC"/>
    <w:rsid w:val="00630F51"/>
    <w:rsid w:val="0063105A"/>
    <w:rsid w:val="00631E62"/>
    <w:rsid w:val="0063709D"/>
    <w:rsid w:val="00650852"/>
    <w:rsid w:val="006B2DCE"/>
    <w:rsid w:val="006B6EBD"/>
    <w:rsid w:val="006C03E5"/>
    <w:rsid w:val="00736036"/>
    <w:rsid w:val="00737C8A"/>
    <w:rsid w:val="007414BF"/>
    <w:rsid w:val="007654C3"/>
    <w:rsid w:val="00780CAB"/>
    <w:rsid w:val="007845C9"/>
    <w:rsid w:val="00790AD7"/>
    <w:rsid w:val="007B610C"/>
    <w:rsid w:val="007B7435"/>
    <w:rsid w:val="007C331B"/>
    <w:rsid w:val="007D2AEF"/>
    <w:rsid w:val="007D47EA"/>
    <w:rsid w:val="007D64DF"/>
    <w:rsid w:val="007E0FCB"/>
    <w:rsid w:val="007E2680"/>
    <w:rsid w:val="007E4828"/>
    <w:rsid w:val="00821448"/>
    <w:rsid w:val="00825A75"/>
    <w:rsid w:val="008300DE"/>
    <w:rsid w:val="00833523"/>
    <w:rsid w:val="00835546"/>
    <w:rsid w:val="00837741"/>
    <w:rsid w:val="00857064"/>
    <w:rsid w:val="00857A2E"/>
    <w:rsid w:val="0086292C"/>
    <w:rsid w:val="00865305"/>
    <w:rsid w:val="00871115"/>
    <w:rsid w:val="008733A6"/>
    <w:rsid w:val="00877F53"/>
    <w:rsid w:val="00887CE7"/>
    <w:rsid w:val="008950FA"/>
    <w:rsid w:val="008B3BEF"/>
    <w:rsid w:val="008C2C14"/>
    <w:rsid w:val="008C584F"/>
    <w:rsid w:val="008C5ECC"/>
    <w:rsid w:val="008C7D4D"/>
    <w:rsid w:val="008D0334"/>
    <w:rsid w:val="008E042D"/>
    <w:rsid w:val="008E481D"/>
    <w:rsid w:val="00901560"/>
    <w:rsid w:val="00902F5A"/>
    <w:rsid w:val="009041C3"/>
    <w:rsid w:val="0093052A"/>
    <w:rsid w:val="00931F87"/>
    <w:rsid w:val="00961D8F"/>
    <w:rsid w:val="00977697"/>
    <w:rsid w:val="009822D7"/>
    <w:rsid w:val="00985C18"/>
    <w:rsid w:val="00991AE5"/>
    <w:rsid w:val="009C1D7B"/>
    <w:rsid w:val="009C7573"/>
    <w:rsid w:val="009E5383"/>
    <w:rsid w:val="009F5FEB"/>
    <w:rsid w:val="009F6D44"/>
    <w:rsid w:val="00A12DD1"/>
    <w:rsid w:val="00A1345B"/>
    <w:rsid w:val="00A1519B"/>
    <w:rsid w:val="00A306CE"/>
    <w:rsid w:val="00A52C89"/>
    <w:rsid w:val="00A66D9F"/>
    <w:rsid w:val="00A70C6D"/>
    <w:rsid w:val="00A90206"/>
    <w:rsid w:val="00A9133D"/>
    <w:rsid w:val="00AA12F2"/>
    <w:rsid w:val="00AB5FE8"/>
    <w:rsid w:val="00AC2C58"/>
    <w:rsid w:val="00AE207F"/>
    <w:rsid w:val="00AE3C13"/>
    <w:rsid w:val="00AE41C1"/>
    <w:rsid w:val="00AE4904"/>
    <w:rsid w:val="00AF36FC"/>
    <w:rsid w:val="00AF45EC"/>
    <w:rsid w:val="00B019F3"/>
    <w:rsid w:val="00B063FC"/>
    <w:rsid w:val="00B200E1"/>
    <w:rsid w:val="00B37735"/>
    <w:rsid w:val="00B45685"/>
    <w:rsid w:val="00B46945"/>
    <w:rsid w:val="00B52E52"/>
    <w:rsid w:val="00B7053B"/>
    <w:rsid w:val="00B84152"/>
    <w:rsid w:val="00B91D57"/>
    <w:rsid w:val="00BA15C2"/>
    <w:rsid w:val="00BA4EDE"/>
    <w:rsid w:val="00BB29E4"/>
    <w:rsid w:val="00BB434B"/>
    <w:rsid w:val="00BB76D7"/>
    <w:rsid w:val="00BC02DA"/>
    <w:rsid w:val="00BC519D"/>
    <w:rsid w:val="00BD07FF"/>
    <w:rsid w:val="00BE1EFD"/>
    <w:rsid w:val="00BE7BA4"/>
    <w:rsid w:val="00BF1F48"/>
    <w:rsid w:val="00C06A02"/>
    <w:rsid w:val="00C12B2D"/>
    <w:rsid w:val="00C14CAC"/>
    <w:rsid w:val="00C154D7"/>
    <w:rsid w:val="00C30881"/>
    <w:rsid w:val="00C30FC3"/>
    <w:rsid w:val="00C45675"/>
    <w:rsid w:val="00C70B8C"/>
    <w:rsid w:val="00C83B4A"/>
    <w:rsid w:val="00C921BF"/>
    <w:rsid w:val="00C975BD"/>
    <w:rsid w:val="00CA05CD"/>
    <w:rsid w:val="00CA24BF"/>
    <w:rsid w:val="00CA6876"/>
    <w:rsid w:val="00CA7711"/>
    <w:rsid w:val="00CB7E6A"/>
    <w:rsid w:val="00CC4B1F"/>
    <w:rsid w:val="00CD6C6C"/>
    <w:rsid w:val="00CE3E68"/>
    <w:rsid w:val="00D33DC2"/>
    <w:rsid w:val="00D4306F"/>
    <w:rsid w:val="00D51548"/>
    <w:rsid w:val="00D56EDA"/>
    <w:rsid w:val="00D642BD"/>
    <w:rsid w:val="00D705AF"/>
    <w:rsid w:val="00D76E7C"/>
    <w:rsid w:val="00D80552"/>
    <w:rsid w:val="00D86725"/>
    <w:rsid w:val="00D93976"/>
    <w:rsid w:val="00DB51E9"/>
    <w:rsid w:val="00DB6F96"/>
    <w:rsid w:val="00DC3268"/>
    <w:rsid w:val="00DC5B11"/>
    <w:rsid w:val="00DF01E3"/>
    <w:rsid w:val="00DF79E5"/>
    <w:rsid w:val="00E0087F"/>
    <w:rsid w:val="00E11581"/>
    <w:rsid w:val="00E13465"/>
    <w:rsid w:val="00E14EF7"/>
    <w:rsid w:val="00E23DC1"/>
    <w:rsid w:val="00E34714"/>
    <w:rsid w:val="00E35395"/>
    <w:rsid w:val="00E57688"/>
    <w:rsid w:val="00E627ED"/>
    <w:rsid w:val="00E6439A"/>
    <w:rsid w:val="00EC1149"/>
    <w:rsid w:val="00F45BAF"/>
    <w:rsid w:val="00F70C7C"/>
    <w:rsid w:val="00F72DE5"/>
    <w:rsid w:val="00F754AE"/>
    <w:rsid w:val="00F77FE3"/>
    <w:rsid w:val="00F865AD"/>
    <w:rsid w:val="00F906E1"/>
    <w:rsid w:val="00F938F6"/>
    <w:rsid w:val="00FB606B"/>
    <w:rsid w:val="00FB6E39"/>
    <w:rsid w:val="00FC58FD"/>
    <w:rsid w:val="00FD19C3"/>
    <w:rsid w:val="00FD2054"/>
    <w:rsid w:val="00FE1934"/>
    <w:rsid w:val="00FE2CE8"/>
    <w:rsid w:val="00FF1BDC"/>
    <w:rsid w:val="00FF4B44"/>
    <w:rsid w:val="0AB96ECE"/>
    <w:rsid w:val="0FB33CD1"/>
    <w:rsid w:val="0FD83061"/>
    <w:rsid w:val="16E45C0D"/>
    <w:rsid w:val="19274253"/>
    <w:rsid w:val="1A217CEE"/>
    <w:rsid w:val="1A35310B"/>
    <w:rsid w:val="1AB54CF6"/>
    <w:rsid w:val="1E8C78AD"/>
    <w:rsid w:val="24E573E9"/>
    <w:rsid w:val="284A1528"/>
    <w:rsid w:val="2F17039D"/>
    <w:rsid w:val="311F46E5"/>
    <w:rsid w:val="35036127"/>
    <w:rsid w:val="404D662E"/>
    <w:rsid w:val="47492521"/>
    <w:rsid w:val="4FAE0434"/>
    <w:rsid w:val="53D018BC"/>
    <w:rsid w:val="53FC29DA"/>
    <w:rsid w:val="57844525"/>
    <w:rsid w:val="5EBD2F7D"/>
    <w:rsid w:val="5FFE3E1E"/>
    <w:rsid w:val="6D865705"/>
    <w:rsid w:val="6FF951F1"/>
    <w:rsid w:val="718F76DE"/>
    <w:rsid w:val="7F633A0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styleId="Hyperlink">
    <w:name w:val="Hyperlink"/>
    <w:basedOn w:val="DefaultParagraphFont"/>
    <w:rPr>
      <w:color w:val="0000FF"/>
      <w:u w:val="single"/>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customStyle="1" w:styleId="a">
    <w:name w:val="不明显强调"/>
    <w:basedOn w:val="DefaultParagraphFont"/>
    <w:uiPriority w:val="19"/>
    <w:qFormat/>
    <w:rPr>
      <w:i/>
      <w:iCs/>
      <w:color w:val="808080"/>
    </w:rPr>
  </w:style>
  <w:style w:type="character" w:customStyle="1" w:styleId="CharChar">
    <w:name w:val=" Char Char"/>
    <w:basedOn w:val="DefaultParagraphFont"/>
    <w:link w:val="Footer"/>
    <w:uiPriority w:val="99"/>
    <w:rPr>
      <w:kern w:val="2"/>
      <w:sz w:val="18"/>
      <w:szCs w:val="18"/>
    </w:rPr>
  </w:style>
  <w:style w:type="paragraph" w:styleId="BodyText">
    <w:name w:val="Body Text"/>
    <w:basedOn w:val="Normal"/>
    <w:pPr>
      <w:spacing w:line="580" w:lineRule="exact"/>
    </w:pPr>
    <w:rPr>
      <w:rFonts w:eastAsia="楷体_GB2312"/>
      <w:sz w:val="32"/>
    </w:rPr>
  </w:style>
  <w:style w:type="paragraph" w:styleId="Date">
    <w:name w:val="Date"/>
    <w:basedOn w:val="Normal"/>
    <w:next w:val="Normal"/>
    <w:pPr>
      <w:ind w:left="100" w:leftChars="2500"/>
    </w:pPr>
  </w:style>
  <w:style w:type="paragraph" w:styleId="BalloonText">
    <w:name w:val="Balloon Text"/>
    <w:basedOn w:val="Normal"/>
    <w:semiHidden/>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3">
    <w:name w:val="Body Text Indent 3"/>
    <w:basedOn w:val="Normal"/>
    <w:pPr>
      <w:spacing w:line="400" w:lineRule="exact"/>
      <w:ind w:firstLine="641" w:firstLineChars="200"/>
    </w:pPr>
    <w:rPr>
      <w:rFonts w:ascii="仿宋_GB2312" w:eastAsia="仿宋_GB2312"/>
      <w:b/>
      <w:bCs/>
      <w:sz w:val="32"/>
    </w:rPr>
  </w:style>
  <w:style w:type="paragraph" w:styleId="BodyTextIndent">
    <w:name w:val="Body Text Indent"/>
    <w:basedOn w:val="Normal"/>
    <w:pPr>
      <w:spacing w:line="580" w:lineRule="exact"/>
      <w:ind w:firstLine="630"/>
    </w:pPr>
    <w:rPr>
      <w:rFonts w:eastAsia="楷体_GB2312"/>
      <w:sz w:val="32"/>
    </w:rPr>
  </w:style>
  <w:style w:type="paragraph" w:styleId="BodyTextIndent2">
    <w:name w:val="Body Text Indent 2"/>
    <w:basedOn w:val="Normal"/>
    <w:pPr>
      <w:spacing w:line="580" w:lineRule="exact"/>
      <w:ind w:firstLine="640" w:firstLineChars="200"/>
    </w:pPr>
    <w:rPr>
      <w:sz w:val="32"/>
    </w:rPr>
  </w:style>
  <w:style w:type="paragraph" w:styleId="Footer">
    <w:name w:val="footer"/>
    <w:basedOn w:val="Normal"/>
    <w:link w:val="CharChar"/>
    <w:uiPriority w:val="99"/>
    <w:pPr>
      <w:tabs>
        <w:tab w:val="center" w:pos="4153"/>
        <w:tab w:val="right" w:pos="8306"/>
      </w:tabs>
      <w:snapToGrid w:val="0"/>
      <w:jc w:val="left"/>
    </w:pPr>
    <w:rPr>
      <w:sz w:val="18"/>
      <w:szCs w:val="18"/>
    </w:rPr>
  </w:style>
  <w:style w:type="paragraph" w:styleId="NormalWeb">
    <w:name w:val="Normal (Web)"/>
    <w:basedOn w:val="Normal"/>
    <w:pPr>
      <w:widowControl/>
      <w:spacing w:before="100" w:beforeAutospacing="1" w:after="100" w:afterAutospacing="1"/>
      <w:jc w:val="left"/>
    </w:pPr>
    <w:rPr>
      <w:rFonts w:ascii="宋体" w:hAnsi="宋体" w:cs="宋体"/>
      <w:kern w:val="0"/>
      <w:sz w:val="24"/>
      <w:szCs w:val="24"/>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header" Target="header12.xml" /><Relationship Id="rId38" Type="http://schemas.openxmlformats.org/officeDocument/2006/relationships/footer" Target="footer23.xml" /><Relationship Id="rId39" Type="http://schemas.openxmlformats.org/officeDocument/2006/relationships/footer" Target="footer24.xml" /><Relationship Id="rId4" Type="http://schemas.openxmlformats.org/officeDocument/2006/relationships/header" Target="header1.xml" /><Relationship Id="rId40" Type="http://schemas.openxmlformats.org/officeDocument/2006/relationships/hyperlink" Target="https://d.book118.com/167020063111006034" TargetMode="External" /><Relationship Id="rId41" Type="http://schemas.openxmlformats.org/officeDocument/2006/relationships/header" Target="header13.xml" /><Relationship Id="rId42" Type="http://schemas.openxmlformats.org/officeDocument/2006/relationships/footer" Target="footer25.xml" /><Relationship Id="rId43" Type="http://schemas.openxmlformats.org/officeDocument/2006/relationships/footer" Target="footer26.xml" /><Relationship Id="rId44" Type="http://schemas.openxmlformats.org/officeDocument/2006/relationships/theme" Target="theme/theme1.xml" /><Relationship Id="rId45" Type="http://schemas.openxmlformats.org/officeDocument/2006/relationships/numbering" Target="numbering.xml" /><Relationship Id="rId46" Type="http://schemas.openxmlformats.org/officeDocument/2006/relationships/styles" Target="styles.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1915</Words>
  <Characters>10922</Characters>
  <Application>Microsoft Office Word</Application>
  <DocSecurity>0</DocSecurity>
  <Lines>91</Lines>
  <Paragraphs>25</Paragraphs>
  <ScaleCrop>false</ScaleCrop>
  <Company>广西壮族自治区卫生厅科技教育处</Company>
  <LinksUpToDate>false</LinksUpToDate>
  <CharactersWithSpaces>12812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自筹合同书</dc:title>
  <dc:creator>cy</dc:creator>
  <cp:lastModifiedBy>张海涛</cp:lastModifiedBy>
  <cp:revision>76</cp:revision>
  <cp:lastPrinted>2017-06-29T01:25:51Z</cp:lastPrinted>
  <dcterms:created xsi:type="dcterms:W3CDTF">2017-02-16T12:24:00Z</dcterms:created>
  <dcterms:modified xsi:type="dcterms:W3CDTF">2017-06-29T01:27:16Z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2052-10.1.0.6489</vt:lpwstr>
  </property>
</Properties>
</file>