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jc w:val="center"/>
        <w:outlineLvl w:val="0"/>
        <w:rPr>
          <w:rFonts w:ascii="Times New Roman" w:hAnsi="Times New Roman"/>
          <w:b/>
          <w:bCs/>
          <w:snapToGrid w:val="0"/>
          <w:color w:val="auto"/>
          <w:sz w:val="32"/>
          <w:szCs w:val="32"/>
          <w:highlight w:val="none"/>
        </w:rPr>
      </w:pPr>
      <w:r>
        <w:rPr>
          <w:rFonts w:ascii="Times New Roman" w:hAnsi="Times New Roman"/>
          <w:b/>
          <w:bCs/>
          <w:snapToGrid w:val="0"/>
          <w:color w:val="auto"/>
          <w:sz w:val="32"/>
          <w:szCs w:val="32"/>
          <w:highlight w:val="none"/>
        </w:rPr>
        <w:t>一、建设项目基本情况</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
      <w:tblGrid>
        <w:gridCol w:w="741"/>
        <w:gridCol w:w="1096"/>
        <w:gridCol w:w="1779"/>
        <w:gridCol w:w="1863"/>
        <w:gridCol w:w="339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Ex>
        <w:trPr>
          <w:trHeight w:val="497"/>
          <w:jc w:val="center"/>
        </w:trPr>
        <w:tc>
          <w:tcPr>
            <w:tcW w:w="1837"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建设项目名称</w:t>
            </w:r>
          </w:p>
        </w:tc>
        <w:tc>
          <w:tcPr>
            <w:tcW w:w="7033" w:type="dxa"/>
            <w:gridSpan w:val="3"/>
            <w:vAlign w:val="center"/>
          </w:tcPr>
          <w:p>
            <w:pPr>
              <w:pStyle w:val="a11"/>
              <w:keepNext w:val="0"/>
              <w:keepLines w:val="0"/>
              <w:suppressLineNumbers w:val="0"/>
              <w:spacing w:before="0" w:beforeAutospacing="0" w:after="0" w:afterAutospacing="0"/>
              <w:ind w:left="0" w:right="0"/>
              <w:rPr>
                <w:rFonts w:hint="default"/>
                <w:color w:val="auto"/>
                <w:sz w:val="24"/>
                <w:highlight w:val="none"/>
              </w:rPr>
            </w:pPr>
            <w:r>
              <w:rPr>
                <w:rFonts w:hint="eastAsia"/>
                <w:color w:val="auto"/>
                <w:sz w:val="24"/>
                <w:highlight w:val="none"/>
                <w:lang w:eastAsia="zh-CN"/>
              </w:rPr>
              <w:t>********</w:t>
            </w:r>
            <w:r>
              <w:rPr>
                <w:rFonts w:hint="eastAsia"/>
                <w:color w:val="auto"/>
                <w:sz w:val="24"/>
                <w:highlight w:val="none"/>
              </w:rPr>
              <w:t>制动系统有限公司年产刹车片2160万片</w:t>
            </w:r>
          </w:p>
        </w:tc>
      </w:tr>
      <w:tr>
        <w:tblPrEx>
          <w:tblW w:w="0" w:type="auto"/>
          <w:jc w:val="center"/>
          <w:tblLayout w:type="fixed"/>
          <w:tblCellMar>
            <w:top w:w="0" w:type="dxa"/>
            <w:left w:w="0" w:type="dxa"/>
            <w:bottom w:w="0" w:type="dxa"/>
            <w:right w:w="0" w:type="dxa"/>
          </w:tblCellMar>
        </w:tblPrEx>
        <w:trPr>
          <w:trHeight w:val="489"/>
          <w:jc w:val="center"/>
        </w:trPr>
        <w:tc>
          <w:tcPr>
            <w:tcW w:w="1837"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项目代码</w:t>
            </w:r>
          </w:p>
        </w:tc>
        <w:tc>
          <w:tcPr>
            <w:tcW w:w="7033" w:type="dxa"/>
            <w:gridSpan w:val="3"/>
            <w:vAlign w:val="center"/>
          </w:tcPr>
          <w:p>
            <w:pPr>
              <w:pStyle w:val="a11"/>
              <w:keepNext w:val="0"/>
              <w:keepLines w:val="0"/>
              <w:suppressLineNumbers w:val="0"/>
              <w:spacing w:before="0" w:beforeAutospacing="0" w:after="0" w:afterAutospacing="0"/>
              <w:ind w:left="0" w:right="0"/>
              <w:rPr>
                <w:rFonts w:hint="default"/>
                <w:color w:val="auto"/>
                <w:sz w:val="24"/>
                <w:highlight w:val="none"/>
              </w:rPr>
            </w:pPr>
          </w:p>
        </w:tc>
      </w:tr>
      <w:tr>
        <w:tblPrEx>
          <w:tblW w:w="0" w:type="auto"/>
          <w:jc w:val="center"/>
          <w:tblLayout w:type="fixed"/>
          <w:tblCellMar>
            <w:top w:w="0" w:type="dxa"/>
            <w:left w:w="0" w:type="dxa"/>
            <w:bottom w:w="0" w:type="dxa"/>
            <w:right w:w="0" w:type="dxa"/>
          </w:tblCellMar>
        </w:tblPrEx>
        <w:trPr>
          <w:trHeight w:val="497"/>
          <w:jc w:val="center"/>
        </w:trPr>
        <w:tc>
          <w:tcPr>
            <w:tcW w:w="1837"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建设单位联系人</w:t>
            </w:r>
          </w:p>
        </w:tc>
        <w:tc>
          <w:tcPr>
            <w:tcW w:w="1779"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p>
        </w:tc>
        <w:tc>
          <w:tcPr>
            <w:tcW w:w="186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联系方式</w:t>
            </w:r>
          </w:p>
        </w:tc>
        <w:tc>
          <w:tcPr>
            <w:tcW w:w="339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p>
        </w:tc>
      </w:tr>
      <w:tr>
        <w:tblPrEx>
          <w:tblW w:w="0" w:type="auto"/>
          <w:jc w:val="center"/>
          <w:tblLayout w:type="fixed"/>
          <w:tblCellMar>
            <w:top w:w="0" w:type="dxa"/>
            <w:left w:w="0" w:type="dxa"/>
            <w:bottom w:w="0" w:type="dxa"/>
            <w:right w:w="0" w:type="dxa"/>
          </w:tblCellMar>
        </w:tblPrEx>
        <w:trPr>
          <w:trHeight w:val="497"/>
          <w:jc w:val="center"/>
        </w:trPr>
        <w:tc>
          <w:tcPr>
            <w:tcW w:w="1837" w:type="dxa"/>
            <w:gridSpan w:val="2"/>
            <w:vMerge w:val="restart"/>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建设地点</w:t>
            </w:r>
          </w:p>
        </w:tc>
        <w:tc>
          <w:tcPr>
            <w:tcW w:w="7033" w:type="dxa"/>
            <w:gridSpan w:val="3"/>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p>
        </w:tc>
      </w:tr>
      <w:tr>
        <w:tblPrEx>
          <w:tblW w:w="0" w:type="auto"/>
          <w:jc w:val="center"/>
          <w:tblLayout w:type="fixed"/>
          <w:tblCellMar>
            <w:top w:w="0" w:type="dxa"/>
            <w:left w:w="0" w:type="dxa"/>
            <w:bottom w:w="0" w:type="dxa"/>
            <w:right w:w="0" w:type="dxa"/>
          </w:tblCellMar>
        </w:tblPrEx>
        <w:trPr>
          <w:trHeight w:val="497"/>
          <w:jc w:val="center"/>
        </w:trPr>
        <w:tc>
          <w:tcPr>
            <w:tcW w:w="1837" w:type="dxa"/>
            <w:gridSpan w:val="2"/>
            <w:vMerge/>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p>
        </w:tc>
        <w:tc>
          <w:tcPr>
            <w:tcW w:w="7033" w:type="dxa"/>
            <w:gridSpan w:val="3"/>
            <w:vAlign w:val="center"/>
          </w:tcPr>
          <w:p>
            <w:pPr>
              <w:keepNext w:val="0"/>
              <w:keepLines w:val="0"/>
              <w:suppressLineNumbers w:val="0"/>
              <w:adjustRightInd w:val="0"/>
              <w:snapToGrid w:val="0"/>
              <w:spacing w:before="0" w:beforeAutospacing="0" w:after="0" w:afterAutospacing="0"/>
              <w:ind w:left="0" w:right="0"/>
              <w:jc w:val="center"/>
              <w:rPr>
                <w:rFonts w:hint="eastAsia"/>
                <w:color w:val="auto"/>
                <w:sz w:val="24"/>
                <w:highlight w:val="none"/>
              </w:rPr>
            </w:pPr>
          </w:p>
        </w:tc>
      </w:tr>
      <w:tr>
        <w:tblPrEx>
          <w:tblW w:w="0" w:type="auto"/>
          <w:jc w:val="center"/>
          <w:tblLayout w:type="fixed"/>
          <w:tblCellMar>
            <w:top w:w="0" w:type="dxa"/>
            <w:left w:w="0" w:type="dxa"/>
            <w:bottom w:w="0" w:type="dxa"/>
            <w:right w:w="0" w:type="dxa"/>
          </w:tblCellMar>
        </w:tblPrEx>
        <w:trPr>
          <w:trHeight w:val="497"/>
          <w:jc w:val="center"/>
        </w:trPr>
        <w:tc>
          <w:tcPr>
            <w:tcW w:w="1837"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地理坐标</w:t>
            </w:r>
          </w:p>
        </w:tc>
        <w:tc>
          <w:tcPr>
            <w:tcW w:w="7033" w:type="dxa"/>
            <w:gridSpan w:val="3"/>
            <w:vAlign w:val="center"/>
          </w:tcPr>
          <w:p>
            <w:pPr>
              <w:keepNext w:val="0"/>
              <w:keepLines w:val="0"/>
              <w:suppressLineNumbers w:val="0"/>
              <w:spacing w:before="0" w:beforeAutospacing="0" w:after="0" w:afterAutospacing="0"/>
              <w:ind w:left="0" w:right="0"/>
              <w:jc w:val="center"/>
              <w:rPr>
                <w:rFonts w:hint="default"/>
                <w:color w:val="auto"/>
                <w:sz w:val="24"/>
                <w:highlight w:val="none"/>
              </w:rPr>
            </w:pPr>
          </w:p>
        </w:tc>
      </w:tr>
      <w:tr>
        <w:tblPrEx>
          <w:tblW w:w="0" w:type="auto"/>
          <w:jc w:val="center"/>
          <w:tblLayout w:type="fixed"/>
          <w:tblCellMar>
            <w:top w:w="0" w:type="dxa"/>
            <w:left w:w="0" w:type="dxa"/>
            <w:bottom w:w="0" w:type="dxa"/>
            <w:right w:w="0" w:type="dxa"/>
          </w:tblCellMar>
        </w:tblPrEx>
        <w:trPr>
          <w:trHeight w:val="90"/>
          <w:jc w:val="center"/>
        </w:trPr>
        <w:tc>
          <w:tcPr>
            <w:tcW w:w="1837"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国民经济行业类别</w:t>
            </w:r>
          </w:p>
        </w:tc>
        <w:tc>
          <w:tcPr>
            <w:tcW w:w="1779"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eastAsia"/>
                <w:color w:val="auto"/>
                <w:sz w:val="24"/>
                <w:highlight w:val="none"/>
              </w:rPr>
              <w:t>C3670汽车零部件及配件制造</w:t>
            </w:r>
          </w:p>
        </w:tc>
        <w:tc>
          <w:tcPr>
            <w:tcW w:w="186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bookmarkStart w:id="0" w:name="_Hlk49843745"/>
            <w:r>
              <w:rPr>
                <w:rFonts w:hint="default"/>
                <w:color w:val="auto"/>
                <w:sz w:val="24"/>
                <w:highlight w:val="none"/>
              </w:rPr>
              <w:t>建设项目</w:t>
            </w:r>
          </w:p>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行业类别</w:t>
            </w:r>
            <w:bookmarkEnd w:id="0"/>
          </w:p>
        </w:tc>
        <w:tc>
          <w:tcPr>
            <w:tcW w:w="3391" w:type="dxa"/>
            <w:vAlign w:val="center"/>
          </w:tcPr>
          <w:p>
            <w:pPr>
              <w:keepNext w:val="0"/>
              <w:keepLines w:val="0"/>
              <w:suppressLineNumbers w:val="0"/>
              <w:adjustRightInd w:val="0"/>
              <w:snapToGrid w:val="0"/>
              <w:spacing w:before="0" w:beforeAutospacing="0" w:after="0" w:afterAutospacing="0"/>
              <w:ind w:left="0" w:right="0"/>
              <w:rPr>
                <w:rFonts w:hint="default"/>
                <w:color w:val="auto"/>
                <w:sz w:val="24"/>
                <w:highlight w:val="none"/>
              </w:rPr>
            </w:pPr>
            <w:r>
              <w:rPr>
                <w:rFonts w:hint="eastAsia"/>
                <w:b/>
                <w:bCs/>
                <w:color w:val="auto"/>
                <w:sz w:val="24"/>
                <w:highlight w:val="none"/>
              </w:rPr>
              <w:t>三十三、汽车制造业</w:t>
            </w:r>
            <w:r>
              <w:rPr>
                <w:rFonts w:hint="eastAsia"/>
                <w:color w:val="auto"/>
                <w:sz w:val="24"/>
                <w:highlight w:val="none"/>
              </w:rPr>
              <w:t>—71汽车零部件及配件制造 367—其他（年用非溶剂型低VOCs含量涂料10吨以下的除外）；</w:t>
            </w:r>
          </w:p>
        </w:tc>
      </w:tr>
      <w:tr>
        <w:tblPrEx>
          <w:tblW w:w="0" w:type="auto"/>
          <w:jc w:val="center"/>
          <w:tblLayout w:type="fixed"/>
          <w:tblCellMar>
            <w:top w:w="0" w:type="dxa"/>
            <w:left w:w="0" w:type="dxa"/>
            <w:bottom w:w="0" w:type="dxa"/>
            <w:right w:w="0" w:type="dxa"/>
          </w:tblCellMar>
        </w:tblPrEx>
        <w:trPr>
          <w:trHeight w:val="1219"/>
          <w:jc w:val="center"/>
        </w:trPr>
        <w:tc>
          <w:tcPr>
            <w:tcW w:w="1837"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建设性质</w:t>
            </w:r>
          </w:p>
        </w:tc>
        <w:tc>
          <w:tcPr>
            <w:tcW w:w="1779" w:type="dxa"/>
            <w:vAlign w:val="center"/>
          </w:tcPr>
          <w:p>
            <w:pPr>
              <w:keepNext w:val="0"/>
              <w:keepLines w:val="0"/>
              <w:suppressLineNumbers w:val="0"/>
              <w:spacing w:before="0" w:beforeAutospacing="0" w:after="0" w:afterAutospacing="0"/>
              <w:ind w:left="0" w:right="0"/>
              <w:jc w:val="left"/>
              <w:rPr>
                <w:rFonts w:hint="default"/>
                <w:color w:val="auto"/>
                <w:sz w:val="24"/>
                <w:highlight w:val="none"/>
              </w:rPr>
            </w:pPr>
            <w:r>
              <w:rPr>
                <w:rFonts w:ascii="Wingdings 2" w:hAnsi="Wingdings 2"/>
                <w:color w:val="auto"/>
                <w:sz w:val="24"/>
                <w:highlight w:val="none"/>
              </w:rPr>
              <w:sym w:font="Wingdings 2" w:char="F0A3"/>
            </w:r>
            <w:r>
              <w:rPr>
                <w:rFonts w:hint="default"/>
                <w:color w:val="auto"/>
                <w:sz w:val="24"/>
                <w:highlight w:val="none"/>
              </w:rPr>
              <w:t>新建（迁建）</w:t>
            </w:r>
          </w:p>
          <w:p>
            <w:pPr>
              <w:keepNext w:val="0"/>
              <w:keepLines w:val="0"/>
              <w:suppressLineNumbers w:val="0"/>
              <w:spacing w:before="0" w:beforeAutospacing="0" w:after="0" w:afterAutospacing="0"/>
              <w:ind w:left="0" w:right="0"/>
              <w:jc w:val="left"/>
              <w:rPr>
                <w:rFonts w:hint="default"/>
                <w:color w:val="auto"/>
                <w:sz w:val="24"/>
                <w:highlight w:val="none"/>
              </w:rPr>
            </w:pPr>
            <w:r>
              <w:rPr>
                <w:rFonts w:ascii="Wingdings 2" w:hAnsi="Wingdings 2"/>
                <w:color w:val="auto"/>
                <w:sz w:val="24"/>
                <w:highlight w:val="none"/>
              </w:rPr>
              <w:sym w:font="Wingdings 2" w:char="F0A3"/>
            </w:r>
            <w:r>
              <w:rPr>
                <w:rFonts w:hint="default"/>
                <w:color w:val="auto"/>
                <w:sz w:val="24"/>
                <w:highlight w:val="none"/>
              </w:rPr>
              <w:t>改建</w:t>
            </w:r>
          </w:p>
          <w:p>
            <w:pPr>
              <w:keepNext w:val="0"/>
              <w:keepLines w:val="0"/>
              <w:suppressLineNumbers w:val="0"/>
              <w:spacing w:before="0" w:beforeAutospacing="0" w:after="0" w:afterAutospacing="0"/>
              <w:ind w:left="0" w:right="0"/>
              <w:jc w:val="left"/>
              <w:rPr>
                <w:rFonts w:hint="default"/>
                <w:color w:val="auto"/>
                <w:sz w:val="24"/>
                <w:highlight w:val="none"/>
              </w:rPr>
            </w:pPr>
            <w:r>
              <w:rPr>
                <w:rFonts w:ascii="Wingdings 2" w:hAnsi="Wingdings 2"/>
                <w:color w:val="auto"/>
                <w:sz w:val="24"/>
                <w:highlight w:val="none"/>
              </w:rPr>
              <w:sym w:font="Wingdings 2" w:char="F052"/>
            </w:r>
            <w:r>
              <w:rPr>
                <w:rFonts w:hint="default"/>
                <w:color w:val="auto"/>
                <w:sz w:val="24"/>
                <w:highlight w:val="none"/>
              </w:rPr>
              <w:t>扩建</w:t>
            </w:r>
          </w:p>
          <w:p>
            <w:pPr>
              <w:keepNext w:val="0"/>
              <w:keepLines w:val="0"/>
              <w:suppressLineNumbers w:val="0"/>
              <w:spacing w:before="0" w:beforeAutospacing="0" w:after="0" w:afterAutospacing="0"/>
              <w:ind w:left="0" w:right="0"/>
              <w:jc w:val="left"/>
              <w:rPr>
                <w:rFonts w:hint="default"/>
                <w:color w:val="auto"/>
                <w:sz w:val="24"/>
                <w:highlight w:val="none"/>
              </w:rPr>
            </w:pPr>
            <w:r>
              <w:rPr>
                <w:rFonts w:ascii="Wingdings 2" w:hAnsi="Wingdings 2"/>
                <w:color w:val="auto"/>
                <w:sz w:val="24"/>
                <w:highlight w:val="none"/>
              </w:rPr>
              <w:sym w:font="Wingdings 2" w:char="F0A3"/>
            </w:r>
            <w:r>
              <w:rPr>
                <w:rFonts w:hint="default"/>
                <w:color w:val="auto"/>
                <w:sz w:val="24"/>
                <w:highlight w:val="none"/>
              </w:rPr>
              <w:t>技术改造</w:t>
            </w:r>
          </w:p>
        </w:tc>
        <w:tc>
          <w:tcPr>
            <w:tcW w:w="186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建设项目</w:t>
            </w:r>
          </w:p>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申报情形</w:t>
            </w:r>
          </w:p>
        </w:tc>
        <w:tc>
          <w:tcPr>
            <w:tcW w:w="3391" w:type="dxa"/>
            <w:vAlign w:val="center"/>
          </w:tcPr>
          <w:p>
            <w:pPr>
              <w:keepNext w:val="0"/>
              <w:keepLines w:val="0"/>
              <w:suppressLineNumbers w:val="0"/>
              <w:spacing w:before="0" w:beforeAutospacing="0" w:after="0" w:afterAutospacing="0"/>
              <w:ind w:left="0" w:right="0"/>
              <w:jc w:val="left"/>
              <w:rPr>
                <w:rFonts w:hint="default"/>
                <w:color w:val="auto"/>
                <w:sz w:val="24"/>
                <w:highlight w:val="none"/>
              </w:rPr>
            </w:pPr>
            <w:r>
              <w:rPr>
                <w:rFonts w:ascii="Wingdings 2" w:hAnsi="Wingdings 2"/>
                <w:color w:val="auto"/>
                <w:sz w:val="24"/>
                <w:highlight w:val="none"/>
              </w:rPr>
              <w:sym w:font="Wingdings 2" w:char="F052"/>
            </w:r>
            <w:r>
              <w:rPr>
                <w:rFonts w:hint="default"/>
                <w:color w:val="auto"/>
                <w:sz w:val="24"/>
                <w:highlight w:val="none"/>
              </w:rPr>
              <w:t>首次申报项目</w:t>
            </w:r>
          </w:p>
          <w:p>
            <w:pPr>
              <w:keepNext w:val="0"/>
              <w:keepLines w:val="0"/>
              <w:suppressLineNumbers w:val="0"/>
              <w:spacing w:before="0" w:beforeAutospacing="0" w:after="0" w:afterAutospacing="0"/>
              <w:ind w:left="0" w:right="0"/>
              <w:jc w:val="left"/>
              <w:rPr>
                <w:rFonts w:hint="default"/>
                <w:color w:val="auto"/>
                <w:sz w:val="24"/>
                <w:highlight w:val="none"/>
              </w:rPr>
            </w:pPr>
            <w:r>
              <w:rPr>
                <w:rFonts w:ascii="Wingdings 2" w:hAnsi="Wingdings 2"/>
                <w:color w:val="auto"/>
                <w:sz w:val="24"/>
                <w:highlight w:val="none"/>
              </w:rPr>
              <w:sym w:font="Wingdings 2" w:char="F0A3"/>
            </w:r>
            <w:r>
              <w:rPr>
                <w:rFonts w:hint="default"/>
                <w:color w:val="auto"/>
                <w:sz w:val="24"/>
                <w:highlight w:val="none"/>
              </w:rPr>
              <w:t>不予批准后再次申报项目</w:t>
            </w:r>
          </w:p>
          <w:p>
            <w:pPr>
              <w:keepNext w:val="0"/>
              <w:keepLines w:val="0"/>
              <w:suppressLineNumbers w:val="0"/>
              <w:spacing w:before="0" w:beforeAutospacing="0" w:after="0" w:afterAutospacing="0"/>
              <w:ind w:left="0" w:right="0"/>
              <w:jc w:val="left"/>
              <w:rPr>
                <w:rFonts w:hint="default"/>
                <w:color w:val="auto"/>
                <w:sz w:val="24"/>
                <w:highlight w:val="none"/>
              </w:rPr>
            </w:pPr>
            <w:r>
              <w:rPr>
                <w:rFonts w:ascii="Wingdings 2" w:hAnsi="Wingdings 2"/>
                <w:color w:val="auto"/>
                <w:sz w:val="24"/>
                <w:highlight w:val="none"/>
              </w:rPr>
              <w:sym w:font="Wingdings 2" w:char="F0A3"/>
            </w:r>
            <w:r>
              <w:rPr>
                <w:rFonts w:hint="default"/>
                <w:color w:val="auto"/>
                <w:sz w:val="24"/>
                <w:highlight w:val="none"/>
              </w:rPr>
              <w:t>超五年重新审核项目</w:t>
            </w:r>
          </w:p>
          <w:p>
            <w:pPr>
              <w:keepNext w:val="0"/>
              <w:keepLines w:val="0"/>
              <w:suppressLineNumbers w:val="0"/>
              <w:spacing w:before="0" w:beforeAutospacing="0" w:after="0" w:afterAutospacing="0"/>
              <w:ind w:left="0" w:right="0"/>
              <w:jc w:val="left"/>
              <w:rPr>
                <w:rFonts w:hint="default"/>
                <w:color w:val="auto"/>
                <w:sz w:val="24"/>
                <w:highlight w:val="none"/>
              </w:rPr>
            </w:pPr>
            <w:r>
              <w:rPr>
                <w:rFonts w:ascii="Wingdings 2" w:hAnsi="Wingdings 2"/>
                <w:color w:val="auto"/>
                <w:sz w:val="24"/>
                <w:highlight w:val="none"/>
              </w:rPr>
              <w:sym w:font="Wingdings 2" w:char="F0A3"/>
            </w:r>
            <w:r>
              <w:rPr>
                <w:rFonts w:hint="default"/>
                <w:color w:val="auto"/>
                <w:sz w:val="24"/>
                <w:highlight w:val="none"/>
              </w:rPr>
              <w:t>重大变动重新报批项目</w:t>
            </w:r>
          </w:p>
        </w:tc>
      </w:tr>
      <w:tr>
        <w:tblPrEx>
          <w:tblW w:w="0" w:type="auto"/>
          <w:jc w:val="center"/>
          <w:tblLayout w:type="fixed"/>
          <w:tblCellMar>
            <w:top w:w="0" w:type="dxa"/>
            <w:left w:w="0" w:type="dxa"/>
            <w:bottom w:w="0" w:type="dxa"/>
            <w:right w:w="0" w:type="dxa"/>
          </w:tblCellMar>
        </w:tblPrEx>
        <w:trPr>
          <w:trHeight w:val="851"/>
          <w:jc w:val="center"/>
        </w:trPr>
        <w:tc>
          <w:tcPr>
            <w:tcW w:w="1837"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项目审批（核准/备案）部门（选填）</w:t>
            </w:r>
          </w:p>
        </w:tc>
        <w:tc>
          <w:tcPr>
            <w:tcW w:w="1779"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eastAsia"/>
                <w:color w:val="auto"/>
                <w:sz w:val="24"/>
                <w:highlight w:val="none"/>
              </w:rPr>
              <w:t>福清市发展和改革局</w:t>
            </w:r>
          </w:p>
        </w:tc>
        <w:tc>
          <w:tcPr>
            <w:tcW w:w="186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项目审批（核准/</w:t>
            </w:r>
          </w:p>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备案）文号（选填）</w:t>
            </w:r>
          </w:p>
        </w:tc>
        <w:tc>
          <w:tcPr>
            <w:tcW w:w="339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p>
        </w:tc>
      </w:tr>
      <w:tr>
        <w:tblPrEx>
          <w:tblW w:w="0" w:type="auto"/>
          <w:jc w:val="center"/>
          <w:tblLayout w:type="fixed"/>
          <w:tblCellMar>
            <w:top w:w="0" w:type="dxa"/>
            <w:left w:w="0" w:type="dxa"/>
            <w:bottom w:w="0" w:type="dxa"/>
            <w:right w:w="0" w:type="dxa"/>
          </w:tblCellMar>
        </w:tblPrEx>
        <w:trPr>
          <w:trHeight w:val="497"/>
          <w:jc w:val="center"/>
        </w:trPr>
        <w:tc>
          <w:tcPr>
            <w:tcW w:w="1837"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总投资（万元）</w:t>
            </w:r>
          </w:p>
        </w:tc>
        <w:tc>
          <w:tcPr>
            <w:tcW w:w="1779"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eastAsia"/>
                <w:color w:val="auto"/>
                <w:sz w:val="24"/>
                <w:highlight w:val="none"/>
              </w:rPr>
              <w:t>1700</w:t>
            </w:r>
          </w:p>
        </w:tc>
        <w:tc>
          <w:tcPr>
            <w:tcW w:w="1863"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环保投资（万元）</w:t>
            </w:r>
          </w:p>
        </w:tc>
        <w:tc>
          <w:tcPr>
            <w:tcW w:w="339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eastAsia"/>
                <w:color w:val="auto"/>
                <w:sz w:val="24"/>
                <w:highlight w:val="none"/>
                <w:lang w:val="en-US" w:eastAsia="zh-CN"/>
              </w:rPr>
              <w:t>160</w:t>
            </w:r>
          </w:p>
        </w:tc>
      </w:tr>
      <w:tr>
        <w:tblPrEx>
          <w:tblW w:w="0" w:type="auto"/>
          <w:jc w:val="center"/>
          <w:tblLayout w:type="fixed"/>
          <w:tblCellMar>
            <w:top w:w="0" w:type="dxa"/>
            <w:left w:w="0" w:type="dxa"/>
            <w:bottom w:w="0" w:type="dxa"/>
            <w:right w:w="0" w:type="dxa"/>
          </w:tblCellMar>
        </w:tblPrEx>
        <w:trPr>
          <w:trHeight w:val="497"/>
          <w:jc w:val="center"/>
        </w:trPr>
        <w:tc>
          <w:tcPr>
            <w:tcW w:w="1837"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环保投资占比（%）</w:t>
            </w:r>
          </w:p>
        </w:tc>
        <w:tc>
          <w:tcPr>
            <w:tcW w:w="1779"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eastAsia"/>
                <w:color w:val="auto"/>
                <w:sz w:val="24"/>
                <w:highlight w:val="none"/>
                <w:lang w:val="en-US" w:eastAsia="zh-CN"/>
              </w:rPr>
              <w:t>9.4</w:t>
            </w:r>
          </w:p>
        </w:tc>
        <w:tc>
          <w:tcPr>
            <w:tcW w:w="1863"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施工工期</w:t>
            </w:r>
          </w:p>
        </w:tc>
        <w:tc>
          <w:tcPr>
            <w:tcW w:w="339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6个月</w:t>
            </w:r>
          </w:p>
        </w:tc>
      </w:tr>
      <w:tr>
        <w:tblPrEx>
          <w:tblW w:w="0" w:type="auto"/>
          <w:jc w:val="center"/>
          <w:tblLayout w:type="fixed"/>
          <w:tblCellMar>
            <w:top w:w="0" w:type="dxa"/>
            <w:left w:w="0" w:type="dxa"/>
            <w:bottom w:w="0" w:type="dxa"/>
            <w:right w:w="0" w:type="dxa"/>
          </w:tblCellMar>
        </w:tblPrEx>
        <w:trPr>
          <w:trHeight w:val="497"/>
          <w:jc w:val="center"/>
        </w:trPr>
        <w:tc>
          <w:tcPr>
            <w:tcW w:w="1837"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z w:val="24"/>
                <w:highlight w:val="none"/>
              </w:rPr>
              <w:t>是否开工建设</w:t>
            </w:r>
          </w:p>
        </w:tc>
        <w:tc>
          <w:tcPr>
            <w:tcW w:w="1779" w:type="dxa"/>
            <w:vAlign w:val="center"/>
          </w:tcPr>
          <w:p>
            <w:pPr>
              <w:keepNext w:val="0"/>
              <w:keepLines w:val="0"/>
              <w:suppressLineNumbers w:val="0"/>
              <w:adjustRightInd w:val="0"/>
              <w:snapToGrid w:val="0"/>
              <w:spacing w:before="0" w:beforeAutospacing="0" w:after="0" w:afterAutospacing="0"/>
              <w:ind w:left="0" w:right="0"/>
              <w:rPr>
                <w:rFonts w:hint="default"/>
                <w:color w:val="auto"/>
                <w:sz w:val="24"/>
                <w:highlight w:val="none"/>
              </w:rPr>
            </w:pPr>
            <w:r>
              <w:rPr>
                <w:rFonts w:ascii="Wingdings 2" w:hAnsi="Wingdings 2"/>
                <w:color w:val="auto"/>
                <w:sz w:val="24"/>
                <w:highlight w:val="none"/>
              </w:rPr>
              <w:sym w:font="Wingdings 2" w:char="F052"/>
            </w:r>
            <w:r>
              <w:rPr>
                <w:rFonts w:hint="default"/>
                <w:color w:val="auto"/>
                <w:sz w:val="24"/>
                <w:highlight w:val="none"/>
              </w:rPr>
              <w:t>否</w:t>
            </w:r>
          </w:p>
          <w:p>
            <w:pPr>
              <w:keepNext w:val="0"/>
              <w:keepLines w:val="0"/>
              <w:suppressLineNumbers w:val="0"/>
              <w:adjustRightInd w:val="0"/>
              <w:snapToGrid w:val="0"/>
              <w:spacing w:before="0" w:beforeAutospacing="0" w:after="0" w:afterAutospacing="0"/>
              <w:ind w:left="0" w:right="0"/>
              <w:rPr>
                <w:rFonts w:hint="default"/>
                <w:color w:val="auto"/>
                <w:sz w:val="24"/>
                <w:highlight w:val="none"/>
              </w:rPr>
            </w:pPr>
            <w:r>
              <w:rPr>
                <w:rFonts w:ascii="Wingdings 2" w:hAnsi="Wingdings 2"/>
                <w:color w:val="auto"/>
                <w:sz w:val="24"/>
                <w:highlight w:val="none"/>
              </w:rPr>
              <w:sym w:font="Wingdings 2" w:char="F0A3"/>
            </w:r>
            <w:r>
              <w:rPr>
                <w:rFonts w:hint="default"/>
                <w:color w:val="auto"/>
                <w:sz w:val="24"/>
                <w:highlight w:val="none"/>
              </w:rPr>
              <w:t>是：</w:t>
            </w:r>
            <w:r>
              <w:rPr>
                <w:rFonts w:hint="default"/>
                <w:color w:val="auto"/>
                <w:sz w:val="24"/>
                <w:highlight w:val="none"/>
                <w:u w:val="single"/>
              </w:rPr>
              <w:t xml:space="preserve">     </w:t>
            </w:r>
            <w:r>
              <w:rPr>
                <w:rFonts w:hint="eastAsia"/>
                <w:color w:val="auto"/>
                <w:sz w:val="24"/>
                <w:highlight w:val="none"/>
                <w:u w:val="single"/>
              </w:rPr>
              <w:t xml:space="preserve">     </w:t>
            </w:r>
            <w:r>
              <w:rPr>
                <w:rFonts w:hint="default"/>
                <w:color w:val="auto"/>
                <w:sz w:val="24"/>
                <w:highlight w:val="none"/>
                <w:u w:val="single"/>
              </w:rPr>
              <w:t xml:space="preserve"> </w:t>
            </w:r>
          </w:p>
        </w:tc>
        <w:tc>
          <w:tcPr>
            <w:tcW w:w="1863"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olor w:val="auto"/>
                <w:spacing w:val="-6"/>
                <w:sz w:val="24"/>
                <w:highlight w:val="none"/>
              </w:rPr>
            </w:pPr>
            <w:r>
              <w:rPr>
                <w:rFonts w:hint="default"/>
                <w:color w:val="auto"/>
                <w:spacing w:val="-6"/>
                <w:sz w:val="24"/>
                <w:highlight w:val="none"/>
              </w:rPr>
              <w:t>用地（用海）</w:t>
            </w:r>
          </w:p>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default"/>
                <w:color w:val="auto"/>
                <w:spacing w:val="-6"/>
                <w:sz w:val="24"/>
                <w:highlight w:val="none"/>
              </w:rPr>
              <w:t>面积（m</w:t>
            </w:r>
            <w:r>
              <w:rPr>
                <w:rFonts w:hint="default"/>
                <w:color w:val="auto"/>
                <w:spacing w:val="-6"/>
                <w:sz w:val="24"/>
                <w:highlight w:val="none"/>
                <w:vertAlign w:val="superscript"/>
              </w:rPr>
              <w:t>2</w:t>
            </w:r>
            <w:r>
              <w:rPr>
                <w:rFonts w:hint="default"/>
                <w:color w:val="auto"/>
                <w:spacing w:val="-6"/>
                <w:sz w:val="24"/>
                <w:highlight w:val="none"/>
              </w:rPr>
              <w:t>）</w:t>
            </w:r>
          </w:p>
        </w:tc>
        <w:tc>
          <w:tcPr>
            <w:tcW w:w="339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highlight w:val="none"/>
              </w:rPr>
            </w:pPr>
            <w:r>
              <w:rPr>
                <w:rFonts w:hint="eastAsia"/>
                <w:color w:val="auto"/>
                <w:sz w:val="24"/>
                <w:highlight w:val="none"/>
                <w:lang w:val="en-US" w:eastAsia="zh-CN"/>
              </w:rPr>
              <w:t>1850</w:t>
            </w:r>
          </w:p>
        </w:tc>
      </w:tr>
      <w:tr>
        <w:tblPrEx>
          <w:tblW w:w="0" w:type="auto"/>
          <w:jc w:val="center"/>
          <w:tblLayout w:type="fixed"/>
          <w:tblCellMar>
            <w:top w:w="0" w:type="dxa"/>
            <w:left w:w="108" w:type="dxa"/>
            <w:bottom w:w="0" w:type="dxa"/>
            <w:right w:w="108" w:type="dxa"/>
          </w:tblCellMar>
        </w:tblPrEx>
        <w:trPr>
          <w:trHeight w:val="1810"/>
          <w:jc w:val="center"/>
        </w:trPr>
        <w:tc>
          <w:tcPr>
            <w:tcW w:w="741"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olor w:val="auto"/>
                <w:kern w:val="0"/>
                <w:sz w:val="24"/>
                <w:highlight w:val="none"/>
              </w:rPr>
            </w:pPr>
            <w:r>
              <w:rPr>
                <w:rFonts w:hint="default"/>
                <w:color w:val="auto"/>
                <w:kern w:val="0"/>
                <w:sz w:val="24"/>
                <w:highlight w:val="none"/>
              </w:rPr>
              <w:t>专项评价设置情况</w:t>
            </w:r>
          </w:p>
        </w:tc>
        <w:tc>
          <w:tcPr>
            <w:tcW w:w="8129" w:type="dxa"/>
            <w:gridSpan w:val="4"/>
            <w:vAlign w:val="center"/>
          </w:tcPr>
          <w:p>
            <w:pPr>
              <w:keepNext w:val="0"/>
              <w:keepLines w:val="0"/>
              <w:suppressLineNumbers w:val="0"/>
              <w:spacing w:before="0" w:beforeAutospacing="0" w:after="0" w:afterAutospacing="0" w:line="360" w:lineRule="auto"/>
              <w:ind w:left="0" w:right="0" w:firstLine="480" w:firstLineChars="200"/>
              <w:outlineLvl w:val="2"/>
              <w:rPr>
                <w:rFonts w:hint="default"/>
                <w:color w:val="auto"/>
                <w:sz w:val="24"/>
                <w:highlight w:val="none"/>
              </w:rPr>
            </w:pPr>
            <w:r>
              <w:rPr>
                <w:rFonts w:hint="eastAsia"/>
                <w:color w:val="auto"/>
                <w:sz w:val="24"/>
                <w:highlight w:val="none"/>
              </w:rPr>
              <w:t>根据《建设项目环境影响报告表编制技术指南（污染影响类）（试行）》，项目工程专项设置情况参照专项评价设置原则表，详见表</w:t>
            </w:r>
            <w:r>
              <w:rPr>
                <w:rFonts w:hint="default"/>
                <w:color w:val="auto"/>
                <w:sz w:val="24"/>
                <w:highlight w:val="none"/>
              </w:rPr>
              <w:t>1-1</w:t>
            </w:r>
            <w:r>
              <w:rPr>
                <w:rFonts w:hint="eastAsia"/>
                <w:color w:val="auto"/>
                <w:sz w:val="24"/>
                <w:highlight w:val="none"/>
              </w:rPr>
              <w:t>。</w:t>
            </w:r>
          </w:p>
          <w:p>
            <w:pPr>
              <w:keepNext w:val="0"/>
              <w:keepLines w:val="0"/>
              <w:widowControl/>
              <w:suppressLineNumbers w:val="0"/>
              <w:spacing w:before="0" w:beforeAutospacing="0" w:after="0" w:afterAutospacing="0"/>
              <w:ind w:left="0" w:right="0"/>
              <w:jc w:val="center"/>
              <w:rPr>
                <w:rFonts w:hint="default"/>
                <w:b/>
                <w:color w:val="auto"/>
                <w:sz w:val="24"/>
                <w:szCs w:val="20"/>
                <w:highlight w:val="none"/>
              </w:rPr>
            </w:pPr>
            <w:r>
              <w:rPr>
                <w:rFonts w:hint="eastAsia"/>
                <w:b/>
                <w:color w:val="auto"/>
                <w:kern w:val="0"/>
                <w:sz w:val="24"/>
                <w:highlight w:val="none"/>
              </w:rPr>
              <w:t>表</w:t>
            </w:r>
            <w:r>
              <w:rPr>
                <w:rFonts w:hint="default"/>
                <w:b/>
                <w:color w:val="auto"/>
                <w:kern w:val="0"/>
                <w:sz w:val="24"/>
                <w:highlight w:val="none"/>
              </w:rPr>
              <w:t xml:space="preserve">1-1  </w:t>
            </w:r>
            <w:r>
              <w:rPr>
                <w:rFonts w:hint="eastAsia"/>
                <w:b/>
                <w:color w:val="auto"/>
                <w:kern w:val="0"/>
                <w:sz w:val="24"/>
                <w:highlight w:val="none"/>
              </w:rPr>
              <w:t>项目专项评价设置表</w:t>
            </w:r>
          </w:p>
          <w:tbl>
            <w:tblPr>
              <w:tblStyle w:val="TableNormal"/>
              <w:tblW w:w="4996"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095"/>
              <w:gridCol w:w="2476"/>
              <w:gridCol w:w="3213"/>
              <w:gridCol w:w="1123"/>
            </w:tblGrid>
            <w:tr>
              <w:tblPrEx>
                <w:tblW w:w="4996"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692"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专项评价的类别</w:t>
                  </w:r>
                </w:p>
              </w:tc>
              <w:tc>
                <w:tcPr>
                  <w:tcW w:w="1565"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设置原则</w:t>
                  </w:r>
                </w:p>
              </w:tc>
              <w:tc>
                <w:tcPr>
                  <w:tcW w:w="2031"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本项目情况</w:t>
                  </w:r>
                </w:p>
              </w:tc>
              <w:tc>
                <w:tcPr>
                  <w:tcW w:w="710"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是否设置专项评价</w:t>
                  </w:r>
                </w:p>
              </w:tc>
            </w:tr>
            <w:tr>
              <w:tblPrEx>
                <w:tblW w:w="4996" w:type="pct"/>
                <w:jc w:val="center"/>
                <w:tblLayout w:type="fixed"/>
                <w:tblCellMar>
                  <w:top w:w="0" w:type="dxa"/>
                  <w:left w:w="108" w:type="dxa"/>
                  <w:bottom w:w="0" w:type="dxa"/>
                  <w:right w:w="108" w:type="dxa"/>
                </w:tblCellMar>
              </w:tblPrEx>
              <w:trPr>
                <w:trHeight w:val="340"/>
                <w:jc w:val="center"/>
              </w:trPr>
              <w:tc>
                <w:tcPr>
                  <w:tcW w:w="692"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大气</w:t>
                  </w:r>
                </w:p>
              </w:tc>
              <w:tc>
                <w:tcPr>
                  <w:tcW w:w="1565"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排放废气含有毒有害污染物</w:t>
                  </w:r>
                  <w:r>
                    <w:rPr>
                      <w:rFonts w:hint="default"/>
                      <w:color w:val="auto"/>
                      <w:highlight w:val="none"/>
                      <w:vertAlign w:val="superscript"/>
                      <w:lang w:val="zh-CN"/>
                    </w:rPr>
                    <w:t>1</w:t>
                  </w:r>
                  <w:r>
                    <w:rPr>
                      <w:rFonts w:hint="default"/>
                      <w:color w:val="auto"/>
                      <w:highlight w:val="none"/>
                      <w:lang w:val="zh-CN"/>
                    </w:rPr>
                    <w:t>、二噁英、苯并[a]芘、氰化物、氯气且厂界外500米范围内有环境空气保护目标</w:t>
                  </w:r>
                  <w:r>
                    <w:rPr>
                      <w:rFonts w:hint="default"/>
                      <w:color w:val="auto"/>
                      <w:highlight w:val="none"/>
                      <w:vertAlign w:val="superscript"/>
                      <w:lang w:val="zh-CN"/>
                    </w:rPr>
                    <w:t>2</w:t>
                  </w:r>
                  <w:r>
                    <w:rPr>
                      <w:rFonts w:hint="default"/>
                      <w:color w:val="auto"/>
                      <w:highlight w:val="none"/>
                      <w:lang w:val="zh-CN"/>
                    </w:rPr>
                    <w:t>的建设项目</w:t>
                  </w:r>
                </w:p>
              </w:tc>
              <w:tc>
                <w:tcPr>
                  <w:tcW w:w="2031"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lang w:val="zh-CN"/>
                    </w:rPr>
                    <w:t>项目排放的废气</w:t>
                  </w:r>
                  <w:r>
                    <w:rPr>
                      <w:rFonts w:hint="default"/>
                      <w:color w:val="auto"/>
                      <w:highlight w:val="none"/>
                    </w:rPr>
                    <w:t>中涉及有毒有害污染物（甲醛）且本项目厂界外500m范围内有环境空气保护目标（安境桥</w:t>
                  </w:r>
                  <w:r>
                    <w:rPr>
                      <w:rFonts w:hint="eastAsia"/>
                      <w:color w:val="auto"/>
                      <w:highlight w:val="none"/>
                      <w:lang w:val="en-US" w:eastAsia="zh-CN"/>
                    </w:rPr>
                    <w:t>村、洋中村</w:t>
                  </w:r>
                  <w:r>
                    <w:rPr>
                      <w:rFonts w:hint="eastAsia"/>
                      <w:color w:val="auto"/>
                      <w:highlight w:val="none"/>
                    </w:rPr>
                    <w:t>和</w:t>
                  </w:r>
                  <w:r>
                    <w:rPr>
                      <w:rFonts w:hint="default"/>
                      <w:color w:val="auto"/>
                      <w:highlight w:val="none"/>
                    </w:rPr>
                    <w:t>溪西</w:t>
                  </w:r>
                  <w:r>
                    <w:rPr>
                      <w:rFonts w:hint="eastAsia"/>
                      <w:color w:val="auto"/>
                      <w:highlight w:val="none"/>
                      <w:lang w:val="en-US" w:eastAsia="zh-CN"/>
                    </w:rPr>
                    <w:t>村</w:t>
                  </w:r>
                  <w:r>
                    <w:rPr>
                      <w:rFonts w:hint="default"/>
                      <w:color w:val="auto"/>
                      <w:highlight w:val="none"/>
                    </w:rPr>
                    <w:t>）</w:t>
                  </w:r>
                </w:p>
              </w:tc>
              <w:tc>
                <w:tcPr>
                  <w:tcW w:w="710"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rPr>
                    <w:t>是</w:t>
                  </w:r>
                </w:p>
              </w:tc>
            </w:tr>
            <w:tr>
              <w:tblPrEx>
                <w:tblW w:w="4996" w:type="pct"/>
                <w:jc w:val="center"/>
                <w:tblLayout w:type="fixed"/>
                <w:tblCellMar>
                  <w:top w:w="0" w:type="dxa"/>
                  <w:left w:w="108" w:type="dxa"/>
                  <w:bottom w:w="0" w:type="dxa"/>
                  <w:right w:w="108" w:type="dxa"/>
                </w:tblCellMar>
              </w:tblPrEx>
              <w:trPr>
                <w:trHeight w:val="340"/>
                <w:jc w:val="center"/>
              </w:trPr>
              <w:tc>
                <w:tcPr>
                  <w:tcW w:w="692"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地表水</w:t>
                  </w:r>
                </w:p>
              </w:tc>
              <w:tc>
                <w:tcPr>
                  <w:tcW w:w="1565"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新增</w:t>
                  </w:r>
                  <w:r>
                    <w:rPr>
                      <w:rFonts w:hint="eastAsia"/>
                      <w:color w:val="auto"/>
                      <w:highlight w:val="none"/>
                      <w:lang w:val="zh-CN"/>
                    </w:rPr>
                    <w:t>***</w:t>
                  </w:r>
                  <w:r>
                    <w:rPr>
                      <w:rFonts w:hint="default"/>
                      <w:color w:val="auto"/>
                      <w:highlight w:val="none"/>
                      <w:lang w:val="zh-CN"/>
                    </w:rPr>
                    <w:t>废水直排建设项目（槽罐车外送污水处理厂的除外）；新增废水直排的污水集中处理厂</w:t>
                  </w:r>
                </w:p>
              </w:tc>
              <w:tc>
                <w:tcPr>
                  <w:tcW w:w="2031"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lang w:val="zh-CN"/>
                    </w:rPr>
                    <w:t>项目</w:t>
                  </w:r>
                  <w:r>
                    <w:rPr>
                      <w:rFonts w:hint="default"/>
                      <w:color w:val="auto"/>
                      <w:highlight w:val="none"/>
                    </w:rPr>
                    <w:t>外排废水为生产废水和生活污水，生产废水经预处理后与生活污水一起排入市政污水管网纳入福清融元污水处理厂</w:t>
                  </w:r>
                  <w:r>
                    <w:rPr>
                      <w:rFonts w:hint="eastAsia"/>
                      <w:color w:val="auto"/>
                      <w:highlight w:val="none"/>
                    </w:rPr>
                    <w:t>处理</w:t>
                  </w:r>
                </w:p>
              </w:tc>
              <w:tc>
                <w:tcPr>
                  <w:tcW w:w="710"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否</w:t>
                  </w:r>
                </w:p>
              </w:tc>
            </w:tr>
            <w:tr>
              <w:tblPrEx>
                <w:tblW w:w="4996" w:type="pct"/>
                <w:jc w:val="center"/>
                <w:tblLayout w:type="fixed"/>
                <w:tblCellMar>
                  <w:top w:w="0" w:type="dxa"/>
                  <w:left w:w="108" w:type="dxa"/>
                  <w:bottom w:w="0" w:type="dxa"/>
                  <w:right w:w="108" w:type="dxa"/>
                </w:tblCellMar>
              </w:tblPrEx>
              <w:trPr>
                <w:trHeight w:val="340"/>
                <w:jc w:val="center"/>
              </w:trPr>
              <w:tc>
                <w:tcPr>
                  <w:tcW w:w="692"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环境风险</w:t>
                  </w:r>
                </w:p>
              </w:tc>
              <w:tc>
                <w:tcPr>
                  <w:tcW w:w="1565"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p>
              </w:tc>
              <w:tc>
                <w:tcPr>
                  <w:tcW w:w="2031"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本项目Q</w:t>
                  </w:r>
                  <w:r>
                    <w:rPr>
                      <w:rFonts w:hint="eastAsia"/>
                      <w:color w:val="auto"/>
                      <w:highlight w:val="none"/>
                    </w:rPr>
                    <w:t>值</w:t>
                  </w:r>
                  <w:r>
                    <w:rPr>
                      <w:rFonts w:hint="default"/>
                      <w:color w:val="auto"/>
                      <w:highlight w:val="none"/>
                    </w:rPr>
                    <w:t>小于1，有毒有害和易燃易爆危险物质</w:t>
                  </w:r>
                  <w:r>
                    <w:rPr>
                      <w:rFonts w:hint="default"/>
                      <w:color w:val="auto"/>
                      <w:highlight w:val="none"/>
                      <w:lang w:val="zh-CN"/>
                    </w:rPr>
                    <w:t>存储量</w:t>
                  </w:r>
                  <w:r>
                    <w:rPr>
                      <w:rFonts w:hint="default"/>
                      <w:color w:val="auto"/>
                      <w:highlight w:val="none"/>
                    </w:rPr>
                    <w:t>未</w:t>
                  </w:r>
                </w:p>
              </w:tc>
              <w:tc>
                <w:tcPr>
                  <w:tcW w:w="710"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否</w:t>
                  </w:r>
                </w:p>
              </w:tc>
            </w:tr>
          </w:tbl>
          <w:p/>
        </w:tc>
      </w:tr>
    </w:tbl>
    <w:p>
      <w:pPr>
        <w:sectPr>
          <w:footerReference w:type="default" r:id="rId5"/>
          <w:pgSz w:w="11906" w:h="16838"/>
          <w:pgMar w:top="1417" w:right="1417" w:bottom="1417" w:left="1417" w:header="992" w:footer="992" w:gutter="0"/>
          <w:pgBorders>
            <w:top w:val="none" w:sz="0" w:space="0" w:color="auto"/>
            <w:left w:val="none" w:sz="0" w:space="0" w:color="auto"/>
            <w:bottom w:val="none" w:sz="0" w:space="0" w:color="auto"/>
            <w:right w:val="none" w:sz="0" w:space="0" w:color="auto"/>
          </w:pgBorders>
          <w:pgNumType w:start="1"/>
          <w:cols w:num="1" w:space="72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741"/>
        <w:gridCol w:w="812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810"/>
          <w:jc w:val="center"/>
        </w:trPr>
        <w:tc>
          <w:tcPr>
            <w:tcW w:w="741" w:type="dxa"/>
            <w:vAlign w:val="center"/>
          </w:tcPr>
          <w:p/>
        </w:tc>
        <w:tc>
          <w:tcPr>
            <w:tcW w:w="8129" w:type="dxa"/>
            <w:vAlign w:val="center"/>
          </w:tcPr>
          <w:tbl>
            <w:tblPr>
              <w:tblStyle w:val="TableNormal"/>
              <w:tblW w:w="4996"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094"/>
              <w:gridCol w:w="2475"/>
              <w:gridCol w:w="3212"/>
              <w:gridCol w:w="1126"/>
            </w:tblGrid>
            <w:tr>
              <w:tblPrEx>
                <w:tblW w:w="4996"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692" w:type="pct"/>
                  <w:tcBorders>
                    <w:tl2br w:val="nil"/>
                    <w:tr2bl w:val="nil"/>
                  </w:tcBorders>
                  <w:vAlign w:val="center"/>
                </w:tcPr>
                <w:p/>
              </w:tc>
              <w:tc>
                <w:tcPr>
                  <w:tcW w:w="1565"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有毒有害和易燃易爆危险物质存储量超过临界量</w:t>
                  </w:r>
                  <w:r>
                    <w:rPr>
                      <w:rFonts w:hint="default"/>
                      <w:color w:val="auto"/>
                      <w:highlight w:val="none"/>
                      <w:vertAlign w:val="superscript"/>
                      <w:lang w:val="zh-CN"/>
                    </w:rPr>
                    <w:t>3</w:t>
                  </w:r>
                  <w:r>
                    <w:rPr>
                      <w:rFonts w:hint="default"/>
                      <w:color w:val="auto"/>
                      <w:highlight w:val="none"/>
                      <w:lang w:val="zh-CN"/>
                    </w:rPr>
                    <w:t>的建设项目</w:t>
                  </w:r>
                </w:p>
              </w:tc>
              <w:tc>
                <w:tcPr>
                  <w:tcW w:w="2031"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lang w:val="zh-CN"/>
                    </w:rPr>
                    <w:t>超过临界量</w:t>
                  </w:r>
                </w:p>
              </w:tc>
              <w:tc>
                <w:tcPr>
                  <w:tcW w:w="710" w:type="pct"/>
                  <w:tcBorders>
                    <w:tl2br w:val="nil"/>
                    <w:tr2bl w:val="nil"/>
                  </w:tcBorders>
                  <w:vAlign w:val="center"/>
                </w:tcPr>
                <w:p/>
              </w:tc>
            </w:tr>
            <w:tr>
              <w:tblPrEx>
                <w:tblW w:w="4996" w:type="pct"/>
                <w:jc w:val="center"/>
                <w:tblLayout w:type="fixed"/>
                <w:tblCellMar>
                  <w:top w:w="0" w:type="dxa"/>
                  <w:left w:w="108" w:type="dxa"/>
                  <w:bottom w:w="0" w:type="dxa"/>
                  <w:right w:w="108" w:type="dxa"/>
                </w:tblCellMar>
              </w:tblPrEx>
              <w:trPr>
                <w:trHeight w:val="340"/>
                <w:jc w:val="center"/>
              </w:trPr>
              <w:tc>
                <w:tcPr>
                  <w:tcW w:w="692"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生态</w:t>
                  </w:r>
                </w:p>
              </w:tc>
              <w:tc>
                <w:tcPr>
                  <w:tcW w:w="1565"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取水口下游500米范围内有重要水生生物的自然产卵场、索饵场、越冬场和洄游通道的新增河道取水的污染类建设项目</w:t>
                  </w:r>
                </w:p>
              </w:tc>
              <w:tc>
                <w:tcPr>
                  <w:tcW w:w="2031"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lang w:val="zh-CN"/>
                    </w:rPr>
                    <w:t>项目</w:t>
                  </w:r>
                  <w:r>
                    <w:rPr>
                      <w:rFonts w:hint="default"/>
                      <w:color w:val="auto"/>
                      <w:highlight w:val="none"/>
                    </w:rPr>
                    <w:t>不涉及河道取水</w:t>
                  </w:r>
                </w:p>
              </w:tc>
              <w:tc>
                <w:tcPr>
                  <w:tcW w:w="710"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否</w:t>
                  </w:r>
                </w:p>
              </w:tc>
            </w:tr>
            <w:tr>
              <w:tblPrEx>
                <w:tblW w:w="4996" w:type="pct"/>
                <w:jc w:val="center"/>
                <w:tblLayout w:type="fixed"/>
                <w:tblCellMar>
                  <w:top w:w="0" w:type="dxa"/>
                  <w:left w:w="108" w:type="dxa"/>
                  <w:bottom w:w="0" w:type="dxa"/>
                  <w:right w:w="108" w:type="dxa"/>
                </w:tblCellMar>
              </w:tblPrEx>
              <w:trPr>
                <w:trHeight w:val="340"/>
                <w:jc w:val="center"/>
              </w:trPr>
              <w:tc>
                <w:tcPr>
                  <w:tcW w:w="692"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海洋</w:t>
                  </w:r>
                </w:p>
              </w:tc>
              <w:tc>
                <w:tcPr>
                  <w:tcW w:w="1565"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直接向海排放污染物的海洋工程建设项目</w:t>
                  </w:r>
                </w:p>
              </w:tc>
              <w:tc>
                <w:tcPr>
                  <w:tcW w:w="2031"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本项目不属于海洋工程建设项目</w:t>
                  </w:r>
                </w:p>
              </w:tc>
              <w:tc>
                <w:tcPr>
                  <w:tcW w:w="710" w:type="pct"/>
                  <w:tcBorders>
                    <w:tl2br w:val="nil"/>
                    <w:tr2bl w:val="nil"/>
                  </w:tcBorders>
                  <w:vAlign w:val="center"/>
                </w:tcPr>
                <w:p>
                  <w:pPr>
                    <w:pStyle w:val="a12"/>
                    <w:keepNext w:val="0"/>
                    <w:keepLines w:val="0"/>
                    <w:suppressLineNumbers w:val="0"/>
                    <w:spacing w:before="0" w:beforeAutospacing="0" w:after="0" w:afterAutospacing="0"/>
                    <w:ind w:left="0" w:right="0"/>
                    <w:rPr>
                      <w:rFonts w:hint="default"/>
                      <w:color w:val="auto"/>
                      <w:highlight w:val="none"/>
                      <w:lang w:val="zh-CN"/>
                    </w:rPr>
                  </w:pPr>
                  <w:r>
                    <w:rPr>
                      <w:rFonts w:hint="default"/>
                      <w:color w:val="auto"/>
                      <w:highlight w:val="none"/>
                      <w:lang w:val="zh-CN"/>
                    </w:rPr>
                    <w:t>否</w:t>
                  </w:r>
                </w:p>
              </w:tc>
            </w:tr>
            <w:tr>
              <w:tblPrEx>
                <w:tblW w:w="4996" w:type="pct"/>
                <w:jc w:val="center"/>
                <w:tblLayout w:type="fixed"/>
                <w:tblCellMar>
                  <w:top w:w="0" w:type="dxa"/>
                  <w:left w:w="108" w:type="dxa"/>
                  <w:bottom w:w="0" w:type="dxa"/>
                  <w:right w:w="108" w:type="dxa"/>
                </w:tblCellMar>
              </w:tblPrEx>
              <w:trPr>
                <w:trHeight w:val="340"/>
                <w:jc w:val="center"/>
              </w:trPr>
              <w:tc>
                <w:tcPr>
                  <w:tcW w:w="5000" w:type="pct"/>
                  <w:gridSpan w:val="4"/>
                  <w:tcBorders>
                    <w:tl2br w:val="nil"/>
                    <w:tr2bl w:val="nil"/>
                  </w:tcBorders>
                  <w:vAlign w:val="center"/>
                </w:tcPr>
                <w:p>
                  <w:pPr>
                    <w:keepNext w:val="0"/>
                    <w:keepLines w:val="0"/>
                    <w:widowControl/>
                    <w:suppressLineNumbers w:val="0"/>
                    <w:overflowPunct w:val="0"/>
                    <w:autoSpaceDE w:val="0"/>
                    <w:autoSpaceDN w:val="0"/>
                    <w:adjustRightInd w:val="0"/>
                    <w:snapToGrid w:val="0"/>
                    <w:spacing w:before="0" w:beforeAutospacing="0" w:after="0" w:afterAutospacing="0"/>
                    <w:ind w:left="735" w:right="113" w:hanging="735" w:hangingChars="350"/>
                    <w:textAlignment w:val="baseline"/>
                    <w:rPr>
                      <w:rFonts w:hint="default"/>
                      <w:color w:val="auto"/>
                      <w:kern w:val="0"/>
                      <w:szCs w:val="21"/>
                      <w:highlight w:val="none"/>
                      <w:lang w:val="zh-CN"/>
                    </w:rPr>
                  </w:pPr>
                  <w:r>
                    <w:rPr>
                      <w:rFonts w:hint="default"/>
                      <w:color w:val="auto"/>
                      <w:kern w:val="0"/>
                      <w:szCs w:val="21"/>
                      <w:highlight w:val="none"/>
                      <w:lang w:val="zh-CN"/>
                    </w:rPr>
                    <w:t>注：1、废气中有毒有害污染物指纳入《有毒有害大气污染物名录》的污染物（不包括无排放标准的污染物）。</w:t>
                  </w:r>
                </w:p>
                <w:p>
                  <w:pPr>
                    <w:keepNext w:val="0"/>
                    <w:keepLines w:val="0"/>
                    <w:widowControl/>
                    <w:suppressLineNumbers w:val="0"/>
                    <w:overflowPunct w:val="0"/>
                    <w:autoSpaceDE w:val="0"/>
                    <w:autoSpaceDN w:val="0"/>
                    <w:adjustRightInd w:val="0"/>
                    <w:snapToGrid w:val="0"/>
                    <w:spacing w:before="0" w:beforeAutospacing="0" w:after="0" w:afterAutospacing="0"/>
                    <w:ind w:left="735" w:right="113" w:hanging="315" w:leftChars="200" w:hangingChars="150"/>
                    <w:textAlignment w:val="baseline"/>
                    <w:rPr>
                      <w:rFonts w:hint="default"/>
                      <w:color w:val="auto"/>
                      <w:kern w:val="0"/>
                      <w:szCs w:val="21"/>
                      <w:highlight w:val="none"/>
                      <w:lang w:val="zh-CN"/>
                    </w:rPr>
                  </w:pPr>
                  <w:r>
                    <w:rPr>
                      <w:rFonts w:hint="default"/>
                      <w:color w:val="auto"/>
                      <w:kern w:val="0"/>
                      <w:szCs w:val="21"/>
                      <w:highlight w:val="none"/>
                      <w:lang w:val="zh-CN"/>
                    </w:rPr>
                    <w:t>2、环境空气保护目标指自然保护区、风景名胜区、居住区、文化区和农村地区中人群较集中的区域。</w:t>
                  </w:r>
                </w:p>
                <w:p>
                  <w:pPr>
                    <w:keepNext w:val="0"/>
                    <w:keepLines w:val="0"/>
                    <w:widowControl/>
                    <w:suppressLineNumbers w:val="0"/>
                    <w:overflowPunct w:val="0"/>
                    <w:autoSpaceDE w:val="0"/>
                    <w:autoSpaceDN w:val="0"/>
                    <w:adjustRightInd w:val="0"/>
                    <w:snapToGrid w:val="0"/>
                    <w:spacing w:before="0" w:beforeAutospacing="0" w:after="0" w:afterAutospacing="0"/>
                    <w:ind w:left="735" w:right="113" w:hanging="315" w:leftChars="200" w:hangingChars="150"/>
                    <w:textAlignment w:val="baseline"/>
                    <w:rPr>
                      <w:rFonts w:hint="default"/>
                      <w:color w:val="auto"/>
                      <w:kern w:val="0"/>
                      <w:szCs w:val="21"/>
                      <w:highlight w:val="none"/>
                      <w:lang w:val="zh-CN"/>
                    </w:rPr>
                  </w:pPr>
                  <w:r>
                    <w:rPr>
                      <w:rFonts w:hint="default"/>
                      <w:color w:val="auto"/>
                      <w:kern w:val="0"/>
                      <w:szCs w:val="21"/>
                      <w:highlight w:val="none"/>
                      <w:lang w:val="zh-CN"/>
                    </w:rPr>
                    <w:t>3、临界量及其计算方法可参考《建设项目环境风险评价技术导则》（HJ169）附录B、附录C。</w:t>
                  </w:r>
                </w:p>
              </w:tc>
            </w:tr>
          </w:tbl>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kern w:val="0"/>
                <w:szCs w:val="24"/>
                <w:highlight w:val="none"/>
              </w:rPr>
              <w:t>根据表</w:t>
            </w:r>
            <w:r>
              <w:rPr>
                <w:rFonts w:hint="default"/>
                <w:color w:val="auto"/>
                <w:kern w:val="0"/>
                <w:szCs w:val="24"/>
                <w:highlight w:val="none"/>
              </w:rPr>
              <w:t>1-1</w:t>
            </w:r>
            <w:r>
              <w:rPr>
                <w:rFonts w:hint="eastAsia"/>
                <w:color w:val="auto"/>
                <w:kern w:val="0"/>
                <w:szCs w:val="24"/>
                <w:highlight w:val="none"/>
              </w:rPr>
              <w:t>分析，本项目排放废气中含有甲醛且厂界外500m范围内有安境桥</w:t>
            </w:r>
            <w:r>
              <w:rPr>
                <w:rFonts w:hint="eastAsia"/>
                <w:color w:val="auto"/>
                <w:kern w:val="0"/>
                <w:szCs w:val="24"/>
                <w:highlight w:val="none"/>
                <w:lang w:val="en-US" w:eastAsia="zh-CN"/>
              </w:rPr>
              <w:t>村、</w:t>
            </w:r>
            <w:r>
              <w:rPr>
                <w:rFonts w:hint="eastAsia"/>
                <w:color w:val="auto"/>
                <w:kern w:val="0"/>
                <w:szCs w:val="24"/>
                <w:highlight w:val="none"/>
              </w:rPr>
              <w:t>溪西</w:t>
            </w:r>
            <w:r>
              <w:rPr>
                <w:rFonts w:hint="eastAsia"/>
                <w:color w:val="auto"/>
                <w:kern w:val="0"/>
                <w:szCs w:val="24"/>
                <w:highlight w:val="none"/>
                <w:lang w:val="en-US" w:eastAsia="zh-CN"/>
              </w:rPr>
              <w:t>村和洋中村</w:t>
            </w:r>
            <w:r>
              <w:rPr>
                <w:rFonts w:hint="eastAsia"/>
                <w:color w:val="auto"/>
                <w:kern w:val="0"/>
                <w:szCs w:val="24"/>
                <w:highlight w:val="none"/>
              </w:rPr>
              <w:t>等环境空气保护目标，因此需设置大气专项评价。</w:t>
            </w:r>
          </w:p>
        </w:tc>
      </w:tr>
      <w:tr>
        <w:tblPrEx>
          <w:tblW w:w="0" w:type="auto"/>
          <w:jc w:val="center"/>
          <w:tblLayout w:type="fixed"/>
          <w:tblCellMar>
            <w:top w:w="0" w:type="dxa"/>
            <w:left w:w="108" w:type="dxa"/>
            <w:bottom w:w="0" w:type="dxa"/>
            <w:right w:w="108" w:type="dxa"/>
          </w:tblCellMar>
        </w:tblPrEx>
        <w:trPr>
          <w:trHeight w:val="1021"/>
          <w:jc w:val="center"/>
        </w:trPr>
        <w:tc>
          <w:tcPr>
            <w:tcW w:w="741"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olor w:val="auto"/>
                <w:kern w:val="0"/>
                <w:sz w:val="24"/>
                <w:highlight w:val="none"/>
              </w:rPr>
            </w:pPr>
            <w:r>
              <w:rPr>
                <w:rFonts w:hint="default"/>
                <w:color w:val="auto"/>
                <w:sz w:val="24"/>
                <w:highlight w:val="none"/>
              </w:rPr>
              <w:t>规划情况</w:t>
            </w:r>
          </w:p>
        </w:tc>
        <w:tc>
          <w:tcPr>
            <w:tcW w:w="8129" w:type="dxa"/>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rPr>
                <w:rFonts w:hint="default"/>
                <w:color w:val="auto"/>
                <w:kern w:val="0"/>
                <w:sz w:val="24"/>
                <w:highlight w:val="none"/>
              </w:rPr>
            </w:pPr>
            <w:r>
              <w:rPr>
                <w:rFonts w:hint="default"/>
                <w:color w:val="auto"/>
                <w:kern w:val="0"/>
                <w:sz w:val="24"/>
                <w:highlight w:val="none"/>
              </w:rPr>
              <w:t>规划文件名称</w:t>
            </w:r>
            <w:r>
              <w:rPr>
                <w:rFonts w:hint="eastAsia"/>
                <w:color w:val="auto"/>
                <w:kern w:val="0"/>
                <w:sz w:val="24"/>
                <w:highlight w:val="none"/>
              </w:rPr>
              <w:t>：《融侨经济技术开发区总体规划（2018-2035年）》</w:t>
            </w:r>
          </w:p>
          <w:p>
            <w:pPr>
              <w:keepNext w:val="0"/>
              <w:keepLines w:val="0"/>
              <w:suppressLineNumbers w:val="0"/>
              <w:autoSpaceDE w:val="0"/>
              <w:autoSpaceDN w:val="0"/>
              <w:adjustRightInd w:val="0"/>
              <w:snapToGrid w:val="0"/>
              <w:spacing w:before="0" w:beforeAutospacing="0" w:after="0" w:afterAutospacing="0" w:line="360" w:lineRule="auto"/>
              <w:ind w:left="0" w:right="0"/>
              <w:rPr>
                <w:rFonts w:hint="default"/>
                <w:color w:val="auto"/>
                <w:kern w:val="0"/>
                <w:sz w:val="24"/>
                <w:highlight w:val="none"/>
              </w:rPr>
            </w:pPr>
            <w:r>
              <w:rPr>
                <w:rFonts w:hint="eastAsia"/>
                <w:color w:val="auto"/>
                <w:kern w:val="0"/>
                <w:sz w:val="24"/>
                <w:highlight w:val="none"/>
              </w:rPr>
              <w:t>审批机关：福清市人民政府</w:t>
            </w:r>
          </w:p>
          <w:p>
            <w:pPr>
              <w:keepNext w:val="0"/>
              <w:keepLines w:val="0"/>
              <w:suppressLineNumbers w:val="0"/>
              <w:autoSpaceDE w:val="0"/>
              <w:autoSpaceDN w:val="0"/>
              <w:adjustRightInd w:val="0"/>
              <w:snapToGrid w:val="0"/>
              <w:spacing w:before="0" w:beforeAutospacing="0" w:after="0" w:afterAutospacing="0" w:line="360" w:lineRule="auto"/>
              <w:ind w:left="0" w:right="0"/>
              <w:rPr>
                <w:rFonts w:hint="default"/>
                <w:color w:val="auto"/>
                <w:kern w:val="0"/>
                <w:sz w:val="24"/>
                <w:highlight w:val="none"/>
              </w:rPr>
            </w:pPr>
            <w:r>
              <w:rPr>
                <w:rFonts w:hint="eastAsia"/>
                <w:color w:val="auto"/>
                <w:kern w:val="0"/>
                <w:sz w:val="24"/>
                <w:highlight w:val="none"/>
              </w:rPr>
              <w:t>审批文件名称及文号：无</w:t>
            </w:r>
          </w:p>
        </w:tc>
      </w:tr>
      <w:tr>
        <w:tblPrEx>
          <w:tblW w:w="0" w:type="auto"/>
          <w:jc w:val="center"/>
          <w:tblLayout w:type="fixed"/>
          <w:tblCellMar>
            <w:top w:w="0" w:type="dxa"/>
            <w:left w:w="108" w:type="dxa"/>
            <w:bottom w:w="0" w:type="dxa"/>
            <w:right w:w="108" w:type="dxa"/>
          </w:tblCellMar>
        </w:tblPrEx>
        <w:trPr>
          <w:trHeight w:val="316"/>
          <w:jc w:val="center"/>
        </w:trPr>
        <w:tc>
          <w:tcPr>
            <w:tcW w:w="74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 w:val="24"/>
                <w:highlight w:val="none"/>
              </w:rPr>
            </w:pPr>
            <w:r>
              <w:rPr>
                <w:rFonts w:hint="default"/>
                <w:color w:val="auto"/>
                <w:sz w:val="24"/>
                <w:highlight w:val="none"/>
              </w:rPr>
              <w:t>规划环境影响评价情况</w:t>
            </w:r>
          </w:p>
        </w:tc>
        <w:tc>
          <w:tcPr>
            <w:tcW w:w="8129" w:type="dxa"/>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rPr>
                <w:rFonts w:hint="default"/>
                <w:color w:val="auto"/>
                <w:kern w:val="0"/>
                <w:sz w:val="24"/>
                <w:highlight w:val="none"/>
              </w:rPr>
            </w:pPr>
            <w:r>
              <w:rPr>
                <w:rFonts w:hint="default"/>
                <w:color w:val="auto"/>
                <w:kern w:val="0"/>
                <w:sz w:val="24"/>
                <w:highlight w:val="none"/>
              </w:rPr>
              <w:t>规划环评文件名称</w:t>
            </w:r>
            <w:r>
              <w:rPr>
                <w:rFonts w:hint="eastAsia"/>
                <w:color w:val="auto"/>
                <w:kern w:val="0"/>
                <w:sz w:val="24"/>
                <w:highlight w:val="none"/>
              </w:rPr>
              <w:t>：《融侨经济技术开发区总体规划（2018-2035年）环境影响报告书》</w:t>
            </w:r>
          </w:p>
          <w:p>
            <w:pPr>
              <w:keepNext w:val="0"/>
              <w:keepLines w:val="0"/>
              <w:suppressLineNumbers w:val="0"/>
              <w:autoSpaceDE w:val="0"/>
              <w:autoSpaceDN w:val="0"/>
              <w:adjustRightInd w:val="0"/>
              <w:snapToGrid w:val="0"/>
              <w:spacing w:before="0" w:beforeAutospacing="0" w:after="0" w:afterAutospacing="0" w:line="360" w:lineRule="auto"/>
              <w:ind w:left="0" w:right="0"/>
              <w:rPr>
                <w:rFonts w:hint="default"/>
                <w:color w:val="auto"/>
                <w:kern w:val="0"/>
                <w:sz w:val="24"/>
                <w:highlight w:val="none"/>
              </w:rPr>
            </w:pPr>
            <w:r>
              <w:rPr>
                <w:rFonts w:hint="eastAsia"/>
                <w:color w:val="auto"/>
                <w:kern w:val="0"/>
                <w:sz w:val="24"/>
                <w:highlight w:val="none"/>
              </w:rPr>
              <w:t>召集审查机关：中华人民共和国生态环境部</w:t>
            </w:r>
          </w:p>
          <w:p>
            <w:pPr>
              <w:keepNext w:val="0"/>
              <w:keepLines w:val="0"/>
              <w:suppressLineNumbers w:val="0"/>
              <w:autoSpaceDE w:val="0"/>
              <w:autoSpaceDN w:val="0"/>
              <w:adjustRightInd w:val="0"/>
              <w:snapToGrid w:val="0"/>
              <w:spacing w:before="0" w:beforeAutospacing="0" w:after="0" w:afterAutospacing="0" w:line="360" w:lineRule="auto"/>
              <w:ind w:left="0" w:right="0"/>
              <w:rPr>
                <w:rFonts w:hint="default"/>
                <w:color w:val="auto"/>
                <w:kern w:val="0"/>
                <w:sz w:val="24"/>
                <w:highlight w:val="none"/>
              </w:rPr>
            </w:pPr>
            <w:r>
              <w:rPr>
                <w:rFonts w:hint="eastAsia"/>
                <w:color w:val="auto"/>
                <w:kern w:val="0"/>
                <w:sz w:val="24"/>
                <w:highlight w:val="none"/>
              </w:rPr>
              <w:t>审批文件名称及文号：关于《融侨经济技术开发区总体规划（2018-2035年）环境影响报告书》的审查意见（环审〔2020〕80号）</w:t>
            </w:r>
          </w:p>
        </w:tc>
      </w:tr>
      <w:tr>
        <w:tblPrEx>
          <w:tblW w:w="0" w:type="auto"/>
          <w:jc w:val="center"/>
          <w:tblLayout w:type="fixed"/>
          <w:tblCellMar>
            <w:top w:w="0" w:type="dxa"/>
            <w:left w:w="108" w:type="dxa"/>
            <w:bottom w:w="0" w:type="dxa"/>
            <w:right w:w="108" w:type="dxa"/>
          </w:tblCellMar>
        </w:tblPrEx>
        <w:trPr>
          <w:trHeight w:val="90"/>
          <w:jc w:val="center"/>
        </w:trPr>
        <w:tc>
          <w:tcPr>
            <w:tcW w:w="741"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olor w:val="auto"/>
                <w:kern w:val="0"/>
                <w:sz w:val="24"/>
                <w:highlight w:val="none"/>
              </w:rPr>
            </w:pPr>
            <w:r>
              <w:rPr>
                <w:rFonts w:hint="default"/>
                <w:color w:val="auto"/>
                <w:kern w:val="0"/>
                <w:sz w:val="24"/>
                <w:highlight w:val="none"/>
              </w:rPr>
              <w:t>规划及规划环境影响评价符合性分析</w:t>
            </w:r>
          </w:p>
        </w:tc>
        <w:tc>
          <w:tcPr>
            <w:tcW w:w="8129" w:type="dxa"/>
            <w:vAlign w:val="center"/>
          </w:tcPr>
          <w:p>
            <w:pPr>
              <w:pStyle w:val="NormalIndent"/>
              <w:keepNext w:val="0"/>
              <w:keepLines w:val="0"/>
              <w:suppressLineNumbers w:val="0"/>
              <w:spacing w:before="0" w:beforeAutospacing="0" w:after="0" w:afterAutospacing="0"/>
              <w:ind w:left="0" w:right="0" w:firstLine="482"/>
              <w:rPr>
                <w:rFonts w:hint="default"/>
                <w:b/>
                <w:bCs/>
                <w:color w:val="auto"/>
                <w:szCs w:val="24"/>
                <w:highlight w:val="none"/>
              </w:rPr>
            </w:pPr>
            <w:r>
              <w:rPr>
                <w:rFonts w:hint="default"/>
                <w:b/>
                <w:bCs/>
                <w:color w:val="auto"/>
                <w:szCs w:val="24"/>
                <w:highlight w:val="none"/>
              </w:rPr>
              <w:t>（1）与</w:t>
            </w:r>
            <w:r>
              <w:rPr>
                <w:rFonts w:hint="eastAsia"/>
                <w:b/>
                <w:bCs/>
                <w:color w:val="auto"/>
                <w:szCs w:val="24"/>
                <w:highlight w:val="none"/>
              </w:rPr>
              <w:t>《福清融侨经济技术开发区总体规划（2018-2035年）》</w:t>
            </w:r>
            <w:r>
              <w:rPr>
                <w:rFonts w:hint="default"/>
                <w:b/>
                <w:bCs/>
                <w:color w:val="auto"/>
                <w:szCs w:val="24"/>
                <w:highlight w:val="none"/>
              </w:rPr>
              <w:t>符合性</w:t>
            </w:r>
            <w:r>
              <w:rPr>
                <w:rFonts w:hint="eastAsia"/>
                <w:b/>
                <w:bCs/>
                <w:color w:val="auto"/>
                <w:szCs w:val="24"/>
                <w:highlight w:val="none"/>
              </w:rPr>
              <w:t>分析</w:t>
            </w:r>
          </w:p>
          <w:p>
            <w:pPr>
              <w:pStyle w:val="NormalIndent"/>
              <w:keepNext w:val="0"/>
              <w:keepLines w:val="0"/>
              <w:suppressLineNumbers w:val="0"/>
              <w:spacing w:before="0" w:beforeAutospacing="0" w:after="0" w:afterAutospacing="0"/>
              <w:ind w:left="0" w:right="0" w:firstLine="480"/>
              <w:rPr>
                <w:rFonts w:hint="default"/>
                <w:color w:val="auto"/>
                <w:szCs w:val="24"/>
                <w:highlight w:val="none"/>
              </w:rPr>
            </w:pPr>
            <w:r>
              <w:rPr>
                <w:rFonts w:hint="eastAsia"/>
                <w:color w:val="auto"/>
                <w:szCs w:val="24"/>
                <w:highlight w:val="none"/>
              </w:rPr>
              <w:t>本项目选址于福建省福州市福清市融侨经济技术开发区（租赁</w:t>
            </w:r>
            <w:r>
              <w:rPr>
                <w:rFonts w:hint="eastAsia"/>
                <w:color w:val="auto"/>
                <w:szCs w:val="24"/>
                <w:highlight w:val="none"/>
                <w:lang w:eastAsia="zh-CN"/>
              </w:rPr>
              <w:t>********</w:t>
            </w:r>
            <w:r>
              <w:rPr>
                <w:rFonts w:hint="eastAsia"/>
                <w:color w:val="auto"/>
                <w:szCs w:val="24"/>
                <w:highlight w:val="none"/>
              </w:rPr>
              <w:t>印刷制品有限公司1#厂房），属福清融侨经济开发区范围内。根据出租方提供的产权证，本项目土地性质为</w:t>
            </w:r>
            <w:r>
              <w:rPr>
                <w:rFonts w:hint="eastAsia"/>
                <w:color w:val="auto"/>
                <w:szCs w:val="24"/>
                <w:highlight w:val="none"/>
                <w:lang w:eastAsia="zh-CN"/>
              </w:rPr>
              <w:t>***</w:t>
            </w:r>
            <w:r>
              <w:rPr>
                <w:rFonts w:hint="eastAsia"/>
                <w:color w:val="auto"/>
                <w:szCs w:val="24"/>
                <w:highlight w:val="none"/>
              </w:rPr>
              <w:t>用地，用地合法。本项目租用</w:t>
            </w:r>
            <w:r>
              <w:rPr>
                <w:rFonts w:hint="eastAsia"/>
                <w:color w:val="auto"/>
                <w:szCs w:val="24"/>
                <w:highlight w:val="none"/>
                <w:lang w:eastAsia="zh-CN"/>
              </w:rPr>
              <w:t>********</w:t>
            </w:r>
            <w:r>
              <w:rPr>
                <w:rFonts w:hint="eastAsia"/>
                <w:color w:val="auto"/>
                <w:szCs w:val="24"/>
                <w:highlight w:val="none"/>
              </w:rPr>
              <w:t>印刷制品有限公司已建厂房，未新增建设用地。因此，本项目的建设与《福清融侨经济技术开发区总体规划（2018-2035年）》的规划要求不冲突。</w:t>
            </w:r>
          </w:p>
          <w:p>
            <w:pPr>
              <w:pStyle w:val="NormalIndent"/>
              <w:keepNext w:val="0"/>
              <w:keepLines w:val="0"/>
              <w:suppressLineNumbers w:val="0"/>
              <w:spacing w:before="0" w:beforeAutospacing="0" w:after="0" w:afterAutospacing="0"/>
              <w:ind w:left="0" w:right="0" w:firstLine="482"/>
              <w:rPr>
                <w:rFonts w:hint="default"/>
                <w:b/>
                <w:bCs/>
                <w:color w:val="auto"/>
                <w:szCs w:val="24"/>
                <w:highlight w:val="none"/>
              </w:rPr>
            </w:pPr>
            <w:r>
              <w:rPr>
                <w:rFonts w:hint="eastAsia"/>
                <w:b/>
                <w:bCs/>
                <w:color w:val="auto"/>
                <w:szCs w:val="24"/>
                <w:highlight w:val="none"/>
              </w:rPr>
              <w:t>（2）与《福清融侨经济技术开发区总体规划（2018-2035年）环境影响报告书》及审查意见的符合性分析</w:t>
            </w:r>
          </w:p>
          <w:p>
            <w:pPr>
              <w:pStyle w:val="NormalIndent"/>
              <w:keepNext w:val="0"/>
              <w:keepLines w:val="0"/>
              <w:suppressLineNumbers w:val="0"/>
              <w:spacing w:before="0" w:beforeAutospacing="0" w:after="0" w:afterAutospacing="0"/>
              <w:ind w:left="0" w:right="0" w:firstLine="480"/>
              <w:rPr>
                <w:rFonts w:hint="default"/>
                <w:color w:val="auto"/>
                <w:szCs w:val="24"/>
                <w:highlight w:val="none"/>
              </w:rPr>
            </w:pPr>
          </w:p>
        </w:tc>
      </w:tr>
    </w:tbl>
    <w:p>
      <w:pPr>
        <w:sectPr>
          <w:footerReference w:type="default" r:id="rId6"/>
          <w:type w:val="nextPage"/>
          <w:pgSz w:w="11906" w:h="16838"/>
          <w:pgMar w:top="1417" w:right="1417" w:bottom="1417" w:left="1417" w:header="992" w:footer="992" w:gutter="0"/>
          <w:pgBorders>
            <w:top w:val="none" w:sz="0" w:space="0" w:color="auto"/>
            <w:left w:val="none" w:sz="0" w:space="0" w:color="auto"/>
            <w:bottom w:val="none" w:sz="0" w:space="0" w:color="auto"/>
            <w:right w:val="none" w:sz="0" w:space="0" w:color="auto"/>
          </w:pgBorders>
          <w:pgNumType w:start="2"/>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741"/>
        <w:gridCol w:w="812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center"/>
        </w:trPr>
        <w:tc>
          <w:tcPr>
            <w:tcW w:w="741" w:type="dxa"/>
            <w:vAlign w:val="center"/>
          </w:tcPr>
          <w:p/>
        </w:tc>
        <w:tc>
          <w:tcPr>
            <w:tcW w:w="8129" w:type="dxa"/>
            <w:vAlign w:val="center"/>
          </w:tcPr>
          <w:p>
            <w:pPr>
              <w:pStyle w:val="NormalIndent"/>
              <w:keepNext w:val="0"/>
              <w:keepLines w:val="0"/>
              <w:suppressLineNumbers w:val="0"/>
              <w:spacing w:before="0" w:beforeAutospacing="0" w:after="0" w:afterAutospacing="0"/>
              <w:ind w:left="0" w:right="0" w:firstLine="480"/>
              <w:rPr>
                <w:rFonts w:hint="default"/>
                <w:color w:val="auto"/>
                <w:szCs w:val="24"/>
                <w:highlight w:val="none"/>
              </w:rPr>
            </w:pPr>
            <w:r>
              <w:rPr>
                <w:rFonts w:hint="eastAsia"/>
                <w:color w:val="auto"/>
                <w:szCs w:val="24"/>
                <w:highlight w:val="none"/>
              </w:rPr>
              <w:t>根据《福清融侨经济技术开发区总体规划（2018-2035年）环境影响报告书》及其审查意见（环审〔2020〕80号）：融侨经济技术开发区主要以电子信息：显示科技、光电科技、电子元器件、通讯设备、计算机与智能终端设备等。机械电气：数控机床、精密磨具、光机电一体化等。汽车零配件：汽配玻璃、汽车零部件、变速器、汽车轴承等。根据开发区对主导产业发展方向的定位，对照《国民经济行业分类》（GB/T4754-2017），主导行业涉及国民经济类别主要包括C29、C304、C33、C34、C35、C36、C38、C39、C40；项目从事刹车片生产，属于C3670汽车零部件及配件制造，符合该园区规划环评的主导产业政策。</w:t>
            </w:r>
          </w:p>
          <w:p>
            <w:pPr>
              <w:pStyle w:val="NormalIndent"/>
              <w:keepNext w:val="0"/>
              <w:keepLines w:val="0"/>
              <w:suppressLineNumbers w:val="0"/>
              <w:spacing w:before="0" w:beforeAutospacing="0" w:after="0" w:afterAutospacing="0"/>
              <w:ind w:left="0" w:right="0" w:firstLine="482"/>
              <w:rPr>
                <w:rFonts w:hint="default"/>
                <w:b/>
                <w:bCs/>
                <w:color w:val="auto"/>
                <w:szCs w:val="24"/>
                <w:highlight w:val="none"/>
              </w:rPr>
            </w:pPr>
            <w:r>
              <w:rPr>
                <w:rFonts w:hint="default"/>
                <w:b/>
                <w:bCs/>
                <w:color w:val="auto"/>
                <w:szCs w:val="24"/>
                <w:highlight w:val="none"/>
              </w:rPr>
              <w:t>①</w:t>
            </w:r>
            <w:r>
              <w:rPr>
                <w:rFonts w:hint="eastAsia"/>
                <w:b/>
                <w:bCs/>
                <w:color w:val="auto"/>
                <w:szCs w:val="24"/>
                <w:highlight w:val="none"/>
              </w:rPr>
              <w:t>与规划环评符合性分析</w:t>
            </w:r>
          </w:p>
          <w:p>
            <w:pPr>
              <w:pStyle w:val="NormalIndent"/>
              <w:keepNext w:val="0"/>
              <w:keepLines w:val="0"/>
              <w:suppressLineNumbers w:val="0"/>
              <w:spacing w:before="0" w:beforeAutospacing="0" w:after="0" w:afterAutospacing="0"/>
              <w:ind w:left="0" w:right="0" w:firstLine="480"/>
              <w:rPr>
                <w:rFonts w:hint="default"/>
                <w:color w:val="auto"/>
                <w:szCs w:val="24"/>
                <w:highlight w:val="none"/>
              </w:rPr>
            </w:pPr>
            <w:r>
              <w:rPr>
                <w:rFonts w:hint="eastAsia"/>
                <w:color w:val="auto"/>
                <w:szCs w:val="24"/>
                <w:highlight w:val="none"/>
              </w:rPr>
              <w:t>根据《福清融侨经济技术开发区总体规划（2018-2035年）环境影响报告书》规划区主导产业环境准入清单，对项目准入符合性分析，详见表1.1-1。</w:t>
            </w:r>
          </w:p>
          <w:p>
            <w:pPr>
              <w:keepNext w:val="0"/>
              <w:keepLines w:val="0"/>
              <w:widowControl/>
              <w:suppressLineNumbers w:val="0"/>
              <w:spacing w:before="0" w:beforeAutospacing="0" w:after="0" w:afterAutospacing="0"/>
              <w:ind w:left="0" w:right="0"/>
              <w:jc w:val="center"/>
              <w:rPr>
                <w:rFonts w:hint="default"/>
                <w:b/>
                <w:color w:val="auto"/>
                <w:kern w:val="0"/>
                <w:sz w:val="24"/>
                <w:highlight w:val="none"/>
              </w:rPr>
            </w:pPr>
            <w:r>
              <w:rPr>
                <w:rFonts w:hint="eastAsia"/>
                <w:b/>
                <w:color w:val="auto"/>
                <w:kern w:val="0"/>
                <w:sz w:val="24"/>
                <w:highlight w:val="none"/>
              </w:rPr>
              <w:t>表1.1-1  规划区主导产业环境准入清单（摘录）</w:t>
            </w:r>
          </w:p>
          <w:tbl>
            <w:tblPr>
              <w:tblStyle w:val="TableNormal"/>
              <w:tblW w:w="5000" w:type="pct"/>
              <w:jc w:val="center"/>
              <w:tblBorders>
                <w:top w:val="single" w:sz="18" w:space="0" w:color="auto"/>
                <w:left w:val="none" w:sz="0" w:space="0" w:color="auto"/>
                <w:bottom w:val="single" w:sz="18" w:space="0" w:color="auto"/>
                <w:right w:val="none" w:sz="0" w:space="0" w:color="auto"/>
                <w:insideH w:val="single" w:sz="4" w:space="0" w:color="auto"/>
                <w:insideV w:val="single" w:sz="2" w:space="0" w:color="auto"/>
              </w:tblBorders>
              <w:tblLayout w:type="fixed"/>
              <w:tblCellMar>
                <w:top w:w="0" w:type="dxa"/>
                <w:left w:w="108" w:type="dxa"/>
                <w:bottom w:w="0" w:type="dxa"/>
                <w:right w:w="108" w:type="dxa"/>
              </w:tblCellMar>
            </w:tblPr>
            <w:tblGrid>
              <w:gridCol w:w="728"/>
              <w:gridCol w:w="475"/>
              <w:gridCol w:w="3532"/>
              <w:gridCol w:w="2491"/>
              <w:gridCol w:w="687"/>
            </w:tblGrid>
            <w:tr>
              <w:tblPrEx>
                <w:tblW w:w="5000" w:type="pct"/>
                <w:jc w:val="center"/>
                <w:tblBorders>
                  <w:top w:val="single" w:sz="18" w:space="0" w:color="auto"/>
                  <w:left w:val="none" w:sz="0" w:space="0" w:color="auto"/>
                  <w:bottom w:val="single" w:sz="18" w:space="0" w:color="auto"/>
                  <w:right w:val="none" w:sz="0" w:space="0" w:color="auto"/>
                  <w:insideH w:val="single" w:sz="4" w:space="0" w:color="auto"/>
                  <w:insideV w:val="single" w:sz="2" w:space="0" w:color="auto"/>
                </w:tblBorders>
                <w:tblLayout w:type="fixed"/>
                <w:tblCellMar>
                  <w:top w:w="0" w:type="dxa"/>
                  <w:left w:w="108" w:type="dxa"/>
                  <w:bottom w:w="0" w:type="dxa"/>
                  <w:right w:w="108" w:type="dxa"/>
                </w:tblCellMar>
              </w:tblPrEx>
              <w:trPr>
                <w:trHeight w:val="340"/>
                <w:tblHeader/>
                <w:jc w:val="center"/>
              </w:trPr>
              <w:tc>
                <w:tcPr>
                  <w:tcW w:w="460" w:type="pct"/>
                  <w:shd w:val="clear" w:color="auto" w:fill="auto"/>
                  <w:vAlign w:val="center"/>
                </w:tcPr>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r>
                    <w:rPr>
                      <w:rFonts w:hint="default"/>
                      <w:color w:val="auto"/>
                      <w:szCs w:val="21"/>
                      <w:highlight w:val="none"/>
                    </w:rPr>
                    <w:t>类别名称</w:t>
                  </w:r>
                </w:p>
              </w:tc>
              <w:tc>
                <w:tcPr>
                  <w:tcW w:w="2531" w:type="pct"/>
                  <w:gridSpan w:val="2"/>
                  <w:shd w:val="clear" w:color="auto" w:fill="auto"/>
                  <w:vAlign w:val="center"/>
                </w:tcPr>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r>
                    <w:rPr>
                      <w:rFonts w:hint="default"/>
                      <w:color w:val="auto"/>
                      <w:szCs w:val="21"/>
                      <w:highlight w:val="none"/>
                    </w:rPr>
                    <w:t>准入要求</w:t>
                  </w:r>
                </w:p>
              </w:tc>
              <w:tc>
                <w:tcPr>
                  <w:tcW w:w="1573" w:type="pct"/>
                  <w:shd w:val="clear" w:color="auto" w:fill="auto"/>
                  <w:vAlign w:val="center"/>
                </w:tcPr>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r>
                    <w:rPr>
                      <w:rFonts w:hint="default"/>
                      <w:color w:val="auto"/>
                      <w:szCs w:val="21"/>
                      <w:highlight w:val="none"/>
                    </w:rPr>
                    <w:t>本项目情况</w:t>
                  </w:r>
                </w:p>
              </w:tc>
              <w:tc>
                <w:tcPr>
                  <w:tcW w:w="434" w:type="pct"/>
                  <w:shd w:val="clear" w:color="auto" w:fill="auto"/>
                  <w:vAlign w:val="center"/>
                </w:tcPr>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r>
                    <w:rPr>
                      <w:rFonts w:hint="default"/>
                      <w:color w:val="auto"/>
                      <w:szCs w:val="21"/>
                      <w:highlight w:val="none"/>
                    </w:rPr>
                    <w:t>符合性</w:t>
                  </w:r>
                </w:p>
              </w:tc>
            </w:tr>
            <w:tr>
              <w:tblPrEx>
                <w:tblW w:w="5000" w:type="pct"/>
                <w:jc w:val="center"/>
                <w:tblLayout w:type="fixed"/>
                <w:tblCellMar>
                  <w:top w:w="0" w:type="dxa"/>
                  <w:left w:w="108" w:type="dxa"/>
                  <w:bottom w:w="0" w:type="dxa"/>
                  <w:right w:w="108" w:type="dxa"/>
                </w:tblCellMar>
              </w:tblPrEx>
              <w:trPr>
                <w:trHeight w:val="340"/>
                <w:jc w:val="center"/>
              </w:trPr>
              <w:tc>
                <w:tcPr>
                  <w:tcW w:w="460" w:type="pct"/>
                  <w:vMerge w:val="restart"/>
                  <w:shd w:val="clear" w:color="auto" w:fill="auto"/>
                  <w:vAlign w:val="center"/>
                </w:tcPr>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r>
                    <w:rPr>
                      <w:rFonts w:hint="eastAsia"/>
                      <w:color w:val="auto"/>
                      <w:szCs w:val="21"/>
                      <w:highlight w:val="none"/>
                    </w:rPr>
                    <w:t>36汽车制造业</w:t>
                  </w:r>
                </w:p>
              </w:tc>
              <w:tc>
                <w:tcPr>
                  <w:tcW w:w="300" w:type="pct"/>
                  <w:shd w:val="clear" w:color="auto" w:fill="auto"/>
                  <w:vAlign w:val="center"/>
                </w:tcPr>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r>
                    <w:rPr>
                      <w:rFonts w:hint="default"/>
                      <w:color w:val="auto"/>
                      <w:szCs w:val="21"/>
                      <w:highlight w:val="none"/>
                    </w:rPr>
                    <w:t>空间布局约束</w:t>
                  </w:r>
                </w:p>
              </w:tc>
              <w:tc>
                <w:tcPr>
                  <w:tcW w:w="2231" w:type="pct"/>
                  <w:shd w:val="clear" w:color="auto" w:fill="auto"/>
                  <w:vAlign w:val="center"/>
                </w:tcPr>
                <w:p>
                  <w:pPr>
                    <w:keepNext w:val="0"/>
                    <w:keepLines w:val="0"/>
                    <w:suppressLineNumbers w:val="0"/>
                    <w:spacing w:before="0" w:beforeAutospacing="0" w:after="0" w:afterAutospacing="0" w:line="240" w:lineRule="atLeast"/>
                    <w:ind w:left="0" w:right="0"/>
                    <w:rPr>
                      <w:rFonts w:hint="default"/>
                      <w:bCs/>
                      <w:color w:val="auto"/>
                      <w:szCs w:val="21"/>
                      <w:highlight w:val="none"/>
                    </w:rPr>
                  </w:pPr>
                  <w:r>
                    <w:rPr>
                      <w:rFonts w:hint="default"/>
                      <w:bCs/>
                      <w:color w:val="auto"/>
                      <w:szCs w:val="21"/>
                      <w:highlight w:val="none"/>
                    </w:rPr>
                    <w:t>禁止新建：</w:t>
                  </w:r>
                </w:p>
                <w:p>
                  <w:pPr>
                    <w:keepNext w:val="0"/>
                    <w:keepLines w:val="0"/>
                    <w:suppressLineNumbers w:val="0"/>
                    <w:spacing w:before="0" w:beforeAutospacing="0" w:after="0" w:afterAutospacing="0" w:line="240" w:lineRule="atLeast"/>
                    <w:ind w:left="0" w:right="0"/>
                    <w:rPr>
                      <w:rFonts w:hint="default"/>
                      <w:color w:val="auto"/>
                      <w:szCs w:val="21"/>
                      <w:highlight w:val="none"/>
                    </w:rPr>
                  </w:pPr>
                  <w:r>
                    <w:rPr>
                      <w:rFonts w:hint="default"/>
                      <w:color w:val="auto"/>
                      <w:szCs w:val="21"/>
                      <w:highlight w:val="none"/>
                    </w:rPr>
                    <w:t>1、使用有机涂层的（喷塑、电泳及高端项目配套除外）</w:t>
                  </w:r>
                </w:p>
                <w:p>
                  <w:pPr>
                    <w:keepNext w:val="0"/>
                    <w:keepLines w:val="0"/>
                    <w:suppressLineNumbers w:val="0"/>
                    <w:spacing w:before="0" w:beforeAutospacing="0" w:after="0" w:afterAutospacing="0" w:line="240" w:lineRule="atLeast"/>
                    <w:ind w:left="0" w:right="0"/>
                    <w:rPr>
                      <w:rFonts w:hint="default"/>
                      <w:color w:val="auto"/>
                      <w:szCs w:val="21"/>
                      <w:highlight w:val="none"/>
                    </w:rPr>
                  </w:pPr>
                  <w:r>
                    <w:rPr>
                      <w:rFonts w:hint="default"/>
                      <w:color w:val="auto"/>
                      <w:szCs w:val="21"/>
                      <w:highlight w:val="none"/>
                    </w:rPr>
                    <w:t>2、涉及熔炼、电镀工艺</w:t>
                  </w:r>
                </w:p>
                <w:p>
                  <w:pPr>
                    <w:keepNext w:val="0"/>
                    <w:keepLines w:val="0"/>
                    <w:suppressLineNumbers w:val="0"/>
                    <w:spacing w:before="0" w:beforeAutospacing="0" w:after="0" w:afterAutospacing="0" w:line="240" w:lineRule="atLeast"/>
                    <w:ind w:left="0" w:right="0"/>
                    <w:rPr>
                      <w:rFonts w:hint="default"/>
                      <w:color w:val="auto"/>
                      <w:szCs w:val="21"/>
                      <w:highlight w:val="none"/>
                    </w:rPr>
                  </w:pPr>
                  <w:r>
                    <w:rPr>
                      <w:rFonts w:hint="default"/>
                      <w:color w:val="auto"/>
                      <w:szCs w:val="21"/>
                      <w:highlight w:val="none"/>
                    </w:rPr>
                    <w:t>3、涉及钝化工艺的热镀锌</w:t>
                  </w:r>
                </w:p>
                <w:p>
                  <w:pPr>
                    <w:keepNext w:val="0"/>
                    <w:keepLines w:val="0"/>
                    <w:suppressLineNumbers w:val="0"/>
                    <w:spacing w:before="0" w:beforeAutospacing="0" w:after="0" w:afterAutospacing="0" w:line="240" w:lineRule="atLeast"/>
                    <w:ind w:left="0" w:right="0"/>
                    <w:rPr>
                      <w:rFonts w:hint="default"/>
                      <w:color w:val="auto"/>
                      <w:szCs w:val="21"/>
                      <w:highlight w:val="none"/>
                    </w:rPr>
                  </w:pPr>
                  <w:r>
                    <w:rPr>
                      <w:rFonts w:hint="default"/>
                      <w:color w:val="auto"/>
                      <w:szCs w:val="21"/>
                      <w:highlight w:val="none"/>
                    </w:rPr>
                    <w:t>4、油性漆使用量超过10t/a喷漆工艺</w:t>
                  </w:r>
                </w:p>
                <w:p>
                  <w:pPr>
                    <w:keepNext w:val="0"/>
                    <w:keepLines w:val="0"/>
                    <w:suppressLineNumbers w:val="0"/>
                    <w:spacing w:before="0" w:beforeAutospacing="0" w:after="0" w:afterAutospacing="0" w:line="240" w:lineRule="atLeast"/>
                    <w:ind w:left="0" w:right="0"/>
                    <w:rPr>
                      <w:rFonts w:hint="default"/>
                      <w:color w:val="auto"/>
                      <w:szCs w:val="21"/>
                      <w:highlight w:val="none"/>
                    </w:rPr>
                  </w:pPr>
                  <w:r>
                    <w:rPr>
                      <w:rFonts w:hint="default"/>
                      <w:color w:val="auto"/>
                      <w:szCs w:val="21"/>
                      <w:highlight w:val="none"/>
                    </w:rPr>
                    <w:t>5、使用火焰法除旧漆，使用干喷砂除锈</w:t>
                  </w:r>
                </w:p>
                <w:p>
                  <w:pPr>
                    <w:keepNext w:val="0"/>
                    <w:keepLines w:val="0"/>
                    <w:suppressLineNumbers w:val="0"/>
                    <w:spacing w:before="0" w:beforeAutospacing="0" w:after="0" w:afterAutospacing="0" w:line="240" w:lineRule="atLeast"/>
                    <w:ind w:left="0" w:right="0"/>
                    <w:rPr>
                      <w:rFonts w:hint="default"/>
                      <w:color w:val="auto"/>
                      <w:szCs w:val="21"/>
                      <w:highlight w:val="none"/>
                    </w:rPr>
                  </w:pPr>
                  <w:r>
                    <w:rPr>
                      <w:rFonts w:hint="default"/>
                      <w:color w:val="auto"/>
                      <w:szCs w:val="21"/>
                      <w:highlight w:val="none"/>
                    </w:rPr>
                    <w:t>6、采用煤、油、生物质等非清洁能源</w:t>
                  </w:r>
                </w:p>
                <w:p>
                  <w:pPr>
                    <w:keepNext w:val="0"/>
                    <w:keepLines w:val="0"/>
                    <w:suppressLineNumbers w:val="0"/>
                    <w:spacing w:before="0" w:beforeAutospacing="0" w:after="0" w:afterAutospacing="0" w:line="240" w:lineRule="atLeast"/>
                    <w:ind w:left="0" w:right="0"/>
                    <w:rPr>
                      <w:rFonts w:hint="default"/>
                      <w:bCs/>
                      <w:color w:val="auto"/>
                      <w:szCs w:val="21"/>
                      <w:highlight w:val="none"/>
                    </w:rPr>
                  </w:pPr>
                  <w:r>
                    <w:rPr>
                      <w:rFonts w:hint="default"/>
                      <w:bCs/>
                      <w:color w:val="auto"/>
                      <w:szCs w:val="21"/>
                      <w:highlight w:val="none"/>
                    </w:rPr>
                    <w:t>7、</w:t>
                  </w:r>
                  <w:r>
                    <w:rPr>
                      <w:rFonts w:hint="default"/>
                      <w:color w:val="auto"/>
                      <w:szCs w:val="21"/>
                      <w:highlight w:val="none"/>
                    </w:rPr>
                    <w:t>铅酸蓄电池制造</w:t>
                  </w:r>
                </w:p>
                <w:p>
                  <w:pPr>
                    <w:keepNext w:val="0"/>
                    <w:keepLines w:val="0"/>
                    <w:suppressLineNumbers w:val="0"/>
                    <w:spacing w:before="0" w:beforeAutospacing="0" w:after="0" w:afterAutospacing="0" w:line="240" w:lineRule="atLeast"/>
                    <w:ind w:left="0" w:right="0"/>
                    <w:rPr>
                      <w:rFonts w:hint="default"/>
                      <w:color w:val="auto"/>
                      <w:szCs w:val="21"/>
                      <w:highlight w:val="none"/>
                    </w:rPr>
                  </w:pPr>
                  <w:r>
                    <w:rPr>
                      <w:rFonts w:hint="default"/>
                      <w:bCs/>
                      <w:color w:val="auto"/>
                      <w:szCs w:val="21"/>
                      <w:highlight w:val="none"/>
                    </w:rPr>
                    <w:t>8、</w:t>
                  </w:r>
                  <w:r>
                    <w:rPr>
                      <w:rFonts w:hint="default"/>
                      <w:color w:val="auto"/>
                      <w:szCs w:val="21"/>
                      <w:highlight w:val="none"/>
                    </w:rPr>
                    <w:t>印刷电路板（高密度印刷电路板和柔性电路板除外）现有生产能力允许企业在一定期限内采取措施改造升级</w:t>
                  </w:r>
                </w:p>
              </w:tc>
              <w:tc>
                <w:tcPr>
                  <w:tcW w:w="1573" w:type="pct"/>
                  <w:shd w:val="clear" w:color="auto" w:fill="auto"/>
                  <w:vAlign w:val="center"/>
                </w:tcPr>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r>
                    <w:rPr>
                      <w:rFonts w:hint="default"/>
                      <w:color w:val="auto"/>
                      <w:szCs w:val="21"/>
                      <w:highlight w:val="none"/>
                    </w:rPr>
                    <w:t>本项目</w:t>
                  </w:r>
                  <w:r>
                    <w:rPr>
                      <w:rFonts w:hint="eastAsia"/>
                      <w:color w:val="auto"/>
                      <w:szCs w:val="21"/>
                      <w:highlight w:val="none"/>
                    </w:rPr>
                    <w:t>从事刹车片</w:t>
                  </w:r>
                  <w:r>
                    <w:rPr>
                      <w:rFonts w:hint="default"/>
                      <w:color w:val="auto"/>
                      <w:szCs w:val="21"/>
                      <w:highlight w:val="none"/>
                    </w:rPr>
                    <w:t>生产，</w:t>
                  </w:r>
                  <w:r>
                    <w:rPr>
                      <w:rFonts w:hint="eastAsia"/>
                      <w:color w:val="auto"/>
                      <w:szCs w:val="21"/>
                      <w:highlight w:val="none"/>
                    </w:rPr>
                    <w:t>不属于铅酸蓄电池制造和印刷电路板；本项目主要采用电能，不涉及</w:t>
                  </w:r>
                  <w:r>
                    <w:rPr>
                      <w:rFonts w:hint="default"/>
                      <w:color w:val="auto"/>
                      <w:szCs w:val="21"/>
                      <w:highlight w:val="none"/>
                    </w:rPr>
                    <w:t>煤、油、生物质等非清洁能源</w:t>
                  </w:r>
                  <w:r>
                    <w:rPr>
                      <w:rFonts w:hint="eastAsia"/>
                      <w:color w:val="auto"/>
                      <w:szCs w:val="21"/>
                      <w:highlight w:val="none"/>
                    </w:rPr>
                    <w:t>；</w:t>
                  </w:r>
                  <w:r>
                    <w:rPr>
                      <w:rFonts w:hint="default"/>
                      <w:color w:val="auto"/>
                      <w:szCs w:val="21"/>
                      <w:highlight w:val="none"/>
                    </w:rPr>
                    <w:t>生产工艺为“</w:t>
                  </w:r>
                  <w:r>
                    <w:rPr>
                      <w:rFonts w:hint="eastAsia"/>
                      <w:color w:val="auto"/>
                      <w:szCs w:val="21"/>
                      <w:highlight w:val="none"/>
                    </w:rPr>
                    <w:t>脱脂+涂布+热压+打磨+喷塑喷印+切割打磨</w:t>
                  </w:r>
                  <w:r>
                    <w:rPr>
                      <w:rFonts w:hint="default"/>
                      <w:color w:val="auto"/>
                      <w:szCs w:val="21"/>
                      <w:highlight w:val="none"/>
                    </w:rPr>
                    <w:t>”，</w:t>
                  </w:r>
                  <w:r>
                    <w:rPr>
                      <w:rFonts w:hint="eastAsia"/>
                      <w:color w:val="auto"/>
                      <w:szCs w:val="21"/>
                      <w:highlight w:val="none"/>
                    </w:rPr>
                    <w:t>不涉及</w:t>
                  </w:r>
                  <w:r>
                    <w:rPr>
                      <w:rFonts w:hint="default"/>
                      <w:color w:val="auto"/>
                      <w:szCs w:val="21"/>
                      <w:highlight w:val="none"/>
                    </w:rPr>
                    <w:t>熔炼、电镀工艺</w:t>
                  </w:r>
                  <w:r>
                    <w:rPr>
                      <w:rFonts w:hint="eastAsia"/>
                      <w:color w:val="auto"/>
                      <w:szCs w:val="21"/>
                      <w:highlight w:val="none"/>
                    </w:rPr>
                    <w:t>、</w:t>
                  </w:r>
                  <w:r>
                    <w:rPr>
                      <w:rFonts w:hint="default"/>
                      <w:color w:val="auto"/>
                      <w:szCs w:val="21"/>
                      <w:highlight w:val="none"/>
                    </w:rPr>
                    <w:t>钝化工艺的热镀锌</w:t>
                  </w:r>
                  <w:r>
                    <w:rPr>
                      <w:rFonts w:hint="eastAsia"/>
                      <w:color w:val="auto"/>
                      <w:szCs w:val="21"/>
                      <w:highlight w:val="none"/>
                    </w:rPr>
                    <w:t>、</w:t>
                  </w:r>
                  <w:r>
                    <w:rPr>
                      <w:rFonts w:hint="default"/>
                      <w:color w:val="auto"/>
                      <w:szCs w:val="21"/>
                      <w:highlight w:val="none"/>
                    </w:rPr>
                    <w:t>火焰法除旧漆</w:t>
                  </w:r>
                  <w:r>
                    <w:rPr>
                      <w:rFonts w:hint="eastAsia"/>
                      <w:color w:val="auto"/>
                      <w:szCs w:val="21"/>
                      <w:highlight w:val="none"/>
                    </w:rPr>
                    <w:t>和</w:t>
                  </w:r>
                  <w:r>
                    <w:rPr>
                      <w:rFonts w:hint="default"/>
                      <w:color w:val="auto"/>
                      <w:szCs w:val="21"/>
                      <w:highlight w:val="none"/>
                    </w:rPr>
                    <w:t>干喷砂除锈</w:t>
                  </w:r>
                  <w:r>
                    <w:rPr>
                      <w:rFonts w:hint="eastAsia"/>
                      <w:color w:val="auto"/>
                      <w:szCs w:val="21"/>
                      <w:highlight w:val="none"/>
                    </w:rPr>
                    <w:t>；本项目属于扩建项目，</w:t>
                  </w:r>
                  <w:r>
                    <w:rPr>
                      <w:rFonts w:hint="default"/>
                      <w:color w:val="auto"/>
                      <w:szCs w:val="21"/>
                      <w:highlight w:val="none"/>
                    </w:rPr>
                    <w:t>不涉及空间布局约束中禁止新建的情况。</w:t>
                  </w:r>
                </w:p>
              </w:tc>
              <w:tc>
                <w:tcPr>
                  <w:tcW w:w="434" w:type="pct"/>
                  <w:shd w:val="clear" w:color="auto" w:fill="auto"/>
                  <w:vAlign w:val="center"/>
                </w:tcPr>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r>
                    <w:rPr>
                      <w:rFonts w:hint="default"/>
                      <w:color w:val="auto"/>
                      <w:szCs w:val="21"/>
                      <w:highlight w:val="none"/>
                    </w:rPr>
                    <w:t>符合</w:t>
                  </w:r>
                </w:p>
              </w:tc>
            </w:tr>
            <w:tr>
              <w:tblPrEx>
                <w:tblW w:w="5000" w:type="pct"/>
                <w:jc w:val="center"/>
                <w:tblLayout w:type="fixed"/>
                <w:tblCellMar>
                  <w:top w:w="0" w:type="dxa"/>
                  <w:left w:w="108" w:type="dxa"/>
                  <w:bottom w:w="0" w:type="dxa"/>
                  <w:right w:w="108" w:type="dxa"/>
                </w:tblCellMar>
              </w:tblPrEx>
              <w:trPr>
                <w:trHeight w:val="340"/>
                <w:jc w:val="center"/>
              </w:trPr>
              <w:tc>
                <w:tcPr>
                  <w:tcW w:w="460" w:type="pct"/>
                  <w:vMerge/>
                  <w:shd w:val="clear" w:color="auto" w:fill="auto"/>
                  <w:vAlign w:val="center"/>
                </w:tcPr>
                <w:p>
                  <w:pPr>
                    <w:keepNext w:val="0"/>
                    <w:keepLines w:val="0"/>
                    <w:suppressLineNumbers w:val="0"/>
                    <w:spacing w:before="0" w:beforeAutospacing="0" w:after="0" w:afterAutospacing="0" w:line="240" w:lineRule="atLeast"/>
                    <w:ind w:left="0" w:right="0"/>
                    <w:jc w:val="center"/>
                    <w:rPr>
                      <w:rFonts w:hint="default"/>
                      <w:bCs/>
                      <w:color w:val="auto"/>
                      <w:szCs w:val="21"/>
                      <w:highlight w:val="none"/>
                    </w:rPr>
                  </w:pPr>
                </w:p>
              </w:tc>
              <w:tc>
                <w:tcPr>
                  <w:tcW w:w="300" w:type="pct"/>
                  <w:shd w:val="clear" w:color="auto" w:fill="auto"/>
                  <w:vAlign w:val="center"/>
                </w:tcPr>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r>
                    <w:rPr>
                      <w:rFonts w:hint="default"/>
                      <w:color w:val="auto"/>
                      <w:szCs w:val="21"/>
                      <w:highlight w:val="none"/>
                    </w:rPr>
                    <w:t>环境风险防控</w:t>
                  </w:r>
                </w:p>
              </w:tc>
              <w:tc>
                <w:tcPr>
                  <w:tcW w:w="2231" w:type="pct"/>
                  <w:shd w:val="clear" w:color="auto" w:fill="auto"/>
                  <w:vAlign w:val="center"/>
                </w:tcPr>
                <w:p>
                  <w:pPr>
                    <w:keepNext w:val="0"/>
                    <w:keepLines w:val="0"/>
                    <w:suppressLineNumbers w:val="0"/>
                    <w:spacing w:before="0" w:beforeAutospacing="0" w:after="0" w:afterAutospacing="0" w:line="240" w:lineRule="atLeast"/>
                    <w:ind w:left="0" w:right="0"/>
                    <w:rPr>
                      <w:rFonts w:hint="default"/>
                      <w:color w:val="auto"/>
                      <w:szCs w:val="21"/>
                      <w:highlight w:val="none"/>
                    </w:rPr>
                  </w:pPr>
                  <w:r>
                    <w:rPr>
                      <w:rFonts w:hint="default"/>
                      <w:color w:val="auto"/>
                      <w:szCs w:val="21"/>
                      <w:highlight w:val="none"/>
                    </w:rPr>
                    <w:t>1、必须规范配套应急池，建设企业、园区和周边水系三级环境风险防控工程，确保有效拦截、降污和倒流；受园区排污影响的周边水系应建设应急闸门，防止泄漏物和消防水等排入外环境。</w:t>
                  </w:r>
                </w:p>
                <w:p>
                  <w:pPr>
                    <w:keepNext w:val="0"/>
                    <w:keepLines w:val="0"/>
                    <w:suppressLineNumbers w:val="0"/>
                    <w:spacing w:before="0" w:beforeAutospacing="0" w:after="0" w:afterAutospacing="0" w:line="240" w:lineRule="atLeast"/>
                    <w:ind w:left="0" w:right="0"/>
                    <w:rPr>
                      <w:rFonts w:hint="default"/>
                      <w:color w:val="auto"/>
                      <w:szCs w:val="21"/>
                      <w:highlight w:val="none"/>
                    </w:rPr>
                  </w:pPr>
                  <w:r>
                    <w:rPr>
                      <w:rFonts w:hint="default"/>
                      <w:color w:val="auto"/>
                      <w:szCs w:val="21"/>
                      <w:highlight w:val="none"/>
                    </w:rPr>
                    <w:t>2、开发区内污水处理设施应采取必要的防渗处理，不得污染地下水环境。</w:t>
                  </w:r>
                </w:p>
              </w:tc>
              <w:tc>
                <w:tcPr>
                  <w:tcW w:w="1573" w:type="pct"/>
                  <w:shd w:val="clear" w:color="auto" w:fill="auto"/>
                  <w:vAlign w:val="center"/>
                </w:tcPr>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r>
                    <w:rPr>
                      <w:rFonts w:hint="eastAsia"/>
                      <w:color w:val="auto"/>
                      <w:szCs w:val="21"/>
                      <w:highlight w:val="none"/>
                    </w:rPr>
                    <w:t>污水处理站采用防渗设计，抗渗等级为S6，减少对地下水环境的影响</w:t>
                  </w:r>
                </w:p>
              </w:tc>
              <w:tc>
                <w:tcPr>
                  <w:tcW w:w="434" w:type="pct"/>
                  <w:shd w:val="clear" w:color="auto" w:fill="auto"/>
                  <w:vAlign w:val="center"/>
                </w:tcPr>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r>
                    <w:rPr>
                      <w:rFonts w:hint="default"/>
                      <w:color w:val="auto"/>
                      <w:szCs w:val="21"/>
                      <w:highlight w:val="none"/>
                    </w:rPr>
                    <w:t>符合</w:t>
                  </w:r>
                </w:p>
              </w:tc>
            </w:tr>
            <w:tr>
              <w:tblPrEx>
                <w:tblW w:w="5000" w:type="pct"/>
                <w:jc w:val="center"/>
                <w:tblLayout w:type="fixed"/>
                <w:tblCellMar>
                  <w:top w:w="0" w:type="dxa"/>
                  <w:left w:w="108" w:type="dxa"/>
                  <w:bottom w:w="0" w:type="dxa"/>
                  <w:right w:w="108" w:type="dxa"/>
                </w:tblCellMar>
              </w:tblPrEx>
              <w:trPr>
                <w:trHeight w:val="340"/>
                <w:jc w:val="center"/>
              </w:trPr>
              <w:tc>
                <w:tcPr>
                  <w:tcW w:w="460" w:type="pct"/>
                  <w:vMerge/>
                  <w:shd w:val="clear" w:color="auto" w:fill="auto"/>
                  <w:vAlign w:val="center"/>
                </w:tcPr>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p>
              </w:tc>
              <w:tc>
                <w:tcPr>
                  <w:tcW w:w="300" w:type="pct"/>
                  <w:shd w:val="clear" w:color="auto" w:fill="auto"/>
                  <w:vAlign w:val="center"/>
                </w:tcPr>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p>
              </w:tc>
              <w:tc>
                <w:tcPr>
                  <w:tcW w:w="2231" w:type="pct"/>
                  <w:shd w:val="clear" w:color="auto" w:fill="auto"/>
                  <w:vAlign w:val="center"/>
                </w:tcPr>
                <w:p>
                  <w:pPr>
                    <w:keepNext w:val="0"/>
                    <w:keepLines w:val="0"/>
                    <w:suppressLineNumbers w:val="0"/>
                    <w:spacing w:before="0" w:beforeAutospacing="0" w:after="0" w:afterAutospacing="0" w:line="240" w:lineRule="atLeast"/>
                    <w:ind w:left="0" w:right="0"/>
                    <w:rPr>
                      <w:rFonts w:hint="default"/>
                      <w:color w:val="auto"/>
                      <w:szCs w:val="21"/>
                      <w:highlight w:val="none"/>
                    </w:rPr>
                  </w:pPr>
                  <w:r>
                    <w:rPr>
                      <w:rFonts w:hint="default"/>
                      <w:color w:val="auto"/>
                      <w:szCs w:val="21"/>
                      <w:highlight w:val="none"/>
                    </w:rPr>
                    <w:t>1、新、改、扩建项目新增大气污染物（现阶段指SO</w:t>
                  </w:r>
                  <w:r>
                    <w:rPr>
                      <w:rFonts w:hint="default"/>
                      <w:color w:val="auto"/>
                      <w:szCs w:val="21"/>
                      <w:highlight w:val="none"/>
                      <w:vertAlign w:val="subscript"/>
                    </w:rPr>
                    <w:t>2</w:t>
                  </w:r>
                  <w:r>
                    <w:rPr>
                      <w:rFonts w:hint="default"/>
                      <w:color w:val="auto"/>
                      <w:szCs w:val="21"/>
                      <w:highlight w:val="none"/>
                    </w:rPr>
                    <w:t>、NOx）排放量实行1.5倍削减替代（不含使用天然气、液化石油气等作为燃料的非火电锅炉和</w:t>
                  </w:r>
                  <w:r>
                    <w:rPr>
                      <w:rFonts w:hint="eastAsia"/>
                      <w:color w:val="auto"/>
                      <w:szCs w:val="21"/>
                      <w:highlight w:val="none"/>
                      <w:lang w:eastAsia="zh-CN"/>
                    </w:rPr>
                    <w:t>***</w:t>
                  </w:r>
                  <w:r>
                    <w:rPr>
                      <w:rFonts w:hint="default"/>
                      <w:color w:val="auto"/>
                      <w:szCs w:val="21"/>
                      <w:highlight w:val="none"/>
                    </w:rPr>
                    <w:t>炉窑）。</w:t>
                  </w:r>
                </w:p>
              </w:tc>
              <w:tc>
                <w:tcPr>
                  <w:tcW w:w="1573" w:type="pct"/>
                  <w:shd w:val="clear" w:color="auto" w:fill="auto"/>
                  <w:vAlign w:val="center"/>
                </w:tcPr>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r>
                    <w:rPr>
                      <w:rFonts w:hint="default"/>
                      <w:color w:val="auto"/>
                      <w:szCs w:val="21"/>
                      <w:highlight w:val="none"/>
                    </w:rPr>
                    <w:t>本项目</w:t>
                  </w:r>
                  <w:r>
                    <w:rPr>
                      <w:rFonts w:hint="eastAsia"/>
                      <w:color w:val="auto"/>
                      <w:szCs w:val="21"/>
                      <w:highlight w:val="none"/>
                    </w:rPr>
                    <w:t>不涉及</w:t>
                  </w:r>
                  <w:r>
                    <w:rPr>
                      <w:rFonts w:hint="default"/>
                      <w:color w:val="auto"/>
                      <w:szCs w:val="21"/>
                      <w:highlight w:val="none"/>
                    </w:rPr>
                    <w:t>SO</w:t>
                  </w:r>
                  <w:r>
                    <w:rPr>
                      <w:rFonts w:hint="default"/>
                      <w:color w:val="auto"/>
                      <w:szCs w:val="21"/>
                      <w:highlight w:val="none"/>
                      <w:vertAlign w:val="subscript"/>
                    </w:rPr>
                    <w:t>2</w:t>
                  </w:r>
                  <w:r>
                    <w:rPr>
                      <w:rFonts w:hint="default"/>
                      <w:color w:val="auto"/>
                      <w:szCs w:val="21"/>
                      <w:highlight w:val="none"/>
                    </w:rPr>
                    <w:t>、NOx</w:t>
                  </w:r>
                  <w:r>
                    <w:rPr>
                      <w:rFonts w:hint="eastAsia"/>
                      <w:color w:val="auto"/>
                      <w:szCs w:val="21"/>
                      <w:highlight w:val="none"/>
                    </w:rPr>
                    <w:t>排放，</w:t>
                  </w:r>
                  <w:r>
                    <w:rPr>
                      <w:rFonts w:hint="default"/>
                      <w:color w:val="auto"/>
                      <w:szCs w:val="21"/>
                      <w:highlight w:val="none"/>
                    </w:rPr>
                    <w:t>属于新增VOC</w:t>
                  </w:r>
                  <w:r>
                    <w:rPr>
                      <w:rFonts w:hint="default"/>
                      <w:color w:val="auto"/>
                      <w:szCs w:val="21"/>
                      <w:highlight w:val="none"/>
                      <w:vertAlign w:val="subscript"/>
                    </w:rPr>
                    <w:t>S</w:t>
                  </w:r>
                  <w:r>
                    <w:rPr>
                      <w:rFonts w:hint="default"/>
                      <w:color w:val="auto"/>
                      <w:szCs w:val="21"/>
                      <w:highlight w:val="none"/>
                    </w:rPr>
                    <w:t>排放</w:t>
                  </w:r>
                  <w:r>
                    <w:rPr>
                      <w:rFonts w:hint="eastAsia"/>
                      <w:color w:val="auto"/>
                      <w:szCs w:val="21"/>
                      <w:highlight w:val="none"/>
                    </w:rPr>
                    <w:t>量</w:t>
                  </w:r>
                  <w:r>
                    <w:rPr>
                      <w:rFonts w:hint="default"/>
                      <w:color w:val="auto"/>
                      <w:szCs w:val="21"/>
                      <w:highlight w:val="none"/>
                    </w:rPr>
                    <w:t>实行倍量削减替代。</w:t>
                  </w:r>
                </w:p>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r>
                    <w:rPr>
                      <w:rFonts w:hint="default"/>
                      <w:color w:val="auto"/>
                      <w:szCs w:val="21"/>
                      <w:highlight w:val="none"/>
                    </w:rPr>
                    <w:t>本项目生产废水</w:t>
                  </w:r>
                </w:p>
              </w:tc>
              <w:tc>
                <w:tcPr>
                  <w:tcW w:w="434" w:type="pct"/>
                  <w:shd w:val="clear" w:color="auto" w:fill="auto"/>
                  <w:vAlign w:val="center"/>
                </w:tcPr>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r>
                    <w:rPr>
                      <w:rFonts w:hint="default"/>
                      <w:color w:val="auto"/>
                      <w:szCs w:val="21"/>
                      <w:highlight w:val="none"/>
                    </w:rPr>
                    <w:t>符合</w:t>
                  </w:r>
                </w:p>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p>
              </w:tc>
            </w:tr>
          </w:tbl>
          <w:p/>
        </w:tc>
      </w:tr>
    </w:tbl>
    <w:p>
      <w:pPr>
        <w:sectPr>
          <w:footerReference w:type="default" r:id="rId7"/>
          <w:type w:val="nextPage"/>
          <w:pgSz w:w="11906" w:h="16838"/>
          <w:pgMar w:top="1417" w:right="1417" w:bottom="1417" w:left="1417" w:header="992" w:footer="992" w:gutter="0"/>
          <w:pgBorders>
            <w:top w:val="none" w:sz="0" w:space="0" w:color="auto"/>
            <w:left w:val="none" w:sz="0" w:space="0" w:color="auto"/>
            <w:bottom w:val="none" w:sz="0" w:space="0" w:color="auto"/>
            <w:right w:val="none" w:sz="0" w:space="0" w:color="auto"/>
          </w:pgBorders>
          <w:pgNumType w:start="3"/>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741"/>
        <w:gridCol w:w="812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center"/>
        </w:trPr>
        <w:tc>
          <w:tcPr>
            <w:tcW w:w="741" w:type="dxa"/>
            <w:vAlign w:val="center"/>
          </w:tcPr>
          <w:p/>
        </w:tc>
        <w:tc>
          <w:tcPr>
            <w:tcW w:w="8129" w:type="dxa"/>
            <w:vAlign w:val="center"/>
          </w:tcPr>
          <w:tbl>
            <w:tblPr>
              <w:tblStyle w:val="TableNormal"/>
              <w:tblW w:w="5000" w:type="pct"/>
              <w:jc w:val="center"/>
              <w:tblBorders>
                <w:top w:val="single" w:sz="18" w:space="0" w:color="auto"/>
                <w:left w:val="none" w:sz="0" w:space="0" w:color="auto"/>
                <w:bottom w:val="single" w:sz="18" w:space="0" w:color="auto"/>
                <w:right w:val="none" w:sz="0" w:space="0" w:color="auto"/>
                <w:insideH w:val="single" w:sz="4" w:space="0" w:color="auto"/>
                <w:insideV w:val="single" w:sz="2" w:space="0" w:color="auto"/>
              </w:tblBorders>
              <w:tblLayout w:type="fixed"/>
              <w:tblCellMar>
                <w:top w:w="0" w:type="dxa"/>
                <w:left w:w="108" w:type="dxa"/>
                <w:bottom w:w="0" w:type="dxa"/>
                <w:right w:w="108" w:type="dxa"/>
              </w:tblCellMar>
            </w:tblPr>
            <w:tblGrid>
              <w:gridCol w:w="728"/>
              <w:gridCol w:w="475"/>
              <w:gridCol w:w="3532"/>
              <w:gridCol w:w="2491"/>
              <w:gridCol w:w="687"/>
            </w:tblGrid>
            <w:tr>
              <w:tblPrEx>
                <w:tblW w:w="5000" w:type="pct"/>
                <w:jc w:val="center"/>
                <w:tblBorders>
                  <w:top w:val="single" w:sz="18" w:space="0" w:color="auto"/>
                  <w:left w:val="none" w:sz="0" w:space="0" w:color="auto"/>
                  <w:bottom w:val="single" w:sz="18" w:space="0" w:color="auto"/>
                  <w:right w:val="none" w:sz="0" w:space="0" w:color="auto"/>
                  <w:insideH w:val="single" w:sz="4" w:space="0" w:color="auto"/>
                  <w:insideV w:val="single" w:sz="2" w:space="0" w:color="auto"/>
                </w:tblBorders>
                <w:tblLayout w:type="fixed"/>
                <w:tblCellMar>
                  <w:top w:w="0" w:type="dxa"/>
                  <w:left w:w="108" w:type="dxa"/>
                  <w:bottom w:w="0" w:type="dxa"/>
                  <w:right w:w="108" w:type="dxa"/>
                </w:tblCellMar>
              </w:tblPrEx>
              <w:trPr>
                <w:trHeight w:val="340"/>
                <w:jc w:val="center"/>
              </w:trPr>
              <w:tc>
                <w:tcPr>
                  <w:tcW w:w="460" w:type="pct"/>
                  <w:shd w:val="clear" w:color="auto" w:fill="auto"/>
                  <w:vAlign w:val="center"/>
                </w:tcPr>
                <w:p/>
              </w:tc>
              <w:tc>
                <w:tcPr>
                  <w:tcW w:w="300" w:type="pct"/>
                  <w:shd w:val="clear" w:color="auto" w:fill="auto"/>
                  <w:vAlign w:val="center"/>
                </w:tcPr>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r>
                    <w:rPr>
                      <w:rFonts w:hint="default"/>
                      <w:color w:val="auto"/>
                      <w:szCs w:val="21"/>
                      <w:highlight w:val="none"/>
                    </w:rPr>
                    <w:t>污染物排放控制</w:t>
                  </w:r>
                </w:p>
              </w:tc>
              <w:tc>
                <w:tcPr>
                  <w:tcW w:w="2231" w:type="pct"/>
                  <w:shd w:val="clear" w:color="auto" w:fill="auto"/>
                  <w:vAlign w:val="center"/>
                </w:tcPr>
                <w:p>
                  <w:pPr>
                    <w:keepNext w:val="0"/>
                    <w:keepLines w:val="0"/>
                    <w:suppressLineNumbers w:val="0"/>
                    <w:spacing w:before="0" w:beforeAutospacing="0" w:after="0" w:afterAutospacing="0" w:line="240" w:lineRule="atLeast"/>
                    <w:ind w:left="0" w:right="0"/>
                    <w:rPr>
                      <w:rFonts w:hint="default"/>
                      <w:color w:val="auto"/>
                      <w:szCs w:val="21"/>
                      <w:highlight w:val="none"/>
                    </w:rPr>
                  </w:pPr>
                  <w:r>
                    <w:rPr>
                      <w:rFonts w:hint="default"/>
                      <w:color w:val="auto"/>
                      <w:szCs w:val="21"/>
                      <w:highlight w:val="none"/>
                    </w:rPr>
                    <w:t>2、新、改、扩建项目新增VOCs排放量实行倍量削减替代。</w:t>
                  </w:r>
                </w:p>
                <w:p>
                  <w:pPr>
                    <w:keepNext w:val="0"/>
                    <w:keepLines w:val="0"/>
                    <w:suppressLineNumbers w:val="0"/>
                    <w:spacing w:before="0" w:beforeAutospacing="0" w:after="0" w:afterAutospacing="0" w:line="240" w:lineRule="atLeast"/>
                    <w:ind w:left="0" w:right="0"/>
                    <w:rPr>
                      <w:rFonts w:hint="default"/>
                      <w:color w:val="auto"/>
                      <w:szCs w:val="21"/>
                      <w:highlight w:val="none"/>
                    </w:rPr>
                  </w:pPr>
                  <w:r>
                    <w:rPr>
                      <w:rFonts w:hint="default"/>
                      <w:color w:val="auto"/>
                      <w:szCs w:val="21"/>
                      <w:highlight w:val="none"/>
                    </w:rPr>
                    <w:t>3、</w:t>
                  </w:r>
                  <w:r>
                    <w:rPr>
                      <w:rFonts w:hint="eastAsia"/>
                      <w:color w:val="auto"/>
                      <w:szCs w:val="21"/>
                      <w:highlight w:val="none"/>
                      <w:lang w:eastAsia="zh-CN"/>
                    </w:rPr>
                    <w:t>***</w:t>
                  </w:r>
                  <w:r>
                    <w:rPr>
                      <w:rFonts w:hint="default"/>
                      <w:color w:val="auto"/>
                      <w:szCs w:val="21"/>
                      <w:highlight w:val="none"/>
                    </w:rPr>
                    <w:t>企业废水全部纳管进入污水厂集中处理后达标排放。</w:t>
                  </w:r>
                </w:p>
              </w:tc>
              <w:tc>
                <w:tcPr>
                  <w:tcW w:w="1573" w:type="pct"/>
                  <w:shd w:val="clear" w:color="auto" w:fill="auto"/>
                  <w:vAlign w:val="center"/>
                </w:tcPr>
                <w:p>
                  <w:pPr>
                    <w:keepNext w:val="0"/>
                    <w:keepLines w:val="0"/>
                    <w:suppressLineNumbers w:val="0"/>
                    <w:spacing w:before="0" w:beforeAutospacing="0" w:after="0" w:afterAutospacing="0" w:line="240" w:lineRule="atLeast"/>
                    <w:ind w:left="0" w:right="0"/>
                    <w:jc w:val="center"/>
                    <w:rPr>
                      <w:rFonts w:hint="default"/>
                      <w:color w:val="auto"/>
                      <w:szCs w:val="21"/>
                      <w:highlight w:val="none"/>
                    </w:rPr>
                  </w:pPr>
                  <w:r>
                    <w:rPr>
                      <w:rFonts w:hint="eastAsia"/>
                      <w:color w:val="auto"/>
                      <w:szCs w:val="21"/>
                      <w:highlight w:val="none"/>
                    </w:rPr>
                    <w:t>经“调节池+水解酸化池+接触氧化池+竖流沉淀池”处理达标后与</w:t>
                  </w:r>
                  <w:r>
                    <w:rPr>
                      <w:rFonts w:hint="default"/>
                      <w:color w:val="auto"/>
                      <w:szCs w:val="21"/>
                      <w:highlight w:val="none"/>
                    </w:rPr>
                    <w:t>生活</w:t>
                  </w:r>
                  <w:r>
                    <w:rPr>
                      <w:rFonts w:hint="eastAsia"/>
                      <w:color w:val="auto"/>
                      <w:szCs w:val="21"/>
                      <w:highlight w:val="none"/>
                    </w:rPr>
                    <w:t>污水一起</w:t>
                  </w:r>
                  <w:r>
                    <w:rPr>
                      <w:rFonts w:hint="default"/>
                      <w:color w:val="auto"/>
                      <w:szCs w:val="21"/>
                      <w:highlight w:val="none"/>
                    </w:rPr>
                    <w:t>接入市政污水管网</w:t>
                  </w:r>
                </w:p>
              </w:tc>
              <w:tc>
                <w:tcPr>
                  <w:tcW w:w="434" w:type="pct"/>
                  <w:shd w:val="clear" w:color="auto" w:fill="auto"/>
                  <w:vAlign w:val="center"/>
                </w:tcPr>
                <w:p/>
              </w:tc>
            </w:tr>
          </w:tbl>
          <w:p>
            <w:pPr>
              <w:pStyle w:val="NormalIndent"/>
              <w:keepNext w:val="0"/>
              <w:keepLines w:val="0"/>
              <w:suppressLineNumbers w:val="0"/>
              <w:spacing w:before="0" w:beforeAutospacing="0" w:after="0" w:afterAutospacing="0"/>
              <w:ind w:left="0" w:right="0" w:firstLine="482"/>
              <w:rPr>
                <w:rFonts w:hint="default"/>
                <w:b/>
                <w:bCs/>
                <w:color w:val="auto"/>
                <w:szCs w:val="24"/>
                <w:highlight w:val="none"/>
              </w:rPr>
            </w:pPr>
            <w:r>
              <w:rPr>
                <w:rFonts w:hint="default"/>
                <w:b/>
                <w:bCs/>
                <w:color w:val="auto"/>
                <w:szCs w:val="24"/>
                <w:highlight w:val="none"/>
              </w:rPr>
              <w:t>②</w:t>
            </w:r>
            <w:r>
              <w:rPr>
                <w:rFonts w:hint="eastAsia"/>
                <w:b/>
                <w:bCs/>
                <w:color w:val="auto"/>
                <w:szCs w:val="24"/>
                <w:highlight w:val="none"/>
              </w:rPr>
              <w:t>与规划环评结论及审查意见符合性：</w:t>
            </w:r>
          </w:p>
          <w:p>
            <w:pPr>
              <w:keepNext w:val="0"/>
              <w:keepLines w:val="0"/>
              <w:widowControl/>
              <w:suppressLineNumbers w:val="0"/>
              <w:spacing w:before="0" w:beforeAutospacing="0" w:after="0" w:afterAutospacing="0"/>
              <w:ind w:left="0" w:right="0"/>
              <w:jc w:val="center"/>
              <w:rPr>
                <w:rFonts w:hint="default"/>
                <w:b/>
                <w:color w:val="auto"/>
                <w:kern w:val="0"/>
                <w:sz w:val="24"/>
                <w:highlight w:val="none"/>
              </w:rPr>
            </w:pPr>
            <w:r>
              <w:rPr>
                <w:rFonts w:hint="default"/>
                <w:b/>
                <w:color w:val="auto"/>
                <w:kern w:val="0"/>
                <w:sz w:val="24"/>
                <w:highlight w:val="none"/>
              </w:rPr>
              <w:t>表</w:t>
            </w:r>
            <w:r>
              <w:rPr>
                <w:rFonts w:hint="eastAsia"/>
                <w:b/>
                <w:color w:val="auto"/>
                <w:kern w:val="0"/>
                <w:sz w:val="24"/>
                <w:highlight w:val="none"/>
              </w:rPr>
              <w:t xml:space="preserve">1.1-2 </w:t>
            </w:r>
            <w:r>
              <w:rPr>
                <w:rFonts w:hint="default"/>
                <w:b/>
                <w:color w:val="auto"/>
                <w:kern w:val="0"/>
                <w:sz w:val="24"/>
                <w:highlight w:val="none"/>
              </w:rPr>
              <w:t>审查意见符合性分析</w:t>
            </w:r>
          </w:p>
          <w:tbl>
            <w:tblPr>
              <w:tblStyle w:val="TableGrid0"/>
              <w:tblW w:w="4998"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711"/>
              <w:gridCol w:w="3778"/>
              <w:gridCol w:w="1628"/>
              <w:gridCol w:w="793"/>
            </w:tblGrid>
            <w:tr>
              <w:tblPrEx>
                <w:tblW w:w="4998"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trPr>
              <w:tc>
                <w:tcPr>
                  <w:tcW w:w="3469" w:type="pct"/>
                  <w:gridSpan w:val="2"/>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b/>
                      <w:bCs/>
                      <w:color w:val="auto"/>
                      <w:szCs w:val="21"/>
                      <w:highlight w:val="none"/>
                    </w:rPr>
                    <w:t>关于《福清融侨经济技术开发区总体规划（2018-2035年）环境影响报告书》的审查意见（环审〔2020〕80号）摘录</w:t>
                  </w:r>
                </w:p>
              </w:tc>
              <w:tc>
                <w:tcPr>
                  <w:tcW w:w="1029" w:type="pct"/>
                  <w:tcBorders>
                    <w:tl2br w:val="nil"/>
                    <w:tr2bl w:val="nil"/>
                  </w:tcBorders>
                  <w:vAlign w:val="center"/>
                </w:tcPr>
                <w:p>
                  <w:pPr>
                    <w:keepNext w:val="0"/>
                    <w:keepLines w:val="0"/>
                    <w:widowControl/>
                    <w:suppressLineNumbers w:val="0"/>
                    <w:tabs>
                      <w:tab w:val="left" w:pos="3420"/>
                    </w:tabs>
                    <w:spacing w:before="0" w:beforeAutospacing="0" w:after="0" w:afterAutospacing="0"/>
                    <w:ind w:left="0" w:right="0"/>
                    <w:jc w:val="center"/>
                    <w:rPr>
                      <w:rFonts w:hint="default"/>
                      <w:color w:val="auto"/>
                      <w:szCs w:val="21"/>
                      <w:highlight w:val="none"/>
                    </w:rPr>
                  </w:pPr>
                  <w:r>
                    <w:rPr>
                      <w:rFonts w:hint="default"/>
                      <w:b/>
                      <w:bCs/>
                      <w:color w:val="auto"/>
                      <w:szCs w:val="21"/>
                      <w:highlight w:val="none"/>
                    </w:rPr>
                    <w:t>本项目情况</w:t>
                  </w:r>
                </w:p>
              </w:tc>
              <w:tc>
                <w:tcPr>
                  <w:tcW w:w="501" w:type="pct"/>
                  <w:tcBorders>
                    <w:tl2br w:val="nil"/>
                    <w:tr2bl w:val="nil"/>
                  </w:tcBorders>
                  <w:vAlign w:val="center"/>
                </w:tcPr>
                <w:p>
                  <w:pPr>
                    <w:keepNext w:val="0"/>
                    <w:keepLines w:val="0"/>
                    <w:widowControl/>
                    <w:suppressLineNumbers w:val="0"/>
                    <w:tabs>
                      <w:tab w:val="left" w:pos="3420"/>
                    </w:tabs>
                    <w:spacing w:before="0" w:beforeAutospacing="0" w:after="0" w:afterAutospacing="0"/>
                    <w:ind w:left="0" w:right="0"/>
                    <w:jc w:val="center"/>
                    <w:rPr>
                      <w:rFonts w:hint="default"/>
                      <w:color w:val="auto"/>
                      <w:szCs w:val="21"/>
                      <w:highlight w:val="none"/>
                    </w:rPr>
                  </w:pPr>
                  <w:r>
                    <w:rPr>
                      <w:rFonts w:hint="default"/>
                      <w:b/>
                      <w:bCs/>
                      <w:color w:val="auto"/>
                      <w:szCs w:val="21"/>
                      <w:highlight w:val="none"/>
                    </w:rPr>
                    <w:t>符合性</w:t>
                  </w:r>
                </w:p>
              </w:tc>
            </w:tr>
            <w:tr>
              <w:tblPrEx>
                <w:tblW w:w="4998" w:type="pct"/>
                <w:tblInd w:w="0" w:type="dxa"/>
                <w:tblLayout w:type="fixed"/>
                <w:tblCellMar>
                  <w:top w:w="0" w:type="dxa"/>
                  <w:left w:w="108" w:type="dxa"/>
                  <w:bottom w:w="0" w:type="dxa"/>
                  <w:right w:w="108" w:type="dxa"/>
                </w:tblCellMar>
              </w:tblPrEx>
              <w:trPr>
                <w:trHeight w:val="340"/>
              </w:trPr>
              <w:tc>
                <w:tcPr>
                  <w:tcW w:w="1081" w:type="pct"/>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坚持绿色发展和协调发展理念，加强规划引导</w:t>
                  </w:r>
                </w:p>
              </w:tc>
              <w:tc>
                <w:tcPr>
                  <w:tcW w:w="2388" w:type="pct"/>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进一步优化《规划》范围、布局、发展规模和产业结构等，做好与省市国土空间规划和“三线一单”的协调衔接</w:t>
                  </w:r>
                </w:p>
              </w:tc>
              <w:tc>
                <w:tcPr>
                  <w:tcW w:w="1029"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项目位于福清融侨经济开发区范围内，符合“三线一单”要求</w:t>
                  </w:r>
                </w:p>
              </w:tc>
              <w:tc>
                <w:tcPr>
                  <w:tcW w:w="501"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符合</w:t>
                  </w:r>
                </w:p>
              </w:tc>
            </w:tr>
            <w:tr>
              <w:tblPrEx>
                <w:tblW w:w="4998" w:type="pct"/>
                <w:tblInd w:w="0" w:type="dxa"/>
                <w:tblLayout w:type="fixed"/>
                <w:tblCellMar>
                  <w:top w:w="0" w:type="dxa"/>
                  <w:left w:w="108" w:type="dxa"/>
                  <w:bottom w:w="0" w:type="dxa"/>
                  <w:right w:w="108" w:type="dxa"/>
                </w:tblCellMar>
              </w:tblPrEx>
              <w:trPr>
                <w:trHeight w:val="340"/>
              </w:trPr>
              <w:tc>
                <w:tcPr>
                  <w:tcW w:w="1081" w:type="pct"/>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着力推动开发区结构调整和转型升级</w:t>
                  </w:r>
                </w:p>
              </w:tc>
              <w:tc>
                <w:tcPr>
                  <w:tcW w:w="2388" w:type="pct"/>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落实《报告书》提出的现有重污染企业和用地布局不合理企业的搬迁、淘汰进度，强化拟退出污染企业存续期间环境管控和风险防控，合理安排重污染企业腾退及周边土地开发时序，……。促进开发区产业转型升级与生态环境保护、人居环境安全相协调。</w:t>
                  </w:r>
                </w:p>
              </w:tc>
              <w:tc>
                <w:tcPr>
                  <w:tcW w:w="1029"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本项目不属于规划环评报告书提出的“搬迁、淘汰”项目。</w:t>
                  </w:r>
                </w:p>
              </w:tc>
              <w:tc>
                <w:tcPr>
                  <w:tcW w:w="501"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snapToGrid w:val="0"/>
                      <w:color w:val="auto"/>
                      <w:kern w:val="18"/>
                      <w:szCs w:val="21"/>
                      <w:highlight w:val="none"/>
                    </w:rPr>
                    <w:t>符合</w:t>
                  </w:r>
                </w:p>
              </w:tc>
            </w:tr>
            <w:tr>
              <w:tblPrEx>
                <w:tblW w:w="4998" w:type="pct"/>
                <w:tblInd w:w="0" w:type="dxa"/>
                <w:tblLayout w:type="fixed"/>
                <w:tblCellMar>
                  <w:top w:w="0" w:type="dxa"/>
                  <w:left w:w="108" w:type="dxa"/>
                  <w:bottom w:w="0" w:type="dxa"/>
                  <w:right w:w="108" w:type="dxa"/>
                </w:tblCellMar>
              </w:tblPrEx>
              <w:trPr>
                <w:trHeight w:val="340"/>
              </w:trPr>
              <w:tc>
                <w:tcPr>
                  <w:tcW w:w="1081"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严格空间管控，优化区内空间布局</w:t>
                  </w:r>
                </w:p>
              </w:tc>
              <w:tc>
                <w:tcPr>
                  <w:tcW w:w="2388"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……，进一步优化园区范围和空间布局，避让永久基本农田</w:t>
                  </w:r>
                </w:p>
              </w:tc>
              <w:tc>
                <w:tcPr>
                  <w:tcW w:w="1029"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项目租用</w:t>
                  </w:r>
                  <w:r>
                    <w:rPr>
                      <w:rFonts w:hint="eastAsia"/>
                      <w:color w:val="auto"/>
                      <w:szCs w:val="21"/>
                      <w:highlight w:val="none"/>
                      <w:lang w:eastAsia="zh-CN"/>
                    </w:rPr>
                    <w:t>********</w:t>
                  </w:r>
                  <w:r>
                    <w:rPr>
                      <w:rFonts w:hint="default"/>
                      <w:color w:val="auto"/>
                      <w:szCs w:val="21"/>
                      <w:highlight w:val="none"/>
                    </w:rPr>
                    <w:t>印刷制品有限公司已建厂房，不涉及永久基本农田</w:t>
                  </w:r>
                </w:p>
              </w:tc>
              <w:tc>
                <w:tcPr>
                  <w:tcW w:w="501"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snapToGrid w:val="0"/>
                      <w:color w:val="auto"/>
                      <w:kern w:val="18"/>
                      <w:szCs w:val="21"/>
                      <w:highlight w:val="none"/>
                    </w:rPr>
                    <w:t>符合</w:t>
                  </w:r>
                </w:p>
              </w:tc>
            </w:tr>
            <w:tr>
              <w:tblPrEx>
                <w:tblW w:w="4998" w:type="pct"/>
                <w:tblInd w:w="0" w:type="dxa"/>
                <w:tblLayout w:type="fixed"/>
                <w:tblCellMar>
                  <w:top w:w="0" w:type="dxa"/>
                  <w:left w:w="108" w:type="dxa"/>
                  <w:bottom w:w="0" w:type="dxa"/>
                  <w:right w:w="108" w:type="dxa"/>
                </w:tblCellMar>
              </w:tblPrEx>
              <w:trPr>
                <w:trHeight w:val="340"/>
              </w:trPr>
              <w:tc>
                <w:tcPr>
                  <w:tcW w:w="1081"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严守环境质量底线，强化污染物排放总量管控</w:t>
                  </w:r>
                </w:p>
              </w:tc>
              <w:tc>
                <w:tcPr>
                  <w:tcW w:w="2388"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……严格重金属总量管控。采取有效措施减少主要污染物和特征污染物的排放量，确保区域环境质量持续改善、促进产业发展与城市发展、生态环境保护相协调</w:t>
                  </w:r>
                </w:p>
              </w:tc>
              <w:tc>
                <w:tcPr>
                  <w:tcW w:w="1029"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项目不涉及重金属排放，对周边环境影响小</w:t>
                  </w:r>
                </w:p>
              </w:tc>
              <w:tc>
                <w:tcPr>
                  <w:tcW w:w="501"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snapToGrid w:val="0"/>
                      <w:color w:val="auto"/>
                      <w:kern w:val="18"/>
                      <w:szCs w:val="21"/>
                      <w:highlight w:val="none"/>
                    </w:rPr>
                    <w:t>符合</w:t>
                  </w:r>
                </w:p>
              </w:tc>
            </w:tr>
            <w:tr>
              <w:tblPrEx>
                <w:tblW w:w="4998" w:type="pct"/>
                <w:tblInd w:w="0" w:type="dxa"/>
                <w:tblLayout w:type="fixed"/>
                <w:tblCellMar>
                  <w:top w:w="0" w:type="dxa"/>
                  <w:left w:w="108" w:type="dxa"/>
                  <w:bottom w:w="0" w:type="dxa"/>
                  <w:right w:w="108" w:type="dxa"/>
                </w:tblCellMar>
              </w:tblPrEx>
              <w:trPr>
                <w:trHeight w:val="340"/>
              </w:trPr>
              <w:tc>
                <w:tcPr>
                  <w:tcW w:w="1081"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严格入区项目生态环境准入，推动高质量发展</w:t>
                  </w:r>
                </w:p>
              </w:tc>
              <w:tc>
                <w:tcPr>
                  <w:tcW w:w="2388"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落实《报告书》生态环境准入要求，强化现有及入区企业挥发性有机物排放控制，禁止新增排放涉重金属污染物项目入区，禁止与主导产业不相关且污染物排放量大的项目入区。……执行最严格的行业废水、废气排放控制指标，引进项目的生产工艺、设备，以及单位产品能耗、污染物排放和资源利用效率等均需达到同行业国际先进水平</w:t>
                  </w:r>
                </w:p>
              </w:tc>
              <w:tc>
                <w:tcPr>
                  <w:tcW w:w="1029"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本项目污染物排放量较小，不涉及重金属污染物的排放。</w:t>
                  </w:r>
                </w:p>
              </w:tc>
              <w:tc>
                <w:tcPr>
                  <w:tcW w:w="501"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snapToGrid w:val="0"/>
                      <w:color w:val="auto"/>
                      <w:kern w:val="18"/>
                      <w:szCs w:val="21"/>
                      <w:highlight w:val="none"/>
                    </w:rPr>
                    <w:t>符合</w:t>
                  </w:r>
                </w:p>
              </w:tc>
            </w:tr>
          </w:tbl>
          <w:p>
            <w:pPr>
              <w:pStyle w:val="NormalIndent"/>
              <w:keepNext w:val="0"/>
              <w:keepLines w:val="0"/>
              <w:suppressLineNumbers w:val="0"/>
              <w:spacing w:before="0" w:beforeAutospacing="0" w:after="0" w:afterAutospacing="0"/>
              <w:ind w:left="0" w:right="0" w:firstLine="480"/>
              <w:rPr>
                <w:rFonts w:hint="default"/>
                <w:color w:val="auto"/>
                <w:kern w:val="0"/>
                <w:szCs w:val="24"/>
                <w:highlight w:val="none"/>
              </w:rPr>
            </w:pPr>
            <w:r>
              <w:rPr>
                <w:rFonts w:hint="default"/>
                <w:color w:val="auto"/>
                <w:szCs w:val="22"/>
                <w:highlight w:val="none"/>
              </w:rPr>
              <w:t>综上，本项目符合《福清融侨经济技术开发区总体规划（2018-2035年）环境影响报告书》及其审查意见相关要求。</w:t>
            </w:r>
          </w:p>
        </w:tc>
      </w:tr>
      <w:tr>
        <w:tblPrEx>
          <w:tblW w:w="0" w:type="auto"/>
          <w:jc w:val="center"/>
          <w:tblLayout w:type="fixed"/>
          <w:tblCellMar>
            <w:top w:w="0" w:type="dxa"/>
            <w:left w:w="108" w:type="dxa"/>
            <w:bottom w:w="0" w:type="dxa"/>
            <w:right w:w="108" w:type="dxa"/>
          </w:tblCellMar>
        </w:tblPrEx>
        <w:trPr>
          <w:trHeight w:val="1021"/>
          <w:jc w:val="center"/>
        </w:trPr>
        <w:tc>
          <w:tcPr>
            <w:tcW w:w="741"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olor w:val="auto"/>
                <w:kern w:val="0"/>
                <w:sz w:val="24"/>
                <w:highlight w:val="none"/>
              </w:rPr>
            </w:pPr>
            <w:r>
              <w:rPr>
                <w:rFonts w:hint="default"/>
                <w:color w:val="auto"/>
                <w:kern w:val="0"/>
                <w:sz w:val="24"/>
                <w:highlight w:val="none"/>
              </w:rPr>
              <w:t>其他符合性分析</w:t>
            </w:r>
          </w:p>
        </w:tc>
        <w:tc>
          <w:tcPr>
            <w:tcW w:w="8129" w:type="dxa"/>
            <w:vAlign w:val="center"/>
          </w:tcPr>
          <w:p>
            <w:pPr>
              <w:pStyle w:val="NormalIndent"/>
              <w:keepNext w:val="0"/>
              <w:keepLines w:val="0"/>
              <w:numPr>
                <w:ilvl w:val="0"/>
                <w:numId w:val="3"/>
              </w:numPr>
              <w:suppressLineNumbers w:val="0"/>
              <w:spacing w:before="0" w:beforeAutospacing="0" w:after="0" w:afterAutospacing="0"/>
              <w:ind w:left="0" w:right="0" w:firstLine="482"/>
              <w:rPr>
                <w:rFonts w:hint="default"/>
                <w:b/>
                <w:bCs/>
                <w:color w:val="auto"/>
                <w:highlight w:val="none"/>
              </w:rPr>
            </w:pPr>
            <w:r>
              <w:rPr>
                <w:rFonts w:hint="eastAsia"/>
                <w:b/>
                <w:bCs/>
                <w:color w:val="auto"/>
                <w:highlight w:val="none"/>
              </w:rPr>
              <w:t>产业政策符合性分析</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本项目从事刹车片生产，对照中华人民共和国国家发展和改革委员会令第29号《产业结构调整指导目录（2019年本）》</w:t>
            </w:r>
          </w:p>
        </w:tc>
      </w:tr>
    </w:tbl>
    <w:p>
      <w:pPr>
        <w:sectPr>
          <w:footerReference w:type="default" r:id="rId8"/>
          <w:type w:val="nextPage"/>
          <w:pgSz w:w="11906" w:h="16838"/>
          <w:pgMar w:top="1417" w:right="1417" w:bottom="1417" w:left="1417" w:header="992" w:footer="992" w:gutter="0"/>
          <w:pgBorders>
            <w:top w:val="none" w:sz="0" w:space="0" w:color="auto"/>
            <w:left w:val="none" w:sz="0" w:space="0" w:color="auto"/>
            <w:bottom w:val="none" w:sz="0" w:space="0" w:color="auto"/>
            <w:right w:val="none" w:sz="0" w:space="0" w:color="auto"/>
          </w:pgBorders>
          <w:pgNumType w:start="4"/>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741"/>
        <w:gridCol w:w="812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021"/>
          <w:jc w:val="center"/>
        </w:trPr>
        <w:tc>
          <w:tcPr>
            <w:tcW w:w="741" w:type="dxa"/>
            <w:vAlign w:val="center"/>
          </w:tcPr>
          <w:p/>
        </w:tc>
        <w:tc>
          <w:tcPr>
            <w:tcW w:w="8129" w:type="dxa"/>
            <w:vAlign w:val="center"/>
          </w:tcPr>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lang w:eastAsia="zh-CN"/>
              </w:rPr>
              <w:t>、中华人民共和国国家发展和改革委员会中华人民共和国商务部令第4号《外商投资产业指导目录（2017年修订）》</w:t>
            </w:r>
            <w:r>
              <w:rPr>
                <w:rFonts w:hint="eastAsia"/>
                <w:color w:val="auto"/>
                <w:highlight w:val="none"/>
                <w:lang w:val="en-US" w:eastAsia="zh-CN"/>
              </w:rPr>
              <w:t>和</w:t>
            </w:r>
            <w:r>
              <w:rPr>
                <w:rFonts w:hint="eastAsia"/>
                <w:color w:val="auto"/>
                <w:highlight w:val="none"/>
                <w:lang w:eastAsia="zh-CN"/>
              </w:rPr>
              <w:t>中华人民共和国国家发展和改革委员会中华人民共和国商务部令第</w:t>
            </w:r>
            <w:r>
              <w:rPr>
                <w:rFonts w:hint="eastAsia"/>
                <w:color w:val="auto"/>
                <w:highlight w:val="none"/>
                <w:lang w:val="en-US" w:eastAsia="zh-CN"/>
              </w:rPr>
              <w:t>27</w:t>
            </w:r>
            <w:r>
              <w:rPr>
                <w:rFonts w:hint="eastAsia"/>
                <w:color w:val="auto"/>
                <w:highlight w:val="none"/>
                <w:lang w:eastAsia="zh-CN"/>
              </w:rPr>
              <w:t>号《鼓励外商投资产业目录（2019年版）》</w:t>
            </w:r>
            <w:r>
              <w:rPr>
                <w:rFonts w:hint="eastAsia"/>
                <w:color w:val="auto"/>
                <w:highlight w:val="none"/>
              </w:rPr>
              <w:t>，本项目不属于限制类和淘汰类项目，生产过程中未使用国家明令禁止的淘汰类和限制类的设备及工艺，</w:t>
            </w:r>
            <w:r>
              <w:rPr>
                <w:rFonts w:hint="default"/>
                <w:color w:val="auto"/>
                <w:szCs w:val="24"/>
                <w:highlight w:val="none"/>
              </w:rPr>
              <w:t>且项目于202</w:t>
            </w:r>
            <w:r>
              <w:rPr>
                <w:rFonts w:hint="eastAsia"/>
                <w:color w:val="auto"/>
                <w:szCs w:val="24"/>
                <w:highlight w:val="none"/>
              </w:rPr>
              <w:t>3</w:t>
            </w:r>
            <w:r>
              <w:rPr>
                <w:rFonts w:hint="default"/>
                <w:color w:val="auto"/>
                <w:szCs w:val="24"/>
                <w:highlight w:val="none"/>
              </w:rPr>
              <w:t>年</w:t>
            </w:r>
            <w:r>
              <w:rPr>
                <w:rFonts w:hint="eastAsia"/>
                <w:color w:val="auto"/>
                <w:szCs w:val="24"/>
                <w:highlight w:val="none"/>
              </w:rPr>
              <w:t>10</w:t>
            </w:r>
            <w:r>
              <w:rPr>
                <w:rFonts w:hint="default"/>
                <w:color w:val="auto"/>
                <w:szCs w:val="24"/>
                <w:highlight w:val="none"/>
              </w:rPr>
              <w:t>月</w:t>
            </w:r>
            <w:r>
              <w:rPr>
                <w:rFonts w:hint="eastAsia"/>
                <w:color w:val="auto"/>
                <w:szCs w:val="24"/>
                <w:highlight w:val="none"/>
              </w:rPr>
              <w:t>16</w:t>
            </w:r>
            <w:r>
              <w:rPr>
                <w:rFonts w:hint="default"/>
                <w:color w:val="auto"/>
                <w:szCs w:val="24"/>
                <w:highlight w:val="none"/>
              </w:rPr>
              <w:t>日通过了</w:t>
            </w:r>
            <w:r>
              <w:rPr>
                <w:rFonts w:hint="eastAsia"/>
                <w:color w:val="auto"/>
                <w:szCs w:val="24"/>
                <w:highlight w:val="none"/>
              </w:rPr>
              <w:t>福清市</w:t>
            </w:r>
            <w:r>
              <w:rPr>
                <w:rFonts w:hint="eastAsia"/>
                <w:color w:val="auto"/>
                <w:szCs w:val="24"/>
                <w:highlight w:val="none"/>
                <w:lang w:eastAsia="zh-CN"/>
              </w:rPr>
              <w:t>***</w:t>
            </w:r>
            <w:r>
              <w:rPr>
                <w:rFonts w:hint="eastAsia"/>
                <w:color w:val="auto"/>
                <w:szCs w:val="24"/>
                <w:highlight w:val="none"/>
              </w:rPr>
              <w:t>和信息化局</w:t>
            </w:r>
            <w:r>
              <w:rPr>
                <w:rFonts w:hint="default"/>
                <w:color w:val="auto"/>
                <w:szCs w:val="24"/>
                <w:highlight w:val="none"/>
              </w:rPr>
              <w:t>的备案</w:t>
            </w:r>
            <w:r>
              <w:rPr>
                <w:rFonts w:hint="eastAsia"/>
                <w:color w:val="auto"/>
                <w:szCs w:val="24"/>
                <w:highlight w:val="none"/>
              </w:rPr>
              <w:t>（闽发改外备〔2023〕A060019号</w:t>
            </w:r>
            <w:r>
              <w:rPr>
                <w:rFonts w:hint="default"/>
                <w:color w:val="auto"/>
                <w:szCs w:val="24"/>
                <w:highlight w:val="none"/>
              </w:rPr>
              <w:t>，详见附件</w:t>
            </w:r>
            <w:r>
              <w:rPr>
                <w:rFonts w:hint="eastAsia"/>
                <w:color w:val="auto"/>
                <w:szCs w:val="24"/>
                <w:highlight w:val="none"/>
                <w:lang w:val="en-US" w:eastAsia="zh-CN"/>
              </w:rPr>
              <w:t>2</w:t>
            </w:r>
            <w:r>
              <w:rPr>
                <w:rFonts w:hint="eastAsia"/>
                <w:color w:val="auto"/>
                <w:szCs w:val="24"/>
                <w:highlight w:val="none"/>
              </w:rPr>
              <w:t>）</w:t>
            </w:r>
            <w:r>
              <w:rPr>
                <w:rFonts w:hint="eastAsia"/>
                <w:color w:val="auto"/>
                <w:highlight w:val="none"/>
              </w:rPr>
              <w:t>因此，本项目的建设是符合国家的有关产业政策。</w:t>
            </w:r>
          </w:p>
          <w:p>
            <w:pPr>
              <w:pStyle w:val="NormalIndent"/>
              <w:keepNext w:val="0"/>
              <w:keepLines w:val="0"/>
              <w:numPr>
                <w:ilvl w:val="0"/>
                <w:numId w:val="6"/>
              </w:numPr>
              <w:suppressLineNumbers w:val="0"/>
              <w:spacing w:before="0" w:beforeAutospacing="0" w:after="0" w:afterAutospacing="0"/>
              <w:ind w:left="0" w:right="0" w:firstLine="482"/>
              <w:rPr>
                <w:rFonts w:hint="default"/>
                <w:b/>
                <w:bCs/>
                <w:color w:val="auto"/>
                <w:highlight w:val="none"/>
              </w:rPr>
            </w:pPr>
            <w:r>
              <w:rPr>
                <w:rFonts w:hint="eastAsia"/>
                <w:b/>
                <w:bCs/>
                <w:color w:val="auto"/>
                <w:highlight w:val="none"/>
              </w:rPr>
              <w:t>与土地利用规划符合性分析</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sz w:val="24"/>
                <w:highlight w:val="none"/>
              </w:rPr>
            </w:pPr>
            <w:r>
              <w:rPr>
                <w:rFonts w:hint="eastAsia"/>
                <w:color w:val="auto"/>
                <w:sz w:val="24"/>
                <w:highlight w:val="none"/>
              </w:rPr>
              <w:t>本项目位于福建省福州市福清市阳下街道</w:t>
            </w:r>
            <w:r>
              <w:rPr>
                <w:rFonts w:hint="eastAsia"/>
                <w:color w:val="auto"/>
                <w:sz w:val="24"/>
                <w:highlight w:val="none"/>
                <w:lang w:eastAsia="zh-CN"/>
              </w:rPr>
              <w:t>******</w:t>
            </w:r>
            <w:r>
              <w:rPr>
                <w:rFonts w:hint="eastAsia"/>
                <w:color w:val="auto"/>
                <w:sz w:val="24"/>
                <w:highlight w:val="none"/>
              </w:rPr>
              <w:t>村（租赁</w:t>
            </w:r>
            <w:r>
              <w:rPr>
                <w:rFonts w:hint="eastAsia"/>
                <w:color w:val="auto"/>
                <w:sz w:val="24"/>
                <w:highlight w:val="none"/>
                <w:lang w:eastAsia="zh-CN"/>
              </w:rPr>
              <w:t>********</w:t>
            </w:r>
            <w:r>
              <w:rPr>
                <w:rFonts w:hint="eastAsia"/>
                <w:color w:val="auto"/>
                <w:sz w:val="24"/>
                <w:highlight w:val="none"/>
              </w:rPr>
              <w:t>印刷制品有限公司1#厂房），根据本项目建设用地的不动产权证（闽〔2017〕福清不动产权0001709号）</w:t>
            </w:r>
            <w:r>
              <w:rPr>
                <w:rFonts w:hint="eastAsia"/>
                <w:color w:val="auto"/>
                <w:highlight w:val="none"/>
              </w:rPr>
              <w:t>，</w:t>
            </w:r>
            <w:r>
              <w:rPr>
                <w:rFonts w:hint="eastAsia"/>
                <w:color w:val="auto"/>
                <w:sz w:val="24"/>
                <w:highlight w:val="none"/>
              </w:rPr>
              <w:t>建设项目所在用地为</w:t>
            </w:r>
            <w:r>
              <w:rPr>
                <w:rFonts w:hint="eastAsia"/>
                <w:color w:val="auto"/>
                <w:sz w:val="24"/>
                <w:highlight w:val="none"/>
                <w:lang w:eastAsia="zh-CN"/>
              </w:rPr>
              <w:t>***</w:t>
            </w:r>
            <w:r>
              <w:rPr>
                <w:rFonts w:hint="eastAsia"/>
                <w:color w:val="auto"/>
                <w:sz w:val="24"/>
                <w:highlight w:val="none"/>
              </w:rPr>
              <w:t>用地。项目主要刹车片生产。因此，项目建设用地符合当地土地利用规划</w:t>
            </w:r>
            <w:r>
              <w:rPr>
                <w:rFonts w:hint="default"/>
                <w:color w:val="auto"/>
                <w:sz w:val="24"/>
                <w:highlight w:val="none"/>
              </w:rPr>
              <w:t>。</w:t>
            </w:r>
          </w:p>
          <w:p>
            <w:pPr>
              <w:pStyle w:val="NormalIndent"/>
              <w:keepNext w:val="0"/>
              <w:keepLines w:val="0"/>
              <w:numPr>
                <w:ilvl w:val="0"/>
                <w:numId w:val="6"/>
              </w:numPr>
              <w:suppressLineNumbers w:val="0"/>
              <w:spacing w:before="0" w:beforeAutospacing="0" w:after="0" w:afterAutospacing="0"/>
              <w:ind w:left="0" w:right="0" w:firstLine="482"/>
              <w:rPr>
                <w:rFonts w:hint="default"/>
                <w:b/>
                <w:bCs/>
                <w:color w:val="auto"/>
                <w:highlight w:val="none"/>
              </w:rPr>
            </w:pPr>
            <w:r>
              <w:rPr>
                <w:rFonts w:hint="eastAsia"/>
                <w:b/>
                <w:bCs/>
                <w:color w:val="auto"/>
                <w:highlight w:val="none"/>
              </w:rPr>
              <w:t>环境功能区划符合性分析</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项目运营期环境空气污染排放源强较低，对周围环境空气不会产生显著影响，符合《环境空气质量标准》(GB3095-2012)及其修改单中二级标准；</w:t>
            </w:r>
            <w:r>
              <w:rPr>
                <w:rFonts w:hint="eastAsia"/>
                <w:color w:val="auto"/>
                <w:sz w:val="24"/>
                <w:highlight w:val="none"/>
              </w:rPr>
              <w:t>项目生产废水经“调节池+水解酸化池+接触氧化池+竖流沉淀池”处理达标后与经化粪池处理达标的</w:t>
            </w:r>
            <w:r>
              <w:rPr>
                <w:rFonts w:hint="default"/>
                <w:color w:val="auto"/>
                <w:sz w:val="24"/>
                <w:highlight w:val="none"/>
              </w:rPr>
              <w:t>职工生活污水排入市政污水管网，送往</w:t>
            </w:r>
            <w:r>
              <w:rPr>
                <w:rFonts w:hint="eastAsia"/>
                <w:color w:val="auto"/>
                <w:sz w:val="24"/>
                <w:highlight w:val="none"/>
              </w:rPr>
              <w:t>福清融元污水处理厂</w:t>
            </w:r>
            <w:r>
              <w:rPr>
                <w:rFonts w:hint="default"/>
                <w:color w:val="auto"/>
                <w:sz w:val="24"/>
                <w:highlight w:val="none"/>
              </w:rPr>
              <w:t>集中处理，不直接排入周边地表水体，几乎不会改变纳污水域的环境质量现状；项目在采取一定的噪声污染防治措施后，项目产生的噪声不会对周围环境产生显著影响，项目所在区域的环境噪声符合《声环境质量标准》</w:t>
            </w:r>
            <w:r>
              <w:rPr>
                <w:rFonts w:hint="eastAsia"/>
                <w:color w:val="auto"/>
                <w:sz w:val="24"/>
                <w:highlight w:val="none"/>
              </w:rPr>
              <w:t>（</w:t>
            </w:r>
            <w:r>
              <w:rPr>
                <w:rFonts w:hint="default"/>
                <w:color w:val="auto"/>
                <w:sz w:val="24"/>
                <w:highlight w:val="none"/>
              </w:rPr>
              <w:t>GB3096-2008</w:t>
            </w:r>
            <w:r>
              <w:rPr>
                <w:rFonts w:hint="eastAsia"/>
                <w:color w:val="auto"/>
                <w:sz w:val="24"/>
                <w:highlight w:val="none"/>
              </w:rPr>
              <w:t>）</w:t>
            </w:r>
            <w:r>
              <w:rPr>
                <w:rFonts w:hint="default"/>
                <w:color w:val="auto"/>
                <w:sz w:val="24"/>
                <w:highlight w:val="none"/>
              </w:rPr>
              <w:t>的3类区标准，因此，项目建设符合环境功能规划。</w:t>
            </w:r>
          </w:p>
          <w:p>
            <w:pPr>
              <w:pStyle w:val="NormalIndent"/>
              <w:keepNext w:val="0"/>
              <w:keepLines w:val="0"/>
              <w:numPr>
                <w:ilvl w:val="0"/>
                <w:numId w:val="6"/>
              </w:numPr>
              <w:suppressLineNumbers w:val="0"/>
              <w:spacing w:before="0" w:beforeAutospacing="0" w:after="0" w:afterAutospacing="0"/>
              <w:ind w:left="0" w:right="0" w:firstLine="482"/>
              <w:rPr>
                <w:rFonts w:hint="default"/>
                <w:b/>
                <w:bCs/>
                <w:color w:val="auto"/>
                <w:highlight w:val="none"/>
              </w:rPr>
            </w:pPr>
            <w:r>
              <w:rPr>
                <w:rFonts w:hint="eastAsia"/>
                <w:b/>
                <w:bCs/>
                <w:color w:val="auto"/>
                <w:highlight w:val="none"/>
              </w:rPr>
              <w:t>与周边相容性分析</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sz w:val="24"/>
                <w:highlight w:val="none"/>
              </w:rPr>
            </w:pPr>
            <w:r>
              <w:rPr>
                <w:rFonts w:hint="eastAsia"/>
                <w:color w:val="auto"/>
                <w:sz w:val="24"/>
                <w:highlight w:val="none"/>
              </w:rPr>
              <w:t>项目位于福清市融侨经济技术开发区，根据现场勘查，项目厂界东北侧为省道S209马尾新城至漳州新区；项目厂界西南侧为福建兴丰华生物科技有限公司；厂界东南侧为福建润通五金有限公司厂区内；厂界东北侧为</w:t>
            </w:r>
            <w:r>
              <w:rPr>
                <w:rFonts w:hint="eastAsia"/>
                <w:color w:val="auto"/>
                <w:sz w:val="24"/>
                <w:highlight w:val="none"/>
                <w:lang w:eastAsia="zh-CN"/>
              </w:rPr>
              <w:t>********</w:t>
            </w:r>
            <w:r>
              <w:rPr>
                <w:rFonts w:hint="eastAsia"/>
                <w:color w:val="auto"/>
                <w:sz w:val="24"/>
                <w:highlight w:val="none"/>
              </w:rPr>
              <w:t>印刷制品有限公司其他现有厂房。项目周边环境敏感目标分布图详见附图</w:t>
            </w:r>
            <w:r>
              <w:rPr>
                <w:rFonts w:hint="default"/>
                <w:color w:val="auto"/>
                <w:sz w:val="24"/>
                <w:highlight w:val="none"/>
              </w:rPr>
              <w:t>5</w:t>
            </w:r>
            <w:r>
              <w:rPr>
                <w:rFonts w:hint="eastAsia"/>
                <w:color w:val="auto"/>
                <w:sz w:val="24"/>
                <w:highlight w:val="none"/>
              </w:rPr>
              <w:t>；建设单位在确实落实本评价提出的各项污染治理措施的前提下，可实现污染物达标排放，且各污染物排放源强较低，运营期产生的“三废”及噪声对周边环境影响不明显，因此，项目建设与周边环境基本相容。</w:t>
            </w:r>
          </w:p>
        </w:tc>
      </w:tr>
    </w:tbl>
    <w:p>
      <w:pPr>
        <w:sectPr>
          <w:footerReference w:type="default" r:id="rId9"/>
          <w:type w:val="nextPage"/>
          <w:pgSz w:w="11906" w:h="16838"/>
          <w:pgMar w:top="1417" w:right="1417" w:bottom="1417" w:left="1417" w:header="992" w:footer="992" w:gutter="0"/>
          <w:pgBorders>
            <w:top w:val="none" w:sz="0" w:space="0" w:color="auto"/>
            <w:left w:val="none" w:sz="0" w:space="0" w:color="auto"/>
            <w:bottom w:val="none" w:sz="0" w:space="0" w:color="auto"/>
            <w:right w:val="none" w:sz="0" w:space="0" w:color="auto"/>
          </w:pgBorders>
          <w:pgNumType w:start="5"/>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741"/>
        <w:gridCol w:w="812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021"/>
          <w:jc w:val="center"/>
        </w:trPr>
        <w:tc>
          <w:tcPr>
            <w:tcW w:w="741" w:type="dxa"/>
            <w:vAlign w:val="center"/>
          </w:tcPr>
          <w:p/>
        </w:tc>
        <w:tc>
          <w:tcPr>
            <w:tcW w:w="8129" w:type="dxa"/>
            <w:vAlign w:val="center"/>
          </w:tcPr>
          <w:p>
            <w:pPr>
              <w:pStyle w:val="NormalIndent"/>
              <w:keepNext w:val="0"/>
              <w:keepLines w:val="0"/>
              <w:suppressLineNumbers w:val="0"/>
              <w:spacing w:before="0" w:beforeAutospacing="0" w:after="0" w:afterAutospacing="0"/>
              <w:ind w:left="0" w:right="0" w:firstLine="480"/>
              <w:rPr>
                <w:rFonts w:hint="default"/>
                <w:color w:val="auto"/>
                <w:szCs w:val="24"/>
                <w:highlight w:val="none"/>
              </w:rPr>
            </w:pPr>
            <w:r>
              <w:rPr>
                <w:rFonts w:hint="eastAsia"/>
                <w:color w:val="auto"/>
                <w:szCs w:val="24"/>
                <w:highlight w:val="none"/>
              </w:rPr>
              <w:t>本评价要求建设单位合理设计厂区平面布置，完善废水、废气、噪声及固废治理的环保措施，保证项目产生的废水、废气、噪声及固废都能实现达标排放，最大程度降低项目对周围居民点的影响</w:t>
            </w:r>
            <w:r>
              <w:rPr>
                <w:rFonts w:hint="default"/>
                <w:color w:val="auto"/>
                <w:szCs w:val="24"/>
                <w:highlight w:val="none"/>
              </w:rPr>
              <w:t>。</w:t>
            </w:r>
          </w:p>
          <w:p>
            <w:pPr>
              <w:pStyle w:val="NormalIndent"/>
              <w:keepNext w:val="0"/>
              <w:keepLines w:val="0"/>
              <w:numPr>
                <w:ilvl w:val="0"/>
                <w:numId w:val="7"/>
              </w:numPr>
              <w:suppressLineNumbers w:val="0"/>
              <w:spacing w:before="0" w:beforeAutospacing="0" w:after="0" w:afterAutospacing="0"/>
              <w:ind w:left="0" w:right="0" w:firstLine="482"/>
              <w:rPr>
                <w:rFonts w:hint="default"/>
                <w:b/>
                <w:bCs/>
                <w:color w:val="auto"/>
                <w:highlight w:val="none"/>
              </w:rPr>
            </w:pPr>
            <w:r>
              <w:rPr>
                <w:rFonts w:hint="eastAsia"/>
                <w:b/>
                <w:bCs/>
                <w:color w:val="auto"/>
                <w:highlight w:val="none"/>
              </w:rPr>
              <w:t>所在地“三线一单”分析</w:t>
            </w:r>
          </w:p>
          <w:p>
            <w:pPr>
              <w:pStyle w:val="NormalIndent"/>
              <w:keepNext w:val="0"/>
              <w:keepLines w:val="0"/>
              <w:suppressLineNumbers w:val="0"/>
              <w:spacing w:before="0" w:beforeAutospacing="0" w:after="0" w:afterAutospacing="0"/>
              <w:ind w:left="0" w:right="0" w:firstLine="482"/>
              <w:rPr>
                <w:rFonts w:hint="default"/>
                <w:b/>
                <w:bCs/>
                <w:color w:val="auto"/>
                <w:highlight w:val="none"/>
              </w:rPr>
            </w:pPr>
            <w:r>
              <w:rPr>
                <w:rFonts w:ascii="宋体" w:hAnsi="宋体" w:cs="宋体" w:hint="eastAsia"/>
                <w:b/>
                <w:bCs/>
                <w:color w:val="auto"/>
                <w:highlight w:val="none"/>
              </w:rPr>
              <w:t>①</w:t>
            </w:r>
            <w:r>
              <w:rPr>
                <w:rFonts w:hint="default"/>
                <w:b/>
                <w:bCs/>
                <w:color w:val="auto"/>
                <w:highlight w:val="none"/>
              </w:rPr>
              <w:t>生态保护红线符合性分析</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本项目位于福清市融侨经济技术开发区</w:t>
            </w:r>
            <w:r>
              <w:rPr>
                <w:rFonts w:hint="eastAsia"/>
                <w:color w:val="auto"/>
                <w:highlight w:val="none"/>
              </w:rPr>
              <w:t>内</w:t>
            </w:r>
            <w:r>
              <w:rPr>
                <w:rFonts w:hint="default"/>
                <w:color w:val="auto"/>
                <w:highlight w:val="none"/>
              </w:rPr>
              <w:t>，对照</w:t>
            </w:r>
            <w:r>
              <w:rPr>
                <w:rFonts w:hint="default"/>
                <w:color w:val="auto"/>
                <w:highlight w:val="none"/>
                <w:lang w:val="en-GB"/>
              </w:rPr>
              <w:t>《福清市生态功能区划》</w:t>
            </w:r>
            <w:r>
              <w:rPr>
                <w:rFonts w:hint="eastAsia"/>
                <w:color w:val="auto"/>
                <w:highlight w:val="none"/>
              </w:rPr>
              <w:t>（</w:t>
            </w:r>
            <w:r>
              <w:rPr>
                <w:rFonts w:hint="default"/>
                <w:color w:val="auto"/>
                <w:highlight w:val="none"/>
                <w:lang w:val="en-GB"/>
              </w:rPr>
              <w:t>2003年</w:t>
            </w:r>
            <w:r>
              <w:rPr>
                <w:rFonts w:hint="eastAsia"/>
                <w:color w:val="auto"/>
                <w:highlight w:val="none"/>
              </w:rPr>
              <w:t>）</w:t>
            </w:r>
            <w:r>
              <w:rPr>
                <w:rFonts w:hint="default"/>
                <w:color w:val="auto"/>
                <w:highlight w:val="none"/>
              </w:rPr>
              <w:t>，项目用地未涉及饮用水源保护区、风景名胜区、自然保护区等生态保护区内</w:t>
            </w:r>
            <w:r>
              <w:rPr>
                <w:rFonts w:hint="eastAsia"/>
                <w:color w:val="auto"/>
                <w:highlight w:val="none"/>
              </w:rPr>
              <w:t>。与福州市生态保护红线比对，本项目用地范围不涉及不占用生态保护红线。因此，项目建设符合生态红线控制的要求。</w:t>
            </w:r>
          </w:p>
          <w:p>
            <w:pPr>
              <w:pStyle w:val="NormalIndent"/>
              <w:keepNext w:val="0"/>
              <w:keepLines w:val="0"/>
              <w:suppressLineNumbers w:val="0"/>
              <w:spacing w:before="0" w:beforeAutospacing="0" w:after="0" w:afterAutospacing="0"/>
              <w:ind w:left="0" w:right="0" w:firstLine="482"/>
              <w:rPr>
                <w:rFonts w:hint="default"/>
                <w:b/>
                <w:bCs/>
                <w:color w:val="auto"/>
                <w:highlight w:val="none"/>
              </w:rPr>
            </w:pPr>
            <w:r>
              <w:rPr>
                <w:rFonts w:ascii="宋体" w:hAnsi="宋体" w:cs="宋体" w:hint="eastAsia"/>
                <w:b/>
                <w:bCs/>
                <w:color w:val="auto"/>
                <w:highlight w:val="none"/>
              </w:rPr>
              <w:t>②</w:t>
            </w:r>
            <w:r>
              <w:rPr>
                <w:rFonts w:hint="default"/>
                <w:b/>
                <w:bCs/>
                <w:color w:val="auto"/>
                <w:highlight w:val="none"/>
              </w:rPr>
              <w:t>环境质量底线符合性分析</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项目所在区域的环境质量底线为：大气环境质量目标为《环境空气质量标准》</w:t>
            </w:r>
            <w:r>
              <w:rPr>
                <w:rFonts w:hint="eastAsia"/>
                <w:color w:val="auto"/>
                <w:highlight w:val="none"/>
              </w:rPr>
              <w:t>（</w:t>
            </w:r>
            <w:r>
              <w:rPr>
                <w:rFonts w:hint="default"/>
                <w:color w:val="auto"/>
                <w:highlight w:val="none"/>
              </w:rPr>
              <w:t>GB3095-2012</w:t>
            </w:r>
            <w:r>
              <w:rPr>
                <w:rFonts w:hint="eastAsia"/>
                <w:color w:val="auto"/>
                <w:highlight w:val="none"/>
              </w:rPr>
              <w:t>）</w:t>
            </w:r>
            <w:r>
              <w:rPr>
                <w:rFonts w:hint="default"/>
                <w:color w:val="auto"/>
                <w:highlight w:val="none"/>
              </w:rPr>
              <w:t>及其修改单中二级标准；地表水环境目标为《地表水环境质量标准》</w:t>
            </w:r>
            <w:r>
              <w:rPr>
                <w:rFonts w:hint="eastAsia"/>
                <w:color w:val="auto"/>
                <w:highlight w:val="none"/>
              </w:rPr>
              <w:t>（</w:t>
            </w:r>
            <w:r>
              <w:rPr>
                <w:rFonts w:hint="default"/>
                <w:color w:val="auto"/>
                <w:highlight w:val="none"/>
              </w:rPr>
              <w:t>GB3838-2002</w:t>
            </w:r>
            <w:r>
              <w:rPr>
                <w:rFonts w:hint="eastAsia"/>
                <w:color w:val="auto"/>
                <w:highlight w:val="none"/>
              </w:rPr>
              <w:t>）IV</w:t>
            </w:r>
            <w:r>
              <w:rPr>
                <w:rFonts w:hint="default"/>
                <w:color w:val="auto"/>
                <w:highlight w:val="none"/>
              </w:rPr>
              <w:t>类标准；声环境质量目标为《声环境质量标准》</w:t>
            </w:r>
            <w:r>
              <w:rPr>
                <w:rFonts w:hint="eastAsia"/>
                <w:color w:val="auto"/>
                <w:highlight w:val="none"/>
              </w:rPr>
              <w:t>（</w:t>
            </w:r>
            <w:r>
              <w:rPr>
                <w:rFonts w:hint="default"/>
                <w:color w:val="auto"/>
                <w:highlight w:val="none"/>
              </w:rPr>
              <w:t>GB3096-2008</w:t>
            </w:r>
            <w:r>
              <w:rPr>
                <w:rFonts w:hint="eastAsia"/>
                <w:color w:val="auto"/>
                <w:highlight w:val="none"/>
              </w:rPr>
              <w:t>）</w:t>
            </w:r>
            <w:r>
              <w:rPr>
                <w:rFonts w:hint="default"/>
                <w:color w:val="auto"/>
                <w:highlight w:val="none"/>
              </w:rPr>
              <w:t>3类区标准。根据项目所在地环境质量现状调查和污染排放影响预测可知，本项目运营后对区域内环境影响较小，环境质量可以保持现有水平，不会对区域环境质量底线造成冲击</w:t>
            </w:r>
            <w:r>
              <w:rPr>
                <w:rFonts w:hint="eastAsia"/>
                <w:color w:val="auto"/>
                <w:highlight w:val="none"/>
              </w:rPr>
              <w:t>。</w:t>
            </w:r>
          </w:p>
          <w:p>
            <w:pPr>
              <w:pStyle w:val="NormalIndent"/>
              <w:keepNext w:val="0"/>
              <w:keepLines w:val="0"/>
              <w:suppressLineNumbers w:val="0"/>
              <w:spacing w:before="0" w:beforeAutospacing="0" w:after="0" w:afterAutospacing="0"/>
              <w:ind w:left="0" w:right="0" w:firstLine="482"/>
              <w:rPr>
                <w:rFonts w:hint="default"/>
                <w:b/>
                <w:bCs/>
                <w:color w:val="auto"/>
                <w:highlight w:val="none"/>
              </w:rPr>
            </w:pPr>
            <w:r>
              <w:rPr>
                <w:rFonts w:ascii="宋体" w:hAnsi="宋体" w:cs="宋体" w:hint="eastAsia"/>
                <w:b/>
                <w:bCs/>
                <w:color w:val="auto"/>
                <w:highlight w:val="none"/>
              </w:rPr>
              <w:t>③</w:t>
            </w:r>
            <w:r>
              <w:rPr>
                <w:rFonts w:hint="default"/>
                <w:b/>
                <w:bCs/>
                <w:color w:val="auto"/>
                <w:highlight w:val="none"/>
              </w:rPr>
              <w:t>资源利用上线符合性分析</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项目用水、用电为区域集中供应，项目运行过程通过内部管理、设备选择、原辅材料的选用和管理、废物回收利用、污染治理等多方面采取合理可行的防治措施，以“节能、降耗、减污”为目标，有效的控制污染。项目的水、电等资源利用不会突破区域的资源利用上线。</w:t>
            </w:r>
          </w:p>
          <w:p>
            <w:pPr>
              <w:pStyle w:val="NormalIndent"/>
              <w:keepNext w:val="0"/>
              <w:keepLines w:val="0"/>
              <w:suppressLineNumbers w:val="0"/>
              <w:spacing w:before="0" w:beforeAutospacing="0" w:after="0" w:afterAutospacing="0"/>
              <w:ind w:left="0" w:right="0" w:firstLine="482"/>
              <w:rPr>
                <w:rFonts w:hint="default"/>
                <w:b/>
                <w:bCs/>
                <w:color w:val="auto"/>
                <w:highlight w:val="none"/>
              </w:rPr>
            </w:pPr>
            <w:r>
              <w:rPr>
                <w:rFonts w:ascii="宋体" w:hAnsi="宋体" w:cs="宋体" w:hint="eastAsia"/>
                <w:b/>
                <w:bCs/>
                <w:color w:val="auto"/>
                <w:highlight w:val="none"/>
              </w:rPr>
              <w:t>④</w:t>
            </w:r>
            <w:r>
              <w:rPr>
                <w:rFonts w:hint="eastAsia"/>
                <w:b/>
                <w:bCs/>
                <w:color w:val="auto"/>
                <w:highlight w:val="none"/>
              </w:rPr>
              <w:t>生态环境准入清单符合性分析</w:t>
            </w:r>
          </w:p>
          <w:p>
            <w:pPr>
              <w:pStyle w:val="NormalWeb"/>
              <w:keepNext w:val="0"/>
              <w:keepLines w:val="0"/>
              <w:widowControl w:val="0"/>
              <w:suppressLineNumbers w:val="0"/>
              <w:spacing w:before="0" w:beforeAutospacing="0" w:after="0" w:afterAutospacing="0" w:line="360" w:lineRule="auto"/>
              <w:ind w:left="0" w:right="0" w:firstLine="480" w:firstLineChars="200"/>
              <w:jc w:val="both"/>
              <w:rPr>
                <w:rFonts w:hint="default"/>
                <w:color w:val="auto"/>
                <w:highlight w:val="none"/>
              </w:rPr>
            </w:pPr>
            <w:r>
              <w:rPr>
                <w:rFonts w:ascii="Times New Roman" w:hAnsi="Times New Roman" w:cs="宋体" w:hint="eastAsia"/>
                <w:color w:val="auto"/>
                <w:kern w:val="2"/>
                <w:highlight w:val="none"/>
                <w:lang w:bidi="ar"/>
              </w:rPr>
              <w:t>本项目符合国家和地方产业政策要求，同时项目将采取严格的污染治理措施，污染物排放水平可达到同行业先进水平，采取有效的三废治理措施，具备污染集中控制的条件，符合当地产业定位和环保规划要求。</w:t>
            </w: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eastAsia="宋体" w:hint="eastAsia"/>
                <w:color w:val="auto"/>
                <w:highlight w:val="none"/>
                <w:lang w:eastAsia="zh-CN"/>
              </w:rPr>
            </w:pPr>
          </w:p>
        </w:tc>
      </w:tr>
    </w:tbl>
    <w:p>
      <w:pPr>
        <w:rPr>
          <w:color w:val="auto"/>
          <w:highlight w:val="none"/>
        </w:rPr>
        <w:sectPr>
          <w:footerReference w:type="default" r:id="rId10"/>
          <w:type w:val="nextPage"/>
          <w:pgSz w:w="11906" w:h="16838"/>
          <w:pgMar w:top="1417" w:right="1417" w:bottom="1417" w:left="1417" w:header="992" w:footer="992" w:gutter="0"/>
          <w:pgBorders>
            <w:top w:val="none" w:sz="0" w:space="0" w:color="auto"/>
            <w:left w:val="none" w:sz="0" w:space="0" w:color="auto"/>
            <w:bottom w:val="none" w:sz="0" w:space="0" w:color="auto"/>
            <w:right w:val="none" w:sz="0" w:space="0" w:color="auto"/>
          </w:pgBorders>
          <w:pgNumType w:start="6"/>
          <w:cols w:num="1" w:space="720"/>
          <w:titlePg w:val="0"/>
          <w:docGrid w:linePitch="312" w:charSpace="0"/>
        </w:sectPr>
      </w:pPr>
    </w:p>
    <w:tbl>
      <w:tblPr>
        <w:tblStyle w:val="TableNormal"/>
        <w:tblW w:w="499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756"/>
        <w:gridCol w:w="13453"/>
      </w:tblGrid>
      <w:tr>
        <w:tblPrEx>
          <w:tblW w:w="499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8836"/>
          <w:jc w:val="center"/>
        </w:trPr>
        <w:tc>
          <w:tcPr>
            <w:tcW w:w="266"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olor w:val="auto"/>
                <w:kern w:val="0"/>
                <w:sz w:val="24"/>
                <w:highlight w:val="none"/>
              </w:rPr>
            </w:pPr>
            <w:r>
              <w:rPr>
                <w:rFonts w:hint="default"/>
                <w:color w:val="auto"/>
                <w:kern w:val="0"/>
                <w:sz w:val="24"/>
                <w:highlight w:val="none"/>
              </w:rPr>
              <w:t>其他符合性分析</w:t>
            </w:r>
          </w:p>
        </w:tc>
        <w:tc>
          <w:tcPr>
            <w:tcW w:w="4733" w:type="pct"/>
            <w:vAlign w:val="center"/>
          </w:tcPr>
          <w:p>
            <w:pPr>
              <w:pStyle w:val="NormalIndent"/>
              <w:keepNext w:val="0"/>
              <w:keepLines w:val="0"/>
              <w:numPr>
                <w:ilvl w:val="0"/>
                <w:numId w:val="3"/>
              </w:numPr>
              <w:suppressLineNumbers w:val="0"/>
              <w:spacing w:before="0" w:beforeAutospacing="0" w:after="0" w:afterAutospacing="0"/>
              <w:ind w:left="0" w:right="0" w:firstLine="482"/>
              <w:rPr>
                <w:rFonts w:hint="default"/>
                <w:b/>
                <w:bCs/>
                <w:color w:val="auto"/>
                <w:highlight w:val="none"/>
              </w:rPr>
            </w:pPr>
            <w:r>
              <w:rPr>
                <w:rFonts w:hint="eastAsia"/>
                <w:b/>
                <w:bCs/>
                <w:color w:val="auto"/>
                <w:highlight w:val="none"/>
              </w:rPr>
              <w:t>与《福建省人民政府关于实施“三线一单”生态环境分区管控的通知》符合性分析</w:t>
            </w:r>
          </w:p>
          <w:p>
            <w:pPr>
              <w:keepNext w:val="0"/>
              <w:keepLines w:val="0"/>
              <w:suppressLineNumbers w:val="0"/>
              <w:spacing w:before="0" w:beforeAutospacing="0" w:after="0" w:afterAutospacing="0" w:line="360" w:lineRule="auto"/>
              <w:ind w:left="0" w:right="0" w:firstLine="480" w:firstLineChars="200"/>
              <w:rPr>
                <w:rFonts w:cs="宋体" w:hint="default"/>
                <w:color w:val="auto"/>
                <w:sz w:val="24"/>
                <w:highlight w:val="none"/>
                <w:lang w:bidi="ar"/>
              </w:rPr>
            </w:pPr>
            <w:r>
              <w:rPr>
                <w:rFonts w:cs="宋体" w:hint="eastAsia"/>
                <w:color w:val="auto"/>
                <w:sz w:val="24"/>
                <w:highlight w:val="none"/>
                <w:lang w:bidi="ar"/>
              </w:rPr>
              <w:t>根据《福建省人民政府关于实施“三线一单”生态环境分区管控的通知》(闽政〔2020〕12号)相关要求分析，项目所在位置属于福建省陆域区域。因此，项目对照全省生态环境总体准入要求中“全省陆域”部分，具体见表1.1-3。</w:t>
            </w:r>
          </w:p>
          <w:p>
            <w:pPr>
              <w:keepNext w:val="0"/>
              <w:keepLines w:val="0"/>
              <w:widowControl/>
              <w:suppressLineNumbers w:val="0"/>
              <w:spacing w:before="0" w:beforeAutospacing="0" w:after="0" w:afterAutospacing="0"/>
              <w:ind w:left="0" w:right="0"/>
              <w:jc w:val="center"/>
              <w:rPr>
                <w:rFonts w:hint="default"/>
                <w:b/>
                <w:color w:val="auto"/>
                <w:kern w:val="0"/>
                <w:sz w:val="24"/>
                <w:highlight w:val="none"/>
              </w:rPr>
            </w:pPr>
            <w:r>
              <w:rPr>
                <w:rFonts w:hint="eastAsia"/>
                <w:b/>
                <w:color w:val="auto"/>
                <w:kern w:val="0"/>
                <w:sz w:val="24"/>
                <w:highlight w:val="none"/>
              </w:rPr>
              <w:t>表</w:t>
            </w:r>
            <w:r>
              <w:rPr>
                <w:rFonts w:hint="default"/>
                <w:b/>
                <w:color w:val="auto"/>
                <w:kern w:val="0"/>
                <w:sz w:val="24"/>
                <w:highlight w:val="none"/>
              </w:rPr>
              <w:t>1.1-</w:t>
            </w:r>
            <w:r>
              <w:rPr>
                <w:rFonts w:hint="eastAsia"/>
                <w:b/>
                <w:color w:val="auto"/>
                <w:kern w:val="0"/>
                <w:sz w:val="24"/>
                <w:highlight w:val="none"/>
              </w:rPr>
              <w:t>3</w:t>
            </w:r>
            <w:r>
              <w:rPr>
                <w:rFonts w:hint="default"/>
                <w:b/>
                <w:color w:val="auto"/>
                <w:kern w:val="0"/>
                <w:sz w:val="24"/>
                <w:highlight w:val="none"/>
              </w:rPr>
              <w:t xml:space="preserve"> </w:t>
            </w:r>
            <w:r>
              <w:rPr>
                <w:rFonts w:hint="eastAsia"/>
                <w:b/>
                <w:color w:val="auto"/>
                <w:kern w:val="0"/>
                <w:sz w:val="24"/>
                <w:highlight w:val="none"/>
              </w:rPr>
              <w:t>福建省生态环境准入要求一览表</w:t>
            </w:r>
          </w:p>
          <w:tbl>
            <w:tblPr>
              <w:tblStyle w:val="TableNormal"/>
              <w:tblW w:w="4950" w:type="pct"/>
              <w:jc w:val="center"/>
              <w:tblBorders>
                <w:top w:val="single" w:sz="18" w:space="0" w:color="auto"/>
                <w:left w:val="none" w:sz="6" w:space="0" w:color="auto"/>
                <w:bottom w:val="single" w:sz="18" w:space="0" w:color="auto"/>
                <w:right w:val="none" w:sz="6" w:space="0" w:color="auto"/>
                <w:insideH w:val="single" w:sz="4" w:space="0" w:color="auto"/>
                <w:insideV w:val="single" w:sz="4" w:space="0" w:color="auto"/>
              </w:tblBorders>
              <w:tblLayout w:type="fixed"/>
              <w:tblCellMar>
                <w:top w:w="0" w:type="dxa"/>
                <w:left w:w="57" w:type="dxa"/>
                <w:bottom w:w="0" w:type="dxa"/>
                <w:right w:w="57" w:type="dxa"/>
              </w:tblCellMar>
            </w:tblPr>
            <w:tblGrid>
              <w:gridCol w:w="1039"/>
              <w:gridCol w:w="515"/>
              <w:gridCol w:w="6225"/>
              <w:gridCol w:w="4555"/>
              <w:gridCol w:w="771"/>
            </w:tblGrid>
            <w:tr>
              <w:tblPrEx>
                <w:tblW w:w="4950" w:type="pct"/>
                <w:jc w:val="center"/>
                <w:tblBorders>
                  <w:top w:val="single" w:sz="18" w:space="0" w:color="auto"/>
                  <w:left w:val="none" w:sz="6" w:space="0" w:color="auto"/>
                  <w:bottom w:val="single" w:sz="18" w:space="0" w:color="auto"/>
                  <w:right w:val="none" w:sz="6" w:space="0" w:color="auto"/>
                  <w:insideH w:val="single" w:sz="4" w:space="0" w:color="auto"/>
                  <w:insideV w:val="single" w:sz="4" w:space="0" w:color="auto"/>
                </w:tblBorders>
                <w:tblLayout w:type="fixed"/>
                <w:tblCellMar>
                  <w:top w:w="0" w:type="dxa"/>
                  <w:left w:w="57" w:type="dxa"/>
                  <w:bottom w:w="0" w:type="dxa"/>
                  <w:right w:w="57" w:type="dxa"/>
                </w:tblCellMar>
              </w:tblPrEx>
              <w:trPr>
                <w:trHeight w:val="340"/>
                <w:jc w:val="center"/>
              </w:trPr>
              <w:tc>
                <w:tcPr>
                  <w:tcW w:w="396" w:type="pct"/>
                  <w:tcBorders>
                    <w:top w:val="single" w:sz="18" w:space="0" w:color="auto"/>
                    <w:left w:val="nil"/>
                    <w:bottom w:val="single" w:sz="4" w:space="0" w:color="auto"/>
                    <w:right w:val="single" w:sz="4" w:space="0" w:color="auto"/>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lang w:bidi="ar"/>
                    </w:rPr>
                    <w:t>适用范围</w:t>
                  </w:r>
                </w:p>
              </w:tc>
              <w:tc>
                <w:tcPr>
                  <w:tcW w:w="2571" w:type="pct"/>
                  <w:gridSpan w:val="2"/>
                  <w:tcBorders>
                    <w:top w:val="single" w:sz="18" w:space="0" w:color="auto"/>
                    <w:left w:val="single" w:sz="4" w:space="0" w:color="auto"/>
                    <w:bottom w:val="single" w:sz="4" w:space="0" w:color="auto"/>
                    <w:right w:val="single" w:sz="4" w:space="0" w:color="auto"/>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lang w:bidi="ar"/>
                    </w:rPr>
                    <w:t>准入要求</w:t>
                  </w:r>
                </w:p>
              </w:tc>
              <w:tc>
                <w:tcPr>
                  <w:tcW w:w="1738" w:type="pct"/>
                  <w:tcBorders>
                    <w:top w:val="single" w:sz="18" w:space="0" w:color="auto"/>
                    <w:left w:val="single" w:sz="4" w:space="0" w:color="auto"/>
                    <w:bottom w:val="single" w:sz="4" w:space="0" w:color="auto"/>
                    <w:right w:val="single" w:sz="4" w:space="0" w:color="auto"/>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lang w:bidi="ar"/>
                    </w:rPr>
                    <w:t>本项目情况</w:t>
                  </w:r>
                </w:p>
              </w:tc>
              <w:tc>
                <w:tcPr>
                  <w:tcW w:w="294" w:type="pct"/>
                  <w:tcBorders>
                    <w:top w:val="single" w:sz="18" w:space="0" w:color="auto"/>
                    <w:left w:val="single" w:sz="4" w:space="0" w:color="auto"/>
                    <w:bottom w:val="single" w:sz="4" w:space="0" w:color="auto"/>
                    <w:right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lang w:bidi="ar"/>
                    </w:rPr>
                    <w:t>符合性</w:t>
                  </w:r>
                </w:p>
              </w:tc>
            </w:tr>
            <w:tr>
              <w:tblPrEx>
                <w:tblW w:w="4950" w:type="pct"/>
                <w:jc w:val="center"/>
                <w:tblLayout w:type="fixed"/>
                <w:tblCellMar>
                  <w:top w:w="0" w:type="dxa"/>
                  <w:left w:w="57" w:type="dxa"/>
                  <w:bottom w:w="0" w:type="dxa"/>
                  <w:right w:w="57" w:type="dxa"/>
                </w:tblCellMar>
              </w:tblPrEx>
              <w:trPr>
                <w:trHeight w:val="340"/>
                <w:jc w:val="center"/>
              </w:trPr>
              <w:tc>
                <w:tcPr>
                  <w:tcW w:w="396" w:type="pct"/>
                  <w:vMerge w:val="restart"/>
                  <w:tcBorders>
                    <w:top w:val="single" w:sz="4" w:space="0" w:color="auto"/>
                    <w:left w:val="nil"/>
                    <w:bottom w:val="single" w:sz="18" w:space="0" w:color="auto"/>
                    <w:right w:val="single" w:sz="4" w:space="0" w:color="auto"/>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lang w:bidi="ar"/>
                    </w:rPr>
                    <w:t>全省陆域</w:t>
                  </w:r>
                </w:p>
              </w:tc>
              <w:tc>
                <w:tcPr>
                  <w:tcW w:w="196" w:type="pct"/>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lang w:bidi="ar"/>
                    </w:rPr>
                    <w:t>空间布局约束</w:t>
                  </w:r>
                </w:p>
              </w:tc>
              <w:tc>
                <w:tcPr>
                  <w:tcW w:w="2374" w:type="pct"/>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ascii="Times New Roman" w:eastAsia="宋体" w:hAnsi="Times New Roman" w:cs="Times New Roman" w:hint="default"/>
                      <w:color w:val="auto"/>
                      <w:sz w:val="21"/>
                      <w:szCs w:val="21"/>
                      <w:highlight w:val="none"/>
                      <w:lang w:bidi="ar"/>
                    </w:rPr>
                    <w:t>1、石化、汽车、船舶、冶金、水泥、制浆造纸、印染等重点产业，要符合全省规划布局要求。</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ascii="Times New Roman" w:eastAsia="宋体" w:hAnsi="Times New Roman" w:cs="Times New Roman" w:hint="default"/>
                      <w:color w:val="auto"/>
                      <w:sz w:val="21"/>
                      <w:szCs w:val="21"/>
                      <w:highlight w:val="none"/>
                      <w:lang w:bidi="ar"/>
                    </w:rPr>
                    <w:t>2、严控钢铁、水泥、平板玻璃等产能过剩行业新增产能，新增产能应实施产能等量或减量置换。</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ascii="Times New Roman" w:eastAsia="宋体" w:hAnsi="Times New Roman" w:cs="Times New Roman" w:hint="default"/>
                      <w:color w:val="auto"/>
                      <w:sz w:val="21"/>
                      <w:szCs w:val="21"/>
                      <w:highlight w:val="none"/>
                      <w:lang w:bidi="ar"/>
                    </w:rPr>
                    <w:t>3、除列入国家规划的大型煤电和符合相关要求的等容量替代项目，以及以供热为主的热电联产项目外，原则上不再建设新的煤电项目。</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ascii="Times New Roman" w:eastAsia="宋体" w:hAnsi="Times New Roman" w:cs="Times New Roman" w:hint="default"/>
                      <w:color w:val="auto"/>
                      <w:sz w:val="21"/>
                      <w:szCs w:val="21"/>
                      <w:highlight w:val="none"/>
                      <w:lang w:bidi="ar"/>
                    </w:rPr>
                    <w:t>4、氟化工产业应集中布局在《关于促进我省氟化工产业绿色高效发展的若干意见》中确定的园区，在上述园区之外不再新建氟化工项目，园区之外现有氟化工项目不再扩大规模。</w:t>
                  </w:r>
                </w:p>
                <w:p>
                  <w:pPr>
                    <w:keepNext w:val="0"/>
                    <w:keepLines w:val="0"/>
                    <w:suppressLineNumbers w:val="0"/>
                    <w:adjustRightInd w:val="0"/>
                    <w:snapToGrid w:val="0"/>
                    <w:spacing w:before="0" w:beforeAutospacing="0" w:after="0" w:afterAutospacing="0"/>
                    <w:ind w:left="0" w:right="0"/>
                    <w:rPr>
                      <w:rFonts w:hint="default"/>
                      <w:color w:val="auto"/>
                      <w:spacing w:val="6"/>
                      <w:szCs w:val="21"/>
                      <w:highlight w:val="none"/>
                    </w:rPr>
                  </w:pPr>
                  <w:r>
                    <w:rPr>
                      <w:rFonts w:ascii="Times New Roman" w:eastAsia="宋体" w:hAnsi="Times New Roman" w:cs="Times New Roman" w:hint="default"/>
                      <w:color w:val="auto"/>
                      <w:sz w:val="21"/>
                      <w:szCs w:val="21"/>
                      <w:highlight w:val="none"/>
                      <w:lang w:bidi="ar"/>
                    </w:rPr>
                    <w:t>5、禁止在水环境质量不能稳定达标的区域内，建设新增相应不达标污染物指标排放量的</w:t>
                  </w:r>
                  <w:r>
                    <w:rPr>
                      <w:rFonts w:cs="Times New Roman" w:hint="eastAsia"/>
                      <w:color w:val="auto"/>
                      <w:sz w:val="21"/>
                      <w:szCs w:val="21"/>
                      <w:highlight w:val="none"/>
                      <w:lang w:eastAsia="zh-CN" w:bidi="ar"/>
                    </w:rPr>
                    <w:t>***</w:t>
                  </w:r>
                  <w:r>
                    <w:rPr>
                      <w:rFonts w:ascii="Times New Roman" w:eastAsia="宋体" w:hAnsi="Times New Roman" w:cs="Times New Roman" w:hint="default"/>
                      <w:color w:val="auto"/>
                      <w:sz w:val="21"/>
                      <w:szCs w:val="21"/>
                      <w:highlight w:val="none"/>
                      <w:lang w:bidi="ar"/>
                    </w:rPr>
                    <w:t>项目。</w:t>
                  </w:r>
                </w:p>
              </w:tc>
              <w:tc>
                <w:tcPr>
                  <w:tcW w:w="1738" w:type="pct"/>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lang w:bidi="ar"/>
                    </w:rPr>
                    <w:t>本项目主要从事刹车片生产，属于汽车零部件及配件制造，与空间布局约束要求不相冲突；本项目位于质量达标的区域内，不排放不达标污染物指标。</w:t>
                  </w:r>
                </w:p>
              </w:tc>
              <w:tc>
                <w:tcPr>
                  <w:tcW w:w="294" w:type="pct"/>
                  <w:tcBorders>
                    <w:top w:val="single" w:sz="4" w:space="0" w:color="auto"/>
                    <w:left w:val="single" w:sz="4" w:space="0" w:color="auto"/>
                    <w:bottom w:val="single" w:sz="4" w:space="0" w:color="auto"/>
                    <w:right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lang w:bidi="ar"/>
                    </w:rPr>
                    <w:t>符合</w:t>
                  </w:r>
                </w:p>
              </w:tc>
            </w:tr>
            <w:tr>
              <w:tblPrEx>
                <w:tblW w:w="4950" w:type="pct"/>
                <w:jc w:val="center"/>
                <w:tblLayout w:type="fixed"/>
                <w:tblCellMar>
                  <w:top w:w="0" w:type="dxa"/>
                  <w:left w:w="57" w:type="dxa"/>
                  <w:bottom w:w="0" w:type="dxa"/>
                  <w:right w:w="57" w:type="dxa"/>
                </w:tblCellMar>
              </w:tblPrEx>
              <w:trPr>
                <w:trHeight w:val="340"/>
                <w:jc w:val="center"/>
              </w:trPr>
              <w:tc>
                <w:tcPr>
                  <w:tcW w:w="396" w:type="pct"/>
                  <w:vMerge/>
                  <w:tcBorders>
                    <w:top w:val="single" w:sz="4" w:space="0" w:color="auto"/>
                    <w:left w:val="nil"/>
                    <w:bottom w:val="single" w:sz="18" w:space="0" w:color="auto"/>
                    <w:right w:val="single" w:sz="4" w:space="0" w:color="auto"/>
                  </w:tcBorders>
                  <w:shd w:val="clear" w:color="auto" w:fill="auto"/>
                  <w:vAlign w:val="center"/>
                </w:tcPr>
                <w:p>
                  <w:pPr>
                    <w:keepNext w:val="0"/>
                    <w:keepLines w:val="0"/>
                    <w:suppressLineNumbers w:val="0"/>
                    <w:spacing w:before="0" w:beforeAutospacing="0" w:after="0" w:afterAutospacing="0"/>
                    <w:ind w:left="0" w:right="0"/>
                    <w:rPr>
                      <w:rFonts w:hint="default"/>
                      <w:color w:val="auto"/>
                      <w:szCs w:val="21"/>
                      <w:highlight w:val="none"/>
                    </w:rPr>
                  </w:pPr>
                </w:p>
              </w:tc>
              <w:tc>
                <w:tcPr>
                  <w:tcW w:w="196" w:type="pct"/>
                  <w:tcBorders>
                    <w:top w:val="single" w:sz="4" w:space="0" w:color="auto"/>
                    <w:left w:val="single" w:sz="4" w:space="0" w:color="auto"/>
                    <w:bottom w:val="single" w:sz="18" w:space="0" w:color="auto"/>
                    <w:right w:val="single" w:sz="4" w:space="0" w:color="auto"/>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lang w:bidi="ar"/>
                    </w:rPr>
                    <w:t>污染物排放管控</w:t>
                  </w:r>
                </w:p>
              </w:tc>
              <w:tc>
                <w:tcPr>
                  <w:tcW w:w="2374" w:type="pct"/>
                  <w:tcBorders>
                    <w:top w:val="single" w:sz="4" w:space="0" w:color="auto"/>
                    <w:left w:val="single" w:sz="4" w:space="0" w:color="auto"/>
                    <w:bottom w:val="single" w:sz="18" w:space="0" w:color="auto"/>
                    <w:right w:val="single" w:sz="4" w:space="0" w:color="auto"/>
                  </w:tcBorders>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ascii="Times New Roman" w:eastAsia="宋体" w:hAnsi="Times New Roman" w:cs="Times New Roman" w:hint="default"/>
                      <w:color w:val="auto"/>
                      <w:sz w:val="21"/>
                      <w:szCs w:val="21"/>
                      <w:highlight w:val="none"/>
                      <w:lang w:bidi="ar"/>
                    </w:rPr>
                    <w:t>1、建设项目新增的主要污染物排放量应按要求实行等量或倍量替代。涉及总磷排放的建设项目应按照要求实行总磷排放量倍量或等量削减替代。涉及重金属重点行业建设项目新增的重点重金属污染物应按要求实行“减量置换”或“等量替换”。涉新增VOC</w:t>
                  </w:r>
                  <w:r>
                    <w:rPr>
                      <w:rFonts w:ascii="Times New Roman" w:eastAsia="宋体" w:hAnsi="Times New Roman" w:cs="Times New Roman" w:hint="default"/>
                      <w:color w:val="auto"/>
                      <w:sz w:val="21"/>
                      <w:szCs w:val="21"/>
                      <w:highlight w:val="none"/>
                      <w:vertAlign w:val="subscript"/>
                      <w:lang w:bidi="ar"/>
                    </w:rPr>
                    <w:t>S</w:t>
                  </w:r>
                  <w:r>
                    <w:rPr>
                      <w:rFonts w:ascii="Times New Roman" w:eastAsia="宋体" w:hAnsi="Times New Roman" w:cs="Times New Roman" w:hint="default"/>
                      <w:color w:val="auto"/>
                      <w:sz w:val="21"/>
                      <w:szCs w:val="21"/>
                      <w:highlight w:val="none"/>
                      <w:lang w:bidi="ar"/>
                    </w:rPr>
                    <w:t>排放项目，VOC</w:t>
                  </w:r>
                  <w:r>
                    <w:rPr>
                      <w:rFonts w:ascii="Times New Roman" w:eastAsia="宋体" w:hAnsi="Times New Roman" w:cs="Times New Roman" w:hint="default"/>
                      <w:color w:val="auto"/>
                      <w:sz w:val="21"/>
                      <w:szCs w:val="21"/>
                      <w:highlight w:val="none"/>
                      <w:vertAlign w:val="subscript"/>
                      <w:lang w:bidi="ar"/>
                    </w:rPr>
                    <w:t>S</w:t>
                  </w:r>
                  <w:r>
                    <w:rPr>
                      <w:rFonts w:ascii="Times New Roman" w:eastAsia="宋体" w:hAnsi="Times New Roman" w:cs="Times New Roman" w:hint="default"/>
                      <w:color w:val="auto"/>
                      <w:sz w:val="21"/>
                      <w:szCs w:val="21"/>
                      <w:highlight w:val="none"/>
                      <w:lang w:bidi="ar"/>
                    </w:rPr>
                    <w:t>排放实行区域内等量替代。福州、厦门、漳州、泉州、莆田、宁德等6个重点控制区可实施倍量替代。</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ascii="Times New Roman" w:eastAsia="宋体" w:hAnsi="Times New Roman" w:cs="Times New Roman" w:hint="default"/>
                      <w:color w:val="auto"/>
                      <w:sz w:val="21"/>
                      <w:szCs w:val="21"/>
                      <w:highlight w:val="none"/>
                      <w:lang w:bidi="ar"/>
                    </w:rPr>
                    <w:t>2、新建水泥、有色金属项目应执行大气污染物特别排放限值，钢铁项目应执行超低排放指标要求，火电项目应达到超低排放限值。</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ascii="Times New Roman" w:eastAsia="宋体" w:hAnsi="Times New Roman" w:cs="Times New Roman" w:hint="default"/>
                      <w:color w:val="auto"/>
                      <w:sz w:val="21"/>
                      <w:szCs w:val="21"/>
                      <w:highlight w:val="none"/>
                      <w:lang w:bidi="ar"/>
                    </w:rPr>
                    <w:t>3、尾水排入近岸海域汇水区域、“六江两溪”流域以及湖泊、水库等封闭、半封闭水域的城镇污水处理设施执行不低于一级A排放标准。</w:t>
                  </w:r>
                </w:p>
              </w:tc>
              <w:tc>
                <w:tcPr>
                  <w:tcW w:w="1738" w:type="pct"/>
                  <w:tcBorders>
                    <w:top w:val="single" w:sz="4" w:space="0" w:color="auto"/>
                    <w:left w:val="single" w:sz="4" w:space="0" w:color="auto"/>
                    <w:bottom w:val="single" w:sz="18" w:space="0" w:color="auto"/>
                    <w:right w:val="single" w:sz="4" w:space="0" w:color="auto"/>
                  </w:tcBorders>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ascii="Times New Roman" w:eastAsia="宋体" w:hAnsi="Times New Roman" w:cs="Times New Roman" w:hint="default"/>
                      <w:color w:val="auto"/>
                      <w:sz w:val="21"/>
                      <w:szCs w:val="21"/>
                      <w:highlight w:val="none"/>
                      <w:lang w:bidi="ar"/>
                    </w:rPr>
                    <w:t>1、项目位于福清市融侨经济技术开发区，属于重点控制区。项目涉VOC</w:t>
                  </w:r>
                  <w:r>
                    <w:rPr>
                      <w:rFonts w:ascii="Times New Roman" w:eastAsia="宋体" w:hAnsi="Times New Roman" w:cs="Times New Roman" w:hint="default"/>
                      <w:color w:val="auto"/>
                      <w:sz w:val="21"/>
                      <w:szCs w:val="21"/>
                      <w:highlight w:val="none"/>
                      <w:vertAlign w:val="subscript"/>
                      <w:lang w:bidi="ar"/>
                    </w:rPr>
                    <w:t>S</w:t>
                  </w:r>
                  <w:r>
                    <w:rPr>
                      <w:rFonts w:ascii="Times New Roman" w:eastAsia="宋体" w:hAnsi="Times New Roman" w:cs="Times New Roman" w:hint="default"/>
                      <w:color w:val="auto"/>
                      <w:sz w:val="21"/>
                      <w:szCs w:val="21"/>
                      <w:highlight w:val="none"/>
                      <w:lang w:bidi="ar"/>
                    </w:rPr>
                    <w:t>排放，建设单位将严格按照文件规定要求对VOC</w:t>
                  </w:r>
                  <w:r>
                    <w:rPr>
                      <w:rFonts w:ascii="Times New Roman" w:eastAsia="宋体" w:hAnsi="Times New Roman" w:cs="Times New Roman" w:hint="default"/>
                      <w:color w:val="auto"/>
                      <w:sz w:val="21"/>
                      <w:szCs w:val="21"/>
                      <w:highlight w:val="none"/>
                      <w:vertAlign w:val="subscript"/>
                      <w:lang w:bidi="ar"/>
                    </w:rPr>
                    <w:t>S</w:t>
                  </w:r>
                  <w:r>
                    <w:rPr>
                      <w:rFonts w:ascii="Times New Roman" w:eastAsia="宋体" w:hAnsi="Times New Roman" w:cs="Times New Roman" w:hint="default"/>
                      <w:color w:val="auto"/>
                      <w:sz w:val="21"/>
                      <w:szCs w:val="21"/>
                      <w:highlight w:val="none"/>
                      <w:lang w:bidi="ar"/>
                    </w:rPr>
                    <w:t>排放实行倍量替代。</w:t>
                  </w:r>
                </w:p>
                <w:p>
                  <w:pPr>
                    <w:keepNext w:val="0"/>
                    <w:keepLines w:val="0"/>
                    <w:suppressLineNumbers w:val="0"/>
                    <w:adjustRightInd w:val="0"/>
                    <w:snapToGrid w:val="0"/>
                    <w:spacing w:before="0" w:beforeAutospacing="0" w:after="0" w:afterAutospacing="0"/>
                    <w:ind w:left="0" w:right="0"/>
                    <w:rPr>
                      <w:rFonts w:hint="default"/>
                      <w:color w:val="auto"/>
                      <w:szCs w:val="21"/>
                      <w:highlight w:val="none"/>
                      <w:lang w:bidi="ar"/>
                    </w:rPr>
                  </w:pPr>
                  <w:r>
                    <w:rPr>
                      <w:rFonts w:ascii="Times New Roman" w:eastAsia="宋体" w:hAnsi="Times New Roman" w:cs="Times New Roman" w:hint="default"/>
                      <w:color w:val="auto"/>
                      <w:sz w:val="21"/>
                      <w:szCs w:val="21"/>
                      <w:highlight w:val="none"/>
                      <w:lang w:bidi="ar"/>
                    </w:rPr>
                    <w:t>2、项目主要从事刹车片生产，不属于水泥、有色金属、钢铁、火电项目。</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ascii="Times New Roman" w:eastAsia="宋体" w:hAnsi="Times New Roman" w:cs="Times New Roman" w:hint="default"/>
                      <w:color w:val="auto"/>
                      <w:sz w:val="21"/>
                      <w:szCs w:val="21"/>
                      <w:highlight w:val="none"/>
                      <w:lang w:bidi="ar"/>
                    </w:rPr>
                    <w:t>3、项目生产废水经“调节池+高效气浮系统+水解酸化池+接触氧化池+竖流沉淀池”处理达标后与经化粪池处理达标的职工生活污水排入市政污水管网，纳入福清融元污水处理厂集中处理</w:t>
                  </w:r>
                  <w:r>
                    <w:rPr>
                      <w:rFonts w:ascii="Times New Roman" w:eastAsia="宋体" w:hAnsi="Times New Roman" w:cs="Times New Roman" w:hint="default"/>
                      <w:color w:val="auto"/>
                      <w:sz w:val="21"/>
                      <w:szCs w:val="21"/>
                      <w:highlight w:val="none"/>
                    </w:rPr>
                    <w:t>，不排入近岸海域汇水区域、“六江两溪”流域以及湖泊、水库等封闭、半封闭水域。</w:t>
                  </w:r>
                </w:p>
              </w:tc>
              <w:tc>
                <w:tcPr>
                  <w:tcW w:w="294" w:type="pct"/>
                  <w:tcBorders>
                    <w:top w:val="single" w:sz="4" w:space="0" w:color="auto"/>
                    <w:left w:val="single" w:sz="4" w:space="0" w:color="auto"/>
                    <w:bottom w:val="single" w:sz="18" w:space="0" w:color="auto"/>
                    <w:right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lang w:bidi="ar"/>
                    </w:rPr>
                    <w:t>符合</w:t>
                  </w:r>
                </w:p>
              </w:tc>
            </w:tr>
          </w:tbl>
          <w:p>
            <w:pPr>
              <w:keepNext w:val="0"/>
              <w:keepLines w:val="0"/>
              <w:suppressLineNumbers w:val="0"/>
              <w:spacing w:before="0" w:beforeAutospacing="0" w:after="0" w:afterAutospacing="0" w:line="360" w:lineRule="auto"/>
              <w:ind w:left="0" w:right="0" w:firstLine="480" w:firstLineChars="200"/>
              <w:rPr>
                <w:rFonts w:hint="default"/>
                <w:color w:val="auto"/>
                <w:highlight w:val="none"/>
              </w:rPr>
            </w:pPr>
            <w:r>
              <w:rPr>
                <w:rFonts w:cs="宋体" w:hint="eastAsia"/>
                <w:color w:val="auto"/>
                <w:sz w:val="24"/>
                <w:highlight w:val="none"/>
                <w:lang w:bidi="ar"/>
              </w:rPr>
              <w:t>根据上述分析，本项目与《福建省人民政府关于实施“三线一单”生态环境分区管控的通知》</w:t>
            </w:r>
            <w:r>
              <w:rPr>
                <w:rFonts w:hint="default"/>
                <w:color w:val="auto"/>
                <w:sz w:val="24"/>
                <w:highlight w:val="none"/>
                <w:lang w:bidi="ar"/>
              </w:rPr>
              <w:t>(</w:t>
            </w:r>
            <w:r>
              <w:rPr>
                <w:rFonts w:cs="宋体" w:hint="eastAsia"/>
                <w:color w:val="auto"/>
                <w:sz w:val="24"/>
                <w:highlight w:val="none"/>
                <w:lang w:bidi="ar"/>
              </w:rPr>
              <w:t>闽政</w:t>
            </w:r>
            <w:r>
              <w:rPr>
                <w:rFonts w:cs="宋体" w:hint="eastAsia"/>
                <w:color w:val="auto"/>
                <w:sz w:val="24"/>
                <w:szCs w:val="20"/>
                <w:highlight w:val="none"/>
                <w:lang w:bidi="ar"/>
              </w:rPr>
              <w:t>〔</w:t>
            </w:r>
            <w:r>
              <w:rPr>
                <w:rFonts w:hint="default"/>
                <w:color w:val="auto"/>
                <w:sz w:val="24"/>
                <w:szCs w:val="20"/>
                <w:highlight w:val="none"/>
                <w:lang w:bidi="ar"/>
              </w:rPr>
              <w:t>2020</w:t>
            </w:r>
            <w:r>
              <w:rPr>
                <w:rFonts w:cs="宋体" w:hint="eastAsia"/>
                <w:color w:val="auto"/>
                <w:sz w:val="24"/>
                <w:szCs w:val="20"/>
                <w:highlight w:val="none"/>
                <w:lang w:bidi="ar"/>
              </w:rPr>
              <w:t>〕</w:t>
            </w:r>
            <w:r>
              <w:rPr>
                <w:rFonts w:hint="default"/>
                <w:color w:val="auto"/>
                <w:sz w:val="24"/>
                <w:highlight w:val="none"/>
                <w:lang w:bidi="ar"/>
              </w:rPr>
              <w:t>12</w:t>
            </w:r>
            <w:r>
              <w:rPr>
                <w:rFonts w:cs="宋体" w:hint="eastAsia"/>
                <w:color w:val="auto"/>
                <w:sz w:val="24"/>
                <w:highlight w:val="none"/>
                <w:lang w:bidi="ar"/>
              </w:rPr>
              <w:t>号</w:t>
            </w:r>
            <w:r>
              <w:rPr>
                <w:rFonts w:hint="default"/>
                <w:color w:val="auto"/>
                <w:sz w:val="24"/>
                <w:highlight w:val="none"/>
                <w:lang w:bidi="ar"/>
              </w:rPr>
              <w:t>)</w:t>
            </w:r>
          </w:p>
        </w:tc>
      </w:tr>
    </w:tbl>
    <w:p>
      <w:pPr>
        <w:sectPr>
          <w:footerReference w:type="default" r:id="rId11"/>
          <w:pgSz w:w="16838" w:h="11906" w:orient="landscape"/>
          <w:pgMar w:top="1417" w:right="1417" w:bottom="1417" w:left="1417" w:header="992" w:footer="992" w:gutter="0"/>
          <w:pgBorders>
            <w:top w:val="none" w:sz="0" w:space="0" w:color="auto"/>
            <w:left w:val="none" w:sz="0" w:space="0" w:color="auto"/>
            <w:bottom w:val="none" w:sz="0" w:space="0" w:color="auto"/>
            <w:right w:val="none" w:sz="0" w:space="0" w:color="auto"/>
          </w:pgBorders>
          <w:pgNumType w:start="1"/>
          <w:cols w:num="1" w:space="720"/>
          <w:docGrid w:linePitch="312" w:charSpace="0"/>
        </w:sectPr>
      </w:pPr>
    </w:p>
    <w:tbl>
      <w:tblPr>
        <w:tblStyle w:val="TableNormal"/>
        <w:tblW w:w="499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756"/>
        <w:gridCol w:w="13453"/>
      </w:tblGrid>
      <w:tr>
        <w:tblPrEx>
          <w:tblW w:w="499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8836"/>
          <w:jc w:val="center"/>
        </w:trPr>
        <w:tc>
          <w:tcPr>
            <w:tcW w:w="266" w:type="pct"/>
            <w:vAlign w:val="center"/>
          </w:tcPr>
          <w:p/>
        </w:tc>
        <w:tc>
          <w:tcPr>
            <w:tcW w:w="4733" w:type="pct"/>
            <w:vAlign w:val="center"/>
          </w:tcPr>
          <w:p>
            <w:pPr>
              <w:keepNext w:val="0"/>
              <w:keepLines w:val="0"/>
              <w:suppressLineNumbers w:val="0"/>
              <w:spacing w:before="0" w:beforeAutospacing="0" w:after="0" w:afterAutospacing="0" w:line="360" w:lineRule="auto"/>
              <w:ind w:left="0" w:right="0" w:firstLine="480" w:firstLineChars="200"/>
              <w:rPr>
                <w:rFonts w:hint="default"/>
                <w:color w:val="auto"/>
                <w:highlight w:val="none"/>
              </w:rPr>
            </w:pPr>
            <w:r>
              <w:rPr>
                <w:rFonts w:cs="宋体" w:hint="eastAsia"/>
                <w:color w:val="auto"/>
                <w:sz w:val="24"/>
                <w:highlight w:val="none"/>
                <w:lang w:bidi="ar"/>
              </w:rPr>
              <w:t>中的相关规定是符合的。</w:t>
            </w:r>
          </w:p>
          <w:p>
            <w:pPr>
              <w:pStyle w:val="NormalIndent"/>
              <w:keepNext w:val="0"/>
              <w:keepLines w:val="0"/>
              <w:numPr>
                <w:ilvl w:val="0"/>
                <w:numId w:val="8"/>
              </w:numPr>
              <w:suppressLineNumbers w:val="0"/>
              <w:spacing w:before="0" w:beforeAutospacing="0" w:after="0" w:afterAutospacing="0"/>
              <w:ind w:left="0" w:right="0" w:firstLine="482"/>
              <w:rPr>
                <w:rFonts w:hint="default"/>
                <w:b/>
                <w:bCs/>
                <w:color w:val="auto"/>
                <w:highlight w:val="none"/>
              </w:rPr>
            </w:pPr>
            <w:r>
              <w:rPr>
                <w:rFonts w:hint="eastAsia"/>
                <w:b/>
                <w:bCs/>
                <w:color w:val="auto"/>
                <w:highlight w:val="none"/>
              </w:rPr>
              <w:t>与《福州市人民政府关于实施“三线一单”生态分区管控的通知》符合性分析</w:t>
            </w:r>
          </w:p>
          <w:p>
            <w:pPr>
              <w:keepNext w:val="0"/>
              <w:keepLines w:val="0"/>
              <w:suppressLineNumbers w:val="0"/>
              <w:spacing w:before="0" w:beforeAutospacing="0" w:after="0" w:afterAutospacing="0" w:line="360" w:lineRule="auto"/>
              <w:ind w:left="0" w:right="0" w:firstLine="480" w:firstLineChars="200"/>
              <w:rPr>
                <w:rFonts w:cs="宋体" w:hint="default"/>
                <w:color w:val="auto"/>
                <w:sz w:val="24"/>
                <w:highlight w:val="none"/>
                <w:lang w:bidi="ar"/>
              </w:rPr>
            </w:pPr>
            <w:r>
              <w:rPr>
                <w:rFonts w:cs="宋体" w:hint="eastAsia"/>
                <w:color w:val="auto"/>
                <w:sz w:val="24"/>
                <w:highlight w:val="none"/>
                <w:lang w:bidi="ar"/>
              </w:rPr>
              <w:t>根据《福州市人民政府关于实施“三线一单”生态分区管控的通知》(榕政综〔2021〕178号)相关要求分析，项目所在位置属于福州市陆域区域、福清市生态环境准入清单-重点管控单元，具体见表1.1-4。</w:t>
            </w:r>
          </w:p>
          <w:p>
            <w:pPr>
              <w:keepNext w:val="0"/>
              <w:keepLines w:val="0"/>
              <w:widowControl/>
              <w:suppressLineNumbers w:val="0"/>
              <w:spacing w:before="0" w:beforeAutospacing="0" w:after="0" w:afterAutospacing="0"/>
              <w:ind w:left="0" w:right="0"/>
              <w:jc w:val="center"/>
              <w:rPr>
                <w:rFonts w:hint="default"/>
                <w:b/>
                <w:color w:val="auto"/>
                <w:kern w:val="0"/>
                <w:sz w:val="24"/>
                <w:highlight w:val="none"/>
              </w:rPr>
            </w:pPr>
            <w:r>
              <w:rPr>
                <w:rFonts w:hint="eastAsia"/>
                <w:b/>
                <w:color w:val="auto"/>
                <w:kern w:val="0"/>
                <w:sz w:val="24"/>
                <w:highlight w:val="none"/>
              </w:rPr>
              <w:t>表</w:t>
            </w:r>
            <w:r>
              <w:rPr>
                <w:rFonts w:hint="default"/>
                <w:b/>
                <w:color w:val="auto"/>
                <w:kern w:val="0"/>
                <w:sz w:val="24"/>
                <w:highlight w:val="none"/>
              </w:rPr>
              <w:t>1.1-</w:t>
            </w:r>
            <w:r>
              <w:rPr>
                <w:rFonts w:hint="eastAsia"/>
                <w:b/>
                <w:color w:val="auto"/>
                <w:kern w:val="0"/>
                <w:sz w:val="24"/>
                <w:highlight w:val="none"/>
              </w:rPr>
              <w:t>4</w:t>
            </w:r>
            <w:r>
              <w:rPr>
                <w:rFonts w:hint="default"/>
                <w:b/>
                <w:color w:val="auto"/>
                <w:kern w:val="0"/>
                <w:sz w:val="24"/>
                <w:highlight w:val="none"/>
              </w:rPr>
              <w:t xml:space="preserve"> </w:t>
            </w:r>
            <w:r>
              <w:rPr>
                <w:rFonts w:hint="eastAsia"/>
                <w:b/>
                <w:color w:val="auto"/>
                <w:kern w:val="0"/>
                <w:sz w:val="24"/>
                <w:highlight w:val="none"/>
              </w:rPr>
              <w:t>福州市生态环境准入要求一览表</w:t>
            </w:r>
          </w:p>
          <w:tbl>
            <w:tblPr>
              <w:tblStyle w:val="TableNormal"/>
              <w:tblW w:w="4950" w:type="pct"/>
              <w:tblInd w:w="0" w:type="dxa"/>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Layout w:type="fixed"/>
              <w:tblCellMar>
                <w:top w:w="0" w:type="dxa"/>
                <w:left w:w="57" w:type="dxa"/>
                <w:bottom w:w="0" w:type="dxa"/>
                <w:right w:w="57" w:type="dxa"/>
              </w:tblCellMar>
            </w:tblPr>
            <w:tblGrid>
              <w:gridCol w:w="1046"/>
              <w:gridCol w:w="755"/>
              <w:gridCol w:w="6974"/>
              <w:gridCol w:w="3517"/>
              <w:gridCol w:w="813"/>
            </w:tblGrid>
            <w:tr>
              <w:tblPrEx>
                <w:tblW w:w="4950" w:type="pct"/>
                <w:tblInd w:w="0" w:type="dxa"/>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Layout w:type="fixed"/>
                <w:tblCellMar>
                  <w:top w:w="0" w:type="dxa"/>
                  <w:left w:w="57" w:type="dxa"/>
                  <w:bottom w:w="0" w:type="dxa"/>
                  <w:right w:w="57" w:type="dxa"/>
                </w:tblCellMar>
              </w:tblPrEx>
              <w:trPr>
                <w:trHeight w:val="340"/>
              </w:trPr>
              <w:tc>
                <w:tcPr>
                  <w:tcW w:w="399"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lang w:bidi="ar"/>
                    </w:rPr>
                    <w:t>适用范围</w:t>
                  </w:r>
                </w:p>
              </w:tc>
              <w:tc>
                <w:tcPr>
                  <w:tcW w:w="2948" w:type="pct"/>
                  <w:gridSpan w:val="2"/>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lang w:bidi="ar"/>
                    </w:rPr>
                    <w:t>准入要求</w:t>
                  </w:r>
                </w:p>
              </w:tc>
              <w:tc>
                <w:tcPr>
                  <w:tcW w:w="1342"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lang w:bidi="ar"/>
                    </w:rPr>
                    <w:t>本项目情况</w:t>
                  </w:r>
                </w:p>
              </w:tc>
              <w:tc>
                <w:tcPr>
                  <w:tcW w:w="310"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lang w:bidi="ar"/>
                    </w:rPr>
                    <w:t>符合性</w:t>
                  </w:r>
                </w:p>
              </w:tc>
            </w:tr>
            <w:tr>
              <w:tblPrEx>
                <w:tblW w:w="4950" w:type="pct"/>
                <w:tblInd w:w="0" w:type="dxa"/>
                <w:tblLayout w:type="fixed"/>
                <w:tblCellMar>
                  <w:top w:w="0" w:type="dxa"/>
                  <w:left w:w="57" w:type="dxa"/>
                  <w:bottom w:w="0" w:type="dxa"/>
                  <w:right w:w="57" w:type="dxa"/>
                </w:tblCellMar>
              </w:tblPrEx>
              <w:trPr>
                <w:trHeight w:val="340"/>
              </w:trPr>
              <w:tc>
                <w:tcPr>
                  <w:tcW w:w="399" w:type="pct"/>
                  <w:vMerge w:val="restar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lang w:bidi="ar"/>
                    </w:rPr>
                    <w:t>福州市陆域</w:t>
                  </w:r>
                </w:p>
              </w:tc>
              <w:tc>
                <w:tcPr>
                  <w:tcW w:w="288"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lang w:bidi="ar"/>
                    </w:rPr>
                    <w:t>空间布局约束</w:t>
                  </w:r>
                </w:p>
              </w:tc>
              <w:tc>
                <w:tcPr>
                  <w:tcW w:w="2660"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hint="default"/>
                      <w:color w:val="auto"/>
                      <w:szCs w:val="21"/>
                      <w:highlight w:val="none"/>
                      <w:lang w:bidi="ar"/>
                    </w:rPr>
                    <w:t>1.福州市石化中上游项目重点在江阴化工新材料专区、连江可门化工新材料产业园布局。</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hint="default"/>
                      <w:color w:val="auto"/>
                      <w:szCs w:val="21"/>
                      <w:highlight w:val="none"/>
                      <w:lang w:bidi="ar"/>
                    </w:rPr>
                    <w:t>2.鼓楼区内福州高新技术产业开发区洪山片禁止生产型企业的引入；仓山区内福州高新技术产业开发区仓山片不再新增生物医药原料药制造类企业。</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hint="default"/>
                      <w:color w:val="auto"/>
                      <w:szCs w:val="21"/>
                      <w:highlight w:val="none"/>
                      <w:lang w:bidi="ar"/>
                    </w:rPr>
                    <w:t>3.罗源县内福州台商投资区松山片区禁止引进、建设集中电镀、制浆、医药、农药、酿造等重污染项目；连江县内福州台商投资区大官坂片区不再扩大聚酰胺一体化项目规模。</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hint="default"/>
                      <w:color w:val="auto"/>
                      <w:szCs w:val="21"/>
                      <w:highlight w:val="none"/>
                      <w:lang w:bidi="ar"/>
                    </w:rPr>
                    <w:t>4.禁止在闽江马尾罗星塔以上流域范围新、扩建制革项目，严控新（扩）建植物制浆、印染、合成革及人造革、电镀项目。</w:t>
                  </w:r>
                </w:p>
                <w:p>
                  <w:pPr>
                    <w:keepNext w:val="0"/>
                    <w:keepLines w:val="0"/>
                    <w:suppressLineNumbers w:val="0"/>
                    <w:adjustRightInd w:val="0"/>
                    <w:snapToGrid w:val="0"/>
                    <w:spacing w:before="0" w:beforeAutospacing="0" w:after="0" w:afterAutospacing="0"/>
                    <w:ind w:left="0" w:right="0"/>
                    <w:rPr>
                      <w:rFonts w:hint="default"/>
                      <w:color w:val="auto"/>
                      <w:spacing w:val="6"/>
                      <w:szCs w:val="21"/>
                      <w:highlight w:val="none"/>
                    </w:rPr>
                  </w:pPr>
                  <w:r>
                    <w:rPr>
                      <w:rFonts w:hint="default"/>
                      <w:color w:val="auto"/>
                      <w:szCs w:val="21"/>
                      <w:highlight w:val="none"/>
                      <w:lang w:bidi="ar"/>
                    </w:rPr>
                    <w:t>5.禁止在通风廊道和主导风向的上风向布局大气重污染企业，逐步将大气重污染企业和环境风险企业搬出城市建成区和生态保护红线范围。</w:t>
                  </w:r>
                </w:p>
              </w:tc>
              <w:tc>
                <w:tcPr>
                  <w:tcW w:w="1342"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lang w:bidi="ar"/>
                    </w:rPr>
                    <w:t>项目位于福清市融侨经济技术开发区，主要从事刹车片生产，与空间布局约束要求不相冲突</w:t>
                  </w:r>
                </w:p>
              </w:tc>
              <w:tc>
                <w:tcPr>
                  <w:tcW w:w="310"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lang w:bidi="ar"/>
                    </w:rPr>
                    <w:t>符合</w:t>
                  </w:r>
                </w:p>
              </w:tc>
            </w:tr>
            <w:tr>
              <w:tblPrEx>
                <w:tblW w:w="4950" w:type="pct"/>
                <w:tblInd w:w="0" w:type="dxa"/>
                <w:tblLayout w:type="fixed"/>
                <w:tblCellMar>
                  <w:top w:w="0" w:type="dxa"/>
                  <w:left w:w="57" w:type="dxa"/>
                  <w:bottom w:w="0" w:type="dxa"/>
                  <w:right w:w="57" w:type="dxa"/>
                </w:tblCellMar>
              </w:tblPrEx>
              <w:trPr>
                <w:trHeight w:val="340"/>
              </w:trPr>
              <w:tc>
                <w:tcPr>
                  <w:tcW w:w="399" w:type="pct"/>
                  <w:vMerg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color w:val="auto"/>
                      <w:szCs w:val="21"/>
                      <w:highlight w:val="none"/>
                    </w:rPr>
                  </w:pPr>
                </w:p>
              </w:tc>
              <w:tc>
                <w:tcPr>
                  <w:tcW w:w="288"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污染物排放管控</w:t>
                  </w:r>
                </w:p>
              </w:tc>
              <w:tc>
                <w:tcPr>
                  <w:tcW w:w="2660"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hint="default"/>
                      <w:color w:val="auto"/>
                      <w:szCs w:val="21"/>
                      <w:highlight w:val="none"/>
                      <w:lang w:bidi="ar"/>
                    </w:rPr>
                    <w:t>1.建设规划部门划定的县级以上城市建成区及福州市环境总体规划（2013-2030）划定的大气环境二级管控区的大气污染型</w:t>
                  </w:r>
                  <w:r>
                    <w:rPr>
                      <w:rFonts w:hint="eastAsia"/>
                      <w:color w:val="auto"/>
                      <w:szCs w:val="21"/>
                      <w:highlight w:val="none"/>
                      <w:lang w:eastAsia="zh-CN" w:bidi="ar"/>
                    </w:rPr>
                    <w:t>***</w:t>
                  </w:r>
                  <w:r>
                    <w:rPr>
                      <w:rFonts w:hint="default"/>
                      <w:color w:val="auto"/>
                      <w:szCs w:val="21"/>
                      <w:highlight w:val="none"/>
                      <w:lang w:bidi="ar"/>
                    </w:rPr>
                    <w:t>企业（现阶段指排放二氧化硫、氮氧化物的</w:t>
                  </w:r>
                  <w:r>
                    <w:rPr>
                      <w:rFonts w:hint="eastAsia"/>
                      <w:color w:val="auto"/>
                      <w:szCs w:val="21"/>
                      <w:highlight w:val="none"/>
                      <w:lang w:eastAsia="zh-CN" w:bidi="ar"/>
                    </w:rPr>
                    <w:t>***</w:t>
                  </w:r>
                  <w:r>
                    <w:rPr>
                      <w:rFonts w:hint="default"/>
                      <w:color w:val="auto"/>
                      <w:szCs w:val="21"/>
                      <w:highlight w:val="none"/>
                      <w:lang w:bidi="ar"/>
                    </w:rPr>
                    <w:t>企业，但不含使用天然气、液化石油气等作为燃料的非火电锅炉和</w:t>
                  </w:r>
                  <w:r>
                    <w:rPr>
                      <w:rFonts w:hint="eastAsia"/>
                      <w:color w:val="auto"/>
                      <w:szCs w:val="21"/>
                      <w:highlight w:val="none"/>
                      <w:lang w:eastAsia="zh-CN" w:bidi="ar"/>
                    </w:rPr>
                    <w:t>***</w:t>
                  </w:r>
                  <w:r>
                    <w:rPr>
                      <w:rFonts w:hint="default"/>
                      <w:color w:val="auto"/>
                      <w:szCs w:val="21"/>
                      <w:highlight w:val="none"/>
                      <w:lang w:bidi="ar"/>
                    </w:rPr>
                    <w:t>炉窑排放二氧化硫、氮氧化物的</w:t>
                  </w:r>
                  <w:r>
                    <w:rPr>
                      <w:rFonts w:hint="eastAsia"/>
                      <w:color w:val="auto"/>
                      <w:szCs w:val="21"/>
                      <w:highlight w:val="none"/>
                      <w:lang w:eastAsia="zh-CN" w:bidi="ar"/>
                    </w:rPr>
                    <w:t>***</w:t>
                  </w:r>
                  <w:r>
                    <w:rPr>
                      <w:rFonts w:hint="default"/>
                      <w:color w:val="auto"/>
                      <w:szCs w:val="21"/>
                      <w:highlight w:val="none"/>
                      <w:lang w:bidi="ar"/>
                    </w:rPr>
                    <w:t>企业）新增大气污染物排放量，按不低于1.5倍交易。</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hint="default"/>
                      <w:color w:val="auto"/>
                      <w:szCs w:val="21"/>
                      <w:highlight w:val="none"/>
                      <w:lang w:bidi="ar"/>
                    </w:rPr>
                    <w:t>2.省级（含）以上</w:t>
                  </w:r>
                  <w:r>
                    <w:rPr>
                      <w:rFonts w:hint="eastAsia"/>
                      <w:color w:val="auto"/>
                      <w:szCs w:val="21"/>
                      <w:highlight w:val="none"/>
                      <w:lang w:eastAsia="zh-CN" w:bidi="ar"/>
                    </w:rPr>
                    <w:t>***</w:t>
                  </w:r>
                  <w:r>
                    <w:rPr>
                      <w:rFonts w:hint="default"/>
                      <w:color w:val="auto"/>
                      <w:szCs w:val="21"/>
                      <w:highlight w:val="none"/>
                      <w:lang w:bidi="ar"/>
                    </w:rPr>
                    <w:t>园区外的</w:t>
                  </w:r>
                  <w:r>
                    <w:rPr>
                      <w:rFonts w:hint="eastAsia"/>
                      <w:color w:val="auto"/>
                      <w:szCs w:val="21"/>
                      <w:highlight w:val="none"/>
                      <w:lang w:eastAsia="zh-CN" w:bidi="ar"/>
                    </w:rPr>
                    <w:t>***</w:t>
                  </w:r>
                  <w:r>
                    <w:rPr>
                      <w:rFonts w:hint="default"/>
                      <w:color w:val="auto"/>
                      <w:szCs w:val="21"/>
                      <w:highlight w:val="none"/>
                      <w:lang w:bidi="ar"/>
                    </w:rPr>
                    <w:t>企业新增主要污染物排放量（不含使用天然气、液化石油气等作为燃料的非火电锅炉和</w:t>
                  </w:r>
                  <w:r>
                    <w:rPr>
                      <w:rFonts w:hint="eastAsia"/>
                      <w:color w:val="auto"/>
                      <w:szCs w:val="21"/>
                      <w:highlight w:val="none"/>
                      <w:lang w:eastAsia="zh-CN" w:bidi="ar"/>
                    </w:rPr>
                    <w:t>***</w:t>
                  </w:r>
                  <w:r>
                    <w:rPr>
                      <w:rFonts w:hint="default"/>
                      <w:color w:val="auto"/>
                      <w:szCs w:val="21"/>
                      <w:highlight w:val="none"/>
                      <w:lang w:bidi="ar"/>
                    </w:rPr>
                    <w:t>炉窑的</w:t>
                  </w:r>
                  <w:r>
                    <w:rPr>
                      <w:rFonts w:hint="eastAsia"/>
                      <w:color w:val="auto"/>
                      <w:szCs w:val="21"/>
                      <w:highlight w:val="none"/>
                      <w:lang w:eastAsia="zh-CN" w:bidi="ar"/>
                    </w:rPr>
                    <w:t>***</w:t>
                  </w:r>
                  <w:r>
                    <w:rPr>
                      <w:rFonts w:hint="default"/>
                      <w:color w:val="auto"/>
                      <w:szCs w:val="21"/>
                      <w:highlight w:val="none"/>
                      <w:lang w:bidi="ar"/>
                    </w:rPr>
                    <w:t>企业新增的二氧化硫、氮氧化物排放量），按不低于1.2倍交易。</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hint="default"/>
                      <w:color w:val="auto"/>
                      <w:szCs w:val="21"/>
                      <w:highlight w:val="none"/>
                      <w:lang w:bidi="ar"/>
                    </w:rPr>
                    <w:t>3.涉新增VOCs排放项目，VOCs排放实行区域内倍量替代。</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hint="default"/>
                      <w:color w:val="auto"/>
                      <w:szCs w:val="21"/>
                      <w:highlight w:val="none"/>
                      <w:lang w:bidi="ar"/>
                    </w:rPr>
                    <w:t>4.严格控制新建、改建、扩建钢铁、水泥、平板玻璃、有色金属冶炼、化工等</w:t>
                  </w:r>
                  <w:r>
                    <w:rPr>
                      <w:rFonts w:hint="eastAsia"/>
                      <w:color w:val="auto"/>
                      <w:szCs w:val="21"/>
                      <w:highlight w:val="none"/>
                      <w:lang w:eastAsia="zh-CN" w:bidi="ar"/>
                    </w:rPr>
                    <w:t>***</w:t>
                  </w:r>
                </w:p>
              </w:tc>
              <w:tc>
                <w:tcPr>
                  <w:tcW w:w="1342"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both"/>
                    <w:rPr>
                      <w:rFonts w:hint="default"/>
                      <w:color w:val="auto"/>
                      <w:szCs w:val="21"/>
                      <w:highlight w:val="none"/>
                    </w:rPr>
                  </w:pPr>
                  <w:r>
                    <w:rPr>
                      <w:rFonts w:hint="default"/>
                      <w:color w:val="auto"/>
                      <w:szCs w:val="21"/>
                      <w:highlight w:val="none"/>
                      <w:lang w:bidi="ar"/>
                    </w:rPr>
                    <w:t>1、本项目不涉及二氧化硫、氮氧化物排放；</w:t>
                  </w:r>
                </w:p>
                <w:p>
                  <w:pPr>
                    <w:keepNext w:val="0"/>
                    <w:keepLines w:val="0"/>
                    <w:suppressLineNumbers w:val="0"/>
                    <w:adjustRightInd w:val="0"/>
                    <w:snapToGrid w:val="0"/>
                    <w:spacing w:before="0" w:beforeAutospacing="0" w:after="0" w:afterAutospacing="0"/>
                    <w:ind w:left="0" w:right="0"/>
                    <w:jc w:val="both"/>
                    <w:rPr>
                      <w:rFonts w:hint="default"/>
                      <w:color w:val="auto"/>
                      <w:szCs w:val="21"/>
                      <w:highlight w:val="none"/>
                    </w:rPr>
                  </w:pPr>
                  <w:r>
                    <w:rPr>
                      <w:rFonts w:hint="default"/>
                      <w:color w:val="auto"/>
                      <w:szCs w:val="21"/>
                      <w:highlight w:val="none"/>
                      <w:lang w:bidi="ar"/>
                    </w:rPr>
                    <w:t>2、项目涉VOC</w:t>
                  </w:r>
                  <w:r>
                    <w:rPr>
                      <w:rFonts w:hint="default"/>
                      <w:color w:val="auto"/>
                      <w:szCs w:val="21"/>
                      <w:highlight w:val="none"/>
                      <w:vertAlign w:val="subscript"/>
                      <w:lang w:bidi="ar"/>
                    </w:rPr>
                    <w:t>S</w:t>
                  </w:r>
                  <w:r>
                    <w:rPr>
                      <w:rFonts w:hint="default"/>
                      <w:color w:val="auto"/>
                      <w:szCs w:val="21"/>
                      <w:highlight w:val="none"/>
                      <w:lang w:bidi="ar"/>
                    </w:rPr>
                    <w:t>排放，建设单位将严格按照文件规定要求VOC</w:t>
                  </w:r>
                  <w:r>
                    <w:rPr>
                      <w:rFonts w:hint="default"/>
                      <w:color w:val="auto"/>
                      <w:szCs w:val="21"/>
                      <w:highlight w:val="none"/>
                      <w:vertAlign w:val="subscript"/>
                      <w:lang w:bidi="ar"/>
                    </w:rPr>
                    <w:t>S</w:t>
                  </w:r>
                  <w:r>
                    <w:rPr>
                      <w:rFonts w:hint="default"/>
                      <w:color w:val="auto"/>
                      <w:szCs w:val="21"/>
                      <w:highlight w:val="none"/>
                      <w:lang w:bidi="ar"/>
                    </w:rPr>
                    <w:t>排放实行倍量替代。</w:t>
                  </w:r>
                </w:p>
                <w:p>
                  <w:pPr>
                    <w:keepNext w:val="0"/>
                    <w:keepLines w:val="0"/>
                    <w:suppressLineNumbers w:val="0"/>
                    <w:adjustRightInd w:val="0"/>
                    <w:snapToGrid w:val="0"/>
                    <w:spacing w:before="0" w:beforeAutospacing="0" w:after="0" w:afterAutospacing="0"/>
                    <w:ind w:left="0" w:right="0"/>
                    <w:jc w:val="both"/>
                    <w:rPr>
                      <w:rFonts w:hint="default"/>
                      <w:color w:val="auto"/>
                      <w:szCs w:val="21"/>
                      <w:highlight w:val="none"/>
                    </w:rPr>
                  </w:pPr>
                  <w:r>
                    <w:rPr>
                      <w:rFonts w:hint="default"/>
                      <w:color w:val="auto"/>
                      <w:szCs w:val="21"/>
                      <w:highlight w:val="none"/>
                      <w:lang w:bidi="ar"/>
                    </w:rPr>
                    <w:t>3、项目主要从事刹车片生产，不属于水泥、有色金属、钢铁、火电项目，不涉及氟化工、印染、电镀等行业</w:t>
                  </w:r>
                </w:p>
              </w:tc>
              <w:tc>
                <w:tcPr>
                  <w:tcW w:w="310"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both"/>
                    <w:rPr>
                      <w:rFonts w:hint="default"/>
                      <w:color w:val="auto"/>
                      <w:szCs w:val="21"/>
                      <w:highlight w:val="none"/>
                    </w:rPr>
                  </w:pPr>
                  <w:r>
                    <w:rPr>
                      <w:rFonts w:hint="default"/>
                      <w:color w:val="auto"/>
                      <w:szCs w:val="21"/>
                      <w:highlight w:val="none"/>
                      <w:lang w:bidi="ar"/>
                    </w:rPr>
                    <w:t>符合</w:t>
                  </w:r>
                </w:p>
              </w:tc>
            </w:tr>
          </w:tbl>
          <w:p/>
        </w:tc>
      </w:tr>
    </w:tbl>
    <w:p>
      <w:pPr>
        <w:sectPr>
          <w:footerReference w:type="default" r:id="rId12"/>
          <w:type w:val="nextPage"/>
          <w:pgSz w:w="16838" w:h="11906" w:orient="landscape"/>
          <w:pgMar w:top="1417" w:right="1417" w:bottom="1417" w:left="1417" w:header="992" w:footer="992" w:gutter="0"/>
          <w:pgBorders>
            <w:top w:val="none" w:sz="0" w:space="0" w:color="auto"/>
            <w:left w:val="none" w:sz="0" w:space="0" w:color="auto"/>
            <w:bottom w:val="none" w:sz="0" w:space="0" w:color="auto"/>
            <w:right w:val="none" w:sz="0" w:space="0" w:color="auto"/>
          </w:pgBorders>
          <w:pgNumType w:start="2"/>
          <w:cols w:num="1" w:space="720"/>
          <w:titlePg w:val="0"/>
          <w:docGrid w:linePitch="312" w:charSpace="0"/>
        </w:sectPr>
      </w:pPr>
    </w:p>
    <w:tbl>
      <w:tblPr>
        <w:tblStyle w:val="TableNormal"/>
        <w:tblW w:w="499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756"/>
        <w:gridCol w:w="13453"/>
      </w:tblGrid>
      <w:tr>
        <w:tblPrEx>
          <w:tblW w:w="499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8836"/>
          <w:jc w:val="center"/>
        </w:trPr>
        <w:tc>
          <w:tcPr>
            <w:tcW w:w="266" w:type="pct"/>
            <w:vAlign w:val="center"/>
          </w:tcPr>
          <w:p/>
        </w:tc>
        <w:tc>
          <w:tcPr>
            <w:tcW w:w="4733" w:type="pct"/>
            <w:vAlign w:val="center"/>
          </w:tcPr>
          <w:tbl>
            <w:tblPr>
              <w:tblStyle w:val="TableNormal"/>
              <w:tblW w:w="4950" w:type="pct"/>
              <w:tblInd w:w="0" w:type="dxa"/>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Layout w:type="fixed"/>
              <w:tblCellMar>
                <w:top w:w="0" w:type="dxa"/>
                <w:left w:w="57" w:type="dxa"/>
                <w:bottom w:w="0" w:type="dxa"/>
                <w:right w:w="57" w:type="dxa"/>
              </w:tblCellMar>
            </w:tblPr>
            <w:tblGrid>
              <w:gridCol w:w="1046"/>
              <w:gridCol w:w="755"/>
              <w:gridCol w:w="6974"/>
              <w:gridCol w:w="3517"/>
              <w:gridCol w:w="813"/>
            </w:tblGrid>
            <w:tr>
              <w:tblPrEx>
                <w:tblW w:w="4950" w:type="pct"/>
                <w:tblInd w:w="0" w:type="dxa"/>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Layout w:type="fixed"/>
                <w:tblCellMar>
                  <w:top w:w="0" w:type="dxa"/>
                  <w:left w:w="57" w:type="dxa"/>
                  <w:bottom w:w="0" w:type="dxa"/>
                  <w:right w:w="57" w:type="dxa"/>
                </w:tblCellMar>
              </w:tblPrEx>
              <w:trPr>
                <w:trHeight w:val="340"/>
              </w:trPr>
              <w:tc>
                <w:tcPr>
                  <w:tcW w:w="399" w:type="pct"/>
                  <w:vMerge w:val="restart"/>
                  <w:tcBorders>
                    <w:tl2br w:val="nil"/>
                    <w:tr2bl w:val="nil"/>
                  </w:tcBorders>
                  <w:shd w:val="clear" w:color="auto" w:fill="auto"/>
                  <w:vAlign w:val="center"/>
                </w:tcPr>
                <w:p/>
              </w:tc>
              <w:tc>
                <w:tcPr>
                  <w:tcW w:w="288" w:type="pct"/>
                  <w:tcBorders>
                    <w:tl2br w:val="nil"/>
                    <w:tr2bl w:val="nil"/>
                  </w:tcBorders>
                  <w:shd w:val="clear" w:color="auto" w:fill="auto"/>
                  <w:vAlign w:val="center"/>
                </w:tcPr>
                <w:p/>
              </w:tc>
              <w:tc>
                <w:tcPr>
                  <w:tcW w:w="2660"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hint="default"/>
                      <w:color w:val="auto"/>
                      <w:szCs w:val="21"/>
                      <w:highlight w:val="none"/>
                      <w:lang w:bidi="ar"/>
                    </w:rPr>
                    <w:t>项目。新建钢铁、火电、水泥、有色项目应当执行大气污染物特别排放限值。重点控制区新建化工、石化及燃煤锅炉项目应当执行大气污染物特别排放限值。</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hint="default"/>
                      <w:color w:val="auto"/>
                      <w:szCs w:val="21"/>
                      <w:highlight w:val="none"/>
                      <w:lang w:bidi="ar"/>
                    </w:rPr>
                    <w:t>5.氟化工、印染、电镀等行业企业实行水污染物特别排放限值。</w:t>
                  </w:r>
                </w:p>
              </w:tc>
              <w:tc>
                <w:tcPr>
                  <w:tcW w:w="1342" w:type="pct"/>
                  <w:tcBorders>
                    <w:tl2br w:val="nil"/>
                    <w:tr2bl w:val="nil"/>
                  </w:tcBorders>
                  <w:shd w:val="clear" w:color="auto" w:fill="auto"/>
                  <w:vAlign w:val="center"/>
                </w:tcPr>
                <w:p/>
              </w:tc>
              <w:tc>
                <w:tcPr>
                  <w:tcW w:w="310" w:type="pct"/>
                  <w:tcBorders>
                    <w:tl2br w:val="nil"/>
                    <w:tr2bl w:val="nil"/>
                  </w:tcBorders>
                  <w:shd w:val="clear" w:color="auto" w:fill="auto"/>
                  <w:vAlign w:val="center"/>
                </w:tcPr>
                <w:p/>
              </w:tc>
            </w:tr>
            <w:tr>
              <w:tblPrEx>
                <w:tblW w:w="4950" w:type="pct"/>
                <w:tblInd w:w="0" w:type="dxa"/>
                <w:tblLayout w:type="fixed"/>
                <w:tblCellMar>
                  <w:top w:w="0" w:type="dxa"/>
                  <w:left w:w="57" w:type="dxa"/>
                  <w:bottom w:w="0" w:type="dxa"/>
                  <w:right w:w="57" w:type="dxa"/>
                </w:tblCellMar>
              </w:tblPrEx>
              <w:trPr>
                <w:trHeight w:val="340"/>
              </w:trPr>
              <w:tc>
                <w:tcPr>
                  <w:tcW w:w="399" w:type="pct"/>
                  <w:vMerge w:val="restar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福清融侨经济技术开发区</w:t>
                  </w:r>
                </w:p>
              </w:tc>
              <w:tc>
                <w:tcPr>
                  <w:tcW w:w="288"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szCs w:val="21"/>
                      <w:highlight w:val="none"/>
                      <w:lang w:bidi="ar"/>
                    </w:rPr>
                    <w:t>空间布局约束</w:t>
                  </w:r>
                </w:p>
              </w:tc>
              <w:tc>
                <w:tcPr>
                  <w:tcW w:w="2660"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60" w:lineRule="exact"/>
                    <w:ind w:left="0" w:right="0"/>
                    <w:rPr>
                      <w:rFonts w:hint="default"/>
                      <w:color w:val="auto"/>
                      <w:kern w:val="0"/>
                      <w:szCs w:val="21"/>
                      <w:highlight w:val="none"/>
                    </w:rPr>
                  </w:pPr>
                  <w:r>
                    <w:rPr>
                      <w:rFonts w:hint="default"/>
                      <w:color w:val="auto"/>
                      <w:kern w:val="0"/>
                      <w:szCs w:val="21"/>
                      <w:highlight w:val="none"/>
                    </w:rPr>
                    <w:t>1.禁止引进纺织业（含印染精加工）、造纸和纸制品业（纸制品制造除外）、化学原料和化学制品制造业（</w:t>
                  </w:r>
                  <w:r>
                    <w:rPr>
                      <w:rFonts w:hint="eastAsia"/>
                      <w:color w:val="auto"/>
                      <w:kern w:val="0"/>
                      <w:szCs w:val="21"/>
                      <w:highlight w:val="none"/>
                      <w:lang w:eastAsia="zh-CN"/>
                    </w:rPr>
                    <w:t>***</w:t>
                  </w:r>
                  <w:r>
                    <w:rPr>
                      <w:rFonts w:hint="default"/>
                      <w:color w:val="auto"/>
                      <w:kern w:val="0"/>
                      <w:szCs w:val="21"/>
                      <w:highlight w:val="none"/>
                    </w:rPr>
                    <w:t>气体生产除外）和有色金属冶炼及压延加</w:t>
                  </w:r>
                  <w:r>
                    <w:rPr>
                      <w:rFonts w:hint="eastAsia"/>
                      <w:color w:val="auto"/>
                      <w:kern w:val="0"/>
                      <w:szCs w:val="21"/>
                      <w:highlight w:val="none"/>
                      <w:lang w:eastAsia="zh-CN"/>
                    </w:rPr>
                    <w:t>***</w:t>
                  </w:r>
                  <w:r>
                    <w:rPr>
                      <w:rFonts w:hint="default"/>
                      <w:color w:val="auto"/>
                      <w:kern w:val="0"/>
                      <w:szCs w:val="21"/>
                      <w:highlight w:val="none"/>
                    </w:rPr>
                    <w:t>（压延加工除外）；禁止引入含电镀工艺（紧密配套型电镀工艺除外）、冶炼工艺、电解铝的项目；主导产业电气机械和器材制造业禁止类铅酸蓄电池制造。</w:t>
                  </w:r>
                </w:p>
                <w:p>
                  <w:pPr>
                    <w:keepNext w:val="0"/>
                    <w:keepLines w:val="0"/>
                    <w:suppressLineNumbers w:val="0"/>
                    <w:adjustRightInd w:val="0"/>
                    <w:snapToGrid w:val="0"/>
                    <w:spacing w:before="0" w:beforeAutospacing="0" w:after="0" w:afterAutospacing="0" w:line="260" w:lineRule="exact"/>
                    <w:ind w:left="0" w:right="0"/>
                    <w:rPr>
                      <w:rFonts w:hint="default"/>
                      <w:color w:val="auto"/>
                      <w:kern w:val="0"/>
                      <w:szCs w:val="21"/>
                      <w:highlight w:val="none"/>
                    </w:rPr>
                  </w:pPr>
                  <w:r>
                    <w:rPr>
                      <w:rFonts w:hint="default"/>
                      <w:color w:val="auto"/>
                      <w:kern w:val="0"/>
                      <w:szCs w:val="21"/>
                      <w:highlight w:val="none"/>
                    </w:rPr>
                    <w:t>2.加强京东方一期、二期工程周边用地规划控制。</w:t>
                  </w:r>
                </w:p>
                <w:p>
                  <w:pPr>
                    <w:keepNext w:val="0"/>
                    <w:keepLines w:val="0"/>
                    <w:suppressLineNumbers w:val="0"/>
                    <w:adjustRightInd w:val="0"/>
                    <w:snapToGrid w:val="0"/>
                    <w:spacing w:before="0" w:beforeAutospacing="0" w:after="0" w:afterAutospacing="0" w:line="260" w:lineRule="exact"/>
                    <w:ind w:left="0" w:right="0"/>
                    <w:rPr>
                      <w:rFonts w:hint="default"/>
                      <w:color w:val="auto"/>
                      <w:kern w:val="0"/>
                      <w:szCs w:val="21"/>
                      <w:highlight w:val="none"/>
                    </w:rPr>
                  </w:pPr>
                  <w:r>
                    <w:rPr>
                      <w:rFonts w:hint="default"/>
                      <w:color w:val="auto"/>
                      <w:kern w:val="0"/>
                      <w:szCs w:val="21"/>
                      <w:highlight w:val="none"/>
                    </w:rPr>
                    <w:t>3.</w:t>
                  </w:r>
                  <w:r>
                    <w:rPr>
                      <w:rFonts w:hint="default"/>
                      <w:color w:val="auto"/>
                      <w:szCs w:val="21"/>
                      <w:highlight w:val="none"/>
                    </w:rPr>
                    <w:t>积极推进区内</w:t>
                  </w:r>
                  <w:r>
                    <w:rPr>
                      <w:rFonts w:hint="default"/>
                      <w:color w:val="auto"/>
                      <w:kern w:val="0"/>
                      <w:szCs w:val="21"/>
                      <w:highlight w:val="none"/>
                    </w:rPr>
                    <w:t>高耗水的印染、造纸等</w:t>
                  </w:r>
                  <w:r>
                    <w:rPr>
                      <w:rFonts w:hint="default"/>
                      <w:color w:val="auto"/>
                      <w:szCs w:val="21"/>
                      <w:highlight w:val="none"/>
                    </w:rPr>
                    <w:t>重污染企业的搬迁工作。</w:t>
                  </w:r>
                </w:p>
                <w:p>
                  <w:pPr>
                    <w:keepNext w:val="0"/>
                    <w:keepLines w:val="0"/>
                    <w:suppressLineNumbers w:val="0"/>
                    <w:adjustRightInd w:val="0"/>
                    <w:snapToGrid w:val="0"/>
                    <w:spacing w:before="0" w:beforeAutospacing="0" w:after="0" w:afterAutospacing="0" w:line="260" w:lineRule="exact"/>
                    <w:ind w:left="0" w:right="0"/>
                    <w:rPr>
                      <w:rFonts w:hint="default"/>
                      <w:color w:val="auto"/>
                      <w:kern w:val="0"/>
                      <w:szCs w:val="21"/>
                      <w:highlight w:val="none"/>
                    </w:rPr>
                  </w:pPr>
                  <w:r>
                    <w:rPr>
                      <w:rFonts w:hint="default"/>
                      <w:color w:val="auto"/>
                      <w:szCs w:val="21"/>
                      <w:highlight w:val="none"/>
                    </w:rPr>
                    <w:t>4.居住用地周边禁止布局潜在废气扰民的建设项目。</w:t>
                  </w:r>
                </w:p>
                <w:p>
                  <w:pPr>
                    <w:keepNext w:val="0"/>
                    <w:keepLines w:val="0"/>
                    <w:suppressLineNumbers w:val="0"/>
                    <w:adjustRightInd w:val="0"/>
                    <w:snapToGrid w:val="0"/>
                    <w:spacing w:before="0" w:beforeAutospacing="0" w:after="0" w:afterAutospacing="0" w:line="260" w:lineRule="exact"/>
                    <w:ind w:left="0" w:right="0"/>
                    <w:rPr>
                      <w:rFonts w:hint="default"/>
                      <w:color w:val="auto"/>
                      <w:szCs w:val="21"/>
                      <w:highlight w:val="none"/>
                    </w:rPr>
                  </w:pPr>
                  <w:r>
                    <w:rPr>
                      <w:rFonts w:hint="default"/>
                      <w:color w:val="auto"/>
                      <w:szCs w:val="21"/>
                      <w:highlight w:val="none"/>
                    </w:rPr>
                    <w:t>5.新局调节库周边200米范围内禁止</w:t>
                  </w:r>
                  <w:r>
                    <w:rPr>
                      <w:rFonts w:hint="eastAsia"/>
                      <w:color w:val="auto"/>
                      <w:szCs w:val="21"/>
                      <w:highlight w:val="none"/>
                      <w:lang w:eastAsia="zh-CN"/>
                    </w:rPr>
                    <w:t>***</w:t>
                  </w:r>
                  <w:r>
                    <w:rPr>
                      <w:rFonts w:hint="default"/>
                      <w:color w:val="auto"/>
                      <w:szCs w:val="21"/>
                      <w:highlight w:val="none"/>
                    </w:rPr>
                    <w:t>企业生产过程中使用危化品，禁止新建排放烟粉尘、VOCs废气的</w:t>
                  </w:r>
                  <w:r>
                    <w:rPr>
                      <w:rFonts w:hint="eastAsia"/>
                      <w:color w:val="auto"/>
                      <w:szCs w:val="21"/>
                      <w:highlight w:val="none"/>
                      <w:lang w:eastAsia="zh-CN"/>
                    </w:rPr>
                    <w:t>***</w:t>
                  </w:r>
                  <w:r>
                    <w:rPr>
                      <w:rFonts w:hint="default"/>
                      <w:color w:val="auto"/>
                      <w:szCs w:val="21"/>
                      <w:highlight w:val="none"/>
                    </w:rPr>
                    <w:t>项目。</w:t>
                  </w:r>
                </w:p>
              </w:tc>
              <w:tc>
                <w:tcPr>
                  <w:tcW w:w="1342"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color w:val="auto"/>
                      <w:szCs w:val="21"/>
                      <w:highlight w:val="none"/>
                      <w:lang w:bidi="ar"/>
                    </w:rPr>
                  </w:pPr>
                  <w:r>
                    <w:rPr>
                      <w:rFonts w:hint="default"/>
                      <w:color w:val="auto"/>
                      <w:szCs w:val="21"/>
                      <w:highlight w:val="none"/>
                      <w:lang w:bidi="ar"/>
                    </w:rPr>
                    <w:t>1.本项目主要从事刹车片生产，不属于禁止引入行业及重污染企业；</w:t>
                  </w:r>
                </w:p>
                <w:p>
                  <w:pPr>
                    <w:keepNext w:val="0"/>
                    <w:keepLines w:val="0"/>
                    <w:suppressLineNumbers w:val="0"/>
                    <w:adjustRightInd w:val="0"/>
                    <w:snapToGrid w:val="0"/>
                    <w:spacing w:before="0" w:beforeAutospacing="0" w:after="0" w:afterAutospacing="0"/>
                    <w:ind w:left="0" w:right="0"/>
                    <w:rPr>
                      <w:rFonts w:hint="default"/>
                      <w:color w:val="auto"/>
                      <w:szCs w:val="21"/>
                      <w:highlight w:val="none"/>
                      <w:lang w:bidi="ar"/>
                    </w:rPr>
                  </w:pPr>
                  <w:r>
                    <w:rPr>
                      <w:rFonts w:hint="default"/>
                      <w:color w:val="auto"/>
                      <w:szCs w:val="21"/>
                      <w:highlight w:val="none"/>
                      <w:lang w:bidi="ar"/>
                    </w:rPr>
                    <w:t>2.项目位于福建省福州市福清市融侨经济技术开发区（</w:t>
                  </w:r>
                  <w:r>
                    <w:rPr>
                      <w:rFonts w:hint="eastAsia"/>
                      <w:color w:val="auto"/>
                      <w:szCs w:val="21"/>
                      <w:highlight w:val="none"/>
                      <w:lang w:eastAsia="zh-CN" w:bidi="ar"/>
                    </w:rPr>
                    <w:t>********</w:t>
                  </w:r>
                  <w:r>
                    <w:rPr>
                      <w:rFonts w:hint="default"/>
                      <w:color w:val="auto"/>
                      <w:szCs w:val="21"/>
                      <w:highlight w:val="none"/>
                      <w:lang w:bidi="ar"/>
                    </w:rPr>
                    <w:t>印刷制品有限公司1#厂房），周边50m范围内主要为其他</w:t>
                  </w:r>
                  <w:r>
                    <w:rPr>
                      <w:rFonts w:hint="eastAsia"/>
                      <w:color w:val="auto"/>
                      <w:szCs w:val="21"/>
                      <w:highlight w:val="none"/>
                      <w:lang w:eastAsia="zh-CN" w:bidi="ar"/>
                    </w:rPr>
                    <w:t>***</w:t>
                  </w:r>
                  <w:r>
                    <w:rPr>
                      <w:rFonts w:hint="default"/>
                      <w:color w:val="auto"/>
                      <w:szCs w:val="21"/>
                      <w:highlight w:val="none"/>
                      <w:lang w:bidi="ar"/>
                    </w:rPr>
                    <w:t>厂房及空地。项目建设符合空间布局约束要求。</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hint="default"/>
                      <w:color w:val="auto"/>
                      <w:szCs w:val="21"/>
                      <w:highlight w:val="none"/>
                      <w:lang w:bidi="ar"/>
                    </w:rPr>
                    <w:t>3.本项目西南侧厂界距离新局调节库为</w:t>
                  </w:r>
                  <w:r>
                    <w:rPr>
                      <w:rFonts w:hint="eastAsia"/>
                      <w:color w:val="auto"/>
                      <w:szCs w:val="21"/>
                      <w:highlight w:val="none"/>
                      <w:lang w:val="en-US" w:eastAsia="zh-CN" w:bidi="ar"/>
                    </w:rPr>
                    <w:t>201</w:t>
                  </w:r>
                  <w:r>
                    <w:rPr>
                      <w:rFonts w:hint="default"/>
                      <w:color w:val="auto"/>
                      <w:szCs w:val="21"/>
                      <w:highlight w:val="none"/>
                      <w:lang w:bidi="ar"/>
                    </w:rPr>
                    <w:t>m外（详见附图</w:t>
                  </w:r>
                  <w:r>
                    <w:rPr>
                      <w:rFonts w:hint="eastAsia"/>
                      <w:color w:val="auto"/>
                      <w:szCs w:val="21"/>
                      <w:highlight w:val="none"/>
                      <w:lang w:val="en-US" w:eastAsia="zh-CN" w:bidi="ar"/>
                    </w:rPr>
                    <w:t>3</w:t>
                  </w:r>
                  <w:r>
                    <w:rPr>
                      <w:rFonts w:hint="default"/>
                      <w:color w:val="auto"/>
                      <w:szCs w:val="21"/>
                      <w:highlight w:val="none"/>
                      <w:lang w:bidi="ar"/>
                    </w:rPr>
                    <w:t>）</w:t>
                  </w:r>
                  <w:r>
                    <w:rPr>
                      <w:rFonts w:hint="eastAsia"/>
                      <w:color w:val="auto"/>
                      <w:szCs w:val="21"/>
                      <w:highlight w:val="none"/>
                      <w:lang w:eastAsia="zh-CN" w:bidi="ar"/>
                    </w:rPr>
                    <w:t>，</w:t>
                  </w:r>
                  <w:r>
                    <w:rPr>
                      <w:rFonts w:hint="eastAsia"/>
                      <w:color w:val="auto"/>
                      <w:szCs w:val="21"/>
                      <w:highlight w:val="none"/>
                      <w:lang w:val="en-US" w:eastAsia="zh-CN" w:bidi="ar"/>
                    </w:rPr>
                    <w:t>不涉及</w:t>
                  </w:r>
                  <w:r>
                    <w:rPr>
                      <w:rFonts w:hint="default"/>
                      <w:color w:val="auto"/>
                      <w:szCs w:val="21"/>
                      <w:highlight w:val="none"/>
                    </w:rPr>
                    <w:t>新局调节库</w:t>
                  </w:r>
                  <w:r>
                    <w:rPr>
                      <w:rFonts w:hint="eastAsia"/>
                      <w:color w:val="auto"/>
                      <w:szCs w:val="21"/>
                      <w:highlight w:val="none"/>
                      <w:lang w:val="en-US" w:eastAsia="zh-CN"/>
                    </w:rPr>
                    <w:t>防护要求</w:t>
                  </w:r>
                </w:p>
              </w:tc>
              <w:tc>
                <w:tcPr>
                  <w:tcW w:w="310"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lang w:bidi="ar"/>
                    </w:rPr>
                    <w:t>符合</w:t>
                  </w:r>
                </w:p>
              </w:tc>
            </w:tr>
            <w:tr>
              <w:tblPrEx>
                <w:tblW w:w="4950" w:type="pct"/>
                <w:tblInd w:w="0" w:type="dxa"/>
                <w:tblLayout w:type="fixed"/>
                <w:tblCellMar>
                  <w:top w:w="0" w:type="dxa"/>
                  <w:left w:w="57" w:type="dxa"/>
                  <w:bottom w:w="0" w:type="dxa"/>
                  <w:right w:w="57" w:type="dxa"/>
                </w:tblCellMar>
              </w:tblPrEx>
              <w:trPr>
                <w:trHeight w:val="340"/>
              </w:trPr>
              <w:tc>
                <w:tcPr>
                  <w:tcW w:w="399" w:type="pct"/>
                  <w:vMerg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color w:val="auto"/>
                      <w:szCs w:val="21"/>
                      <w:highlight w:val="none"/>
                    </w:rPr>
                  </w:pPr>
                </w:p>
              </w:tc>
              <w:tc>
                <w:tcPr>
                  <w:tcW w:w="288"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szCs w:val="21"/>
                      <w:highlight w:val="none"/>
                      <w:lang w:bidi="ar"/>
                    </w:rPr>
                    <w:t>污染物排放管控</w:t>
                  </w:r>
                </w:p>
              </w:tc>
              <w:tc>
                <w:tcPr>
                  <w:tcW w:w="2660"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60" w:lineRule="exact"/>
                    <w:ind w:left="0" w:right="0"/>
                    <w:rPr>
                      <w:rFonts w:hint="default"/>
                      <w:color w:val="auto"/>
                      <w:kern w:val="0"/>
                      <w:szCs w:val="21"/>
                      <w:highlight w:val="none"/>
                    </w:rPr>
                  </w:pPr>
                  <w:r>
                    <w:rPr>
                      <w:rFonts w:hint="default"/>
                      <w:color w:val="auto"/>
                      <w:kern w:val="0"/>
                      <w:szCs w:val="21"/>
                      <w:highlight w:val="none"/>
                    </w:rPr>
                    <w:t>1.完善建设污水收集管网，确保园区内所有</w:t>
                  </w:r>
                  <w:r>
                    <w:rPr>
                      <w:rFonts w:hint="eastAsia"/>
                      <w:color w:val="auto"/>
                      <w:kern w:val="0"/>
                      <w:szCs w:val="21"/>
                      <w:highlight w:val="none"/>
                      <w:lang w:eastAsia="zh-CN"/>
                    </w:rPr>
                    <w:t>***</w:t>
                  </w:r>
                  <w:r>
                    <w:rPr>
                      <w:rFonts w:hint="default"/>
                      <w:color w:val="auto"/>
                      <w:kern w:val="0"/>
                      <w:szCs w:val="21"/>
                      <w:highlight w:val="none"/>
                    </w:rPr>
                    <w:t>废水、生活污水纳入污水处理厂处理并达标排放。</w:t>
                  </w:r>
                </w:p>
                <w:p>
                  <w:pPr>
                    <w:keepNext w:val="0"/>
                    <w:keepLines w:val="0"/>
                    <w:suppressLineNumbers w:val="0"/>
                    <w:adjustRightInd w:val="0"/>
                    <w:snapToGrid w:val="0"/>
                    <w:spacing w:before="0" w:beforeAutospacing="0" w:after="0" w:afterAutospacing="0" w:line="260" w:lineRule="exact"/>
                    <w:ind w:left="0" w:right="0"/>
                    <w:rPr>
                      <w:rFonts w:hint="default"/>
                      <w:color w:val="auto"/>
                      <w:szCs w:val="21"/>
                      <w:highlight w:val="none"/>
                    </w:rPr>
                  </w:pPr>
                  <w:r>
                    <w:rPr>
                      <w:rFonts w:hint="default"/>
                      <w:color w:val="auto"/>
                      <w:szCs w:val="21"/>
                      <w:highlight w:val="none"/>
                    </w:rPr>
                    <w:t>2.对油墨等有机原辅材料调配和使用等，要采取车间环境负压改造、安装高效集气装置等措施，有机废气收集率达到70%以上。</w:t>
                  </w:r>
                </w:p>
                <w:p>
                  <w:pPr>
                    <w:keepNext w:val="0"/>
                    <w:keepLines w:val="0"/>
                    <w:suppressLineNumbers w:val="0"/>
                    <w:adjustRightInd w:val="0"/>
                    <w:snapToGrid w:val="0"/>
                    <w:spacing w:before="0" w:beforeAutospacing="0" w:after="0" w:afterAutospacing="0" w:line="260" w:lineRule="exact"/>
                    <w:ind w:left="0" w:right="0"/>
                    <w:rPr>
                      <w:rFonts w:hint="default"/>
                      <w:color w:val="auto"/>
                      <w:szCs w:val="21"/>
                      <w:highlight w:val="none"/>
                    </w:rPr>
                  </w:pPr>
                  <w:r>
                    <w:rPr>
                      <w:rFonts w:hint="default"/>
                      <w:color w:val="auto"/>
                      <w:szCs w:val="21"/>
                      <w:highlight w:val="none"/>
                    </w:rPr>
                    <w:t>3.包装印刷业烘干车间应安装吸附设备回收有机溶剂，车间有机废气净化效率应达到90%以上。</w:t>
                  </w:r>
                </w:p>
                <w:p>
                  <w:pPr>
                    <w:keepNext w:val="0"/>
                    <w:keepLines w:val="0"/>
                    <w:suppressLineNumbers w:val="0"/>
                    <w:adjustRightInd w:val="0"/>
                    <w:snapToGrid w:val="0"/>
                    <w:spacing w:before="0" w:beforeAutospacing="0" w:after="0" w:afterAutospacing="0" w:line="260" w:lineRule="exact"/>
                    <w:ind w:left="0" w:right="0"/>
                    <w:rPr>
                      <w:rFonts w:hint="default"/>
                      <w:color w:val="auto"/>
                      <w:szCs w:val="21"/>
                      <w:highlight w:val="none"/>
                    </w:rPr>
                  </w:pPr>
                  <w:r>
                    <w:rPr>
                      <w:rFonts w:hint="default"/>
                      <w:color w:val="auto"/>
                      <w:szCs w:val="21"/>
                      <w:highlight w:val="none"/>
                    </w:rPr>
                    <w:t>4.涉新增VOCs排放项目，VOCs排放实行区域内倍量替代。</w:t>
                  </w:r>
                </w:p>
              </w:tc>
              <w:tc>
                <w:tcPr>
                  <w:tcW w:w="1342"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rPr>
                      <w:rFonts w:hint="default"/>
                      <w:bCs/>
                      <w:color w:val="auto"/>
                      <w:szCs w:val="21"/>
                      <w:highlight w:val="none"/>
                    </w:rPr>
                  </w:pPr>
                  <w:r>
                    <w:rPr>
                      <w:rFonts w:hint="default"/>
                      <w:bCs/>
                      <w:color w:val="auto"/>
                      <w:szCs w:val="21"/>
                      <w:highlight w:val="none"/>
                    </w:rPr>
                    <w:t>1.项目所在区域，市政污水管网已</w:t>
                  </w:r>
                  <w:r>
                    <w:rPr>
                      <w:rFonts w:hint="default"/>
                      <w:bCs/>
                      <w:color w:val="auto"/>
                      <w:kern w:val="0"/>
                      <w:szCs w:val="21"/>
                      <w:highlight w:val="none"/>
                    </w:rPr>
                    <w:t>敷设</w:t>
                  </w:r>
                  <w:r>
                    <w:rPr>
                      <w:rFonts w:hint="default"/>
                      <w:bCs/>
                      <w:color w:val="auto"/>
                      <w:szCs w:val="21"/>
                      <w:highlight w:val="none"/>
                    </w:rPr>
                    <w:t>到位；</w:t>
                  </w:r>
                </w:p>
                <w:p>
                  <w:pPr>
                    <w:keepNext w:val="0"/>
                    <w:keepLines w:val="0"/>
                    <w:suppressLineNumbers w:val="0"/>
                    <w:adjustRightInd w:val="0"/>
                    <w:snapToGrid w:val="0"/>
                    <w:spacing w:before="0" w:beforeAutospacing="0" w:after="0" w:afterAutospacing="0"/>
                    <w:ind w:left="0" w:right="0"/>
                    <w:rPr>
                      <w:rFonts w:hint="default"/>
                      <w:bCs/>
                      <w:color w:val="auto"/>
                      <w:szCs w:val="21"/>
                      <w:highlight w:val="none"/>
                    </w:rPr>
                  </w:pPr>
                  <w:r>
                    <w:rPr>
                      <w:rFonts w:hint="default"/>
                      <w:bCs/>
                      <w:color w:val="auto"/>
                      <w:szCs w:val="21"/>
                      <w:highlight w:val="none"/>
                    </w:rPr>
                    <w:t>2.本项目不涉及有机原辅材料调配，生产设备使用全自动化密闭设备，有机废气收集率可达70%以上；</w:t>
                  </w:r>
                </w:p>
                <w:p>
                  <w:pPr>
                    <w:keepNext w:val="0"/>
                    <w:keepLines w:val="0"/>
                    <w:suppressLineNumbers w:val="0"/>
                    <w:adjustRightInd w:val="0"/>
                    <w:snapToGrid w:val="0"/>
                    <w:spacing w:before="0" w:beforeAutospacing="0" w:after="0" w:afterAutospacing="0"/>
                    <w:ind w:left="0" w:right="0"/>
                    <w:rPr>
                      <w:rFonts w:hint="default"/>
                      <w:bCs/>
                      <w:color w:val="auto"/>
                      <w:szCs w:val="21"/>
                      <w:highlight w:val="none"/>
                    </w:rPr>
                  </w:pPr>
                  <w:r>
                    <w:rPr>
                      <w:rFonts w:hint="default"/>
                      <w:bCs/>
                      <w:color w:val="auto"/>
                      <w:szCs w:val="21"/>
                      <w:highlight w:val="none"/>
                    </w:rPr>
                    <w:t>3.本项目从事刹车片生产，不属于包装印刷业；</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hint="default"/>
                      <w:bCs/>
                      <w:color w:val="auto"/>
                      <w:szCs w:val="21"/>
                      <w:highlight w:val="none"/>
                    </w:rPr>
                    <w:t>4.</w:t>
                  </w:r>
                  <w:r>
                    <w:rPr>
                      <w:rFonts w:hint="default"/>
                      <w:color w:val="auto"/>
                      <w:szCs w:val="21"/>
                      <w:highlight w:val="none"/>
                    </w:rPr>
                    <w:t>VOCs排放实行区域内倍量替代</w:t>
                  </w:r>
                  <w:r>
                    <w:rPr>
                      <w:rFonts w:hint="default"/>
                      <w:bCs/>
                      <w:color w:val="auto"/>
                      <w:szCs w:val="21"/>
                      <w:highlight w:val="none"/>
                    </w:rPr>
                    <w:t>。</w:t>
                  </w:r>
                </w:p>
              </w:tc>
              <w:tc>
                <w:tcPr>
                  <w:tcW w:w="310"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lang w:bidi="ar"/>
                    </w:rPr>
                    <w:t>符合</w:t>
                  </w:r>
                </w:p>
              </w:tc>
            </w:tr>
            <w:tr>
              <w:tblPrEx>
                <w:tblW w:w="4950" w:type="pct"/>
                <w:tblInd w:w="0" w:type="dxa"/>
                <w:tblLayout w:type="fixed"/>
                <w:tblCellMar>
                  <w:top w:w="0" w:type="dxa"/>
                  <w:left w:w="57" w:type="dxa"/>
                  <w:bottom w:w="0" w:type="dxa"/>
                  <w:right w:w="57" w:type="dxa"/>
                </w:tblCellMar>
              </w:tblPrEx>
              <w:trPr>
                <w:trHeight w:val="340"/>
              </w:trPr>
              <w:tc>
                <w:tcPr>
                  <w:tcW w:w="399" w:type="pct"/>
                  <w:vMerg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color w:val="auto"/>
                      <w:szCs w:val="21"/>
                      <w:highlight w:val="none"/>
                    </w:rPr>
                  </w:pPr>
                </w:p>
              </w:tc>
              <w:tc>
                <w:tcPr>
                  <w:tcW w:w="288"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lang w:bidi="ar"/>
                    </w:rPr>
                    <w:t>环境风险防控</w:t>
                  </w:r>
                </w:p>
              </w:tc>
              <w:tc>
                <w:tcPr>
                  <w:tcW w:w="2660"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60" w:lineRule="exact"/>
                    <w:ind w:left="0" w:right="0"/>
                    <w:rPr>
                      <w:rFonts w:hint="default"/>
                      <w:color w:val="auto"/>
                      <w:szCs w:val="21"/>
                      <w:highlight w:val="none"/>
                    </w:rPr>
                  </w:pPr>
                  <w:r>
                    <w:rPr>
                      <w:rFonts w:hint="default"/>
                      <w:color w:val="auto"/>
                      <w:szCs w:val="21"/>
                      <w:highlight w:val="none"/>
                    </w:rPr>
                    <w:t>1.建立健全环境风险防控体系，制定环境风险应急预案，建设事故应急池，成立应急组织机构，防止在处理安全生产事故过程中产生的可能严重污染水体的消防废水、废液直接排入水体。</w:t>
                  </w:r>
                </w:p>
                <w:p>
                  <w:pPr>
                    <w:keepNext w:val="0"/>
                    <w:keepLines w:val="0"/>
                    <w:suppressLineNumbers w:val="0"/>
                    <w:adjustRightInd w:val="0"/>
                    <w:snapToGrid w:val="0"/>
                    <w:spacing w:before="0" w:beforeAutospacing="0" w:after="0" w:afterAutospacing="0" w:line="260" w:lineRule="exact"/>
                    <w:ind w:left="0" w:right="0"/>
                    <w:rPr>
                      <w:rFonts w:hint="default"/>
                      <w:color w:val="auto"/>
                      <w:szCs w:val="21"/>
                      <w:highlight w:val="none"/>
                    </w:rPr>
                  </w:pPr>
                  <w:r>
                    <w:rPr>
                      <w:rFonts w:hint="default"/>
                      <w:color w:val="auto"/>
                      <w:szCs w:val="21"/>
                      <w:highlight w:val="none"/>
                    </w:rPr>
                    <w:t>2.应采取有效措施防止园区建设对区域地下水、土壤造成污染。</w:t>
                  </w:r>
                </w:p>
              </w:tc>
              <w:tc>
                <w:tcPr>
                  <w:tcW w:w="1342"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危废间、化学品仓库及污水处理站做好防渗措施，防止对土壤、地下水的污染</w:t>
                  </w:r>
                </w:p>
              </w:tc>
              <w:tc>
                <w:tcPr>
                  <w:tcW w:w="310"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lang w:bidi="ar"/>
                    </w:rPr>
                    <w:t>符合</w:t>
                  </w:r>
                </w:p>
              </w:tc>
            </w:tr>
            <w:tr>
              <w:tblPrEx>
                <w:tblW w:w="4950" w:type="pct"/>
                <w:tblInd w:w="0" w:type="dxa"/>
                <w:tblLayout w:type="fixed"/>
                <w:tblCellMar>
                  <w:top w:w="0" w:type="dxa"/>
                  <w:left w:w="57" w:type="dxa"/>
                  <w:bottom w:w="0" w:type="dxa"/>
                  <w:right w:w="57" w:type="dxa"/>
                </w:tblCellMar>
              </w:tblPrEx>
              <w:trPr>
                <w:trHeight w:val="340"/>
              </w:trPr>
              <w:tc>
                <w:tcPr>
                  <w:tcW w:w="399" w:type="pct"/>
                  <w:vMerg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color w:val="auto"/>
                      <w:szCs w:val="21"/>
                      <w:highlight w:val="none"/>
                    </w:rPr>
                  </w:pPr>
                </w:p>
              </w:tc>
              <w:tc>
                <w:tcPr>
                  <w:tcW w:w="288"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szCs w:val="21"/>
                      <w:highlight w:val="none"/>
                      <w:lang w:bidi="ar"/>
                    </w:rPr>
                    <w:t>资源开发效率</w:t>
                  </w:r>
                </w:p>
              </w:tc>
              <w:tc>
                <w:tcPr>
                  <w:tcW w:w="2660"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60" w:lineRule="exact"/>
                    <w:ind w:left="0" w:right="0"/>
                    <w:rPr>
                      <w:rFonts w:hint="default"/>
                      <w:color w:val="auto"/>
                      <w:szCs w:val="21"/>
                      <w:highlight w:val="none"/>
                    </w:rPr>
                  </w:pPr>
                  <w:r>
                    <w:rPr>
                      <w:rFonts w:hint="default"/>
                      <w:color w:val="auto"/>
                      <w:kern w:val="0"/>
                      <w:szCs w:val="21"/>
                      <w:highlight w:val="none"/>
                    </w:rPr>
                    <w:t>高污染燃料禁燃区内禁止燃用高污染燃料，禁止新建、扩建燃用高污染燃料的设施。已建的燃用高污染燃料设施，限期改用电、天然气、液化石油气等清洁能源。</w:t>
                  </w:r>
                </w:p>
              </w:tc>
              <w:tc>
                <w:tcPr>
                  <w:tcW w:w="1342"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本项目设备均采用电能，不涉及使用高污染燃料。</w:t>
                  </w:r>
                </w:p>
              </w:tc>
              <w:tc>
                <w:tcPr>
                  <w:tcW w:w="310"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lang w:bidi="ar"/>
                    </w:rPr>
                    <w:t>符合</w:t>
                  </w:r>
                </w:p>
              </w:tc>
            </w:tr>
          </w:tbl>
          <w:p>
            <w:pPr>
              <w:keepNext w:val="0"/>
              <w:keepLines w:val="0"/>
              <w:suppressLineNumbers w:val="0"/>
              <w:spacing w:before="0" w:beforeAutospacing="0" w:after="0" w:afterAutospacing="0" w:line="360" w:lineRule="auto"/>
              <w:ind w:left="0" w:right="0" w:firstLine="480" w:firstLineChars="200"/>
              <w:rPr>
                <w:rFonts w:cs="宋体" w:hint="default"/>
                <w:color w:val="auto"/>
                <w:sz w:val="24"/>
                <w:highlight w:val="none"/>
                <w:lang w:bidi="ar"/>
              </w:rPr>
            </w:pPr>
            <w:r>
              <w:rPr>
                <w:rFonts w:cs="宋体" w:hint="eastAsia"/>
                <w:color w:val="auto"/>
                <w:sz w:val="24"/>
                <w:highlight w:val="none"/>
                <w:lang w:bidi="ar"/>
              </w:rPr>
              <w:t>根据上述分析，本项目符合《福州市人民政府关于实施“三线一单”生态分区管控的通知》（榕政综〔</w:t>
            </w:r>
            <w:r>
              <w:rPr>
                <w:rFonts w:cs="宋体" w:hint="default"/>
                <w:color w:val="auto"/>
                <w:sz w:val="24"/>
                <w:highlight w:val="none"/>
                <w:lang w:bidi="ar"/>
              </w:rPr>
              <w:t>2021</w:t>
            </w:r>
            <w:r>
              <w:rPr>
                <w:rFonts w:cs="宋体" w:hint="eastAsia"/>
                <w:color w:val="auto"/>
                <w:sz w:val="24"/>
                <w:highlight w:val="none"/>
                <w:lang w:bidi="ar"/>
              </w:rPr>
              <w:t>〕</w:t>
            </w:r>
            <w:r>
              <w:rPr>
                <w:rFonts w:cs="宋体" w:hint="default"/>
                <w:color w:val="auto"/>
                <w:sz w:val="24"/>
                <w:highlight w:val="none"/>
                <w:lang w:bidi="ar"/>
              </w:rPr>
              <w:t>178</w:t>
            </w:r>
            <w:r>
              <w:rPr>
                <w:rFonts w:cs="宋体" w:hint="eastAsia"/>
                <w:color w:val="auto"/>
                <w:sz w:val="24"/>
                <w:highlight w:val="none"/>
                <w:lang w:bidi="ar"/>
              </w:rPr>
              <w:t>号）</w:t>
            </w:r>
            <w:r>
              <w:rPr>
                <w:rFonts w:cs="宋体" w:hint="default"/>
                <w:color w:val="auto"/>
                <w:sz w:val="24"/>
                <w:highlight w:val="none"/>
                <w:lang w:bidi="ar"/>
              </w:rPr>
              <w:t>)</w:t>
            </w:r>
            <w:r>
              <w:rPr>
                <w:rFonts w:cs="宋体" w:hint="eastAsia"/>
                <w:color w:val="auto"/>
                <w:sz w:val="24"/>
                <w:highlight w:val="none"/>
                <w:lang w:bidi="ar"/>
              </w:rPr>
              <w:t>中的相关规定。</w:t>
            </w:r>
          </w:p>
          <w:p>
            <w:pPr>
              <w:pStyle w:val="NormalIndent"/>
              <w:keepNext w:val="0"/>
              <w:keepLines w:val="0"/>
              <w:numPr>
                <w:ilvl w:val="0"/>
                <w:numId w:val="9"/>
              </w:numPr>
              <w:suppressLineNumbers w:val="0"/>
              <w:spacing w:before="0" w:beforeAutospacing="0" w:after="0" w:afterAutospacing="0"/>
              <w:ind w:left="0" w:right="0" w:firstLine="482"/>
              <w:rPr>
                <w:rFonts w:hint="default"/>
                <w:b/>
                <w:bCs/>
                <w:color w:val="auto"/>
                <w:highlight w:val="none"/>
              </w:rPr>
            </w:pPr>
            <w:r>
              <w:rPr>
                <w:rFonts w:hint="eastAsia"/>
                <w:b/>
                <w:bCs/>
                <w:color w:val="auto"/>
                <w:highlight w:val="none"/>
              </w:rPr>
              <w:t>与污染防治相关政策符合性分析</w:t>
            </w:r>
          </w:p>
        </w:tc>
      </w:tr>
    </w:tbl>
    <w:p>
      <w:pPr>
        <w:sectPr>
          <w:footerReference w:type="default" r:id="rId13"/>
          <w:type w:val="nextPage"/>
          <w:pgSz w:w="16838" w:h="11906" w:orient="landscape"/>
          <w:pgMar w:top="1417" w:right="1417" w:bottom="1417" w:left="1417" w:header="992" w:footer="992" w:gutter="0"/>
          <w:pgBorders>
            <w:top w:val="none" w:sz="0" w:space="0" w:color="auto"/>
            <w:left w:val="none" w:sz="0" w:space="0" w:color="auto"/>
            <w:bottom w:val="none" w:sz="0" w:space="0" w:color="auto"/>
            <w:right w:val="none" w:sz="0" w:space="0" w:color="auto"/>
          </w:pgBorders>
          <w:pgNumType w:start="3"/>
          <w:cols w:num="1" w:space="720"/>
          <w:titlePg w:val="0"/>
          <w:docGrid w:linePitch="312" w:charSpace="0"/>
        </w:sectPr>
      </w:pPr>
    </w:p>
    <w:tbl>
      <w:tblPr>
        <w:tblStyle w:val="TableNormal"/>
        <w:tblW w:w="499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756"/>
        <w:gridCol w:w="13453"/>
      </w:tblGrid>
      <w:tr>
        <w:tblPrEx>
          <w:tblW w:w="499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8836"/>
          <w:jc w:val="center"/>
        </w:trPr>
        <w:tc>
          <w:tcPr>
            <w:tcW w:w="266" w:type="pct"/>
            <w:vAlign w:val="center"/>
          </w:tcPr>
          <w:p/>
        </w:tc>
        <w:tc>
          <w:tcPr>
            <w:tcW w:w="4733" w:type="pct"/>
            <w:vAlign w:val="center"/>
          </w:tcPr>
          <w:p>
            <w:pPr>
              <w:keepNext w:val="0"/>
              <w:keepLines w:val="0"/>
              <w:suppressLineNumbers w:val="0"/>
              <w:spacing w:before="0" w:beforeAutospacing="0" w:after="0" w:afterAutospacing="0" w:line="360" w:lineRule="auto"/>
              <w:ind w:left="0" w:right="0" w:firstLine="480" w:firstLineChars="200"/>
              <w:rPr>
                <w:rFonts w:cs="宋体" w:hint="default"/>
                <w:color w:val="auto"/>
                <w:sz w:val="24"/>
                <w:highlight w:val="none"/>
                <w:lang w:bidi="ar"/>
              </w:rPr>
            </w:pPr>
            <w:r>
              <w:rPr>
                <w:rFonts w:cs="宋体" w:hint="eastAsia"/>
                <w:color w:val="auto"/>
                <w:sz w:val="24"/>
                <w:highlight w:val="none"/>
                <w:lang w:bidi="ar"/>
              </w:rPr>
              <w:t>本项目与挥发性有机物污染防治政策相关内容符合性分析，符合性分析详见表1.1-5。</w:t>
            </w:r>
          </w:p>
          <w:p>
            <w:pPr>
              <w:keepNext w:val="0"/>
              <w:keepLines w:val="0"/>
              <w:widowControl/>
              <w:suppressLineNumbers w:val="0"/>
              <w:spacing w:before="0" w:beforeAutospacing="0" w:after="0" w:afterAutospacing="0"/>
              <w:ind w:left="0" w:right="0"/>
              <w:jc w:val="center"/>
              <w:rPr>
                <w:rFonts w:hint="default"/>
                <w:b/>
                <w:color w:val="auto"/>
                <w:kern w:val="0"/>
                <w:sz w:val="24"/>
                <w:highlight w:val="none"/>
              </w:rPr>
            </w:pPr>
            <w:r>
              <w:rPr>
                <w:rFonts w:hint="eastAsia"/>
                <w:b/>
                <w:color w:val="auto"/>
                <w:kern w:val="0"/>
                <w:sz w:val="24"/>
                <w:highlight w:val="none"/>
              </w:rPr>
              <w:t>表1.1-5 挥发性有机物污染防治政策相关内容</w:t>
            </w:r>
          </w:p>
          <w:tbl>
            <w:tblPr>
              <w:tblStyle w:val="TableNormal"/>
              <w:tblW w:w="4998" w:type="pct"/>
              <w:jc w:val="center"/>
              <w:tblBorders>
                <w:top w:val="single" w:sz="18" w:space="0" w:color="auto"/>
                <w:left w:val="none" w:sz="0" w:space="0" w:color="auto"/>
                <w:bottom w:val="single" w:sz="18"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533"/>
              <w:gridCol w:w="1536"/>
              <w:gridCol w:w="7857"/>
              <w:gridCol w:w="2578"/>
              <w:gridCol w:w="728"/>
            </w:tblGrid>
            <w:tr>
              <w:tblPrEx>
                <w:tblW w:w="4998" w:type="pct"/>
                <w:jc w:val="center"/>
                <w:tblBorders>
                  <w:top w:val="single" w:sz="18" w:space="0" w:color="auto"/>
                  <w:left w:val="none" w:sz="0" w:space="0" w:color="auto"/>
                  <w:bottom w:val="single" w:sz="18"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340"/>
                <w:jc w:val="center"/>
              </w:trPr>
              <w:tc>
                <w:tcPr>
                  <w:tcW w:w="201"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b/>
                      <w:bCs/>
                      <w:color w:val="auto"/>
                      <w:sz w:val="21"/>
                      <w:szCs w:val="21"/>
                      <w:highlight w:val="none"/>
                    </w:rPr>
                  </w:pPr>
                  <w:r>
                    <w:rPr>
                      <w:rFonts w:hint="default"/>
                      <w:b/>
                      <w:bCs/>
                      <w:color w:val="auto"/>
                      <w:sz w:val="21"/>
                      <w:szCs w:val="21"/>
                      <w:highlight w:val="none"/>
                    </w:rPr>
                    <w:t>序号</w:t>
                  </w:r>
                </w:p>
              </w:tc>
              <w:tc>
                <w:tcPr>
                  <w:tcW w:w="580"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b/>
                      <w:bCs/>
                      <w:color w:val="auto"/>
                      <w:sz w:val="21"/>
                      <w:szCs w:val="21"/>
                      <w:highlight w:val="none"/>
                    </w:rPr>
                  </w:pPr>
                  <w:r>
                    <w:rPr>
                      <w:rFonts w:hint="default"/>
                      <w:b/>
                      <w:bCs/>
                      <w:color w:val="auto"/>
                      <w:sz w:val="21"/>
                      <w:szCs w:val="21"/>
                      <w:highlight w:val="none"/>
                    </w:rPr>
                    <w:t>相关文件名称</w:t>
                  </w:r>
                </w:p>
              </w:tc>
              <w:tc>
                <w:tcPr>
                  <w:tcW w:w="2968"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b/>
                      <w:bCs/>
                      <w:color w:val="auto"/>
                      <w:sz w:val="21"/>
                      <w:szCs w:val="21"/>
                      <w:highlight w:val="none"/>
                    </w:rPr>
                  </w:pPr>
                  <w:r>
                    <w:rPr>
                      <w:rFonts w:hint="default"/>
                      <w:b/>
                      <w:bCs/>
                      <w:color w:val="auto"/>
                      <w:sz w:val="21"/>
                      <w:szCs w:val="21"/>
                      <w:highlight w:val="none"/>
                    </w:rPr>
                    <w:t>相关内容</w:t>
                  </w:r>
                </w:p>
              </w:tc>
              <w:tc>
                <w:tcPr>
                  <w:tcW w:w="974"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b/>
                      <w:bCs/>
                      <w:color w:val="auto"/>
                      <w:sz w:val="21"/>
                      <w:szCs w:val="21"/>
                      <w:highlight w:val="none"/>
                    </w:rPr>
                  </w:pPr>
                  <w:r>
                    <w:rPr>
                      <w:rFonts w:hint="default"/>
                      <w:b/>
                      <w:bCs/>
                      <w:color w:val="auto"/>
                      <w:sz w:val="21"/>
                      <w:szCs w:val="21"/>
                      <w:highlight w:val="none"/>
                    </w:rPr>
                    <w:t>本项目内容</w:t>
                  </w:r>
                </w:p>
              </w:tc>
              <w:tc>
                <w:tcPr>
                  <w:tcW w:w="275" w:type="pct"/>
                  <w:tcBorders>
                    <w:tl2br w:val="nil"/>
                    <w:tr2bl w:val="nil"/>
                  </w:tcBorders>
                  <w:vAlign w:val="center"/>
                </w:tcPr>
                <w:p>
                  <w:pPr>
                    <w:pStyle w:val="60"/>
                    <w:keepNext w:val="0"/>
                    <w:keepLines w:val="0"/>
                    <w:suppressLineNumbers w:val="0"/>
                    <w:adjustRightInd w:val="0"/>
                    <w:snapToGrid w:val="0"/>
                    <w:spacing w:before="0" w:beforeAutospacing="0" w:after="0" w:afterAutospacing="0"/>
                    <w:ind w:left="0" w:right="0"/>
                    <w:rPr>
                      <w:rFonts w:hint="default"/>
                      <w:b/>
                      <w:bCs/>
                      <w:color w:val="auto"/>
                      <w:sz w:val="21"/>
                      <w:szCs w:val="21"/>
                      <w:highlight w:val="none"/>
                    </w:rPr>
                  </w:pPr>
                  <w:r>
                    <w:rPr>
                      <w:rFonts w:hint="default"/>
                      <w:b/>
                      <w:bCs/>
                      <w:color w:val="auto"/>
                      <w:sz w:val="21"/>
                      <w:szCs w:val="21"/>
                      <w:highlight w:val="none"/>
                    </w:rPr>
                    <w:t>符合性</w:t>
                  </w:r>
                </w:p>
              </w:tc>
            </w:tr>
            <w:tr>
              <w:tblPrEx>
                <w:tblW w:w="4998" w:type="pct"/>
                <w:jc w:val="center"/>
                <w:tblLayout w:type="fixed"/>
                <w:tblCellMar>
                  <w:top w:w="0" w:type="dxa"/>
                  <w:left w:w="28" w:type="dxa"/>
                  <w:bottom w:w="0" w:type="dxa"/>
                  <w:right w:w="28" w:type="dxa"/>
                </w:tblCellMar>
              </w:tblPrEx>
              <w:trPr>
                <w:trHeight w:val="340"/>
                <w:jc w:val="center"/>
              </w:trPr>
              <w:tc>
                <w:tcPr>
                  <w:tcW w:w="201"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color w:val="auto"/>
                      <w:sz w:val="21"/>
                      <w:szCs w:val="21"/>
                      <w:highlight w:val="none"/>
                    </w:rPr>
                  </w:pPr>
                  <w:r>
                    <w:rPr>
                      <w:rFonts w:hint="default"/>
                      <w:color w:val="auto"/>
                      <w:sz w:val="21"/>
                      <w:szCs w:val="21"/>
                      <w:highlight w:val="none"/>
                    </w:rPr>
                    <w:t>1</w:t>
                  </w:r>
                </w:p>
              </w:tc>
              <w:tc>
                <w:tcPr>
                  <w:tcW w:w="580"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jc w:val="both"/>
                    <w:rPr>
                      <w:rFonts w:hint="default"/>
                      <w:color w:val="auto"/>
                      <w:sz w:val="21"/>
                      <w:szCs w:val="21"/>
                      <w:highlight w:val="none"/>
                    </w:rPr>
                  </w:pPr>
                  <w:r>
                    <w:rPr>
                      <w:rFonts w:hint="default"/>
                      <w:color w:val="auto"/>
                      <w:sz w:val="21"/>
                      <w:szCs w:val="21"/>
                      <w:highlight w:val="none"/>
                    </w:rPr>
                    <w:t>“十三五”挥发性有机物污染防治工作方案</w:t>
                  </w:r>
                </w:p>
              </w:tc>
              <w:tc>
                <w:tcPr>
                  <w:tcW w:w="2968"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hint="default"/>
                      <w:color w:val="auto"/>
                      <w:sz w:val="21"/>
                      <w:szCs w:val="21"/>
                      <w:highlight w:val="none"/>
                    </w:rPr>
                    <w:t>四、主要任务</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hint="default"/>
                      <w:color w:val="auto"/>
                      <w:sz w:val="21"/>
                      <w:szCs w:val="21"/>
                      <w:highlight w:val="none"/>
                    </w:rPr>
                    <w:t>（一）加大产业结构调整力度。</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hint="default"/>
                      <w:color w:val="auto"/>
                      <w:sz w:val="21"/>
                      <w:szCs w:val="21"/>
                      <w:highlight w:val="none"/>
                    </w:rPr>
                    <w:t>2.严格建设项目环境准入。</w:t>
                  </w:r>
                </w:p>
                <w:p>
                  <w:pPr>
                    <w:keepNext w:val="0"/>
                    <w:keepLines w:val="0"/>
                    <w:suppressLineNumbers w:val="0"/>
                    <w:adjustRightInd w:val="0"/>
                    <w:snapToGrid w:val="0"/>
                    <w:spacing w:before="0" w:beforeAutospacing="0" w:after="0" w:afterAutospacing="0"/>
                    <w:ind w:left="0" w:right="0"/>
                    <w:rPr>
                      <w:rFonts w:hint="default"/>
                      <w:b/>
                      <w:color w:val="auto"/>
                      <w:szCs w:val="21"/>
                      <w:highlight w:val="none"/>
                    </w:rPr>
                  </w:pPr>
                  <w:r>
                    <w:rPr>
                      <w:rFonts w:hint="default"/>
                      <w:color w:val="auto"/>
                      <w:sz w:val="21"/>
                      <w:szCs w:val="21"/>
                      <w:highlight w:val="none"/>
                    </w:rPr>
                    <w:t>提高VOCs排放重点行业环保准入门槛，严格控制新增污染物排放量。新建涉VOCs排放的</w:t>
                  </w:r>
                  <w:r>
                    <w:rPr>
                      <w:rFonts w:hint="eastAsia"/>
                      <w:color w:val="auto"/>
                      <w:sz w:val="21"/>
                      <w:szCs w:val="21"/>
                      <w:highlight w:val="none"/>
                      <w:lang w:eastAsia="zh-CN"/>
                    </w:rPr>
                    <w:t>***</w:t>
                  </w:r>
                  <w:r>
                    <w:rPr>
                      <w:rFonts w:hint="default"/>
                      <w:color w:val="auto"/>
                      <w:sz w:val="21"/>
                      <w:szCs w:val="21"/>
                      <w:highlight w:val="none"/>
                    </w:rPr>
                    <w:t>企业要入园区。新、改、扩建涉VOCs排放项目，应从源头加强控制，使用</w:t>
                  </w:r>
                  <w:r>
                    <w:rPr>
                      <w:rFonts w:hint="default"/>
                      <w:bCs/>
                      <w:color w:val="auto"/>
                      <w:sz w:val="21"/>
                      <w:szCs w:val="21"/>
                      <w:highlight w:val="none"/>
                    </w:rPr>
                    <w:t>低（无）VOCs含量的原辅材料，加强废气收集，安装高效治理设施。</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hint="default"/>
                      <w:color w:val="auto"/>
                      <w:sz w:val="21"/>
                      <w:szCs w:val="21"/>
                      <w:highlight w:val="none"/>
                    </w:rPr>
                    <w:t>（二）加快实施</w:t>
                  </w:r>
                  <w:r>
                    <w:rPr>
                      <w:rFonts w:hint="eastAsia"/>
                      <w:color w:val="auto"/>
                      <w:sz w:val="21"/>
                      <w:szCs w:val="21"/>
                      <w:highlight w:val="none"/>
                      <w:lang w:eastAsia="zh-CN"/>
                    </w:rPr>
                    <w:t>***</w:t>
                  </w:r>
                  <w:r>
                    <w:rPr>
                      <w:rFonts w:hint="default"/>
                      <w:color w:val="auto"/>
                      <w:sz w:val="21"/>
                      <w:szCs w:val="21"/>
                      <w:highlight w:val="none"/>
                    </w:rPr>
                    <w:t>源VOCs污染防治。</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hint="default"/>
                      <w:color w:val="auto"/>
                      <w:sz w:val="21"/>
                      <w:szCs w:val="21"/>
                      <w:highlight w:val="none"/>
                    </w:rPr>
                    <w:t>3.加大</w:t>
                  </w:r>
                  <w:r>
                    <w:rPr>
                      <w:rFonts w:hint="eastAsia"/>
                      <w:color w:val="auto"/>
                      <w:sz w:val="21"/>
                      <w:szCs w:val="21"/>
                      <w:highlight w:val="none"/>
                      <w:lang w:eastAsia="zh-CN"/>
                    </w:rPr>
                    <w:t>***</w:t>
                  </w:r>
                  <w:r>
                    <w:rPr>
                      <w:rFonts w:hint="default"/>
                      <w:color w:val="auto"/>
                      <w:sz w:val="21"/>
                      <w:szCs w:val="21"/>
                      <w:highlight w:val="none"/>
                    </w:rPr>
                    <w:t>涂装VOCs治理力度。</w:t>
                  </w:r>
                </w:p>
                <w:p>
                  <w:pPr>
                    <w:keepNext w:val="0"/>
                    <w:keepLines w:val="0"/>
                    <w:suppressLineNumbers w:val="0"/>
                    <w:adjustRightInd w:val="0"/>
                    <w:snapToGrid w:val="0"/>
                    <w:spacing w:before="0" w:beforeAutospacing="0" w:after="0" w:afterAutospacing="0"/>
                    <w:ind w:left="0" w:right="0"/>
                    <w:rPr>
                      <w:rFonts w:hint="default"/>
                      <w:color w:val="auto"/>
                      <w:szCs w:val="21"/>
                      <w:highlight w:val="none"/>
                    </w:rPr>
                  </w:pPr>
                  <w:r>
                    <w:rPr>
                      <w:rFonts w:hint="default"/>
                      <w:color w:val="auto"/>
                      <w:sz w:val="21"/>
                      <w:szCs w:val="21"/>
                      <w:highlight w:val="none"/>
                    </w:rPr>
                    <w:t>（3）木质家具制造行业。大力推广使用水性、紫外光固化涂料，到2020年底前，替代比例达到60%以上；全面使用水性胶粘剂，到2020年底前，替代比例达到100%。在平面板式木质家具制造领域，推广使用自动喷涂或辊涂等先进工艺技术。加强废气收集与处理，有机废气收集效率不低于80%；建设吸附燃烧等高效治理设施，实现达标排放。</w:t>
                  </w:r>
                </w:p>
              </w:tc>
              <w:tc>
                <w:tcPr>
                  <w:tcW w:w="974"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jc w:val="both"/>
                    <w:rPr>
                      <w:rFonts w:hint="default"/>
                      <w:color w:val="auto"/>
                      <w:sz w:val="21"/>
                      <w:szCs w:val="21"/>
                      <w:highlight w:val="none"/>
                    </w:rPr>
                  </w:pPr>
                  <w:r>
                    <w:rPr>
                      <w:rStyle w:val="a14"/>
                      <w:rFonts w:hint="default"/>
                      <w:color w:val="auto"/>
                      <w:sz w:val="21"/>
                      <w:szCs w:val="21"/>
                      <w:highlight w:val="none"/>
                    </w:rPr>
                    <w:t>本项目位于</w:t>
                  </w:r>
                  <w:r>
                    <w:rPr>
                      <w:rFonts w:hint="default"/>
                      <w:color w:val="auto"/>
                      <w:sz w:val="21"/>
                      <w:szCs w:val="21"/>
                      <w:highlight w:val="none"/>
                    </w:rPr>
                    <w:t>福清市</w:t>
                  </w:r>
                  <w:r>
                    <w:rPr>
                      <w:rStyle w:val="a14"/>
                      <w:rFonts w:hint="default"/>
                      <w:color w:val="auto"/>
                      <w:sz w:val="21"/>
                      <w:szCs w:val="21"/>
                      <w:highlight w:val="none"/>
                    </w:rPr>
                    <w:t>，不属于重点地区，不属于重点行业，本项目建设过程中将严格执行环保“三同时”制度，严格废气收集、治理，确保满足有机废气收集、治理、管理的要求，实现达标排放，VOC</w:t>
                  </w:r>
                  <w:r>
                    <w:rPr>
                      <w:rStyle w:val="a14"/>
                      <w:rFonts w:hint="default"/>
                      <w:color w:val="auto"/>
                      <w:sz w:val="21"/>
                      <w:szCs w:val="21"/>
                      <w:highlight w:val="none"/>
                      <w:vertAlign w:val="subscript"/>
                    </w:rPr>
                    <w:t>S</w:t>
                  </w:r>
                  <w:r>
                    <w:rPr>
                      <w:rStyle w:val="a14"/>
                      <w:rFonts w:hint="default"/>
                      <w:color w:val="auto"/>
                      <w:sz w:val="21"/>
                      <w:szCs w:val="21"/>
                      <w:highlight w:val="none"/>
                    </w:rPr>
                    <w:t>排放量严格执行允许排放量控制</w:t>
                  </w:r>
                </w:p>
              </w:tc>
              <w:tc>
                <w:tcPr>
                  <w:tcW w:w="275" w:type="pct"/>
                  <w:tcBorders>
                    <w:tl2br w:val="nil"/>
                    <w:tr2bl w:val="nil"/>
                  </w:tcBorders>
                  <w:vAlign w:val="center"/>
                </w:tcPr>
                <w:p>
                  <w:pPr>
                    <w:pStyle w:val="60"/>
                    <w:keepNext w:val="0"/>
                    <w:keepLines w:val="0"/>
                    <w:suppressLineNumbers w:val="0"/>
                    <w:adjustRightInd w:val="0"/>
                    <w:snapToGrid w:val="0"/>
                    <w:spacing w:before="0" w:beforeAutospacing="0" w:after="0" w:afterAutospacing="0"/>
                    <w:ind w:left="0" w:right="0"/>
                    <w:jc w:val="both"/>
                    <w:rPr>
                      <w:rStyle w:val="a14"/>
                      <w:rFonts w:hint="default"/>
                      <w:color w:val="auto"/>
                      <w:sz w:val="21"/>
                      <w:szCs w:val="21"/>
                      <w:highlight w:val="none"/>
                    </w:rPr>
                  </w:pPr>
                  <w:r>
                    <w:rPr>
                      <w:rStyle w:val="a14"/>
                      <w:rFonts w:hint="default"/>
                      <w:color w:val="auto"/>
                      <w:sz w:val="21"/>
                      <w:szCs w:val="21"/>
                      <w:highlight w:val="none"/>
                    </w:rPr>
                    <w:t>符合</w:t>
                  </w:r>
                </w:p>
              </w:tc>
            </w:tr>
            <w:tr>
              <w:tblPrEx>
                <w:tblW w:w="4998" w:type="pct"/>
                <w:jc w:val="center"/>
                <w:tblLayout w:type="fixed"/>
                <w:tblCellMar>
                  <w:top w:w="0" w:type="dxa"/>
                  <w:left w:w="28" w:type="dxa"/>
                  <w:bottom w:w="0" w:type="dxa"/>
                  <w:right w:w="28" w:type="dxa"/>
                </w:tblCellMar>
              </w:tblPrEx>
              <w:trPr>
                <w:trHeight w:val="340"/>
                <w:jc w:val="center"/>
              </w:trPr>
              <w:tc>
                <w:tcPr>
                  <w:tcW w:w="201"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color w:val="auto"/>
                      <w:sz w:val="21"/>
                      <w:szCs w:val="21"/>
                      <w:highlight w:val="none"/>
                    </w:rPr>
                  </w:pPr>
                  <w:r>
                    <w:rPr>
                      <w:rFonts w:hint="default"/>
                      <w:color w:val="auto"/>
                      <w:sz w:val="21"/>
                      <w:szCs w:val="21"/>
                      <w:highlight w:val="none"/>
                    </w:rPr>
                    <w:t>2</w:t>
                  </w:r>
                </w:p>
              </w:tc>
              <w:tc>
                <w:tcPr>
                  <w:tcW w:w="580"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color w:val="auto"/>
                      <w:sz w:val="21"/>
                      <w:szCs w:val="21"/>
                      <w:highlight w:val="none"/>
                    </w:rPr>
                  </w:pPr>
                  <w:r>
                    <w:rPr>
                      <w:rFonts w:hint="default"/>
                      <w:color w:val="auto"/>
                      <w:sz w:val="21"/>
                      <w:szCs w:val="21"/>
                      <w:highlight w:val="none"/>
                    </w:rPr>
                    <w:t>福建省重点行业挥发性有机物污染防治工作方案</w:t>
                  </w:r>
                </w:p>
              </w:tc>
              <w:tc>
                <w:tcPr>
                  <w:tcW w:w="2968" w:type="pct"/>
                  <w:tcBorders>
                    <w:tl2br w:val="nil"/>
                    <w:tr2bl w:val="nil"/>
                  </w:tcBorders>
                  <w:vAlign w:val="center"/>
                </w:tcPr>
                <w:p>
                  <w:pPr>
                    <w:keepNext w:val="0"/>
                    <w:keepLines w:val="0"/>
                    <w:widowControl/>
                    <w:suppressLineNumbers w:val="0"/>
                    <w:adjustRightInd w:val="0"/>
                    <w:spacing w:before="0" w:beforeAutospacing="0" w:after="0" w:afterAutospacing="0"/>
                    <w:ind w:left="0" w:right="0"/>
                    <w:rPr>
                      <w:rFonts w:hint="default"/>
                      <w:color w:val="auto"/>
                      <w:szCs w:val="21"/>
                      <w:highlight w:val="none"/>
                    </w:rPr>
                  </w:pPr>
                  <w:r>
                    <w:rPr>
                      <w:rFonts w:hint="default"/>
                      <w:color w:val="auto"/>
                      <w:sz w:val="21"/>
                      <w:szCs w:val="21"/>
                      <w:highlight w:val="none"/>
                    </w:rPr>
                    <w:t>二、主要任务</w:t>
                  </w:r>
                </w:p>
                <w:p>
                  <w:pPr>
                    <w:keepNext w:val="0"/>
                    <w:keepLines w:val="0"/>
                    <w:widowControl/>
                    <w:suppressLineNumbers w:val="0"/>
                    <w:adjustRightInd w:val="0"/>
                    <w:spacing w:before="0" w:beforeAutospacing="0" w:after="0" w:afterAutospacing="0"/>
                    <w:ind w:left="0" w:right="0"/>
                    <w:rPr>
                      <w:rFonts w:hint="default"/>
                      <w:color w:val="auto"/>
                      <w:szCs w:val="21"/>
                      <w:highlight w:val="none"/>
                    </w:rPr>
                  </w:pPr>
                  <w:r>
                    <w:rPr>
                      <w:rFonts w:hint="default"/>
                      <w:color w:val="auto"/>
                      <w:sz w:val="21"/>
                      <w:szCs w:val="21"/>
                      <w:highlight w:val="none"/>
                    </w:rPr>
                    <w:t>（一）严格环境准入</w:t>
                  </w:r>
                </w:p>
                <w:p>
                  <w:pPr>
                    <w:keepNext w:val="0"/>
                    <w:keepLines w:val="0"/>
                    <w:widowControl/>
                    <w:suppressLineNumbers w:val="0"/>
                    <w:adjustRightInd w:val="0"/>
                    <w:spacing w:before="0" w:beforeAutospacing="0" w:after="0" w:afterAutospacing="0"/>
                    <w:ind w:left="0" w:right="0"/>
                    <w:rPr>
                      <w:rFonts w:hint="default"/>
                      <w:color w:val="auto"/>
                      <w:szCs w:val="21"/>
                      <w:highlight w:val="none"/>
                    </w:rPr>
                  </w:pPr>
                  <w:r>
                    <w:rPr>
                      <w:rFonts w:hint="default"/>
                      <w:color w:val="auto"/>
                      <w:sz w:val="21"/>
                      <w:szCs w:val="21"/>
                      <w:highlight w:val="none"/>
                    </w:rPr>
                    <w:t>进一步提高行业准入门槛，严格控制新增污染物排放量。严格限制石化、化工、包装印刷、</w:t>
                  </w:r>
                  <w:r>
                    <w:rPr>
                      <w:rFonts w:hint="eastAsia"/>
                      <w:color w:val="auto"/>
                      <w:sz w:val="21"/>
                      <w:szCs w:val="21"/>
                      <w:highlight w:val="none"/>
                      <w:lang w:eastAsia="zh-CN"/>
                    </w:rPr>
                    <w:t>***</w:t>
                  </w:r>
                  <w:r>
                    <w:rPr>
                      <w:rFonts w:hint="default"/>
                      <w:color w:val="auto"/>
                      <w:sz w:val="21"/>
                      <w:szCs w:val="21"/>
                      <w:highlight w:val="none"/>
                    </w:rPr>
                    <w:t>涂装等高VOCs排放建设项目。新改扩建项目要使用低VOCs含量原辅材料，采取密闭措施，加强废气收集，配套安装高效治理设施，减少污染排放。淘汰国家及地方明令禁止的落后工艺和设备。</w:t>
                  </w:r>
                </w:p>
                <w:p>
                  <w:pPr>
                    <w:keepNext w:val="0"/>
                    <w:keepLines w:val="0"/>
                    <w:widowControl/>
                    <w:suppressLineNumbers w:val="0"/>
                    <w:adjustRightInd w:val="0"/>
                    <w:spacing w:before="0" w:beforeAutospacing="0" w:after="0" w:afterAutospacing="0"/>
                    <w:ind w:left="0" w:right="0"/>
                    <w:rPr>
                      <w:rFonts w:hint="default"/>
                      <w:color w:val="auto"/>
                      <w:szCs w:val="21"/>
                      <w:highlight w:val="none"/>
                    </w:rPr>
                  </w:pPr>
                  <w:r>
                    <w:rPr>
                      <w:rFonts w:hint="default"/>
                      <w:color w:val="auto"/>
                      <w:sz w:val="21"/>
                      <w:szCs w:val="21"/>
                      <w:highlight w:val="none"/>
                    </w:rPr>
                    <w:t>（二）大力推进清洁生产</w:t>
                  </w:r>
                </w:p>
                <w:p>
                  <w:pPr>
                    <w:keepNext w:val="0"/>
                    <w:keepLines w:val="0"/>
                    <w:widowControl/>
                    <w:suppressLineNumbers w:val="0"/>
                    <w:adjustRightInd w:val="0"/>
                    <w:spacing w:before="0" w:beforeAutospacing="0" w:after="0" w:afterAutospacing="0"/>
                    <w:ind w:left="0" w:right="0"/>
                    <w:rPr>
                      <w:rFonts w:hint="default"/>
                      <w:color w:val="auto"/>
                      <w:szCs w:val="21"/>
                      <w:highlight w:val="none"/>
                    </w:rPr>
                  </w:pPr>
                  <w:r>
                    <w:rPr>
                      <w:rFonts w:hint="default"/>
                      <w:color w:val="auto"/>
                      <w:sz w:val="21"/>
                      <w:szCs w:val="21"/>
                      <w:highlight w:val="none"/>
                    </w:rPr>
                    <w:t>在重点行业大力倡导环境标志产品生产及使用，尤其是水性涂料的生产和使用，从源头控制VOCs排放。</w:t>
                  </w:r>
                </w:p>
                <w:p>
                  <w:pPr>
                    <w:keepNext w:val="0"/>
                    <w:keepLines w:val="0"/>
                    <w:widowControl/>
                    <w:suppressLineNumbers w:val="0"/>
                    <w:adjustRightInd w:val="0"/>
                    <w:spacing w:before="0" w:beforeAutospacing="0" w:after="0" w:afterAutospacing="0"/>
                    <w:ind w:left="0" w:right="0"/>
                    <w:rPr>
                      <w:rFonts w:hint="default"/>
                      <w:color w:val="auto"/>
                      <w:szCs w:val="21"/>
                      <w:highlight w:val="none"/>
                    </w:rPr>
                  </w:pPr>
                  <w:r>
                    <w:rPr>
                      <w:rFonts w:hint="default"/>
                      <w:color w:val="auto"/>
                      <w:sz w:val="21"/>
                      <w:szCs w:val="21"/>
                      <w:highlight w:val="none"/>
                    </w:rPr>
                    <w:t>（三）加快推进重点行业VOCs专项整治</w:t>
                  </w:r>
                </w:p>
                <w:p>
                  <w:pPr>
                    <w:keepNext w:val="0"/>
                    <w:keepLines w:val="0"/>
                    <w:suppressLineNumbers w:val="0"/>
                    <w:adjustRightInd w:val="0"/>
                    <w:spacing w:before="0" w:beforeAutospacing="0" w:after="0" w:afterAutospacing="0"/>
                    <w:ind w:left="0" w:right="0"/>
                    <w:rPr>
                      <w:rFonts w:hint="default"/>
                      <w:color w:val="auto"/>
                      <w:szCs w:val="21"/>
                      <w:highlight w:val="none"/>
                    </w:rPr>
                  </w:pPr>
                  <w:r>
                    <w:rPr>
                      <w:rFonts w:hint="default"/>
                      <w:color w:val="auto"/>
                      <w:sz w:val="21"/>
                      <w:szCs w:val="21"/>
                      <w:highlight w:val="none"/>
                    </w:rPr>
                    <w:t>（2）加强化工企业污染综合整治</w:t>
                  </w:r>
                </w:p>
                <w:p>
                  <w:pPr>
                    <w:keepNext w:val="0"/>
                    <w:keepLines w:val="0"/>
                    <w:widowControl/>
                    <w:suppressLineNumbers w:val="0"/>
                    <w:adjustRightInd w:val="0"/>
                    <w:spacing w:before="0" w:beforeAutospacing="0" w:after="0" w:afterAutospacing="0"/>
                    <w:ind w:left="0" w:right="0"/>
                    <w:rPr>
                      <w:rFonts w:hint="default"/>
                      <w:color w:val="auto"/>
                      <w:szCs w:val="21"/>
                      <w:highlight w:val="none"/>
                    </w:rPr>
                  </w:pPr>
                </w:p>
              </w:tc>
              <w:tc>
                <w:tcPr>
                  <w:tcW w:w="974" w:type="pct"/>
                  <w:tcBorders>
                    <w:tl2br w:val="nil"/>
                    <w:tr2bl w:val="nil"/>
                  </w:tcBorders>
                </w:tcPr>
                <w:p>
                  <w:pPr>
                    <w:pStyle w:val="60"/>
                    <w:keepNext w:val="0"/>
                    <w:keepLines w:val="0"/>
                    <w:widowControl/>
                    <w:suppressLineNumbers w:val="0"/>
                    <w:adjustRightInd w:val="0"/>
                    <w:spacing w:before="0" w:beforeAutospacing="0" w:after="0" w:afterAutospacing="0" w:line="340" w:lineRule="exact"/>
                    <w:ind w:left="0" w:right="0"/>
                    <w:rPr>
                      <w:rFonts w:hint="default"/>
                      <w:color w:val="auto"/>
                      <w:sz w:val="21"/>
                      <w:szCs w:val="21"/>
                      <w:highlight w:val="none"/>
                    </w:rPr>
                  </w:pPr>
                  <w:r>
                    <w:rPr>
                      <w:rFonts w:hint="eastAsia"/>
                      <w:color w:val="auto"/>
                      <w:sz w:val="21"/>
                      <w:szCs w:val="21"/>
                      <w:highlight w:val="none"/>
                    </w:rPr>
                    <w:t>本项目</w:t>
                  </w:r>
                  <w:r>
                    <w:rPr>
                      <w:rFonts w:hint="default"/>
                      <w:color w:val="auto"/>
                      <w:sz w:val="21"/>
                      <w:szCs w:val="21"/>
                      <w:highlight w:val="none"/>
                    </w:rPr>
                    <w:t>主要从事</w:t>
                  </w:r>
                  <w:r>
                    <w:rPr>
                      <w:rFonts w:hint="eastAsia"/>
                      <w:color w:val="auto"/>
                      <w:sz w:val="21"/>
                      <w:szCs w:val="21"/>
                      <w:highlight w:val="none"/>
                    </w:rPr>
                    <w:t>刹车片</w:t>
                  </w:r>
                  <w:r>
                    <w:rPr>
                      <w:rFonts w:hint="default"/>
                      <w:color w:val="auto"/>
                      <w:sz w:val="21"/>
                      <w:szCs w:val="21"/>
                      <w:highlight w:val="none"/>
                    </w:rPr>
                    <w:t>生产</w:t>
                  </w:r>
                  <w:r>
                    <w:rPr>
                      <w:rFonts w:hint="eastAsia"/>
                      <w:color w:val="auto"/>
                      <w:sz w:val="21"/>
                      <w:szCs w:val="21"/>
                      <w:highlight w:val="none"/>
                    </w:rPr>
                    <w:t>，</w:t>
                  </w:r>
                  <w:r>
                    <w:rPr>
                      <w:rFonts w:cs="宋体" w:hint="eastAsia"/>
                      <w:color w:val="auto"/>
                      <w:sz w:val="21"/>
                      <w:szCs w:val="21"/>
                      <w:highlight w:val="none"/>
                      <w:lang w:bidi="ar"/>
                    </w:rPr>
                    <w:t>属于</w:t>
                  </w:r>
                  <w:r>
                    <w:rPr>
                      <w:rFonts w:cs="宋体" w:hint="eastAsia"/>
                      <w:color w:val="auto"/>
                      <w:sz w:val="21"/>
                      <w:szCs w:val="21"/>
                      <w:highlight w:val="none"/>
                      <w:lang w:val="en-US" w:eastAsia="zh-CN" w:bidi="ar"/>
                    </w:rPr>
                    <w:t>汽车</w:t>
                  </w:r>
                  <w:r>
                    <w:rPr>
                      <w:rFonts w:cs="宋体" w:hint="eastAsia"/>
                      <w:color w:val="auto"/>
                      <w:sz w:val="21"/>
                      <w:szCs w:val="21"/>
                      <w:highlight w:val="none"/>
                      <w:lang w:bidi="ar"/>
                    </w:rPr>
                    <w:t>零部件及配件制造</w:t>
                  </w:r>
                  <w:r>
                    <w:rPr>
                      <w:rFonts w:hint="eastAsia"/>
                      <w:color w:val="auto"/>
                      <w:sz w:val="21"/>
                      <w:szCs w:val="21"/>
                      <w:highlight w:val="none"/>
                    </w:rPr>
                    <w:t>，不属于高VOCs排放项目；</w:t>
                  </w:r>
                  <w:r>
                    <w:rPr>
                      <w:rFonts w:hint="default"/>
                      <w:color w:val="auto"/>
                      <w:sz w:val="21"/>
                      <w:szCs w:val="21"/>
                      <w:highlight w:val="none"/>
                    </w:rPr>
                    <w:t>本项目生产过程产生的</w:t>
                  </w:r>
                  <w:r>
                    <w:rPr>
                      <w:rFonts w:hint="eastAsia"/>
                      <w:color w:val="auto"/>
                      <w:sz w:val="21"/>
                      <w:szCs w:val="21"/>
                      <w:highlight w:val="none"/>
                    </w:rPr>
                    <w:t>有机废气经“混动旋流塔+离心除雾+蜂窝等离子净化器+活性炭吸附净化器”处理，不涉及国家及地方明令禁止的落后工艺和设备；不涉及涂料使用；</w:t>
                  </w:r>
                  <w:r>
                    <w:rPr>
                      <w:rFonts w:hint="eastAsia"/>
                      <w:color w:val="auto"/>
                      <w:sz w:val="21"/>
                      <w:szCs w:val="21"/>
                      <w:highlight w:val="none"/>
                      <w:lang w:val="en-US" w:eastAsia="zh-CN"/>
                    </w:rPr>
                    <w:t>废气处理设施</w:t>
                  </w:r>
                  <w:r>
                    <w:rPr>
                      <w:rFonts w:hint="default"/>
                      <w:color w:val="auto"/>
                      <w:sz w:val="21"/>
                      <w:szCs w:val="21"/>
                      <w:highlight w:val="none"/>
                    </w:rPr>
                    <w:t>处理效率大于80%</w:t>
                  </w:r>
                </w:p>
              </w:tc>
              <w:tc>
                <w:tcPr>
                  <w:tcW w:w="275" w:type="pct"/>
                  <w:tcBorders>
                    <w:tl2br w:val="nil"/>
                    <w:tr2bl w:val="nil"/>
                  </w:tcBorders>
                  <w:vAlign w:val="center"/>
                </w:tcPr>
                <w:p>
                  <w:pPr>
                    <w:pStyle w:val="60"/>
                    <w:keepNext w:val="0"/>
                    <w:keepLines w:val="0"/>
                    <w:suppressLineNumbers w:val="0"/>
                    <w:adjustRightInd w:val="0"/>
                    <w:snapToGrid w:val="0"/>
                    <w:spacing w:before="0" w:beforeAutospacing="0" w:after="0" w:afterAutospacing="0"/>
                    <w:ind w:left="0" w:right="0"/>
                    <w:rPr>
                      <w:rFonts w:hint="default"/>
                      <w:color w:val="auto"/>
                      <w:sz w:val="21"/>
                      <w:szCs w:val="21"/>
                      <w:highlight w:val="none"/>
                    </w:rPr>
                  </w:pPr>
                  <w:r>
                    <w:rPr>
                      <w:rStyle w:val="a14"/>
                      <w:rFonts w:hint="default"/>
                      <w:color w:val="auto"/>
                      <w:sz w:val="21"/>
                      <w:szCs w:val="21"/>
                      <w:highlight w:val="none"/>
                    </w:rPr>
                    <w:t>符合</w:t>
                  </w:r>
                </w:p>
              </w:tc>
            </w:tr>
          </w:tbl>
          <w:p/>
        </w:tc>
      </w:tr>
    </w:tbl>
    <w:p>
      <w:pPr>
        <w:sectPr>
          <w:footerReference w:type="default" r:id="rId14"/>
          <w:type w:val="nextPage"/>
          <w:pgSz w:w="16838" w:h="11906" w:orient="landscape"/>
          <w:pgMar w:top="1417" w:right="1417" w:bottom="1417" w:left="1417" w:header="992" w:footer="992" w:gutter="0"/>
          <w:pgBorders>
            <w:top w:val="none" w:sz="0" w:space="0" w:color="auto"/>
            <w:left w:val="none" w:sz="0" w:space="0" w:color="auto"/>
            <w:bottom w:val="none" w:sz="0" w:space="0" w:color="auto"/>
            <w:right w:val="none" w:sz="0" w:space="0" w:color="auto"/>
          </w:pgBorders>
          <w:pgNumType w:start="4"/>
          <w:cols w:num="1" w:space="720"/>
          <w:titlePg w:val="0"/>
          <w:docGrid w:linePitch="312" w:charSpace="0"/>
        </w:sectPr>
      </w:pPr>
    </w:p>
    <w:tbl>
      <w:tblPr>
        <w:tblStyle w:val="TableNormal"/>
        <w:tblW w:w="499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756"/>
        <w:gridCol w:w="13453"/>
      </w:tblGrid>
      <w:tr>
        <w:tblPrEx>
          <w:tblW w:w="499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8836"/>
          <w:jc w:val="center"/>
        </w:trPr>
        <w:tc>
          <w:tcPr>
            <w:tcW w:w="266" w:type="pct"/>
            <w:vAlign w:val="center"/>
          </w:tcPr>
          <w:p/>
        </w:tc>
        <w:tc>
          <w:tcPr>
            <w:tcW w:w="4733" w:type="pct"/>
            <w:vAlign w:val="center"/>
          </w:tcPr>
          <w:tbl>
            <w:tblPr>
              <w:tblStyle w:val="TableNormal"/>
              <w:tblW w:w="4998" w:type="pct"/>
              <w:jc w:val="center"/>
              <w:tblBorders>
                <w:top w:val="single" w:sz="18" w:space="0" w:color="auto"/>
                <w:left w:val="none" w:sz="0" w:space="0" w:color="auto"/>
                <w:bottom w:val="single" w:sz="18"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533"/>
              <w:gridCol w:w="1536"/>
              <w:gridCol w:w="7857"/>
              <w:gridCol w:w="2578"/>
              <w:gridCol w:w="728"/>
            </w:tblGrid>
            <w:tr>
              <w:tblPrEx>
                <w:tblW w:w="4998" w:type="pct"/>
                <w:jc w:val="center"/>
                <w:tblBorders>
                  <w:top w:val="single" w:sz="18" w:space="0" w:color="auto"/>
                  <w:left w:val="none" w:sz="0" w:space="0" w:color="auto"/>
                  <w:bottom w:val="single" w:sz="18"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340"/>
                <w:jc w:val="center"/>
              </w:trPr>
              <w:tc>
                <w:tcPr>
                  <w:tcW w:w="201" w:type="pct"/>
                  <w:tcBorders>
                    <w:tl2br w:val="nil"/>
                    <w:tr2bl w:val="nil"/>
                  </w:tcBorders>
                  <w:vAlign w:val="center"/>
                </w:tcPr>
                <w:p/>
              </w:tc>
              <w:tc>
                <w:tcPr>
                  <w:tcW w:w="580" w:type="pct"/>
                  <w:tcBorders>
                    <w:tl2br w:val="nil"/>
                    <w:tr2bl w:val="nil"/>
                  </w:tcBorders>
                  <w:vAlign w:val="center"/>
                </w:tcPr>
                <w:p/>
              </w:tc>
              <w:tc>
                <w:tcPr>
                  <w:tcW w:w="2968" w:type="pct"/>
                  <w:tcBorders>
                    <w:tl2br w:val="nil"/>
                    <w:tr2bl w:val="nil"/>
                  </w:tcBorders>
                  <w:vAlign w:val="center"/>
                </w:tcPr>
                <w:p>
                  <w:pPr>
                    <w:keepNext w:val="0"/>
                    <w:keepLines w:val="0"/>
                    <w:widowControl/>
                    <w:suppressLineNumbers w:val="0"/>
                    <w:adjustRightInd w:val="0"/>
                    <w:spacing w:before="0" w:beforeAutospacing="0" w:after="0" w:afterAutospacing="0"/>
                    <w:ind w:left="0" w:right="0"/>
                    <w:rPr>
                      <w:rFonts w:hint="default"/>
                      <w:color w:val="auto"/>
                      <w:szCs w:val="21"/>
                      <w:highlight w:val="none"/>
                    </w:rPr>
                  </w:pPr>
                  <w:r>
                    <w:rPr>
                      <w:rFonts w:hint="default"/>
                      <w:color w:val="auto"/>
                      <w:sz w:val="21"/>
                      <w:szCs w:val="21"/>
                      <w:highlight w:val="none"/>
                    </w:rPr>
                    <w:t>提升有机化工（含有机化学原料、合成材料、日用化工、涂料、油墨、胶粘剂、染料、化学溶剂、试剂生产等）、医药化工、塑料制品企业装备水平，严格控制跑冒滴漏。原料、中间产品与成品应密闭储存，对于实际蒸汽压大于2.8千帕、容积大于100立方米的有机液体储罐，采用高效密封方式的浮顶罐或安装密闭排气系统进行净化处理。排放VOCs的生产工序要在密闭空间或设备中实施，产生的含VOCs废气需进行净化处理，净化效率应不低于80%。</w:t>
                  </w:r>
                </w:p>
              </w:tc>
              <w:tc>
                <w:tcPr>
                  <w:tcW w:w="974" w:type="pct"/>
                  <w:tcBorders>
                    <w:tl2br w:val="nil"/>
                    <w:tr2bl w:val="nil"/>
                  </w:tcBorders>
                </w:tcPr>
                <w:p/>
              </w:tc>
              <w:tc>
                <w:tcPr>
                  <w:tcW w:w="275" w:type="pct"/>
                  <w:tcBorders>
                    <w:tl2br w:val="nil"/>
                    <w:tr2bl w:val="nil"/>
                  </w:tcBorders>
                  <w:vAlign w:val="center"/>
                </w:tcPr>
                <w:p/>
              </w:tc>
            </w:tr>
            <w:tr>
              <w:tblPrEx>
                <w:tblW w:w="4998" w:type="pct"/>
                <w:jc w:val="center"/>
                <w:tblLayout w:type="fixed"/>
                <w:tblCellMar>
                  <w:top w:w="0" w:type="dxa"/>
                  <w:left w:w="28" w:type="dxa"/>
                  <w:bottom w:w="0" w:type="dxa"/>
                  <w:right w:w="28" w:type="dxa"/>
                </w:tblCellMar>
              </w:tblPrEx>
              <w:trPr>
                <w:trHeight w:val="340"/>
                <w:jc w:val="center"/>
              </w:trPr>
              <w:tc>
                <w:tcPr>
                  <w:tcW w:w="201"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color w:val="auto"/>
                      <w:sz w:val="21"/>
                      <w:szCs w:val="21"/>
                      <w:highlight w:val="none"/>
                    </w:rPr>
                  </w:pPr>
                  <w:r>
                    <w:rPr>
                      <w:rFonts w:hint="default"/>
                      <w:color w:val="auto"/>
                      <w:sz w:val="21"/>
                      <w:szCs w:val="21"/>
                      <w:highlight w:val="none"/>
                    </w:rPr>
                    <w:t>3</w:t>
                  </w:r>
                </w:p>
              </w:tc>
              <w:tc>
                <w:tcPr>
                  <w:tcW w:w="580"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color w:val="auto"/>
                      <w:sz w:val="21"/>
                      <w:szCs w:val="21"/>
                      <w:highlight w:val="none"/>
                    </w:rPr>
                  </w:pPr>
                  <w:r>
                    <w:rPr>
                      <w:rFonts w:hint="default"/>
                      <w:color w:val="auto"/>
                      <w:sz w:val="21"/>
                      <w:szCs w:val="21"/>
                      <w:highlight w:val="none"/>
                    </w:rPr>
                    <w:t>福州市挥发性有机物污染整治工作方案</w:t>
                  </w:r>
                </w:p>
              </w:tc>
              <w:tc>
                <w:tcPr>
                  <w:tcW w:w="2968" w:type="pct"/>
                  <w:tcBorders>
                    <w:tl2br w:val="nil"/>
                    <w:tr2bl w:val="nil"/>
                  </w:tcBorders>
                </w:tcPr>
                <w:p>
                  <w:pPr>
                    <w:pStyle w:val="60"/>
                    <w:keepNext w:val="0"/>
                    <w:keepLines w:val="0"/>
                    <w:suppressLineNumbers w:val="0"/>
                    <w:adjustRightInd w:val="0"/>
                    <w:snapToGrid w:val="0"/>
                    <w:spacing w:before="0" w:beforeAutospacing="0" w:after="0" w:afterAutospacing="0" w:line="340" w:lineRule="exact"/>
                    <w:ind w:left="0" w:right="0"/>
                    <w:jc w:val="left"/>
                    <w:rPr>
                      <w:rFonts w:hint="default"/>
                      <w:color w:val="auto"/>
                      <w:sz w:val="21"/>
                      <w:szCs w:val="21"/>
                      <w:highlight w:val="none"/>
                    </w:rPr>
                  </w:pPr>
                  <w:r>
                    <w:rPr>
                      <w:rFonts w:hint="default"/>
                      <w:color w:val="auto"/>
                      <w:sz w:val="21"/>
                      <w:szCs w:val="21"/>
                      <w:highlight w:val="none"/>
                    </w:rPr>
                    <w:t>（二）严格VOCs项目环境准入</w:t>
                  </w:r>
                </w:p>
                <w:p>
                  <w:pPr>
                    <w:pStyle w:val="60"/>
                    <w:keepNext w:val="0"/>
                    <w:keepLines w:val="0"/>
                    <w:suppressLineNumbers w:val="0"/>
                    <w:adjustRightInd w:val="0"/>
                    <w:snapToGrid w:val="0"/>
                    <w:spacing w:before="0" w:beforeAutospacing="0" w:after="0" w:afterAutospacing="0" w:line="340" w:lineRule="exact"/>
                    <w:ind w:left="0" w:right="0"/>
                    <w:jc w:val="left"/>
                    <w:rPr>
                      <w:rFonts w:hint="default"/>
                      <w:color w:val="auto"/>
                      <w:sz w:val="21"/>
                      <w:szCs w:val="21"/>
                      <w:highlight w:val="none"/>
                    </w:rPr>
                  </w:pPr>
                  <w:r>
                    <w:rPr>
                      <w:rFonts w:hint="default"/>
                      <w:color w:val="auto"/>
                      <w:sz w:val="21"/>
                      <w:szCs w:val="21"/>
                      <w:highlight w:val="none"/>
                    </w:rPr>
                    <w:t>提高行业准入门槛，鼓励支持企业通过技改减少挥发性有机物排放，严格控制新增污染物排放量，对挥发性有机物新增排放量实行现役源2倍削减量替代。</w:t>
                  </w:r>
                </w:p>
              </w:tc>
              <w:tc>
                <w:tcPr>
                  <w:tcW w:w="974" w:type="pct"/>
                  <w:tcBorders>
                    <w:tl2br w:val="nil"/>
                    <w:tr2bl w:val="nil"/>
                  </w:tcBorders>
                </w:tcPr>
                <w:p>
                  <w:pPr>
                    <w:pStyle w:val="60"/>
                    <w:keepNext w:val="0"/>
                    <w:keepLines w:val="0"/>
                    <w:suppressLineNumbers w:val="0"/>
                    <w:adjustRightInd w:val="0"/>
                    <w:snapToGrid w:val="0"/>
                    <w:spacing w:before="0" w:beforeAutospacing="0" w:after="0" w:afterAutospacing="0" w:line="340" w:lineRule="exact"/>
                    <w:ind w:left="0" w:right="0"/>
                    <w:rPr>
                      <w:rFonts w:hint="default"/>
                      <w:color w:val="auto"/>
                      <w:sz w:val="21"/>
                      <w:szCs w:val="21"/>
                      <w:highlight w:val="none"/>
                    </w:rPr>
                  </w:pPr>
                  <w:r>
                    <w:rPr>
                      <w:rFonts w:hint="default"/>
                      <w:bCs/>
                      <w:color w:val="auto"/>
                      <w:sz w:val="21"/>
                      <w:szCs w:val="21"/>
                      <w:highlight w:val="none"/>
                    </w:rPr>
                    <w:t>本项目承诺在项目投产前获得VOCs总量确认。</w:t>
                  </w:r>
                </w:p>
              </w:tc>
              <w:tc>
                <w:tcPr>
                  <w:tcW w:w="275" w:type="pct"/>
                  <w:tcBorders>
                    <w:tl2br w:val="nil"/>
                    <w:tr2bl w:val="nil"/>
                  </w:tcBorders>
                  <w:vAlign w:val="center"/>
                </w:tcPr>
                <w:p>
                  <w:pPr>
                    <w:pStyle w:val="60"/>
                    <w:keepNext w:val="0"/>
                    <w:keepLines w:val="0"/>
                    <w:suppressLineNumbers w:val="0"/>
                    <w:adjustRightInd w:val="0"/>
                    <w:snapToGrid w:val="0"/>
                    <w:spacing w:before="0" w:beforeAutospacing="0" w:after="0" w:afterAutospacing="0"/>
                    <w:ind w:left="0" w:right="0"/>
                    <w:rPr>
                      <w:rFonts w:hint="default"/>
                      <w:color w:val="auto"/>
                      <w:sz w:val="21"/>
                      <w:szCs w:val="21"/>
                      <w:highlight w:val="none"/>
                    </w:rPr>
                  </w:pPr>
                  <w:r>
                    <w:rPr>
                      <w:rStyle w:val="a14"/>
                      <w:rFonts w:hint="default"/>
                      <w:color w:val="auto"/>
                      <w:sz w:val="21"/>
                      <w:szCs w:val="21"/>
                      <w:highlight w:val="none"/>
                    </w:rPr>
                    <w:t>符合</w:t>
                  </w:r>
                </w:p>
              </w:tc>
            </w:tr>
            <w:tr>
              <w:tblPrEx>
                <w:tblW w:w="4998" w:type="pct"/>
                <w:jc w:val="center"/>
                <w:tblLayout w:type="fixed"/>
                <w:tblCellMar>
                  <w:top w:w="0" w:type="dxa"/>
                  <w:left w:w="28" w:type="dxa"/>
                  <w:bottom w:w="0" w:type="dxa"/>
                  <w:right w:w="28" w:type="dxa"/>
                </w:tblCellMar>
              </w:tblPrEx>
              <w:trPr>
                <w:trHeight w:val="340"/>
                <w:jc w:val="center"/>
              </w:trPr>
              <w:tc>
                <w:tcPr>
                  <w:tcW w:w="201"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color w:val="auto"/>
                      <w:sz w:val="21"/>
                      <w:szCs w:val="21"/>
                      <w:highlight w:val="none"/>
                    </w:rPr>
                  </w:pPr>
                  <w:r>
                    <w:rPr>
                      <w:rFonts w:hint="default"/>
                      <w:color w:val="auto"/>
                      <w:sz w:val="21"/>
                      <w:szCs w:val="21"/>
                      <w:highlight w:val="none"/>
                    </w:rPr>
                    <w:t>4</w:t>
                  </w:r>
                </w:p>
              </w:tc>
              <w:tc>
                <w:tcPr>
                  <w:tcW w:w="580"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color w:val="auto"/>
                      <w:sz w:val="21"/>
                      <w:szCs w:val="21"/>
                      <w:highlight w:val="none"/>
                    </w:rPr>
                  </w:pPr>
                  <w:r>
                    <w:rPr>
                      <w:rFonts w:hint="eastAsia"/>
                      <w:color w:val="auto"/>
                      <w:sz w:val="21"/>
                      <w:szCs w:val="21"/>
                      <w:highlight w:val="none"/>
                    </w:rPr>
                    <w:t>关于</w:t>
                  </w:r>
                  <w:r>
                    <w:rPr>
                      <w:rFonts w:hint="default"/>
                      <w:color w:val="auto"/>
                      <w:sz w:val="21"/>
                      <w:szCs w:val="21"/>
                      <w:highlight w:val="none"/>
                    </w:rPr>
                    <w:t>《2021年福州市提升环境空气质量行动计划》的通知</w:t>
                  </w:r>
                </w:p>
              </w:tc>
              <w:tc>
                <w:tcPr>
                  <w:tcW w:w="2968" w:type="pct"/>
                  <w:tcBorders>
                    <w:tl2br w:val="nil"/>
                    <w:tr2bl w:val="nil"/>
                  </w:tcBorders>
                </w:tcPr>
                <w:p>
                  <w:pPr>
                    <w:pStyle w:val="60"/>
                    <w:keepNext w:val="0"/>
                    <w:keepLines w:val="0"/>
                    <w:suppressLineNumbers w:val="0"/>
                    <w:adjustRightInd w:val="0"/>
                    <w:snapToGrid w:val="0"/>
                    <w:spacing w:before="0" w:beforeAutospacing="0" w:after="0" w:afterAutospacing="0" w:line="340" w:lineRule="exact"/>
                    <w:ind w:left="0" w:right="0"/>
                    <w:jc w:val="left"/>
                    <w:rPr>
                      <w:rFonts w:hint="default"/>
                      <w:color w:val="auto"/>
                      <w:sz w:val="21"/>
                      <w:szCs w:val="21"/>
                      <w:highlight w:val="none"/>
                    </w:rPr>
                  </w:pPr>
                  <w:r>
                    <w:rPr>
                      <w:rFonts w:hint="default"/>
                      <w:color w:val="auto"/>
                      <w:sz w:val="21"/>
                      <w:szCs w:val="21"/>
                      <w:highlight w:val="none"/>
                    </w:rPr>
                    <w:t>（2）严格涉VOCs建设项目环境影响评价审批，新、改、扩建涉VOCs排放项目，应使用低（无）VOCs涂料、粘胶剂等，实施新建项目VOCs排放区域内倍量替代。VOCs年排放量大于10吨的新建项目投运前应安装VOCs在线监控设备，并接入市生态云平台。</w:t>
                  </w:r>
                </w:p>
              </w:tc>
              <w:tc>
                <w:tcPr>
                  <w:tcW w:w="974" w:type="pct"/>
                  <w:tcBorders>
                    <w:tl2br w:val="nil"/>
                    <w:tr2bl w:val="nil"/>
                  </w:tcBorders>
                </w:tcPr>
                <w:p>
                  <w:pPr>
                    <w:pStyle w:val="60"/>
                    <w:keepNext w:val="0"/>
                    <w:keepLines w:val="0"/>
                    <w:suppressLineNumbers w:val="0"/>
                    <w:adjustRightInd w:val="0"/>
                    <w:snapToGrid w:val="0"/>
                    <w:spacing w:before="0" w:beforeAutospacing="0" w:after="0" w:afterAutospacing="0" w:line="340" w:lineRule="exact"/>
                    <w:ind w:left="0" w:right="0"/>
                    <w:rPr>
                      <w:rFonts w:hint="default"/>
                      <w:color w:val="auto"/>
                      <w:sz w:val="21"/>
                      <w:szCs w:val="21"/>
                      <w:highlight w:val="none"/>
                    </w:rPr>
                  </w:pPr>
                  <w:r>
                    <w:rPr>
                      <w:rFonts w:hint="default"/>
                      <w:color w:val="auto"/>
                      <w:sz w:val="21"/>
                      <w:szCs w:val="21"/>
                      <w:highlight w:val="none"/>
                    </w:rPr>
                    <w:t>本项目使用低VOCs年排放量小于10吨，无需安装VOCs在线监控设备。</w:t>
                  </w:r>
                </w:p>
              </w:tc>
              <w:tc>
                <w:tcPr>
                  <w:tcW w:w="275" w:type="pct"/>
                  <w:tcBorders>
                    <w:tl2br w:val="nil"/>
                    <w:tr2bl w:val="nil"/>
                  </w:tcBorders>
                  <w:vAlign w:val="center"/>
                </w:tcPr>
                <w:p>
                  <w:pPr>
                    <w:pStyle w:val="60"/>
                    <w:keepNext w:val="0"/>
                    <w:keepLines w:val="0"/>
                    <w:suppressLineNumbers w:val="0"/>
                    <w:adjustRightInd w:val="0"/>
                    <w:snapToGrid w:val="0"/>
                    <w:spacing w:before="0" w:beforeAutospacing="0" w:after="0" w:afterAutospacing="0"/>
                    <w:ind w:left="0" w:right="0"/>
                    <w:rPr>
                      <w:rFonts w:hint="default"/>
                      <w:color w:val="auto"/>
                      <w:sz w:val="21"/>
                      <w:szCs w:val="21"/>
                      <w:highlight w:val="none"/>
                    </w:rPr>
                  </w:pPr>
                  <w:r>
                    <w:rPr>
                      <w:rStyle w:val="a14"/>
                      <w:rFonts w:hint="default"/>
                      <w:color w:val="auto"/>
                      <w:sz w:val="21"/>
                      <w:szCs w:val="21"/>
                      <w:highlight w:val="none"/>
                    </w:rPr>
                    <w:t>符合</w:t>
                  </w:r>
                </w:p>
              </w:tc>
            </w:tr>
            <w:tr>
              <w:tblPrEx>
                <w:tblW w:w="4998" w:type="pct"/>
                <w:jc w:val="center"/>
                <w:tblLayout w:type="fixed"/>
                <w:tblCellMar>
                  <w:top w:w="0" w:type="dxa"/>
                  <w:left w:w="28" w:type="dxa"/>
                  <w:bottom w:w="0" w:type="dxa"/>
                  <w:right w:w="28" w:type="dxa"/>
                </w:tblCellMar>
              </w:tblPrEx>
              <w:trPr>
                <w:trHeight w:val="340"/>
                <w:jc w:val="center"/>
              </w:trPr>
              <w:tc>
                <w:tcPr>
                  <w:tcW w:w="201"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color w:val="auto"/>
                      <w:sz w:val="21"/>
                      <w:szCs w:val="21"/>
                      <w:highlight w:val="none"/>
                    </w:rPr>
                  </w:pPr>
                  <w:r>
                    <w:rPr>
                      <w:rFonts w:hint="default"/>
                      <w:color w:val="auto"/>
                      <w:sz w:val="21"/>
                      <w:szCs w:val="21"/>
                      <w:highlight w:val="none"/>
                    </w:rPr>
                    <w:t>5</w:t>
                  </w:r>
                </w:p>
              </w:tc>
              <w:tc>
                <w:tcPr>
                  <w:tcW w:w="580"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color w:val="auto"/>
                      <w:sz w:val="21"/>
                      <w:szCs w:val="21"/>
                      <w:highlight w:val="none"/>
                    </w:rPr>
                  </w:pPr>
                  <w:r>
                    <w:rPr>
                      <w:rFonts w:hint="default"/>
                      <w:color w:val="auto"/>
                      <w:sz w:val="21"/>
                      <w:szCs w:val="21"/>
                      <w:highlight w:val="none"/>
                    </w:rPr>
                    <w:t>《2022年度福州市蓝天碧海净土保卫战行动计划》</w:t>
                  </w:r>
                </w:p>
              </w:tc>
              <w:tc>
                <w:tcPr>
                  <w:tcW w:w="2968"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color w:val="auto"/>
                      <w:sz w:val="21"/>
                      <w:szCs w:val="21"/>
                      <w:highlight w:val="none"/>
                    </w:rPr>
                  </w:pPr>
                  <w:r>
                    <w:rPr>
                      <w:rFonts w:hint="default"/>
                      <w:color w:val="auto"/>
                      <w:sz w:val="21"/>
                      <w:szCs w:val="21"/>
                      <w:highlight w:val="none"/>
                    </w:rPr>
                    <w:t>四是严格涉VOCs建设项目环境影响评价审批。新、改、扩建涉VOCs排放项目，应使用低(无)VOCs涂料、粘胶剂等，实施新建项目VOCs排放区域内1.2及以上倍量替代。VOCs年排放量大于5吨的新建项目投运前应安装VOCs在线监控设备，并接入市生态云平台。</w:t>
                  </w:r>
                </w:p>
              </w:tc>
              <w:tc>
                <w:tcPr>
                  <w:tcW w:w="974"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color w:val="auto"/>
                      <w:sz w:val="21"/>
                      <w:szCs w:val="21"/>
                      <w:highlight w:val="none"/>
                    </w:rPr>
                  </w:pPr>
                  <w:r>
                    <w:rPr>
                      <w:rFonts w:hint="default"/>
                      <w:color w:val="auto"/>
                      <w:sz w:val="21"/>
                      <w:szCs w:val="21"/>
                      <w:highlight w:val="none"/>
                    </w:rPr>
                    <w:t>项目VOCs排放拟实行区域内倍量替代，项目VOCs年排放量远小于5吨，不需安装VOCs在线监控设备。</w:t>
                  </w:r>
                </w:p>
              </w:tc>
              <w:tc>
                <w:tcPr>
                  <w:tcW w:w="275"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Style w:val="a14"/>
                      <w:rFonts w:hint="default"/>
                      <w:color w:val="auto"/>
                      <w:sz w:val="21"/>
                      <w:szCs w:val="21"/>
                      <w:highlight w:val="none"/>
                    </w:rPr>
                  </w:pPr>
                  <w:r>
                    <w:rPr>
                      <w:rFonts w:hint="default"/>
                      <w:color w:val="auto"/>
                      <w:sz w:val="21"/>
                      <w:szCs w:val="21"/>
                      <w:highlight w:val="none"/>
                    </w:rPr>
                    <w:t>符合</w:t>
                  </w:r>
                </w:p>
              </w:tc>
            </w:tr>
            <w:tr>
              <w:tblPrEx>
                <w:tblW w:w="4998" w:type="pct"/>
                <w:jc w:val="center"/>
                <w:tblLayout w:type="fixed"/>
                <w:tblCellMar>
                  <w:top w:w="0" w:type="dxa"/>
                  <w:left w:w="28" w:type="dxa"/>
                  <w:bottom w:w="0" w:type="dxa"/>
                  <w:right w:w="28" w:type="dxa"/>
                </w:tblCellMar>
              </w:tblPrEx>
              <w:trPr>
                <w:trHeight w:val="340"/>
                <w:jc w:val="center"/>
              </w:trPr>
              <w:tc>
                <w:tcPr>
                  <w:tcW w:w="201"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color w:val="auto"/>
                      <w:sz w:val="21"/>
                      <w:szCs w:val="21"/>
                      <w:highlight w:val="none"/>
                    </w:rPr>
                  </w:pPr>
                  <w:r>
                    <w:rPr>
                      <w:rFonts w:hint="default"/>
                      <w:color w:val="auto"/>
                      <w:sz w:val="21"/>
                      <w:szCs w:val="21"/>
                      <w:highlight w:val="none"/>
                    </w:rPr>
                    <w:t>6</w:t>
                  </w:r>
                </w:p>
              </w:tc>
              <w:tc>
                <w:tcPr>
                  <w:tcW w:w="580"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color w:val="auto"/>
                      <w:sz w:val="21"/>
                      <w:szCs w:val="21"/>
                      <w:highlight w:val="none"/>
                    </w:rPr>
                  </w:pPr>
                  <w:r>
                    <w:rPr>
                      <w:rFonts w:hint="default"/>
                      <w:color w:val="auto"/>
                      <w:sz w:val="21"/>
                      <w:szCs w:val="21"/>
                      <w:highlight w:val="none"/>
                    </w:rPr>
                    <w:t>榕环保综</w:t>
                  </w:r>
                  <w:r>
                    <w:rPr>
                      <w:rFonts w:hint="eastAsia"/>
                      <w:color w:val="auto"/>
                      <w:sz w:val="21"/>
                      <w:szCs w:val="21"/>
                      <w:highlight w:val="none"/>
                    </w:rPr>
                    <w:t>〔</w:t>
                  </w:r>
                  <w:r>
                    <w:rPr>
                      <w:rFonts w:hint="default"/>
                      <w:color w:val="auto"/>
                      <w:sz w:val="21"/>
                      <w:szCs w:val="21"/>
                      <w:highlight w:val="none"/>
                    </w:rPr>
                    <w:t>202</w:t>
                  </w:r>
                  <w:r>
                    <w:rPr>
                      <w:rFonts w:hint="eastAsia"/>
                      <w:color w:val="auto"/>
                      <w:sz w:val="21"/>
                      <w:szCs w:val="21"/>
                      <w:highlight w:val="none"/>
                    </w:rPr>
                    <w:t>1〕</w:t>
                  </w:r>
                  <w:r>
                    <w:rPr>
                      <w:rFonts w:hint="default"/>
                      <w:color w:val="auto"/>
                      <w:sz w:val="21"/>
                      <w:szCs w:val="21"/>
                      <w:highlight w:val="none"/>
                    </w:rPr>
                    <w:t>100号《关于开展福州市重点行业挥发性有机物综合治理工作（VOCs2.0）》</w:t>
                  </w:r>
                </w:p>
              </w:tc>
              <w:tc>
                <w:tcPr>
                  <w:tcW w:w="2968"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color w:val="auto"/>
                      <w:sz w:val="21"/>
                      <w:szCs w:val="21"/>
                      <w:highlight w:val="none"/>
                    </w:rPr>
                  </w:pPr>
                  <w:r>
                    <w:rPr>
                      <w:rFonts w:hint="default"/>
                      <w:color w:val="auto"/>
                      <w:sz w:val="21"/>
                      <w:szCs w:val="21"/>
                      <w:highlight w:val="none"/>
                    </w:rPr>
                    <w:t>结合我市实际，以石化、化工、</w:t>
                  </w:r>
                  <w:r>
                    <w:rPr>
                      <w:rFonts w:hint="eastAsia"/>
                      <w:color w:val="auto"/>
                      <w:sz w:val="21"/>
                      <w:szCs w:val="21"/>
                      <w:highlight w:val="none"/>
                      <w:lang w:eastAsia="zh-CN"/>
                    </w:rPr>
                    <w:t>***</w:t>
                  </w:r>
                  <w:r>
                    <w:rPr>
                      <w:rFonts w:hint="default"/>
                      <w:color w:val="auto"/>
                      <w:sz w:val="21"/>
                      <w:szCs w:val="21"/>
                      <w:highlight w:val="none"/>
                    </w:rPr>
                    <w:t>涂装、包装印刷、制鞋、橡胶和塑料制品、油品储运销、涂料油墨胶黏剂清洗剂使用、农副食品加工、半导体、印染、合成革、钢铁等13个行业为重点，开展全市挥发性有机物综合治理，筛选出重点整治企业278家，其中：石化3家、化工14家、</w:t>
                  </w:r>
                  <w:r>
                    <w:rPr>
                      <w:rFonts w:hint="eastAsia"/>
                      <w:color w:val="auto"/>
                      <w:sz w:val="21"/>
                      <w:szCs w:val="21"/>
                      <w:highlight w:val="none"/>
                      <w:lang w:eastAsia="zh-CN"/>
                    </w:rPr>
                    <w:t>***</w:t>
                  </w:r>
                  <w:r>
                    <w:rPr>
                      <w:rFonts w:hint="default"/>
                      <w:color w:val="auto"/>
                      <w:sz w:val="21"/>
                      <w:szCs w:val="21"/>
                      <w:highlight w:val="none"/>
                    </w:rPr>
                    <w:t>涂装135家</w:t>
                  </w:r>
                  <w:r>
                    <w:rPr>
                      <w:rFonts w:hint="eastAsia"/>
                      <w:color w:val="auto"/>
                      <w:sz w:val="21"/>
                      <w:szCs w:val="21"/>
                      <w:highlight w:val="none"/>
                    </w:rPr>
                    <w:t>（</w:t>
                  </w:r>
                  <w:r>
                    <w:rPr>
                      <w:rFonts w:hint="default"/>
                      <w:color w:val="auto"/>
                      <w:sz w:val="21"/>
                      <w:szCs w:val="21"/>
                      <w:highlight w:val="none"/>
                    </w:rPr>
                    <w:t>含汽修企业113家</w:t>
                  </w:r>
                  <w:r>
                    <w:rPr>
                      <w:rFonts w:hint="eastAsia"/>
                      <w:color w:val="auto"/>
                      <w:sz w:val="21"/>
                      <w:szCs w:val="21"/>
                      <w:highlight w:val="none"/>
                    </w:rPr>
                    <w:t>）</w:t>
                  </w:r>
                  <w:r>
                    <w:rPr>
                      <w:rFonts w:hint="default"/>
                      <w:color w:val="auto"/>
                      <w:sz w:val="21"/>
                      <w:szCs w:val="21"/>
                      <w:highlight w:val="none"/>
                    </w:rPr>
                    <w:t>、包装印刷18家、制鞋11家、橡胶和塑料制品15家、油品储运销64家</w:t>
                  </w:r>
                  <w:r>
                    <w:rPr>
                      <w:rFonts w:hint="eastAsia"/>
                      <w:color w:val="auto"/>
                      <w:sz w:val="21"/>
                      <w:szCs w:val="21"/>
                      <w:highlight w:val="none"/>
                    </w:rPr>
                    <w:t>（</w:t>
                  </w:r>
                  <w:r>
                    <w:rPr>
                      <w:rFonts w:hint="default"/>
                      <w:color w:val="auto"/>
                      <w:sz w:val="21"/>
                      <w:szCs w:val="21"/>
                      <w:highlight w:val="none"/>
                    </w:rPr>
                    <w:t>油库3家，加油站61家</w:t>
                  </w:r>
                  <w:r>
                    <w:rPr>
                      <w:rFonts w:hint="eastAsia"/>
                      <w:color w:val="auto"/>
                      <w:sz w:val="21"/>
                      <w:szCs w:val="21"/>
                      <w:highlight w:val="none"/>
                    </w:rPr>
                    <w:t>）</w:t>
                  </w:r>
                  <w:r>
                    <w:rPr>
                      <w:rFonts w:hint="default"/>
                      <w:color w:val="auto"/>
                      <w:sz w:val="21"/>
                      <w:szCs w:val="21"/>
                      <w:highlight w:val="none"/>
                    </w:rPr>
                    <w:t>涂料油墨胶黏剂清洗剂使用9家、农副食品加工4家、半导体2家、印染1家、合成革1家、钢铁1家；</w:t>
                  </w:r>
                </w:p>
              </w:tc>
              <w:tc>
                <w:tcPr>
                  <w:tcW w:w="974"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color w:val="auto"/>
                      <w:sz w:val="21"/>
                      <w:szCs w:val="21"/>
                      <w:highlight w:val="none"/>
                    </w:rPr>
                  </w:pPr>
                  <w:r>
                    <w:rPr>
                      <w:rFonts w:hint="default"/>
                      <w:color w:val="auto"/>
                      <w:sz w:val="21"/>
                      <w:szCs w:val="21"/>
                      <w:highlight w:val="none"/>
                    </w:rPr>
                    <w:t>本项目不在278家重点排污企业名单中</w:t>
                  </w:r>
                </w:p>
              </w:tc>
              <w:tc>
                <w:tcPr>
                  <w:tcW w:w="275"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hint="default"/>
                      <w:color w:val="auto"/>
                      <w:sz w:val="21"/>
                      <w:szCs w:val="21"/>
                      <w:highlight w:val="none"/>
                    </w:rPr>
                  </w:pPr>
                  <w:r>
                    <w:rPr>
                      <w:rFonts w:hint="default"/>
                      <w:color w:val="auto"/>
                      <w:sz w:val="21"/>
                      <w:szCs w:val="21"/>
                      <w:highlight w:val="none"/>
                    </w:rPr>
                    <w:t>符合</w:t>
                  </w:r>
                </w:p>
              </w:tc>
            </w:tr>
            <w:tr>
              <w:tblPrEx>
                <w:tblW w:w="4998" w:type="pct"/>
                <w:jc w:val="center"/>
                <w:tblLayout w:type="fixed"/>
                <w:tblCellMar>
                  <w:top w:w="0" w:type="dxa"/>
                  <w:left w:w="28" w:type="dxa"/>
                  <w:bottom w:w="0" w:type="dxa"/>
                  <w:right w:w="28" w:type="dxa"/>
                </w:tblCellMar>
              </w:tblPrEx>
              <w:trPr>
                <w:trHeight w:val="340"/>
                <w:jc w:val="center"/>
              </w:trPr>
              <w:tc>
                <w:tcPr>
                  <w:tcW w:w="201"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eastAsia="宋体" w:hint="eastAsia"/>
                      <w:color w:val="auto"/>
                      <w:sz w:val="21"/>
                      <w:szCs w:val="21"/>
                      <w:highlight w:val="none"/>
                      <w:lang w:val="en-US" w:eastAsia="zh-CN"/>
                    </w:rPr>
                  </w:pPr>
                  <w:r>
                    <w:rPr>
                      <w:rFonts w:hint="eastAsia"/>
                      <w:color w:val="auto"/>
                      <w:sz w:val="21"/>
                      <w:szCs w:val="21"/>
                      <w:highlight w:val="none"/>
                      <w:lang w:val="en-US" w:eastAsia="zh-CN"/>
                    </w:rPr>
                    <w:t>7</w:t>
                  </w:r>
                </w:p>
              </w:tc>
              <w:tc>
                <w:tcPr>
                  <w:tcW w:w="580" w:type="pct"/>
                  <w:tcBorders>
                    <w:tl2br w:val="nil"/>
                    <w:tr2bl w:val="nil"/>
                  </w:tcBorders>
                  <w:vAlign w:val="center"/>
                </w:tcPr>
                <w:p>
                  <w:pPr>
                    <w:pStyle w:val="a18"/>
                    <w:keepLines w:val="0"/>
                    <w:suppressLineNumbers w:val="0"/>
                    <w:bidi w:val="0"/>
                    <w:spacing w:before="0" w:beforeAutospacing="0" w:after="0" w:afterAutospacing="0"/>
                    <w:ind w:left="0" w:right="0" w:firstLine="0" w:leftChars="0" w:firstLineChars="0"/>
                    <w:rPr>
                      <w:rFonts w:cs="Times New Roman" w:hint="default"/>
                      <w:color w:val="auto"/>
                      <w:sz w:val="21"/>
                      <w:szCs w:val="21"/>
                      <w:highlight w:val="none"/>
                      <w:lang w:val="en-US" w:eastAsia="zh-CN" w:bidi="ar-SA"/>
                    </w:rPr>
                  </w:pPr>
                  <w:r>
                    <w:rPr>
                      <w:rFonts w:ascii="Times New Roman" w:eastAsia="宋体" w:hAnsi="Times New Roman" w:cs="Times New Roman" w:hint="default"/>
                      <w:bCs/>
                      <w:color w:val="auto"/>
                      <w:kern w:val="44"/>
                      <w:sz w:val="21"/>
                      <w:szCs w:val="21"/>
                      <w:highlight w:val="none"/>
                      <w:lang w:val="en-US" w:eastAsia="zh-CN" w:bidi="ar-SA"/>
                    </w:rPr>
                    <w:t>关于印发《重点行业挥发性有机物综合治理方案》的通知</w:t>
                  </w:r>
                  <w:r>
                    <w:rPr>
                      <w:rFonts w:cs="Times New Roman" w:hint="eastAsia"/>
                      <w:bCs/>
                      <w:color w:val="auto"/>
                      <w:kern w:val="44"/>
                      <w:sz w:val="21"/>
                      <w:szCs w:val="21"/>
                      <w:highlight w:val="none"/>
                      <w:lang w:val="en-US" w:eastAsia="zh-CN" w:bidi="ar-SA"/>
                    </w:rPr>
                    <w:t>（环大气〔2019〕53号）</w:t>
                  </w:r>
                </w:p>
              </w:tc>
              <w:tc>
                <w:tcPr>
                  <w:tcW w:w="2968" w:type="pct"/>
                  <w:tcBorders>
                    <w:tl2br w:val="nil"/>
                    <w:tr2bl w:val="nil"/>
                  </w:tcBorders>
                  <w:vAlign w:val="center"/>
                </w:tcPr>
                <w:p>
                  <w:pPr>
                    <w:pStyle w:val="a18"/>
                    <w:keepLines w:val="0"/>
                    <w:suppressLineNumbers w:val="0"/>
                    <w:bidi w:val="0"/>
                    <w:spacing w:before="0" w:beforeAutospacing="0" w:after="0" w:afterAutospacing="0"/>
                    <w:ind w:left="0" w:right="0" w:firstLine="0" w:leftChars="0" w:firstLineChars="0"/>
                    <w:jc w:val="left"/>
                    <w:rPr>
                      <w:rFonts w:cs="Times New Roman" w:hint="default"/>
                      <w:color w:val="auto"/>
                      <w:sz w:val="21"/>
                      <w:szCs w:val="21"/>
                      <w:highlight w:val="none"/>
                      <w:lang w:val="en-US" w:eastAsia="zh-CN" w:bidi="ar-SA"/>
                    </w:rPr>
                  </w:pPr>
                  <w:r>
                    <w:rPr>
                      <w:rFonts w:ascii="Times New Roman" w:eastAsia="宋体" w:hAnsi="Times New Roman" w:cs="Times New Roman" w:hint="default"/>
                      <w:bCs/>
                      <w:color w:val="auto"/>
                      <w:kern w:val="44"/>
                      <w:sz w:val="21"/>
                      <w:szCs w:val="21"/>
                      <w:highlight w:val="none"/>
                      <w:lang w:val="en-US" w:eastAsia="zh-CN" w:bidi="ar-SA"/>
                    </w:rPr>
                    <w:t>（三）</w:t>
                  </w:r>
                  <w:r>
                    <w:rPr>
                      <w:rFonts w:cs="Times New Roman" w:hint="eastAsia"/>
                      <w:bCs/>
                      <w:color w:val="auto"/>
                      <w:kern w:val="44"/>
                      <w:sz w:val="21"/>
                      <w:szCs w:val="21"/>
                      <w:highlight w:val="none"/>
                      <w:lang w:val="en-US" w:eastAsia="zh-CN" w:bidi="ar-SA"/>
                    </w:rPr>
                    <w:t>***</w:t>
                  </w:r>
                  <w:r>
                    <w:rPr>
                      <w:rFonts w:ascii="Times New Roman" w:eastAsia="宋体" w:hAnsi="Times New Roman" w:cs="Times New Roman" w:hint="default"/>
                      <w:bCs/>
                      <w:color w:val="auto"/>
                      <w:kern w:val="44"/>
                      <w:sz w:val="21"/>
                      <w:szCs w:val="21"/>
                      <w:highlight w:val="none"/>
                      <w:lang w:val="en-US" w:eastAsia="zh-CN" w:bidi="ar-SA"/>
                    </w:rPr>
                    <w:t>涂装VOCs综合治理。加大汽车、家具、集装箱、电子产品、工程机械等行业VOCs治理力度，重点区域应结合本地产业特征，加快实施其他行业涂装VOCs综合治理。</w:t>
                  </w:r>
                </w:p>
                <w:p>
                  <w:pPr>
                    <w:pStyle w:val="a18"/>
                    <w:keepLines w:val="0"/>
                    <w:suppressLineNumbers w:val="0"/>
                    <w:bidi w:val="0"/>
                    <w:spacing w:before="0" w:beforeAutospacing="0" w:after="0" w:afterAutospacing="0"/>
                    <w:ind w:left="0" w:right="0" w:firstLine="420" w:leftChars="0" w:firstLineChars="0"/>
                    <w:jc w:val="left"/>
                    <w:rPr>
                      <w:rFonts w:cs="Times New Roman" w:hint="default"/>
                      <w:color w:val="auto"/>
                      <w:sz w:val="21"/>
                      <w:szCs w:val="21"/>
                      <w:highlight w:val="none"/>
                      <w:lang w:val="en-US" w:eastAsia="zh-CN" w:bidi="ar-SA"/>
                    </w:rPr>
                  </w:pPr>
                </w:p>
              </w:tc>
              <w:tc>
                <w:tcPr>
                  <w:tcW w:w="974" w:type="pct"/>
                  <w:tcBorders>
                    <w:tl2br w:val="nil"/>
                    <w:tr2bl w:val="nil"/>
                  </w:tcBorders>
                  <w:vAlign w:val="center"/>
                </w:tcPr>
                <w:p>
                  <w:pPr>
                    <w:pStyle w:val="a18"/>
                    <w:keepLines w:val="0"/>
                    <w:suppressLineNumbers w:val="0"/>
                    <w:bidi w:val="0"/>
                    <w:spacing w:before="0" w:beforeAutospacing="0" w:after="0" w:afterAutospacing="0"/>
                    <w:ind w:left="0" w:right="0" w:firstLine="0" w:leftChars="0" w:firstLineChars="0"/>
                    <w:rPr>
                      <w:rFonts w:cs="Times New Roman"/>
                      <w:color w:val="auto"/>
                      <w:sz w:val="21"/>
                      <w:szCs w:val="21"/>
                      <w:highlight w:val="none"/>
                      <w:lang w:val="en-US" w:eastAsia="zh-CN" w:bidi="ar-SA"/>
                    </w:rPr>
                  </w:pPr>
                  <w:r>
                    <w:rPr>
                      <w:rFonts w:ascii="Times New Roman" w:eastAsia="宋体" w:hAnsi="Times New Roman" w:cs="Times New Roman" w:hint="default"/>
                      <w:bCs/>
                      <w:color w:val="auto"/>
                      <w:kern w:val="44"/>
                      <w:sz w:val="21"/>
                      <w:szCs w:val="21"/>
                      <w:highlight w:val="none"/>
                      <w:lang w:val="en-US" w:eastAsia="zh-CN" w:bidi="ar-SA"/>
                    </w:rPr>
                    <w:t>本项目主要从事刹车片生产，属于汽车零部件及配件制造，</w:t>
                  </w:r>
                  <w:r>
                    <w:rPr>
                      <w:rFonts w:cs="Times New Roman" w:hint="eastAsia"/>
                      <w:bCs/>
                      <w:color w:val="auto"/>
                      <w:kern w:val="44"/>
                      <w:sz w:val="21"/>
                      <w:szCs w:val="21"/>
                      <w:highlight w:val="none"/>
                      <w:lang w:val="en-US" w:eastAsia="zh-CN" w:bidi="ar-SA"/>
                    </w:rPr>
                    <w:t>主要采用粉末静电喷涂技术，不涉及涂料。本项目胶黏剂为桶装，密闭储存在原料仓库中。</w:t>
                  </w:r>
                </w:p>
              </w:tc>
              <w:tc>
                <w:tcPr>
                  <w:tcW w:w="275" w:type="pct"/>
                  <w:tcBorders>
                    <w:tl2br w:val="nil"/>
                    <w:tr2bl w:val="nil"/>
                  </w:tcBorders>
                  <w:vAlign w:val="center"/>
                </w:tcPr>
                <w:p>
                  <w:pPr>
                    <w:pStyle w:val="60"/>
                    <w:keepNext w:val="0"/>
                    <w:keepLines w:val="0"/>
                    <w:suppressLineNumbers w:val="0"/>
                    <w:adjustRightInd w:val="0"/>
                    <w:snapToGrid w:val="0"/>
                    <w:spacing w:before="0" w:beforeAutospacing="0" w:after="0" w:afterAutospacing="0" w:line="340" w:lineRule="exact"/>
                    <w:ind w:left="0" w:right="0"/>
                    <w:rPr>
                      <w:rFonts w:eastAsia="宋体" w:hint="eastAsia"/>
                      <w:color w:val="auto"/>
                      <w:sz w:val="21"/>
                      <w:szCs w:val="21"/>
                      <w:highlight w:val="none"/>
                      <w:lang w:val="en-US" w:eastAsia="zh-CN"/>
                    </w:rPr>
                  </w:pPr>
                  <w:r>
                    <w:rPr>
                      <w:rFonts w:hint="eastAsia"/>
                      <w:color w:val="auto"/>
                      <w:sz w:val="21"/>
                      <w:szCs w:val="21"/>
                      <w:highlight w:val="none"/>
                      <w:lang w:val="en-US" w:eastAsia="zh-CN"/>
                    </w:rPr>
                    <w:t>符合</w:t>
                  </w:r>
                </w:p>
              </w:tc>
            </w:tr>
          </w:tbl>
          <w:p/>
        </w:tc>
      </w:tr>
    </w:tbl>
    <w:p>
      <w:pPr>
        <w:sectPr>
          <w:footerReference w:type="default" r:id="rId15"/>
          <w:type w:val="nextPage"/>
          <w:pgSz w:w="16838" w:h="11906" w:orient="landscape"/>
          <w:pgMar w:top="1417" w:right="1417" w:bottom="1417" w:left="1417" w:header="992" w:footer="992" w:gutter="0"/>
          <w:pgBorders>
            <w:top w:val="none" w:sz="0" w:space="0" w:color="auto"/>
            <w:left w:val="none" w:sz="0" w:space="0" w:color="auto"/>
            <w:bottom w:val="none" w:sz="0" w:space="0" w:color="auto"/>
            <w:right w:val="none" w:sz="0" w:space="0" w:color="auto"/>
          </w:pgBorders>
          <w:pgNumType w:start="5"/>
          <w:cols w:num="1" w:space="720"/>
          <w:titlePg w:val="0"/>
          <w:docGrid w:linePitch="312" w:charSpace="0"/>
        </w:sectPr>
      </w:pPr>
    </w:p>
    <w:tbl>
      <w:tblPr>
        <w:tblStyle w:val="TableNormal"/>
        <w:tblW w:w="499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756"/>
        <w:gridCol w:w="13453"/>
      </w:tblGrid>
      <w:tr>
        <w:tblPrEx>
          <w:tblW w:w="499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8836"/>
          <w:jc w:val="center"/>
        </w:trPr>
        <w:tc>
          <w:tcPr>
            <w:tcW w:w="266" w:type="pct"/>
            <w:vAlign w:val="center"/>
          </w:tcPr>
          <w:p/>
        </w:tc>
        <w:tc>
          <w:tcPr>
            <w:tcW w:w="4733" w:type="pct"/>
            <w:vAlign w:val="center"/>
          </w:tcPr>
          <w:tbl>
            <w:tblPr>
              <w:tblStyle w:val="TableNormal"/>
              <w:tblW w:w="4998" w:type="pct"/>
              <w:jc w:val="center"/>
              <w:tblBorders>
                <w:top w:val="single" w:sz="18" w:space="0" w:color="auto"/>
                <w:left w:val="none" w:sz="0" w:space="0" w:color="auto"/>
                <w:bottom w:val="single" w:sz="18"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533"/>
              <w:gridCol w:w="1536"/>
              <w:gridCol w:w="7857"/>
              <w:gridCol w:w="2578"/>
              <w:gridCol w:w="728"/>
            </w:tblGrid>
            <w:tr>
              <w:tblPrEx>
                <w:tblW w:w="4998" w:type="pct"/>
                <w:jc w:val="center"/>
                <w:tblBorders>
                  <w:top w:val="single" w:sz="18" w:space="0" w:color="auto"/>
                  <w:left w:val="none" w:sz="0" w:space="0" w:color="auto"/>
                  <w:bottom w:val="single" w:sz="18"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340"/>
                <w:jc w:val="center"/>
              </w:trPr>
              <w:tc>
                <w:tcPr>
                  <w:tcW w:w="201" w:type="pct"/>
                  <w:tcBorders>
                    <w:tl2br w:val="nil"/>
                    <w:tr2bl w:val="nil"/>
                  </w:tcBorders>
                  <w:vAlign w:val="center"/>
                </w:tcPr>
                <w:p/>
              </w:tc>
              <w:tc>
                <w:tcPr>
                  <w:tcW w:w="580" w:type="pct"/>
                  <w:tcBorders>
                    <w:tl2br w:val="nil"/>
                    <w:tr2bl w:val="nil"/>
                  </w:tcBorders>
                  <w:vAlign w:val="center"/>
                </w:tcPr>
                <w:p/>
              </w:tc>
              <w:tc>
                <w:tcPr>
                  <w:tcW w:w="2968" w:type="pct"/>
                  <w:tcBorders>
                    <w:tl2br w:val="nil"/>
                    <w:tr2bl w:val="nil"/>
                  </w:tcBorders>
                  <w:vAlign w:val="center"/>
                </w:tcPr>
                <w:p>
                  <w:pPr>
                    <w:pStyle w:val="a18"/>
                    <w:keepLines w:val="0"/>
                    <w:suppressLineNumbers w:val="0"/>
                    <w:bidi w:val="0"/>
                    <w:spacing w:before="0" w:beforeAutospacing="0" w:after="0" w:afterAutospacing="0"/>
                    <w:ind w:left="0" w:right="0" w:firstLine="420" w:leftChars="0" w:firstLineChars="0"/>
                    <w:jc w:val="left"/>
                    <w:rPr>
                      <w:rFonts w:cs="Times New Roman" w:hint="default"/>
                      <w:color w:val="auto"/>
                      <w:sz w:val="21"/>
                      <w:szCs w:val="21"/>
                      <w:highlight w:val="none"/>
                      <w:lang w:val="en-US" w:eastAsia="zh-CN" w:bidi="ar-SA"/>
                    </w:rPr>
                  </w:pPr>
                  <w:r>
                    <w:rPr>
                      <w:rFonts w:ascii="Times New Roman" w:eastAsia="宋体" w:hAnsi="Times New Roman" w:cs="Times New Roman" w:hint="default"/>
                      <w:bCs/>
                      <w:color w:val="auto"/>
                      <w:kern w:val="44"/>
                      <w:sz w:val="21"/>
                      <w:szCs w:val="21"/>
                      <w:highlight w:val="none"/>
                      <w:lang w:val="en-US" w:eastAsia="zh-CN" w:bidi="ar-SA"/>
                    </w:rPr>
                    <w:t>强化源头控制，加快使用粉末、水性、高固体分、辐射固化等低VOCs含量的涂料替代溶剂型涂料。重点区域汽车制造底漆大力推广使用水性涂料，乘用车中涂、色漆大力推广使用高固体分或水性涂料，加快客车、货车等中涂、色漆改造。钢制集装箱制造在箱内、箱外、木地板涂装等工序大力推广使用水性涂料，在确保防腐蚀功能的前提下，加快推进特种集装箱采用水性涂料</w:t>
                  </w:r>
                  <w:r>
                    <w:rPr>
                      <w:rFonts w:cs="Times New Roman" w:hint="eastAsia"/>
                      <w:bCs/>
                      <w:color w:val="auto"/>
                      <w:kern w:val="44"/>
                      <w:sz w:val="21"/>
                      <w:szCs w:val="21"/>
                      <w:highlight w:val="none"/>
                      <w:lang w:val="en-US" w:eastAsia="zh-CN" w:bidi="ar-SA"/>
                    </w:rPr>
                    <w:t>。......</w:t>
                  </w:r>
                  <w:r>
                    <w:rPr>
                      <w:rFonts w:ascii="Times New Roman" w:eastAsia="宋体" w:hAnsi="Times New Roman" w:cs="Times New Roman" w:hint="default"/>
                      <w:bCs/>
                      <w:color w:val="auto"/>
                      <w:kern w:val="44"/>
                      <w:sz w:val="21"/>
                      <w:szCs w:val="21"/>
                      <w:highlight w:val="none"/>
                      <w:lang w:val="en-US" w:eastAsia="zh-CN" w:bidi="ar-SA"/>
                    </w:rPr>
                    <w:t>。</w:t>
                  </w:r>
                </w:p>
                <w:p>
                  <w:pPr>
                    <w:pStyle w:val="a18"/>
                    <w:keepLines w:val="0"/>
                    <w:suppressLineNumbers w:val="0"/>
                    <w:bidi w:val="0"/>
                    <w:spacing w:before="0" w:beforeAutospacing="0" w:after="0" w:afterAutospacing="0"/>
                    <w:ind w:left="0" w:right="0" w:firstLine="420" w:leftChars="0" w:firstLineChars="0"/>
                    <w:jc w:val="left"/>
                    <w:rPr>
                      <w:rFonts w:cs="Times New Roman" w:hint="default"/>
                      <w:color w:val="auto"/>
                      <w:sz w:val="21"/>
                      <w:szCs w:val="21"/>
                      <w:highlight w:val="none"/>
                      <w:lang w:val="en-US" w:eastAsia="zh-CN" w:bidi="ar-SA"/>
                    </w:rPr>
                  </w:pPr>
                  <w:r>
                    <w:rPr>
                      <w:rFonts w:ascii="Times New Roman" w:eastAsia="宋体" w:hAnsi="Times New Roman" w:cs="Times New Roman" w:hint="default"/>
                      <w:bCs/>
                      <w:color w:val="auto"/>
                      <w:kern w:val="44"/>
                      <w:sz w:val="21"/>
                      <w:szCs w:val="21"/>
                      <w:highlight w:val="none"/>
                      <w:lang w:val="en-US" w:eastAsia="zh-CN" w:bidi="ar-SA"/>
                    </w:rPr>
                    <w:t>加快推广紧凑式涂装工艺、先进涂装技术和设备。</w:t>
                  </w:r>
                  <w:r>
                    <w:rPr>
                      <w:rFonts w:cs="Times New Roman" w:hint="eastAsia"/>
                      <w:bCs/>
                      <w:color w:val="auto"/>
                      <w:kern w:val="44"/>
                      <w:sz w:val="21"/>
                      <w:szCs w:val="21"/>
                      <w:highlight w:val="none"/>
                      <w:lang w:val="en-US" w:eastAsia="zh-CN" w:bidi="ar-SA"/>
                    </w:rPr>
                    <w:t>......</w:t>
                  </w:r>
                  <w:r>
                    <w:rPr>
                      <w:rFonts w:ascii="Times New Roman" w:eastAsia="宋体" w:hAnsi="Times New Roman" w:cs="Times New Roman" w:hint="default"/>
                      <w:bCs/>
                      <w:color w:val="auto"/>
                      <w:kern w:val="44"/>
                      <w:sz w:val="21"/>
                      <w:szCs w:val="21"/>
                      <w:highlight w:val="none"/>
                      <w:lang w:val="en-US" w:eastAsia="zh-CN" w:bidi="ar-SA"/>
                    </w:rPr>
                    <w:t>。汽车金属零配件企业鼓励采用粉末静电喷涂技术。</w:t>
                  </w:r>
                  <w:r>
                    <w:rPr>
                      <w:rFonts w:cs="Times New Roman" w:hint="eastAsia"/>
                      <w:bCs/>
                      <w:color w:val="auto"/>
                      <w:kern w:val="44"/>
                      <w:sz w:val="21"/>
                      <w:szCs w:val="21"/>
                      <w:highlight w:val="none"/>
                      <w:lang w:val="en-US" w:eastAsia="zh-CN" w:bidi="ar-SA"/>
                    </w:rPr>
                    <w:t>......</w:t>
                  </w:r>
                  <w:r>
                    <w:rPr>
                      <w:rFonts w:ascii="Times New Roman" w:eastAsia="宋体" w:hAnsi="Times New Roman" w:cs="Times New Roman" w:hint="default"/>
                      <w:bCs/>
                      <w:color w:val="auto"/>
                      <w:kern w:val="44"/>
                      <w:sz w:val="21"/>
                      <w:szCs w:val="21"/>
                      <w:highlight w:val="none"/>
                      <w:lang w:val="en-US" w:eastAsia="zh-CN" w:bidi="ar-SA"/>
                    </w:rPr>
                    <w:t>。</w:t>
                  </w:r>
                </w:p>
                <w:p>
                  <w:pPr>
                    <w:pStyle w:val="a18"/>
                    <w:keepLines w:val="0"/>
                    <w:suppressLineNumbers w:val="0"/>
                    <w:bidi w:val="0"/>
                    <w:spacing w:before="0" w:beforeAutospacing="0" w:after="0" w:afterAutospacing="0"/>
                    <w:ind w:left="0" w:right="0" w:firstLine="420" w:leftChars="0" w:firstLineChars="0"/>
                    <w:jc w:val="left"/>
                    <w:rPr>
                      <w:rFonts w:cs="Times New Roman" w:hint="default"/>
                      <w:color w:val="auto"/>
                      <w:sz w:val="21"/>
                      <w:szCs w:val="21"/>
                      <w:highlight w:val="none"/>
                      <w:lang w:val="en-US" w:eastAsia="zh-CN" w:bidi="ar-SA"/>
                    </w:rPr>
                  </w:pPr>
                  <w:r>
                    <w:rPr>
                      <w:rFonts w:ascii="Times New Roman" w:eastAsia="宋体" w:hAnsi="Times New Roman" w:cs="Times New Roman" w:hint="default"/>
                      <w:bCs/>
                      <w:color w:val="auto"/>
                      <w:kern w:val="44"/>
                      <w:sz w:val="21"/>
                      <w:szCs w:val="21"/>
                      <w:highlight w:val="none"/>
                      <w:lang w:val="en-US" w:eastAsia="zh-CN" w:bidi="ar-SA"/>
                    </w:rPr>
                    <w:t>有效控制无组织排放。涂料、稀释剂、清洗剂等原辅材料应密闭存储，调配、使用、回收等过程应采用密闭设备或在密闭空间内操作，采用密闭管道或密闭容器等输送。除大型工件外，禁止敞开式喷涂、晾（风）干作业。除工艺限制外，原则上实行集中调配。调配、喷涂和干燥等VOCs排放工序应配备有效的废气收集系统。</w:t>
                  </w:r>
                </w:p>
                <w:p>
                  <w:pPr>
                    <w:pStyle w:val="a18"/>
                    <w:keepLines w:val="0"/>
                    <w:suppressLineNumbers w:val="0"/>
                    <w:bidi w:val="0"/>
                    <w:spacing w:before="0" w:beforeAutospacing="0" w:after="0" w:afterAutospacing="0"/>
                    <w:ind w:left="0" w:right="0" w:firstLine="420" w:leftChars="0" w:firstLineChars="0"/>
                    <w:jc w:val="left"/>
                    <w:rPr>
                      <w:rFonts w:cs="Times New Roman" w:hint="default"/>
                      <w:color w:val="auto"/>
                      <w:sz w:val="21"/>
                      <w:szCs w:val="21"/>
                      <w:highlight w:val="none"/>
                      <w:lang w:val="en-US" w:eastAsia="zh-CN" w:bidi="ar-SA"/>
                    </w:rPr>
                  </w:pPr>
                  <w:r>
                    <w:rPr>
                      <w:rFonts w:ascii="Times New Roman" w:eastAsia="宋体" w:hAnsi="Times New Roman" w:cs="Times New Roman" w:hint="default"/>
                      <w:bCs/>
                      <w:color w:val="auto"/>
                      <w:kern w:val="44"/>
                      <w:sz w:val="21"/>
                      <w:szCs w:val="21"/>
                      <w:highlight w:val="none"/>
                      <w:lang w:val="en-US" w:eastAsia="zh-CN" w:bidi="ar-SA"/>
                    </w:rPr>
                    <w:t>推进建设适宜高效的治污设施。喷涂废气应设置高效漆雾处理装置。喷涂、晾（风）干废气宜采用吸附浓缩+燃烧处理方式，小风量的可采用一次性活性炭吸附等工艺</w:t>
                  </w:r>
                  <w:r>
                    <w:rPr>
                      <w:rFonts w:cs="Times New Roman" w:hint="eastAsia"/>
                      <w:bCs/>
                      <w:color w:val="auto"/>
                      <w:kern w:val="44"/>
                      <w:sz w:val="21"/>
                      <w:szCs w:val="21"/>
                      <w:highlight w:val="none"/>
                      <w:lang w:val="en-US" w:eastAsia="zh-CN" w:bidi="ar-SA"/>
                    </w:rPr>
                    <w:t>。</w:t>
                  </w:r>
                </w:p>
              </w:tc>
              <w:tc>
                <w:tcPr>
                  <w:tcW w:w="974" w:type="pct"/>
                  <w:tcBorders>
                    <w:tl2br w:val="nil"/>
                    <w:tr2bl w:val="nil"/>
                  </w:tcBorders>
                  <w:vAlign w:val="center"/>
                </w:tcPr>
                <w:p>
                  <w:pPr>
                    <w:pStyle w:val="a18"/>
                    <w:keepLines w:val="0"/>
                    <w:suppressLineNumbers w:val="0"/>
                    <w:bidi w:val="0"/>
                    <w:spacing w:before="0" w:beforeAutospacing="0" w:after="0" w:afterAutospacing="0"/>
                    <w:ind w:left="0" w:right="0" w:firstLine="0" w:leftChars="0" w:firstLineChars="0"/>
                    <w:rPr>
                      <w:rFonts w:cs="Times New Roman"/>
                      <w:color w:val="auto"/>
                      <w:sz w:val="21"/>
                      <w:szCs w:val="21"/>
                      <w:highlight w:val="none"/>
                      <w:lang w:val="en-US" w:eastAsia="zh-CN" w:bidi="ar-SA"/>
                    </w:rPr>
                  </w:pPr>
                  <w:r>
                    <w:rPr>
                      <w:rFonts w:cs="Times New Roman" w:hint="eastAsia"/>
                      <w:bCs/>
                      <w:color w:val="auto"/>
                      <w:kern w:val="44"/>
                      <w:sz w:val="21"/>
                      <w:szCs w:val="21"/>
                      <w:highlight w:val="none"/>
                      <w:lang w:val="en-US" w:eastAsia="zh-CN" w:bidi="ar-SA"/>
                    </w:rPr>
                    <w:t>本项目大部分生产设备为密闭设备，密闭设备产生的废气均负压收集；部分非密闭设备和局部未密闭设备，均要求设置密闭车间，负压收集废气。</w:t>
                  </w:r>
                </w:p>
                <w:p>
                  <w:pPr>
                    <w:pStyle w:val="a18"/>
                    <w:keepLines w:val="0"/>
                    <w:suppressLineNumbers w:val="0"/>
                    <w:bidi w:val="0"/>
                    <w:spacing w:before="0" w:beforeAutospacing="0" w:after="0" w:afterAutospacing="0"/>
                    <w:ind w:left="0" w:right="0" w:firstLine="0" w:leftChars="0" w:firstLineChars="0"/>
                    <w:rPr>
                      <w:rFonts w:cs="Times New Roman" w:hint="default"/>
                      <w:color w:val="auto"/>
                      <w:sz w:val="21"/>
                      <w:szCs w:val="21"/>
                      <w:highlight w:val="none"/>
                      <w:lang w:val="en-US" w:eastAsia="zh-CN" w:bidi="ar-SA"/>
                    </w:rPr>
                  </w:pPr>
                  <w:r>
                    <w:rPr>
                      <w:rFonts w:cs="Times New Roman" w:hint="eastAsia"/>
                      <w:bCs/>
                      <w:color w:val="auto"/>
                      <w:kern w:val="44"/>
                      <w:sz w:val="21"/>
                      <w:szCs w:val="21"/>
                      <w:highlight w:val="none"/>
                      <w:lang w:val="en-US" w:eastAsia="zh-CN" w:bidi="ar-SA"/>
                    </w:rPr>
                    <w:t>本项目废气处理采用“混动旋流塔+离心除雾+蜂窝等离子净化器+活性炭吸附净化器”。</w:t>
                  </w:r>
                </w:p>
              </w:tc>
              <w:tc>
                <w:tcPr>
                  <w:tcW w:w="275" w:type="pct"/>
                  <w:tcBorders>
                    <w:tl2br w:val="nil"/>
                    <w:tr2bl w:val="nil"/>
                  </w:tcBorders>
                  <w:vAlign w:val="center"/>
                </w:tcPr>
                <w:p/>
              </w:tc>
            </w:tr>
          </w:tbl>
          <w:p>
            <w:pPr>
              <w:pStyle w:val="NormalIndent"/>
              <w:keepNext w:val="0"/>
              <w:keepLines w:val="0"/>
              <w:suppressLineNumbers w:val="0"/>
              <w:spacing w:before="0" w:beforeAutospacing="0" w:after="0" w:afterAutospacing="0"/>
              <w:ind w:left="0" w:right="0" w:firstLine="480"/>
              <w:rPr>
                <w:rFonts w:hint="default"/>
                <w:color w:val="auto"/>
                <w:highlight w:val="none"/>
              </w:rPr>
            </w:pPr>
          </w:p>
        </w:tc>
      </w:tr>
    </w:tbl>
    <w:p>
      <w:pPr>
        <w:spacing w:line="360" w:lineRule="auto"/>
        <w:outlineLvl w:val="0"/>
        <w:rPr>
          <w:rFonts w:eastAsia="黑体"/>
          <w:color w:val="auto"/>
          <w:sz w:val="30"/>
          <w:highlight w:val="none"/>
        </w:rPr>
        <w:sectPr>
          <w:footerReference w:type="default" r:id="rId16"/>
          <w:type w:val="nextPage"/>
          <w:pgSz w:w="16838" w:h="11906" w:orient="landscape"/>
          <w:pgMar w:top="1417" w:right="1417" w:bottom="1417" w:left="1417" w:header="992" w:footer="992" w:gutter="0"/>
          <w:pgBorders>
            <w:top w:val="none" w:sz="0" w:space="0" w:color="auto"/>
            <w:left w:val="none" w:sz="0" w:space="0" w:color="auto"/>
            <w:bottom w:val="none" w:sz="0" w:space="0" w:color="auto"/>
            <w:right w:val="none" w:sz="0" w:space="0" w:color="auto"/>
          </w:pgBorders>
          <w:pgNumType w:start="6"/>
          <w:cols w:num="1" w:space="720"/>
          <w:titlePg w:val="0"/>
          <w:docGrid w:linePitch="312" w:charSpace="0"/>
        </w:sectPr>
      </w:pPr>
    </w:p>
    <w:p>
      <w:pPr>
        <w:pStyle w:val="NormalWeb"/>
        <w:jc w:val="center"/>
        <w:outlineLvl w:val="0"/>
        <w:rPr>
          <w:rFonts w:ascii="Times New Roman" w:hAnsi="Times New Roman"/>
          <w:b/>
          <w:bCs/>
          <w:snapToGrid w:val="0"/>
          <w:color w:val="auto"/>
          <w:sz w:val="32"/>
          <w:szCs w:val="32"/>
          <w:highlight w:val="none"/>
        </w:rPr>
      </w:pPr>
      <w:r>
        <w:rPr>
          <w:rFonts w:ascii="Times New Roman" w:hAnsi="Times New Roman"/>
          <w:b/>
          <w:bCs/>
          <w:snapToGrid w:val="0"/>
          <w:color w:val="auto"/>
          <w:sz w:val="32"/>
          <w:szCs w:val="32"/>
          <w:highlight w:val="none"/>
        </w:rPr>
        <w:t>二、建设项目工程分析</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3"/>
        <w:gridCol w:w="8836"/>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5855"/>
          <w:jc w:val="center"/>
        </w:trPr>
        <w:tc>
          <w:tcPr>
            <w:tcW w:w="455" w:type="dxa"/>
            <w:vAlign w:val="center"/>
          </w:tcPr>
          <w:p>
            <w:pPr>
              <w:pStyle w:val="NormalWeb"/>
              <w:keepNext w:val="0"/>
              <w:keepLines w:val="0"/>
              <w:suppressLineNumbers w:val="0"/>
              <w:adjustRightInd w:val="0"/>
              <w:snapToGrid w:val="0"/>
              <w:spacing w:before="0" w:beforeAutospacing="0" w:after="0" w:afterAutospacing="0"/>
              <w:ind w:left="0" w:right="0"/>
              <w:jc w:val="center"/>
              <w:rPr>
                <w:rFonts w:ascii="Times New Roman" w:hAnsi="Times New Roman" w:hint="default"/>
                <w:color w:val="auto"/>
                <w:szCs w:val="24"/>
                <w:highlight w:val="none"/>
              </w:rPr>
            </w:pPr>
            <w:r>
              <w:rPr>
                <w:rFonts w:ascii="Times New Roman" w:hAnsi="Times New Roman" w:hint="default"/>
                <w:color w:val="auto"/>
                <w:szCs w:val="24"/>
                <w:highlight w:val="none"/>
              </w:rPr>
              <w:t>建设内容</w:t>
            </w:r>
          </w:p>
        </w:tc>
        <w:tc>
          <w:tcPr>
            <w:tcW w:w="8834" w:type="dxa"/>
          </w:tcPr>
          <w:p>
            <w:pPr>
              <w:pStyle w:val="Heading2"/>
              <w:suppressLineNumbers w:val="0"/>
              <w:spacing w:before="120" w:beforeAutospacing="0" w:after="120" w:afterAutospacing="0"/>
              <w:ind w:left="0" w:right="0"/>
              <w:rPr>
                <w:rFonts w:hint="default"/>
                <w:color w:val="auto"/>
                <w:kern w:val="2"/>
                <w:highlight w:val="none"/>
              </w:rPr>
            </w:pPr>
            <w:r>
              <w:rPr>
                <w:rFonts w:hint="default"/>
                <w:color w:val="auto"/>
                <w:kern w:val="2"/>
                <w:highlight w:val="none"/>
              </w:rPr>
              <w:t>2.1 建设内容</w:t>
            </w:r>
          </w:p>
          <w:p>
            <w:pPr>
              <w:pStyle w:val="Heading3"/>
              <w:keepNext w:val="0"/>
              <w:keepLines w:val="0"/>
              <w:suppressLineNumbers w:val="0"/>
              <w:spacing w:before="120" w:beforeAutospacing="0" w:after="120" w:afterAutospacing="0"/>
              <w:ind w:left="0" w:right="0"/>
              <w:rPr>
                <w:rFonts w:hint="default"/>
                <w:color w:val="auto"/>
                <w:highlight w:val="none"/>
              </w:rPr>
            </w:pPr>
            <w:r>
              <w:rPr>
                <w:rFonts w:hint="default"/>
                <w:color w:val="auto"/>
                <w:highlight w:val="none"/>
              </w:rPr>
              <w:t>2.1.1 项目基本情况</w:t>
            </w:r>
          </w:p>
          <w:p>
            <w:pPr>
              <w:pStyle w:val="NormalIndent"/>
              <w:keepNext w:val="0"/>
              <w:keepLines w:val="0"/>
              <w:suppressLineNumbers w:val="0"/>
              <w:spacing w:before="0" w:beforeAutospacing="0" w:after="0" w:afterAutospacing="0"/>
              <w:ind w:left="0" w:right="0" w:firstLine="482"/>
              <w:rPr>
                <w:rFonts w:hint="default"/>
                <w:color w:val="auto"/>
                <w:highlight w:val="none"/>
              </w:rPr>
            </w:pPr>
            <w:r>
              <w:rPr>
                <w:rFonts w:hint="eastAsia"/>
                <w:b/>
                <w:bCs/>
                <w:color w:val="auto"/>
                <w:highlight w:val="none"/>
              </w:rPr>
              <w:t>项目名称：</w:t>
            </w:r>
            <w:r>
              <w:rPr>
                <w:rFonts w:hint="eastAsia"/>
                <w:color w:val="auto"/>
                <w:highlight w:val="none"/>
                <w:lang w:eastAsia="zh-CN"/>
              </w:rPr>
              <w:t>********</w:t>
            </w:r>
            <w:r>
              <w:rPr>
                <w:rFonts w:hint="eastAsia"/>
                <w:color w:val="auto"/>
                <w:highlight w:val="none"/>
              </w:rPr>
              <w:t>制动系统有限公司年产刹车片2160万片</w:t>
            </w:r>
          </w:p>
          <w:p>
            <w:pPr>
              <w:pStyle w:val="NormalIndent"/>
              <w:keepNext w:val="0"/>
              <w:keepLines w:val="0"/>
              <w:suppressLineNumbers w:val="0"/>
              <w:spacing w:before="0" w:beforeAutospacing="0" w:after="0" w:afterAutospacing="0"/>
              <w:ind w:left="0" w:right="0" w:firstLine="482"/>
              <w:rPr>
                <w:rFonts w:hint="default"/>
                <w:color w:val="auto"/>
                <w:highlight w:val="none"/>
              </w:rPr>
            </w:pPr>
            <w:r>
              <w:rPr>
                <w:rFonts w:hint="eastAsia"/>
                <w:b/>
                <w:bCs/>
                <w:color w:val="auto"/>
                <w:highlight w:val="none"/>
              </w:rPr>
              <w:t>建设单位：</w:t>
            </w:r>
            <w:r>
              <w:rPr>
                <w:rFonts w:hint="eastAsia"/>
                <w:color w:val="auto"/>
                <w:highlight w:val="none"/>
                <w:lang w:eastAsia="zh-CN"/>
              </w:rPr>
              <w:t>********</w:t>
            </w:r>
            <w:r>
              <w:rPr>
                <w:rFonts w:hint="eastAsia"/>
                <w:color w:val="auto"/>
                <w:highlight w:val="none"/>
              </w:rPr>
              <w:t>制动系统有限公司</w:t>
            </w:r>
          </w:p>
          <w:p>
            <w:pPr>
              <w:pStyle w:val="NormalIndent"/>
              <w:keepNext w:val="0"/>
              <w:keepLines w:val="0"/>
              <w:suppressLineNumbers w:val="0"/>
              <w:spacing w:before="0" w:beforeAutospacing="0" w:after="0" w:afterAutospacing="0"/>
              <w:ind w:left="1679" w:right="0" w:hanging="1200" w:leftChars="228" w:hangingChars="500"/>
              <w:rPr>
                <w:rFonts w:eastAsia="宋体" w:hint="default"/>
                <w:color w:val="auto"/>
                <w:highlight w:val="none"/>
                <w:lang w:val="en-US" w:eastAsia="zh-CN"/>
              </w:rPr>
            </w:pPr>
            <w:r>
              <w:rPr>
                <w:rFonts w:hint="eastAsia"/>
                <w:b/>
                <w:bCs/>
                <w:color w:val="auto"/>
                <w:highlight w:val="none"/>
              </w:rPr>
              <w:t>建设地点：</w:t>
            </w:r>
            <w:r>
              <w:rPr>
                <w:rFonts w:hint="eastAsia"/>
                <w:b w:val="0"/>
                <w:bCs w:val="0"/>
                <w:color w:val="auto"/>
                <w:highlight w:val="none"/>
                <w:lang w:val="en-US" w:eastAsia="zh-CN"/>
              </w:rPr>
              <w:t>扩建项目位于福清融侨经济技术开发区</w:t>
            </w:r>
            <w:r>
              <w:rPr>
                <w:rFonts w:hint="eastAsia"/>
                <w:color w:val="auto"/>
                <w:sz w:val="24"/>
                <w:highlight w:val="none"/>
                <w:lang w:eastAsia="zh-CN"/>
              </w:rPr>
              <w:t>（</w:t>
            </w:r>
            <w:r>
              <w:rPr>
                <w:rFonts w:hint="eastAsia"/>
                <w:color w:val="auto"/>
                <w:highlight w:val="none"/>
                <w:lang w:eastAsia="zh-CN"/>
              </w:rPr>
              <w:t>********</w:t>
            </w:r>
            <w:r>
              <w:rPr>
                <w:rFonts w:hint="eastAsia"/>
                <w:color w:val="auto"/>
                <w:highlight w:val="none"/>
              </w:rPr>
              <w:t>印刷制品有限公司1#厂房</w:t>
            </w:r>
            <w:r>
              <w:rPr>
                <w:rFonts w:hint="eastAsia"/>
                <w:color w:val="auto"/>
                <w:sz w:val="24"/>
                <w:highlight w:val="none"/>
                <w:lang w:eastAsia="zh-CN"/>
              </w:rPr>
              <w:t>），</w:t>
            </w:r>
            <w:r>
              <w:rPr>
                <w:rFonts w:hint="eastAsia"/>
                <w:color w:val="auto"/>
                <w:sz w:val="24"/>
                <w:highlight w:val="none"/>
                <w:lang w:val="en-US" w:eastAsia="zh-CN"/>
              </w:rPr>
              <w:t>现有项目位于福建省福州市福清市******村********。本次环评仅涉及扩建部分，不涉及现有厂区的现有项目</w:t>
            </w:r>
          </w:p>
          <w:p>
            <w:pPr>
              <w:pStyle w:val="NormalIndent"/>
              <w:keepNext w:val="0"/>
              <w:keepLines w:val="0"/>
              <w:suppressLineNumbers w:val="0"/>
              <w:spacing w:before="0" w:beforeAutospacing="0" w:after="0" w:afterAutospacing="0"/>
              <w:ind w:left="0" w:right="0" w:firstLine="482"/>
              <w:rPr>
                <w:rFonts w:hint="default"/>
                <w:color w:val="auto"/>
                <w:highlight w:val="none"/>
              </w:rPr>
            </w:pPr>
            <w:r>
              <w:rPr>
                <w:rFonts w:hint="eastAsia"/>
                <w:b/>
                <w:bCs/>
                <w:color w:val="auto"/>
                <w:highlight w:val="none"/>
              </w:rPr>
              <w:t>项目性质：</w:t>
            </w:r>
            <w:r>
              <w:rPr>
                <w:rFonts w:hint="eastAsia"/>
                <w:color w:val="auto"/>
                <w:highlight w:val="none"/>
              </w:rPr>
              <w:t>扩建</w:t>
            </w:r>
          </w:p>
          <w:p>
            <w:pPr>
              <w:pStyle w:val="NormalIndent"/>
              <w:keepNext w:val="0"/>
              <w:keepLines w:val="0"/>
              <w:suppressLineNumbers w:val="0"/>
              <w:spacing w:before="0" w:beforeAutospacing="0" w:after="0" w:afterAutospacing="0"/>
              <w:ind w:left="0" w:right="0" w:firstLine="482"/>
              <w:rPr>
                <w:rFonts w:hint="default"/>
                <w:color w:val="auto"/>
                <w:highlight w:val="none"/>
              </w:rPr>
            </w:pPr>
            <w:r>
              <w:rPr>
                <w:rFonts w:hint="eastAsia"/>
                <w:b/>
                <w:bCs/>
                <w:color w:val="auto"/>
                <w:highlight w:val="none"/>
              </w:rPr>
              <w:t>总 投 资：</w:t>
            </w:r>
            <w:r>
              <w:rPr>
                <w:rFonts w:hint="eastAsia"/>
                <w:color w:val="auto"/>
                <w:highlight w:val="none"/>
              </w:rPr>
              <w:t>1700万元</w:t>
            </w:r>
          </w:p>
          <w:p>
            <w:pPr>
              <w:pStyle w:val="NormalIndent"/>
              <w:keepNext w:val="0"/>
              <w:keepLines w:val="0"/>
              <w:suppressLineNumbers w:val="0"/>
              <w:spacing w:before="0" w:beforeAutospacing="0" w:after="0" w:afterAutospacing="0"/>
              <w:ind w:left="0" w:right="0" w:firstLine="482"/>
              <w:rPr>
                <w:rFonts w:hint="default"/>
                <w:color w:val="auto"/>
                <w:highlight w:val="none"/>
              </w:rPr>
            </w:pPr>
            <w:r>
              <w:rPr>
                <w:rFonts w:hint="eastAsia"/>
                <w:b/>
                <w:bCs/>
                <w:color w:val="auto"/>
                <w:highlight w:val="none"/>
              </w:rPr>
              <w:t>建设规模：</w:t>
            </w:r>
            <w:r>
              <w:rPr>
                <w:rFonts w:hint="eastAsia"/>
                <w:color w:val="auto"/>
                <w:highlight w:val="none"/>
              </w:rPr>
              <w:t>租赁</w:t>
            </w:r>
            <w:r>
              <w:rPr>
                <w:rFonts w:hint="eastAsia"/>
                <w:color w:val="auto"/>
                <w:highlight w:val="none"/>
                <w:lang w:eastAsia="zh-CN"/>
              </w:rPr>
              <w:t>********</w:t>
            </w:r>
            <w:r>
              <w:rPr>
                <w:rFonts w:hint="eastAsia"/>
                <w:color w:val="auto"/>
                <w:highlight w:val="none"/>
              </w:rPr>
              <w:t>印刷制品有限公司1#厂房面积为</w:t>
            </w:r>
            <w:r>
              <w:rPr>
                <w:rFonts w:hint="eastAsia"/>
                <w:color w:val="auto"/>
                <w:highlight w:val="none"/>
                <w:lang w:val="en-US" w:eastAsia="zh-CN"/>
              </w:rPr>
              <w:t>1850</w:t>
            </w:r>
            <w:r>
              <w:rPr>
                <w:rFonts w:hint="eastAsia"/>
                <w:color w:val="auto"/>
                <w:highlight w:val="none"/>
              </w:rPr>
              <w:t>m</w:t>
            </w:r>
            <w:r>
              <w:rPr>
                <w:rFonts w:hint="eastAsia"/>
                <w:color w:val="auto"/>
                <w:highlight w:val="none"/>
                <w:vertAlign w:val="superscript"/>
              </w:rPr>
              <w:t>2</w:t>
            </w:r>
          </w:p>
          <w:p>
            <w:pPr>
              <w:pStyle w:val="NormalIndent"/>
              <w:keepNext w:val="0"/>
              <w:keepLines w:val="0"/>
              <w:suppressLineNumbers w:val="0"/>
              <w:spacing w:before="0" w:beforeAutospacing="0" w:after="0" w:afterAutospacing="0"/>
              <w:ind w:left="0" w:right="0" w:firstLine="482"/>
              <w:rPr>
                <w:rFonts w:hint="default"/>
                <w:color w:val="auto"/>
                <w:highlight w:val="none"/>
              </w:rPr>
            </w:pPr>
            <w:r>
              <w:rPr>
                <w:rFonts w:hint="eastAsia"/>
                <w:b/>
                <w:bCs/>
                <w:color w:val="auto"/>
                <w:highlight w:val="none"/>
              </w:rPr>
              <w:t>生产规模：</w:t>
            </w:r>
            <w:r>
              <w:rPr>
                <w:rFonts w:hint="eastAsia"/>
                <w:color w:val="auto"/>
                <w:highlight w:val="none"/>
              </w:rPr>
              <w:t>新增年产刹车片2160万片</w:t>
            </w:r>
          </w:p>
          <w:p>
            <w:pPr>
              <w:pStyle w:val="NormalIndent"/>
              <w:keepNext w:val="0"/>
              <w:keepLines w:val="0"/>
              <w:suppressLineNumbers w:val="0"/>
              <w:spacing w:before="0" w:beforeAutospacing="0" w:after="0" w:afterAutospacing="0"/>
              <w:ind w:left="0" w:right="0" w:firstLine="482"/>
              <w:rPr>
                <w:rFonts w:hint="default"/>
                <w:color w:val="auto"/>
                <w:highlight w:val="none"/>
              </w:rPr>
            </w:pPr>
            <w:r>
              <w:rPr>
                <w:rFonts w:hint="eastAsia"/>
                <w:b/>
                <w:bCs/>
                <w:color w:val="auto"/>
                <w:highlight w:val="none"/>
              </w:rPr>
              <w:t>劳动定员：</w:t>
            </w:r>
            <w:r>
              <w:rPr>
                <w:rFonts w:hint="eastAsia"/>
                <w:color w:val="auto"/>
                <w:highlight w:val="none"/>
              </w:rPr>
              <w:t>拟新增劳动定员60人</w:t>
            </w:r>
          </w:p>
          <w:p>
            <w:pPr>
              <w:pStyle w:val="NormalIndent"/>
              <w:keepNext w:val="0"/>
              <w:keepLines w:val="0"/>
              <w:suppressLineNumbers w:val="0"/>
              <w:spacing w:before="0" w:beforeAutospacing="0" w:after="0" w:afterAutospacing="0"/>
              <w:ind w:left="0" w:right="0" w:firstLine="482"/>
              <w:rPr>
                <w:rFonts w:hint="default"/>
                <w:color w:val="auto"/>
                <w:highlight w:val="none"/>
              </w:rPr>
            </w:pPr>
            <w:r>
              <w:rPr>
                <w:rFonts w:hint="eastAsia"/>
                <w:b/>
                <w:bCs/>
                <w:color w:val="auto"/>
                <w:highlight w:val="none"/>
              </w:rPr>
              <w:t>工作制度：</w:t>
            </w:r>
            <w:r>
              <w:rPr>
                <w:rFonts w:hint="eastAsia"/>
                <w:color w:val="auto"/>
                <w:highlight w:val="none"/>
              </w:rPr>
              <w:t>年工作日320天，日生产24h，两班工作制</w:t>
            </w:r>
          </w:p>
          <w:p>
            <w:pPr>
              <w:pStyle w:val="NormalIndent"/>
              <w:keepNext w:val="0"/>
              <w:keepLines w:val="0"/>
              <w:suppressLineNumbers w:val="0"/>
              <w:spacing w:before="0" w:beforeAutospacing="0" w:after="0" w:afterAutospacing="0"/>
              <w:ind w:left="0" w:right="0" w:firstLine="482"/>
              <w:rPr>
                <w:rFonts w:hint="default"/>
                <w:color w:val="auto"/>
                <w:highlight w:val="none"/>
              </w:rPr>
            </w:pPr>
            <w:r>
              <w:rPr>
                <w:rFonts w:hint="eastAsia"/>
                <w:b/>
                <w:bCs/>
                <w:color w:val="auto"/>
                <w:highlight w:val="none"/>
              </w:rPr>
              <w:t>施 工 期：</w:t>
            </w:r>
            <w:r>
              <w:rPr>
                <w:rFonts w:hint="eastAsia"/>
                <w:color w:val="auto"/>
                <w:highlight w:val="none"/>
              </w:rPr>
              <w:t>6个月</w:t>
            </w:r>
          </w:p>
          <w:p>
            <w:pPr>
              <w:pStyle w:val="Heading3"/>
              <w:keepNext w:val="0"/>
              <w:keepLines w:val="0"/>
              <w:suppressLineNumbers w:val="0"/>
              <w:spacing w:before="120" w:beforeAutospacing="0" w:after="120" w:afterAutospacing="0"/>
              <w:ind w:left="0" w:right="0"/>
              <w:rPr>
                <w:rFonts w:hint="default"/>
                <w:color w:val="auto"/>
                <w:highlight w:val="none"/>
              </w:rPr>
            </w:pPr>
            <w:r>
              <w:rPr>
                <w:rFonts w:hint="default"/>
                <w:color w:val="auto"/>
                <w:highlight w:val="none"/>
              </w:rPr>
              <w:t>2.1.2 项目建设内容及组成</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本</w:t>
            </w:r>
            <w:r>
              <w:rPr>
                <w:rFonts w:hint="eastAsia"/>
                <w:color w:val="auto"/>
                <w:highlight w:val="none"/>
                <w:lang w:val="en-US" w:eastAsia="zh-CN"/>
              </w:rPr>
              <w:t>次扩建</w:t>
            </w:r>
            <w:r>
              <w:rPr>
                <w:rFonts w:hint="default"/>
                <w:color w:val="auto"/>
                <w:highlight w:val="none"/>
              </w:rPr>
              <w:t>项目</w:t>
            </w:r>
            <w:r>
              <w:rPr>
                <w:rFonts w:hint="eastAsia"/>
                <w:color w:val="auto"/>
                <w:highlight w:val="none"/>
                <w:lang w:val="en-US" w:eastAsia="zh-CN"/>
              </w:rPr>
              <w:t>均位于新厂区（租赁的</w:t>
            </w:r>
            <w:r>
              <w:rPr>
                <w:rFonts w:hint="eastAsia"/>
                <w:color w:val="auto"/>
                <w:highlight w:val="none"/>
                <w:lang w:eastAsia="zh-CN"/>
              </w:rPr>
              <w:t>***</w:t>
            </w:r>
            <w:r>
              <w:rPr>
                <w:rFonts w:hint="eastAsia"/>
                <w:color w:val="auto"/>
                <w:highlight w:val="none"/>
              </w:rPr>
              <w:t>印刷</w:t>
            </w:r>
            <w:r>
              <w:rPr>
                <w:rFonts w:hint="eastAsia"/>
                <w:color w:val="auto"/>
                <w:highlight w:val="none"/>
                <w:lang w:val="en-US" w:eastAsia="zh-CN"/>
              </w:rPr>
              <w:t>1#厂房），</w:t>
            </w:r>
            <w:r>
              <w:rPr>
                <w:rFonts w:hint="default"/>
                <w:color w:val="auto"/>
                <w:highlight w:val="none"/>
              </w:rPr>
              <w:t>按主体工程、储运工程、公用</w:t>
            </w:r>
            <w:r>
              <w:rPr>
                <w:rFonts w:hint="eastAsia"/>
                <w:color w:val="auto"/>
                <w:highlight w:val="none"/>
              </w:rPr>
              <w:t>、</w:t>
            </w:r>
            <w:r>
              <w:rPr>
                <w:rFonts w:hint="default"/>
                <w:color w:val="auto"/>
                <w:highlight w:val="none"/>
              </w:rPr>
              <w:t>辅助工程</w:t>
            </w:r>
            <w:r>
              <w:rPr>
                <w:rFonts w:hint="eastAsia"/>
                <w:color w:val="auto"/>
                <w:highlight w:val="none"/>
              </w:rPr>
              <w:t>和</w:t>
            </w:r>
            <w:r>
              <w:rPr>
                <w:rFonts w:hint="default"/>
                <w:color w:val="auto"/>
                <w:highlight w:val="none"/>
              </w:rPr>
              <w:t>环保工程划分，项目组成及主要建设内容分述见表2.1-1</w:t>
            </w:r>
            <w:r>
              <w:rPr>
                <w:rFonts w:hint="eastAsia"/>
                <w:color w:val="auto"/>
                <w:highlight w:val="none"/>
              </w:rPr>
              <w:t>。</w:t>
            </w:r>
          </w:p>
          <w:p>
            <w:pPr>
              <w:keepNext w:val="0"/>
              <w:keepLines w:val="0"/>
              <w:suppressLineNumbers w:val="0"/>
              <w:spacing w:before="0" w:beforeAutospacing="0" w:after="0" w:afterAutospacing="0" w:line="360" w:lineRule="auto"/>
              <w:ind w:left="0" w:right="0"/>
              <w:jc w:val="center"/>
              <w:rPr>
                <w:rFonts w:hint="default"/>
                <w:b/>
                <w:bCs/>
                <w:color w:val="auto"/>
                <w:sz w:val="24"/>
                <w:highlight w:val="none"/>
                <w:shd w:val="clear" w:color="auto" w:fill="FFFFFF"/>
              </w:rPr>
            </w:pPr>
            <w:r>
              <w:rPr>
                <w:rFonts w:hint="eastAsia"/>
                <w:b/>
                <w:bCs/>
                <w:color w:val="auto"/>
                <w:sz w:val="24"/>
                <w:highlight w:val="none"/>
                <w:shd w:val="clear" w:color="auto" w:fill="FFFFFF"/>
              </w:rPr>
              <w:t xml:space="preserve">表2.1-1 </w:t>
            </w:r>
            <w:r>
              <w:rPr>
                <w:rFonts w:hint="eastAsia"/>
                <w:b/>
                <w:bCs/>
                <w:color w:val="auto"/>
                <w:sz w:val="24"/>
                <w:highlight w:val="none"/>
                <w:shd w:val="clear" w:color="auto" w:fill="FFFFFF"/>
                <w:lang w:val="en-US" w:eastAsia="zh-CN"/>
              </w:rPr>
              <w:t>本次扩建</w:t>
            </w:r>
            <w:r>
              <w:rPr>
                <w:rFonts w:hint="eastAsia"/>
                <w:b/>
                <w:bCs/>
                <w:color w:val="auto"/>
                <w:sz w:val="24"/>
                <w:highlight w:val="none"/>
                <w:shd w:val="clear" w:color="auto" w:fill="FFFFFF"/>
              </w:rPr>
              <w:t>项目组成与工程建设内容</w:t>
            </w:r>
          </w:p>
          <w:tbl>
            <w:tblPr>
              <w:tblStyle w:val="TableNormal"/>
              <w:tblW w:w="4998"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57" w:type="dxa"/>
                <w:bottom w:w="0" w:type="dxa"/>
                <w:right w:w="57" w:type="dxa"/>
              </w:tblCellMar>
            </w:tblPr>
            <w:tblGrid>
              <w:gridCol w:w="748"/>
              <w:gridCol w:w="1062"/>
              <w:gridCol w:w="5723"/>
              <w:gridCol w:w="1084"/>
            </w:tblGrid>
            <w:tr>
              <w:tblPrEx>
                <w:tblW w:w="4998"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57" w:type="dxa"/>
                  <w:bottom w:w="0" w:type="dxa"/>
                  <w:right w:w="57" w:type="dxa"/>
                </w:tblCellMar>
              </w:tblPrEx>
              <w:trPr>
                <w:trHeight w:val="340"/>
                <w:tblHeader/>
                <w:jc w:val="center"/>
              </w:trPr>
              <w:tc>
                <w:tcPr>
                  <w:tcW w:w="1050" w:type="pct"/>
                  <w:gridSpan w:val="2"/>
                  <w:vAlign w:val="center"/>
                </w:tcPr>
                <w:p>
                  <w:pPr>
                    <w:pStyle w:val="H"/>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eastAsia"/>
                      <w:b/>
                      <w:bCs/>
                      <w:color w:val="auto"/>
                      <w:sz w:val="21"/>
                      <w:szCs w:val="21"/>
                      <w:highlight w:val="none"/>
                    </w:rPr>
                    <w:t>主要项目名称</w:t>
                  </w:r>
                </w:p>
              </w:tc>
              <w:tc>
                <w:tcPr>
                  <w:tcW w:w="3321" w:type="pct"/>
                  <w:vAlign w:val="center"/>
                </w:tcPr>
                <w:p>
                  <w:pPr>
                    <w:pStyle w:val="H"/>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eastAsia"/>
                      <w:b/>
                      <w:bCs/>
                      <w:color w:val="auto"/>
                      <w:sz w:val="21"/>
                      <w:szCs w:val="21"/>
                      <w:highlight w:val="none"/>
                    </w:rPr>
                    <w:t>主要内容及建设规模</w:t>
                  </w:r>
                </w:p>
              </w:tc>
              <w:tc>
                <w:tcPr>
                  <w:tcW w:w="628" w:type="pct"/>
                  <w:vAlign w:val="center"/>
                </w:tcPr>
                <w:p>
                  <w:pPr>
                    <w:pStyle w:val="H"/>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eastAsia"/>
                      <w:b/>
                      <w:bCs/>
                      <w:color w:val="auto"/>
                      <w:sz w:val="21"/>
                      <w:szCs w:val="21"/>
                      <w:highlight w:val="none"/>
                    </w:rPr>
                    <w:t>依托情况</w:t>
                  </w:r>
                </w:p>
              </w:tc>
            </w:tr>
            <w:tr>
              <w:tblPrEx>
                <w:tblW w:w="4998" w:type="pct"/>
                <w:jc w:val="center"/>
                <w:tblCellMar>
                  <w:top w:w="0" w:type="dxa"/>
                  <w:left w:w="57" w:type="dxa"/>
                  <w:bottom w:w="0" w:type="dxa"/>
                  <w:right w:w="57" w:type="dxa"/>
                </w:tblCellMar>
              </w:tblPrEx>
              <w:trPr>
                <w:trHeight w:val="340"/>
                <w:jc w:val="center"/>
              </w:trPr>
              <w:tc>
                <w:tcPr>
                  <w:tcW w:w="434"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主体工程</w:t>
                  </w:r>
                </w:p>
              </w:tc>
              <w:tc>
                <w:tcPr>
                  <w:tcW w:w="616"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生产车间</w:t>
                  </w:r>
                  <w:r>
                    <w:rPr>
                      <w:rFonts w:hint="eastAsia"/>
                      <w:color w:val="auto"/>
                      <w:sz w:val="21"/>
                      <w:szCs w:val="21"/>
                      <w:highlight w:val="none"/>
                      <w:lang w:val="en-US" w:eastAsia="zh-CN"/>
                    </w:rPr>
                    <w:t>*</w:t>
                  </w:r>
                </w:p>
              </w:tc>
              <w:tc>
                <w:tcPr>
                  <w:tcW w:w="332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建筑面积</w:t>
                  </w:r>
                  <w:r>
                    <w:rPr>
                      <w:rFonts w:hint="eastAsia"/>
                      <w:color w:val="auto"/>
                      <w:sz w:val="21"/>
                      <w:szCs w:val="21"/>
                      <w:highlight w:val="none"/>
                      <w:lang w:val="en-US" w:eastAsia="zh-CN"/>
                    </w:rPr>
                    <w:t>为1850</w:t>
                  </w:r>
                  <w:r>
                    <w:rPr>
                      <w:rFonts w:hint="eastAsia"/>
                      <w:color w:val="auto"/>
                      <w:sz w:val="21"/>
                      <w:szCs w:val="21"/>
                      <w:highlight w:val="none"/>
                    </w:rPr>
                    <w:t>m</w:t>
                  </w:r>
                  <w:r>
                    <w:rPr>
                      <w:rFonts w:hint="eastAsia"/>
                      <w:color w:val="auto"/>
                      <w:sz w:val="21"/>
                      <w:szCs w:val="21"/>
                      <w:highlight w:val="none"/>
                      <w:vertAlign w:val="superscript"/>
                    </w:rPr>
                    <w:t>2</w:t>
                  </w:r>
                  <w:r>
                    <w:rPr>
                      <w:rFonts w:hint="eastAsia"/>
                      <w:color w:val="auto"/>
                      <w:sz w:val="21"/>
                      <w:szCs w:val="21"/>
                      <w:highlight w:val="none"/>
                    </w:rPr>
                    <w:t>，主要设置为生产区、仓库等</w:t>
                  </w:r>
                </w:p>
              </w:tc>
              <w:tc>
                <w:tcPr>
                  <w:tcW w:w="628" w:type="pct"/>
                  <w:vMerge w:val="restart"/>
                  <w:vAlign w:val="center"/>
                </w:tcPr>
                <w:p>
                  <w:pPr>
                    <w:pStyle w:val="H"/>
                    <w:keepNext w:val="0"/>
                    <w:keepLines w:val="0"/>
                    <w:suppressLineNumbers w:val="0"/>
                    <w:spacing w:before="0" w:beforeAutospacing="0" w:after="0" w:afterAutospacing="0"/>
                    <w:ind w:left="0" w:right="0"/>
                    <w:jc w:val="center"/>
                    <w:rPr>
                      <w:rFonts w:eastAsia="宋体" w:hint="default"/>
                      <w:color w:val="auto"/>
                      <w:sz w:val="21"/>
                      <w:szCs w:val="21"/>
                      <w:highlight w:val="none"/>
                      <w:lang w:val="en-US" w:eastAsia="zh-CN"/>
                    </w:rPr>
                  </w:pPr>
                  <w:r>
                    <w:rPr>
                      <w:rFonts w:hint="eastAsia"/>
                      <w:color w:val="auto"/>
                      <w:sz w:val="21"/>
                      <w:szCs w:val="21"/>
                      <w:highlight w:val="none"/>
                      <w:lang w:val="en-US" w:eastAsia="zh-CN"/>
                    </w:rPr>
                    <w:t>利用租赁的</w:t>
                  </w:r>
                  <w:r>
                    <w:rPr>
                      <w:rFonts w:hint="eastAsia"/>
                      <w:color w:val="auto"/>
                      <w:sz w:val="21"/>
                      <w:szCs w:val="21"/>
                      <w:highlight w:val="none"/>
                      <w:lang w:eastAsia="zh-CN"/>
                    </w:rPr>
                    <w:t>***</w:t>
                  </w:r>
                  <w:r>
                    <w:rPr>
                      <w:rFonts w:hint="eastAsia"/>
                      <w:color w:val="auto"/>
                      <w:sz w:val="21"/>
                      <w:szCs w:val="21"/>
                      <w:highlight w:val="none"/>
                    </w:rPr>
                    <w:t>印刷</w:t>
                  </w:r>
                  <w:r>
                    <w:rPr>
                      <w:rFonts w:hint="eastAsia"/>
                      <w:color w:val="auto"/>
                      <w:sz w:val="21"/>
                      <w:szCs w:val="21"/>
                      <w:highlight w:val="none"/>
                      <w:lang w:val="en-US" w:eastAsia="zh-CN"/>
                    </w:rPr>
                    <w:t>1#厂房</w:t>
                  </w:r>
                </w:p>
              </w:tc>
            </w:tr>
            <w:tr>
              <w:tblPrEx>
                <w:tblW w:w="4998" w:type="pct"/>
                <w:jc w:val="center"/>
                <w:tblCellMar>
                  <w:top w:w="0" w:type="dxa"/>
                  <w:left w:w="57" w:type="dxa"/>
                  <w:bottom w:w="0" w:type="dxa"/>
                  <w:right w:w="57" w:type="dxa"/>
                </w:tblCellMar>
              </w:tblPrEx>
              <w:trPr>
                <w:trHeight w:val="340"/>
                <w:jc w:val="center"/>
              </w:trPr>
              <w:tc>
                <w:tcPr>
                  <w:tcW w:w="434"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储运工程</w:t>
                  </w:r>
                </w:p>
              </w:tc>
              <w:tc>
                <w:tcPr>
                  <w:tcW w:w="616" w:type="pct"/>
                  <w:vAlign w:val="center"/>
                </w:tcPr>
                <w:p>
                  <w:pPr>
                    <w:pStyle w:val="H"/>
                    <w:keepNext w:val="0"/>
                    <w:keepLines w:val="0"/>
                    <w:suppressLineNumbers w:val="0"/>
                    <w:spacing w:before="0" w:beforeAutospacing="0" w:after="0" w:afterAutospacing="0"/>
                    <w:ind w:left="0" w:right="0"/>
                    <w:jc w:val="center"/>
                    <w:rPr>
                      <w:rFonts w:eastAsia="宋体" w:hint="eastAsia"/>
                      <w:color w:val="auto"/>
                      <w:sz w:val="21"/>
                      <w:szCs w:val="21"/>
                      <w:highlight w:val="none"/>
                      <w:lang w:eastAsia="zh-CN"/>
                    </w:rPr>
                  </w:pPr>
                  <w:r>
                    <w:rPr>
                      <w:rFonts w:hint="eastAsia"/>
                      <w:color w:val="auto"/>
                      <w:sz w:val="21"/>
                      <w:szCs w:val="21"/>
                      <w:highlight w:val="none"/>
                      <w:lang w:val="en-US" w:eastAsia="zh-CN"/>
                    </w:rPr>
                    <w:t>仓库</w:t>
                  </w:r>
                </w:p>
              </w:tc>
              <w:tc>
                <w:tcPr>
                  <w:tcW w:w="3321" w:type="pct"/>
                  <w:vAlign w:val="center"/>
                </w:tcPr>
                <w:p>
                  <w:pPr>
                    <w:pStyle w:val="a10"/>
                    <w:keepNext w:val="0"/>
                    <w:keepLines w:val="0"/>
                    <w:suppressLineNumbers w:val="0"/>
                    <w:spacing w:before="0" w:beforeAutospacing="0" w:after="0" w:afterAutospacing="0"/>
                    <w:ind w:left="0" w:right="0"/>
                    <w:rPr>
                      <w:rFonts w:eastAsia="宋体" w:hint="eastAsia"/>
                      <w:color w:val="auto"/>
                      <w:sz w:val="21"/>
                      <w:highlight w:val="none"/>
                      <w:lang w:val="en-US" w:eastAsia="zh-CN"/>
                    </w:rPr>
                  </w:pPr>
                  <w:r>
                    <w:rPr>
                      <w:rFonts w:hint="eastAsia"/>
                      <w:color w:val="auto"/>
                      <w:sz w:val="21"/>
                      <w:szCs w:val="21"/>
                      <w:highlight w:val="none"/>
                    </w:rPr>
                    <w:t>生产车间内设有</w:t>
                  </w:r>
                  <w:r>
                    <w:rPr>
                      <w:rFonts w:hint="eastAsia"/>
                      <w:color w:val="auto"/>
                      <w:sz w:val="21"/>
                      <w:szCs w:val="21"/>
                      <w:highlight w:val="none"/>
                      <w:lang w:val="en-US" w:eastAsia="zh-CN"/>
                    </w:rPr>
                    <w:t>仓库</w:t>
                  </w:r>
                </w:p>
              </w:tc>
              <w:tc>
                <w:tcPr>
                  <w:tcW w:w="628"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8" w:type="pct"/>
                <w:jc w:val="center"/>
                <w:tblCellMar>
                  <w:top w:w="0" w:type="dxa"/>
                  <w:left w:w="57" w:type="dxa"/>
                  <w:bottom w:w="0" w:type="dxa"/>
                  <w:right w:w="57" w:type="dxa"/>
                </w:tblCellMar>
              </w:tblPrEx>
              <w:trPr>
                <w:trHeight w:val="340"/>
                <w:jc w:val="center"/>
              </w:trPr>
              <w:tc>
                <w:tcPr>
                  <w:tcW w:w="434" w:type="pct"/>
                  <w:vMerge w:val="restar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公用、辅助工程</w:t>
                  </w:r>
                </w:p>
              </w:tc>
              <w:tc>
                <w:tcPr>
                  <w:tcW w:w="616" w:type="pct"/>
                  <w:vAlign w:val="center"/>
                </w:tcPr>
                <w:p>
                  <w:pPr>
                    <w:pStyle w:val="a12"/>
                    <w:keepNext w:val="0"/>
                    <w:keepLines w:val="0"/>
                    <w:suppressLineNumbers w:val="0"/>
                    <w:spacing w:before="0" w:beforeAutospacing="0" w:after="0" w:afterAutospacing="0"/>
                    <w:ind w:left="0" w:right="0" w:leftChars="0" w:rightChars="0"/>
                    <w:rPr>
                      <w:rFonts w:ascii="Times New Roman" w:eastAsia="宋体" w:hAnsi="Times New Roman" w:cs="Times New Roman" w:hint="eastAsia"/>
                      <w:color w:val="auto"/>
                      <w:sz w:val="21"/>
                      <w:highlight w:val="none"/>
                      <w:lang w:val="en-US" w:eastAsia="zh-CN" w:bidi="ar-SA"/>
                    </w:rPr>
                  </w:pPr>
                  <w:r>
                    <w:rPr>
                      <w:rFonts w:ascii="宋体" w:hAnsi="宋体" w:hint="default"/>
                      <w:color w:val="auto"/>
                      <w:sz w:val="21"/>
                      <w:szCs w:val="21"/>
                      <w:highlight w:val="none"/>
                    </w:rPr>
                    <w:t>供电</w:t>
                  </w:r>
                </w:p>
              </w:tc>
              <w:tc>
                <w:tcPr>
                  <w:tcW w:w="3321" w:type="pct"/>
                  <w:vAlign w:val="center"/>
                </w:tcPr>
                <w:p>
                  <w:pPr>
                    <w:pStyle w:val="a12"/>
                    <w:keepNext w:val="0"/>
                    <w:keepLines w:val="0"/>
                    <w:suppressLineNumbers w:val="0"/>
                    <w:spacing w:before="0" w:beforeAutospacing="0" w:after="0" w:afterAutospacing="0"/>
                    <w:ind w:left="0" w:right="0" w:leftChars="0" w:rightChars="0"/>
                    <w:rPr>
                      <w:rFonts w:ascii="Times New Roman" w:eastAsia="宋体" w:hAnsi="Times New Roman" w:cs="Times New Roman" w:hint="default"/>
                      <w:color w:val="auto"/>
                      <w:sz w:val="21"/>
                      <w:highlight w:val="none"/>
                      <w:lang w:val="en-US" w:eastAsia="zh-CN" w:bidi="ar-SA"/>
                    </w:rPr>
                  </w:pPr>
                  <w:r>
                    <w:rPr>
                      <w:rFonts w:ascii="宋体" w:hAnsi="宋体" w:hint="default"/>
                      <w:color w:val="auto"/>
                      <w:sz w:val="21"/>
                      <w:szCs w:val="21"/>
                      <w:highlight w:val="none"/>
                    </w:rPr>
                    <w:t>由市政电力系统提供</w:t>
                  </w:r>
                </w:p>
              </w:tc>
              <w:tc>
                <w:tcPr>
                  <w:tcW w:w="628"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8" w:type="pct"/>
                <w:jc w:val="center"/>
                <w:tblCellMar>
                  <w:top w:w="0" w:type="dxa"/>
                  <w:left w:w="57" w:type="dxa"/>
                  <w:bottom w:w="0" w:type="dxa"/>
                  <w:right w:w="57" w:type="dxa"/>
                </w:tblCellMar>
              </w:tblPrEx>
              <w:trPr>
                <w:trHeight w:val="340"/>
                <w:jc w:val="center"/>
              </w:trPr>
              <w:tc>
                <w:tcPr>
                  <w:tcW w:w="434"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616" w:type="pct"/>
                  <w:vAlign w:val="center"/>
                </w:tcPr>
                <w:p>
                  <w:pPr>
                    <w:pStyle w:val="a12"/>
                    <w:keepNext w:val="0"/>
                    <w:keepLines w:val="0"/>
                    <w:suppressLineNumbers w:val="0"/>
                    <w:spacing w:before="0" w:beforeAutospacing="0" w:after="0" w:afterAutospacing="0"/>
                    <w:ind w:left="0" w:right="0" w:leftChars="0" w:rightChars="0"/>
                    <w:rPr>
                      <w:rFonts w:ascii="Times New Roman" w:eastAsia="宋体" w:hAnsi="Times New Roman" w:cs="Times New Roman" w:hint="default"/>
                      <w:color w:val="auto"/>
                      <w:sz w:val="21"/>
                      <w:highlight w:val="none"/>
                      <w:lang w:val="en-US" w:eastAsia="zh-CN" w:bidi="ar-SA"/>
                    </w:rPr>
                  </w:pPr>
                  <w:r>
                    <w:rPr>
                      <w:rFonts w:ascii="宋体" w:hAnsi="宋体" w:hint="default"/>
                      <w:color w:val="auto"/>
                      <w:sz w:val="21"/>
                      <w:szCs w:val="21"/>
                      <w:highlight w:val="none"/>
                    </w:rPr>
                    <w:t>给水</w:t>
                  </w:r>
                </w:p>
              </w:tc>
              <w:tc>
                <w:tcPr>
                  <w:tcW w:w="3321" w:type="pct"/>
                  <w:vAlign w:val="center"/>
                </w:tcPr>
                <w:p>
                  <w:pPr>
                    <w:pStyle w:val="a12"/>
                    <w:keepNext w:val="0"/>
                    <w:keepLines w:val="0"/>
                    <w:suppressLineNumbers w:val="0"/>
                    <w:spacing w:before="0" w:beforeAutospacing="0" w:after="0" w:afterAutospacing="0"/>
                    <w:ind w:left="0" w:right="0" w:leftChars="0" w:rightChars="0"/>
                    <w:rPr>
                      <w:rFonts w:ascii="Times New Roman" w:eastAsia="宋体" w:hAnsi="Times New Roman" w:cs="Times New Roman" w:hint="default"/>
                      <w:color w:val="auto"/>
                      <w:sz w:val="21"/>
                      <w:highlight w:val="none"/>
                      <w:lang w:val="en-US" w:eastAsia="zh-CN" w:bidi="ar-SA"/>
                    </w:rPr>
                  </w:pPr>
                  <w:r>
                    <w:rPr>
                      <w:rFonts w:ascii="宋体" w:hAnsi="宋体" w:hint="default"/>
                      <w:color w:val="auto"/>
                      <w:sz w:val="21"/>
                      <w:szCs w:val="21"/>
                      <w:highlight w:val="none"/>
                    </w:rPr>
                    <w:t>由市政供水系统提供</w:t>
                  </w:r>
                </w:p>
              </w:tc>
              <w:tc>
                <w:tcPr>
                  <w:tcW w:w="628" w:type="pct"/>
                  <w:vMerge w:val="restar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利用租赁厂房原有设施</w:t>
                  </w:r>
                </w:p>
              </w:tc>
            </w:tr>
            <w:tr>
              <w:tblPrEx>
                <w:tblW w:w="4998" w:type="pct"/>
                <w:jc w:val="center"/>
                <w:tblCellMar>
                  <w:top w:w="0" w:type="dxa"/>
                  <w:left w:w="57" w:type="dxa"/>
                  <w:bottom w:w="0" w:type="dxa"/>
                  <w:right w:w="57" w:type="dxa"/>
                </w:tblCellMar>
              </w:tblPrEx>
              <w:trPr>
                <w:trHeight w:val="340"/>
                <w:jc w:val="center"/>
              </w:trPr>
              <w:tc>
                <w:tcPr>
                  <w:tcW w:w="434"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616" w:type="pct"/>
                  <w:vAlign w:val="center"/>
                </w:tcPr>
                <w:p>
                  <w:pPr>
                    <w:pStyle w:val="a12"/>
                    <w:keepNext w:val="0"/>
                    <w:keepLines w:val="0"/>
                    <w:suppressLineNumbers w:val="0"/>
                    <w:spacing w:before="0" w:beforeAutospacing="0" w:after="0" w:afterAutospacing="0"/>
                    <w:ind w:left="0" w:right="0" w:leftChars="0" w:rightChars="0"/>
                    <w:rPr>
                      <w:rFonts w:ascii="Times New Roman" w:eastAsia="宋体" w:hAnsi="Times New Roman" w:cs="Times New Roman" w:hint="default"/>
                      <w:color w:val="auto"/>
                      <w:sz w:val="21"/>
                      <w:highlight w:val="none"/>
                      <w:lang w:val="en-US" w:eastAsia="zh-CN" w:bidi="ar-SA"/>
                    </w:rPr>
                  </w:pPr>
                  <w:r>
                    <w:rPr>
                      <w:rFonts w:ascii="宋体" w:hAnsi="宋体" w:hint="default"/>
                      <w:color w:val="auto"/>
                      <w:sz w:val="21"/>
                      <w:szCs w:val="21"/>
                      <w:highlight w:val="none"/>
                    </w:rPr>
                    <w:t>排水</w:t>
                  </w:r>
                </w:p>
              </w:tc>
              <w:tc>
                <w:tcPr>
                  <w:tcW w:w="3321" w:type="pct"/>
                  <w:vAlign w:val="center"/>
                </w:tcPr>
                <w:p>
                  <w:pPr>
                    <w:pStyle w:val="a12"/>
                    <w:keepNext w:val="0"/>
                    <w:keepLines w:val="0"/>
                    <w:suppressLineNumbers w:val="0"/>
                    <w:spacing w:before="0" w:beforeAutospacing="0" w:after="0" w:afterAutospacing="0"/>
                    <w:ind w:left="0" w:right="0" w:leftChars="0" w:rightChars="0"/>
                    <w:rPr>
                      <w:rFonts w:ascii="Times New Roman" w:eastAsia="宋体" w:hAnsi="Times New Roman" w:cs="Times New Roman" w:hint="default"/>
                      <w:color w:val="auto"/>
                      <w:sz w:val="21"/>
                      <w:highlight w:val="none"/>
                      <w:lang w:val="en-US" w:eastAsia="zh-CN" w:bidi="ar-SA"/>
                    </w:rPr>
                  </w:pPr>
                  <w:r>
                    <w:rPr>
                      <w:rFonts w:ascii="宋体" w:hAnsi="宋体" w:hint="eastAsia"/>
                      <w:color w:val="auto"/>
                      <w:sz w:val="21"/>
                      <w:szCs w:val="21"/>
                      <w:highlight w:val="none"/>
                    </w:rPr>
                    <w:t>厂区</w:t>
                  </w:r>
                  <w:r>
                    <w:rPr>
                      <w:rFonts w:ascii="宋体" w:hAnsi="宋体" w:hint="default"/>
                      <w:color w:val="auto"/>
                      <w:sz w:val="21"/>
                      <w:szCs w:val="21"/>
                      <w:highlight w:val="none"/>
                    </w:rPr>
                    <w:t>实行</w:t>
                  </w:r>
                  <w:r>
                    <w:rPr>
                      <w:rFonts w:ascii="宋体" w:hAnsi="宋体" w:hint="eastAsia"/>
                      <w:color w:val="auto"/>
                      <w:sz w:val="21"/>
                      <w:szCs w:val="21"/>
                      <w:highlight w:val="none"/>
                    </w:rPr>
                    <w:t>“雨污分流”，经处理后的污水</w:t>
                  </w:r>
                  <w:r>
                    <w:rPr>
                      <w:rFonts w:ascii="宋体" w:hAnsi="宋体" w:hint="default"/>
                      <w:color w:val="auto"/>
                      <w:sz w:val="21"/>
                      <w:szCs w:val="21"/>
                      <w:highlight w:val="none"/>
                    </w:rPr>
                    <w:t>接管纳入</w:t>
                  </w:r>
                  <w:r>
                    <w:rPr>
                      <w:rFonts w:ascii="宋体" w:hAnsi="宋体" w:hint="eastAsia"/>
                      <w:color w:val="auto"/>
                      <w:sz w:val="21"/>
                      <w:szCs w:val="21"/>
                      <w:highlight w:val="none"/>
                    </w:rPr>
                    <w:t>元洪投资区污水处理厂；</w:t>
                  </w:r>
                  <w:r>
                    <w:rPr>
                      <w:rFonts w:ascii="宋体" w:hAnsi="宋体" w:hint="default"/>
                      <w:color w:val="auto"/>
                      <w:sz w:val="21"/>
                      <w:szCs w:val="21"/>
                      <w:highlight w:val="none"/>
                    </w:rPr>
                    <w:t>雨水经厂区水管网收集后接入市政雨水管网</w:t>
                  </w:r>
                </w:p>
              </w:tc>
              <w:tc>
                <w:tcPr>
                  <w:tcW w:w="628" w:type="pct"/>
                  <w:vMerge/>
                  <w:vAlign w:val="center"/>
                </w:tcPr>
                <w:p>
                  <w:pPr>
                    <w:pStyle w:val="a10"/>
                    <w:keepNext w:val="0"/>
                    <w:keepLines w:val="0"/>
                    <w:suppressLineNumbers w:val="0"/>
                    <w:spacing w:before="0" w:beforeAutospacing="0" w:after="0" w:afterAutospacing="0"/>
                    <w:ind w:left="0" w:right="0"/>
                    <w:rPr>
                      <w:rFonts w:hint="default"/>
                      <w:color w:val="auto"/>
                      <w:sz w:val="21"/>
                      <w:highlight w:val="none"/>
                    </w:rPr>
                  </w:pPr>
                </w:p>
              </w:tc>
            </w:tr>
            <w:tr>
              <w:tblPrEx>
                <w:tblW w:w="4998" w:type="pct"/>
                <w:jc w:val="center"/>
                <w:tblCellMar>
                  <w:top w:w="0" w:type="dxa"/>
                  <w:left w:w="57" w:type="dxa"/>
                  <w:bottom w:w="0" w:type="dxa"/>
                  <w:right w:w="57" w:type="dxa"/>
                </w:tblCellMar>
              </w:tblPrEx>
              <w:trPr>
                <w:trHeight w:val="340"/>
                <w:jc w:val="center"/>
              </w:trPr>
              <w:tc>
                <w:tcPr>
                  <w:tcW w:w="434" w:type="pct"/>
                  <w:vMerge w:val="restar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环保工程</w:t>
                  </w:r>
                </w:p>
              </w:tc>
              <w:tc>
                <w:tcPr>
                  <w:tcW w:w="616" w:type="pct"/>
                  <w:vMerge w:val="restar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废水工程</w:t>
                  </w:r>
                </w:p>
              </w:tc>
              <w:tc>
                <w:tcPr>
                  <w:tcW w:w="332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cs="宋体" w:hint="eastAsia"/>
                      <w:color w:val="auto"/>
                      <w:kern w:val="0"/>
                      <w:sz w:val="21"/>
                      <w:szCs w:val="21"/>
                      <w:highlight w:val="none"/>
                    </w:rPr>
                    <w:t>生活污水通过厂区化粪池（</w:t>
                  </w:r>
                  <w:r>
                    <w:rPr>
                      <w:rFonts w:cs="宋体" w:hint="default"/>
                      <w:color w:val="auto"/>
                      <w:kern w:val="0"/>
                      <w:sz w:val="21"/>
                      <w:szCs w:val="21"/>
                      <w:highlight w:val="none"/>
                    </w:rPr>
                    <w:t>1</w:t>
                  </w:r>
                  <w:r>
                    <w:rPr>
                      <w:rFonts w:cs="宋体" w:hint="eastAsia"/>
                      <w:color w:val="auto"/>
                      <w:kern w:val="0"/>
                      <w:sz w:val="21"/>
                      <w:szCs w:val="21"/>
                      <w:highlight w:val="none"/>
                    </w:rPr>
                    <w:t>个，6</w:t>
                  </w:r>
                  <w:r>
                    <w:rPr>
                      <w:rFonts w:cs="宋体" w:hint="default"/>
                      <w:color w:val="auto"/>
                      <w:kern w:val="0"/>
                      <w:sz w:val="21"/>
                      <w:szCs w:val="21"/>
                      <w:highlight w:val="none"/>
                    </w:rPr>
                    <w:t>m</w:t>
                  </w:r>
                  <w:r>
                    <w:rPr>
                      <w:rFonts w:cs="宋体" w:hint="default"/>
                      <w:color w:val="auto"/>
                      <w:kern w:val="0"/>
                      <w:sz w:val="21"/>
                      <w:szCs w:val="21"/>
                      <w:highlight w:val="none"/>
                      <w:vertAlign w:val="superscript"/>
                    </w:rPr>
                    <w:t>3</w:t>
                  </w:r>
                  <w:r>
                    <w:rPr>
                      <w:rFonts w:cs="宋体" w:hint="eastAsia"/>
                      <w:color w:val="auto"/>
                      <w:kern w:val="0"/>
                      <w:sz w:val="21"/>
                      <w:szCs w:val="21"/>
                      <w:highlight w:val="none"/>
                    </w:rPr>
                    <w:t>）处理后经园区污水管网进入福清融元污水处理厂统一处理，处理达标后排放至龙江</w:t>
                  </w:r>
                </w:p>
              </w:tc>
              <w:tc>
                <w:tcPr>
                  <w:tcW w:w="628" w:type="pct"/>
                  <w:vMerge/>
                  <w:vAlign w:val="center"/>
                </w:tcPr>
                <w:p>
                  <w:pPr>
                    <w:keepNext w:val="0"/>
                    <w:keepLines w:val="0"/>
                    <w:suppressLineNumbers w:val="0"/>
                    <w:spacing w:before="0" w:beforeAutospacing="0" w:after="0" w:afterAutospacing="0"/>
                    <w:ind w:left="0" w:right="0"/>
                    <w:jc w:val="center"/>
                    <w:rPr>
                      <w:rFonts w:cs="宋体" w:hint="default"/>
                      <w:color w:val="auto"/>
                      <w:kern w:val="0"/>
                      <w:szCs w:val="21"/>
                      <w:highlight w:val="none"/>
                    </w:rPr>
                  </w:pPr>
                </w:p>
              </w:tc>
            </w:tr>
            <w:tr>
              <w:tblPrEx>
                <w:tblW w:w="4998" w:type="pct"/>
                <w:jc w:val="center"/>
                <w:tblCellMar>
                  <w:top w:w="0" w:type="dxa"/>
                  <w:left w:w="57" w:type="dxa"/>
                  <w:bottom w:w="0" w:type="dxa"/>
                  <w:right w:w="57" w:type="dxa"/>
                </w:tblCellMar>
              </w:tblPrEx>
              <w:trPr>
                <w:trHeight w:val="340"/>
                <w:jc w:val="center"/>
              </w:trPr>
              <w:tc>
                <w:tcPr>
                  <w:tcW w:w="434"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616"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332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628" w:type="pct"/>
                  <w:vAlign w:val="center"/>
                </w:tcPr>
                <w:p>
                  <w:pPr>
                    <w:keepNext w:val="0"/>
                    <w:keepLines w:val="0"/>
                    <w:suppressLineNumbers w:val="0"/>
                    <w:spacing w:before="0" w:beforeAutospacing="0" w:after="0" w:afterAutospacing="0"/>
                    <w:ind w:left="0" w:right="0"/>
                    <w:jc w:val="center"/>
                    <w:rPr>
                      <w:rFonts w:cs="宋体" w:hint="default"/>
                      <w:color w:val="auto"/>
                      <w:kern w:val="0"/>
                      <w:szCs w:val="21"/>
                      <w:highlight w:val="none"/>
                    </w:rPr>
                  </w:pPr>
                  <w:r>
                    <w:rPr>
                      <w:rFonts w:cs="宋体" w:hint="eastAsia"/>
                      <w:color w:val="auto"/>
                      <w:kern w:val="0"/>
                      <w:sz w:val="21"/>
                      <w:szCs w:val="21"/>
                      <w:highlight w:val="none"/>
                    </w:rPr>
                    <w:t>新建</w:t>
                  </w:r>
                </w:p>
              </w:tc>
            </w:tr>
          </w:tbl>
          <w:p/>
        </w:tc>
      </w:tr>
    </w:tbl>
    <w:p>
      <w:pPr>
        <w:sectPr>
          <w:footerReference w:type="default" r:id="rId17"/>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7"/>
          <w:cols w:num="1" w:space="72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3"/>
        <w:gridCol w:w="8836"/>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5855"/>
          <w:jc w:val="center"/>
        </w:trPr>
        <w:tc>
          <w:tcPr>
            <w:tcW w:w="455" w:type="dxa"/>
            <w:vAlign w:val="center"/>
          </w:tcPr>
          <w:p/>
        </w:tc>
        <w:tc>
          <w:tcPr>
            <w:tcW w:w="8834" w:type="dxa"/>
          </w:tcPr>
          <w:tbl>
            <w:tblPr>
              <w:tblStyle w:val="TableNormal"/>
              <w:tblW w:w="4998"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57" w:type="dxa"/>
                <w:bottom w:w="0" w:type="dxa"/>
                <w:right w:w="57" w:type="dxa"/>
              </w:tblCellMar>
            </w:tblPr>
            <w:tblGrid>
              <w:gridCol w:w="748"/>
              <w:gridCol w:w="405"/>
              <w:gridCol w:w="657"/>
              <w:gridCol w:w="5723"/>
              <w:gridCol w:w="1084"/>
            </w:tblGrid>
            <w:tr>
              <w:tblPrEx>
                <w:tblW w:w="4998"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57" w:type="dxa"/>
                  <w:bottom w:w="0" w:type="dxa"/>
                  <w:right w:w="57" w:type="dxa"/>
                </w:tblCellMar>
              </w:tblPrEx>
              <w:trPr>
                <w:trHeight w:val="340"/>
                <w:jc w:val="center"/>
              </w:trPr>
              <w:tc>
                <w:tcPr>
                  <w:tcW w:w="434" w:type="pct"/>
                  <w:vMerge w:val="restart"/>
                  <w:vAlign w:val="center"/>
                </w:tcPr>
                <w:p/>
              </w:tc>
              <w:tc>
                <w:tcPr>
                  <w:tcW w:w="616" w:type="pct"/>
                  <w:gridSpan w:val="2"/>
                  <w:vAlign w:val="center"/>
                </w:tcPr>
                <w:p/>
              </w:tc>
              <w:tc>
                <w:tcPr>
                  <w:tcW w:w="332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cs="宋体" w:hint="eastAsia"/>
                      <w:color w:val="auto"/>
                      <w:sz w:val="21"/>
                      <w:szCs w:val="21"/>
                      <w:highlight w:val="none"/>
                      <w:lang w:bidi="ar"/>
                    </w:rPr>
                    <w:t>生产废水经“调节池+高效气浮系统+水解酸化池+接触氧化池+竖流沉淀池”（处理规模为6m</w:t>
                  </w:r>
                  <w:r>
                    <w:rPr>
                      <w:rFonts w:cs="宋体" w:hint="eastAsia"/>
                      <w:color w:val="auto"/>
                      <w:sz w:val="21"/>
                      <w:szCs w:val="21"/>
                      <w:highlight w:val="none"/>
                      <w:vertAlign w:val="superscript"/>
                      <w:lang w:bidi="ar"/>
                    </w:rPr>
                    <w:t>3</w:t>
                  </w:r>
                  <w:r>
                    <w:rPr>
                      <w:rFonts w:cs="宋体" w:hint="eastAsia"/>
                      <w:color w:val="auto"/>
                      <w:sz w:val="21"/>
                      <w:szCs w:val="21"/>
                      <w:highlight w:val="none"/>
                      <w:lang w:bidi="ar"/>
                    </w:rPr>
                    <w:t>/d）处理达标后与经化粪池处理达标的职工生活污水排入市政污水管网，纳入福清融元污水处理厂集中处理</w:t>
                  </w:r>
                </w:p>
              </w:tc>
              <w:tc>
                <w:tcPr>
                  <w:tcW w:w="628" w:type="pct"/>
                  <w:vAlign w:val="center"/>
                </w:tcPr>
                <w:p/>
              </w:tc>
            </w:tr>
            <w:tr>
              <w:tblPrEx>
                <w:tblW w:w="4998" w:type="pct"/>
                <w:jc w:val="center"/>
                <w:tblCellMar>
                  <w:top w:w="0" w:type="dxa"/>
                  <w:left w:w="57" w:type="dxa"/>
                  <w:bottom w:w="0" w:type="dxa"/>
                  <w:right w:w="57" w:type="dxa"/>
                </w:tblCellMar>
              </w:tblPrEx>
              <w:trPr>
                <w:trHeight w:val="340"/>
                <w:jc w:val="center"/>
              </w:trPr>
              <w:tc>
                <w:tcPr>
                  <w:tcW w:w="434"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616" w:type="pct"/>
                  <w:gridSpan w:val="2"/>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废气工程</w:t>
                  </w:r>
                </w:p>
              </w:tc>
              <w:tc>
                <w:tcPr>
                  <w:tcW w:w="332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b/>
                      <w:bCs/>
                      <w:color w:val="auto"/>
                      <w:sz w:val="21"/>
                      <w:szCs w:val="21"/>
                      <w:highlight w:val="none"/>
                    </w:rPr>
                    <w:t>预压成型</w:t>
                  </w:r>
                  <w:r>
                    <w:rPr>
                      <w:rFonts w:hint="eastAsia"/>
                      <w:b/>
                      <w:bCs/>
                      <w:color w:val="auto"/>
                      <w:sz w:val="21"/>
                      <w:szCs w:val="21"/>
                      <w:highlight w:val="none"/>
                      <w:lang w:val="en-US" w:eastAsia="zh-CN"/>
                    </w:rPr>
                    <w:t>工序设密闭车间，产生的</w:t>
                  </w:r>
                  <w:r>
                    <w:rPr>
                      <w:rFonts w:hint="eastAsia"/>
                      <w:b/>
                      <w:bCs/>
                      <w:color w:val="auto"/>
                      <w:sz w:val="21"/>
                      <w:szCs w:val="21"/>
                      <w:highlight w:val="none"/>
                    </w:rPr>
                    <w:t>粉尘</w:t>
                  </w:r>
                  <w:r>
                    <w:rPr>
                      <w:rFonts w:hint="eastAsia"/>
                      <w:color w:val="auto"/>
                      <w:sz w:val="21"/>
                      <w:szCs w:val="21"/>
                      <w:highlight w:val="none"/>
                    </w:rPr>
                    <w:t>经</w:t>
                  </w:r>
                  <w:r>
                    <w:rPr>
                      <w:rFonts w:hint="eastAsia"/>
                      <w:color w:val="auto"/>
                      <w:sz w:val="21"/>
                      <w:szCs w:val="21"/>
                      <w:highlight w:val="none"/>
                      <w:lang w:val="en-US" w:eastAsia="zh-CN"/>
                    </w:rPr>
                    <w:t>负压</w:t>
                  </w:r>
                  <w:r>
                    <w:rPr>
                      <w:rFonts w:hint="eastAsia"/>
                      <w:color w:val="auto"/>
                      <w:sz w:val="21"/>
                      <w:szCs w:val="21"/>
                      <w:highlight w:val="none"/>
                    </w:rPr>
                    <w:t>收集后和</w:t>
                  </w:r>
                  <w:r>
                    <w:rPr>
                      <w:rFonts w:hint="eastAsia"/>
                      <w:b/>
                      <w:bCs/>
                      <w:color w:val="auto"/>
                      <w:sz w:val="21"/>
                      <w:szCs w:val="21"/>
                      <w:highlight w:val="none"/>
                    </w:rPr>
                    <w:t>切沟倒角、研磨</w:t>
                  </w:r>
                  <w:r>
                    <w:rPr>
                      <w:rFonts w:hint="default"/>
                      <w:b/>
                      <w:bCs/>
                      <w:color w:val="auto"/>
                      <w:sz w:val="21"/>
                      <w:szCs w:val="21"/>
                      <w:highlight w:val="none"/>
                    </w:rPr>
                    <w:t>粉尘</w:t>
                  </w:r>
                  <w:r>
                    <w:rPr>
                      <w:rFonts w:hint="eastAsia"/>
                      <w:b/>
                      <w:bCs/>
                      <w:color w:val="auto"/>
                      <w:sz w:val="21"/>
                      <w:szCs w:val="21"/>
                      <w:highlight w:val="none"/>
                    </w:rPr>
                    <w:t>通过收集管道引至</w:t>
                  </w:r>
                  <w:r>
                    <w:rPr>
                      <w:rFonts w:hint="eastAsia"/>
                      <w:color w:val="auto"/>
                      <w:sz w:val="21"/>
                      <w:szCs w:val="21"/>
                      <w:highlight w:val="none"/>
                    </w:rPr>
                    <w:t>由“布袋除尘器”处理后与经处理后的有机废气汇合后通过15m高排气筒（</w:t>
                  </w:r>
                  <w:r>
                    <w:rPr>
                      <w:rFonts w:hint="eastAsia"/>
                      <w:color w:val="auto"/>
                      <w:sz w:val="21"/>
                      <w:szCs w:val="21"/>
                      <w:highlight w:val="none"/>
                      <w:lang w:eastAsia="zh-CN"/>
                    </w:rPr>
                    <w:t>DA001</w:t>
                  </w:r>
                  <w:r>
                    <w:rPr>
                      <w:rFonts w:hint="eastAsia"/>
                      <w:color w:val="auto"/>
                      <w:sz w:val="21"/>
                      <w:szCs w:val="21"/>
                      <w:highlight w:val="none"/>
                    </w:rPr>
                    <w:t>）排放；</w:t>
                  </w:r>
                  <w:r>
                    <w:rPr>
                      <w:rFonts w:hint="eastAsia"/>
                      <w:b/>
                      <w:bCs/>
                      <w:color w:val="auto"/>
                      <w:sz w:val="21"/>
                      <w:szCs w:val="21"/>
                      <w:highlight w:val="none"/>
                    </w:rPr>
                    <w:t>热压成型</w:t>
                  </w:r>
                  <w:r>
                    <w:rPr>
                      <w:rFonts w:hint="eastAsia"/>
                      <w:b/>
                      <w:bCs/>
                      <w:color w:val="auto"/>
                      <w:sz w:val="21"/>
                      <w:szCs w:val="21"/>
                      <w:highlight w:val="none"/>
                      <w:lang w:val="en-US" w:eastAsia="zh-CN"/>
                    </w:rPr>
                    <w:t>工序设密闭车间，产生的有机废气</w:t>
                  </w:r>
                  <w:r>
                    <w:rPr>
                      <w:rFonts w:hint="eastAsia"/>
                      <w:color w:val="auto"/>
                      <w:sz w:val="21"/>
                      <w:szCs w:val="21"/>
                      <w:highlight w:val="none"/>
                    </w:rPr>
                    <w:t>经</w:t>
                  </w:r>
                  <w:r>
                    <w:rPr>
                      <w:rFonts w:hint="eastAsia"/>
                      <w:color w:val="auto"/>
                      <w:sz w:val="21"/>
                      <w:szCs w:val="21"/>
                      <w:highlight w:val="none"/>
                      <w:lang w:val="en-US" w:eastAsia="zh-CN"/>
                    </w:rPr>
                    <w:t>负压</w:t>
                  </w:r>
                  <w:r>
                    <w:rPr>
                      <w:rFonts w:hint="eastAsia"/>
                      <w:color w:val="auto"/>
                      <w:sz w:val="21"/>
                      <w:szCs w:val="21"/>
                      <w:highlight w:val="none"/>
                    </w:rPr>
                    <w:t>收集后</w:t>
                  </w:r>
                  <w:r>
                    <w:rPr>
                      <w:rFonts w:hint="eastAsia"/>
                      <w:b/>
                      <w:bCs/>
                      <w:color w:val="auto"/>
                      <w:sz w:val="21"/>
                      <w:szCs w:val="21"/>
                      <w:highlight w:val="none"/>
                    </w:rPr>
                    <w:t>、粉体涂装烘干</w:t>
                  </w:r>
                  <w:r>
                    <w:rPr>
                      <w:rFonts w:hint="eastAsia"/>
                      <w:b/>
                      <w:bCs/>
                      <w:color w:val="auto"/>
                      <w:sz w:val="21"/>
                      <w:szCs w:val="21"/>
                      <w:highlight w:val="none"/>
                      <w:lang w:val="en-US" w:eastAsia="zh-CN"/>
                    </w:rPr>
                    <w:t>及</w:t>
                  </w:r>
                  <w:r>
                    <w:rPr>
                      <w:rFonts w:hint="eastAsia"/>
                      <w:b/>
                      <w:bCs/>
                      <w:color w:val="auto"/>
                      <w:sz w:val="21"/>
                      <w:szCs w:val="21"/>
                      <w:highlight w:val="none"/>
                    </w:rPr>
                    <w:t>热处理</w:t>
                  </w:r>
                  <w:r>
                    <w:rPr>
                      <w:rFonts w:hint="eastAsia"/>
                      <w:b/>
                      <w:bCs/>
                      <w:color w:val="auto"/>
                      <w:sz w:val="21"/>
                      <w:szCs w:val="21"/>
                      <w:highlight w:val="none"/>
                      <w:lang w:val="en-US" w:eastAsia="zh-CN"/>
                    </w:rPr>
                    <w:t>废气经废气管道</w:t>
                  </w:r>
                  <w:r>
                    <w:rPr>
                      <w:rFonts w:hint="eastAsia"/>
                      <w:b/>
                      <w:bCs/>
                      <w:color w:val="auto"/>
                      <w:sz w:val="21"/>
                      <w:szCs w:val="21"/>
                      <w:highlight w:val="none"/>
                      <w:lang w:eastAsia="zh-CN"/>
                    </w:rPr>
                    <w:t>、</w:t>
                  </w:r>
                  <w:r>
                    <w:rPr>
                      <w:rFonts w:hint="eastAsia"/>
                      <w:b/>
                      <w:bCs/>
                      <w:color w:val="auto"/>
                      <w:sz w:val="21"/>
                      <w:szCs w:val="21"/>
                      <w:highlight w:val="none"/>
                    </w:rPr>
                    <w:t>涂布及铁板烧工序</w:t>
                  </w:r>
                  <w:r>
                    <w:rPr>
                      <w:rFonts w:hint="eastAsia"/>
                      <w:b/>
                      <w:bCs/>
                      <w:color w:val="auto"/>
                      <w:sz w:val="21"/>
                      <w:szCs w:val="21"/>
                      <w:highlight w:val="none"/>
                      <w:lang w:val="en-US" w:eastAsia="zh-CN"/>
                    </w:rPr>
                    <w:t>在密闭生产设备出口处设密闭车间进行负压收集</w:t>
                  </w:r>
                  <w:r>
                    <w:rPr>
                      <w:rFonts w:hint="eastAsia"/>
                      <w:color w:val="auto"/>
                      <w:sz w:val="21"/>
                      <w:szCs w:val="21"/>
                      <w:highlight w:val="none"/>
                    </w:rPr>
                    <w:t>、</w:t>
                  </w:r>
                  <w:r>
                    <w:rPr>
                      <w:rFonts w:hint="eastAsia"/>
                      <w:b/>
                      <w:bCs/>
                      <w:color w:val="auto"/>
                      <w:sz w:val="21"/>
                      <w:szCs w:val="21"/>
                      <w:highlight w:val="none"/>
                    </w:rPr>
                    <w:t>喷印废气</w:t>
                  </w:r>
                  <w:r>
                    <w:rPr>
                      <w:rFonts w:hint="eastAsia"/>
                      <w:color w:val="auto"/>
                      <w:sz w:val="21"/>
                      <w:szCs w:val="21"/>
                      <w:highlight w:val="none"/>
                    </w:rPr>
                    <w:t>经集气罩收集后引至</w:t>
                  </w:r>
                  <w:r>
                    <w:rPr>
                      <w:rFonts w:hint="eastAsia"/>
                      <w:b/>
                      <w:bCs/>
                      <w:color w:val="auto"/>
                      <w:sz w:val="21"/>
                      <w:szCs w:val="21"/>
                      <w:highlight w:val="none"/>
                    </w:rPr>
                    <w:t>混动旋流塔+离心除雾+蜂窝等离子净化器+活性炭吸附净化器</w:t>
                  </w:r>
                  <w:r>
                    <w:rPr>
                      <w:rFonts w:hint="eastAsia"/>
                      <w:color w:val="auto"/>
                      <w:sz w:val="21"/>
                      <w:szCs w:val="21"/>
                      <w:highlight w:val="none"/>
                    </w:rPr>
                    <w:t>处理后与经处理后的粉尘废气通过15m高排气筒（</w:t>
                  </w:r>
                  <w:r>
                    <w:rPr>
                      <w:rFonts w:hint="eastAsia"/>
                      <w:color w:val="auto"/>
                      <w:sz w:val="21"/>
                      <w:szCs w:val="21"/>
                      <w:highlight w:val="none"/>
                      <w:lang w:eastAsia="zh-CN"/>
                    </w:rPr>
                    <w:t>DA001</w:t>
                  </w:r>
                  <w:r>
                    <w:rPr>
                      <w:rFonts w:hint="eastAsia"/>
                      <w:color w:val="auto"/>
                      <w:sz w:val="21"/>
                      <w:szCs w:val="21"/>
                      <w:highlight w:val="none"/>
                    </w:rPr>
                    <w:t>）排放。</w:t>
                  </w:r>
                </w:p>
              </w:tc>
              <w:tc>
                <w:tcPr>
                  <w:tcW w:w="62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新建</w:t>
                  </w:r>
                </w:p>
              </w:tc>
            </w:tr>
            <w:tr>
              <w:tblPrEx>
                <w:tblW w:w="4998" w:type="pct"/>
                <w:jc w:val="center"/>
                <w:tblCellMar>
                  <w:top w:w="0" w:type="dxa"/>
                  <w:left w:w="57" w:type="dxa"/>
                  <w:bottom w:w="0" w:type="dxa"/>
                  <w:right w:w="57" w:type="dxa"/>
                </w:tblCellMar>
              </w:tblPrEx>
              <w:trPr>
                <w:trHeight w:val="340"/>
                <w:jc w:val="center"/>
              </w:trPr>
              <w:tc>
                <w:tcPr>
                  <w:tcW w:w="434"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616" w:type="pct"/>
                  <w:gridSpan w:val="2"/>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噪声工程</w:t>
                  </w:r>
                </w:p>
              </w:tc>
              <w:tc>
                <w:tcPr>
                  <w:tcW w:w="332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采取消声、基础减振、厂房隔声等降噪措施</w:t>
                  </w:r>
                </w:p>
              </w:tc>
              <w:tc>
                <w:tcPr>
                  <w:tcW w:w="62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新建</w:t>
                  </w:r>
                </w:p>
              </w:tc>
            </w:tr>
            <w:tr>
              <w:tblPrEx>
                <w:tblW w:w="4998" w:type="pct"/>
                <w:jc w:val="center"/>
                <w:tblCellMar>
                  <w:top w:w="0" w:type="dxa"/>
                  <w:left w:w="57" w:type="dxa"/>
                  <w:bottom w:w="0" w:type="dxa"/>
                  <w:right w:w="57" w:type="dxa"/>
                </w:tblCellMar>
              </w:tblPrEx>
              <w:trPr>
                <w:trHeight w:val="340"/>
                <w:jc w:val="center"/>
              </w:trPr>
              <w:tc>
                <w:tcPr>
                  <w:tcW w:w="434"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235" w:type="pct"/>
                  <w:vMerge w:val="restar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固废工程</w:t>
                  </w:r>
                </w:p>
              </w:tc>
              <w:tc>
                <w:tcPr>
                  <w:tcW w:w="38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危险固废</w:t>
                  </w:r>
                </w:p>
              </w:tc>
              <w:tc>
                <w:tcPr>
                  <w:tcW w:w="332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废活性炭、废原料空桶以及废机油分类暂存于危险废物暂存间（</w:t>
                  </w:r>
                  <w:r>
                    <w:rPr>
                      <w:rFonts w:hint="eastAsia"/>
                      <w:color w:val="auto"/>
                      <w:sz w:val="21"/>
                      <w:szCs w:val="21"/>
                      <w:highlight w:val="none"/>
                      <w:lang w:val="en-US" w:eastAsia="zh-CN"/>
                    </w:rPr>
                    <w:t>5</w:t>
                  </w:r>
                  <w:r>
                    <w:rPr>
                      <w:rFonts w:hint="default"/>
                      <w:color w:val="auto"/>
                      <w:sz w:val="21"/>
                      <w:szCs w:val="21"/>
                      <w:highlight w:val="none"/>
                    </w:rPr>
                    <w:t>m</w:t>
                  </w:r>
                  <w:r>
                    <w:rPr>
                      <w:rFonts w:hint="default"/>
                      <w:color w:val="auto"/>
                      <w:sz w:val="21"/>
                      <w:szCs w:val="21"/>
                      <w:highlight w:val="none"/>
                      <w:vertAlign w:val="superscript"/>
                    </w:rPr>
                    <w:t>2</w:t>
                  </w:r>
                  <w:r>
                    <w:rPr>
                      <w:rFonts w:hint="eastAsia"/>
                      <w:color w:val="auto"/>
                      <w:sz w:val="21"/>
                      <w:szCs w:val="21"/>
                      <w:highlight w:val="none"/>
                    </w:rPr>
                    <w:t>），收集后委托有资质的单位处理</w:t>
                  </w:r>
                </w:p>
              </w:tc>
              <w:tc>
                <w:tcPr>
                  <w:tcW w:w="62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新建</w:t>
                  </w:r>
                </w:p>
              </w:tc>
            </w:tr>
            <w:tr>
              <w:tblPrEx>
                <w:tblW w:w="4998" w:type="pct"/>
                <w:jc w:val="center"/>
                <w:tblCellMar>
                  <w:top w:w="0" w:type="dxa"/>
                  <w:left w:w="57" w:type="dxa"/>
                  <w:bottom w:w="0" w:type="dxa"/>
                  <w:right w:w="57" w:type="dxa"/>
                </w:tblCellMar>
              </w:tblPrEx>
              <w:trPr>
                <w:trHeight w:val="340"/>
                <w:jc w:val="center"/>
              </w:trPr>
              <w:tc>
                <w:tcPr>
                  <w:tcW w:w="434"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235"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38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一般固废</w:t>
                  </w:r>
                </w:p>
              </w:tc>
              <w:tc>
                <w:tcPr>
                  <w:tcW w:w="332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塑粉回收装置回收塑粉重新用于喷塑；不合格产品和除尘渣、铁屑、废原料包装袋收集后暂存于</w:t>
                  </w:r>
                  <w:r>
                    <w:rPr>
                      <w:rFonts w:hint="eastAsia"/>
                      <w:color w:val="auto"/>
                      <w:sz w:val="21"/>
                      <w:szCs w:val="21"/>
                      <w:highlight w:val="none"/>
                      <w:lang w:val="en-US" w:eastAsia="zh-CN"/>
                    </w:rPr>
                    <w:t>仓库内</w:t>
                  </w:r>
                  <w:r>
                    <w:rPr>
                      <w:rFonts w:hint="eastAsia"/>
                      <w:color w:val="auto"/>
                      <w:sz w:val="21"/>
                      <w:szCs w:val="21"/>
                      <w:highlight w:val="none"/>
                    </w:rPr>
                    <w:t>，外售综合利用；</w:t>
                  </w:r>
                </w:p>
              </w:tc>
              <w:tc>
                <w:tcPr>
                  <w:tcW w:w="62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新建</w:t>
                  </w:r>
                </w:p>
              </w:tc>
            </w:tr>
            <w:tr>
              <w:tblPrEx>
                <w:tblW w:w="4998" w:type="pct"/>
                <w:jc w:val="center"/>
                <w:tblCellMar>
                  <w:top w:w="0" w:type="dxa"/>
                  <w:left w:w="57" w:type="dxa"/>
                  <w:bottom w:w="0" w:type="dxa"/>
                  <w:right w:w="57" w:type="dxa"/>
                </w:tblCellMar>
              </w:tblPrEx>
              <w:trPr>
                <w:trHeight w:val="340"/>
                <w:jc w:val="center"/>
              </w:trPr>
              <w:tc>
                <w:tcPr>
                  <w:tcW w:w="434"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235"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38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生活垃圾</w:t>
                  </w:r>
                </w:p>
              </w:tc>
              <w:tc>
                <w:tcPr>
                  <w:tcW w:w="332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生活垃圾收集后交由环卫部门统一清运，设置若干个厂区生活垃圾投放点</w:t>
                  </w:r>
                </w:p>
              </w:tc>
              <w:tc>
                <w:tcPr>
                  <w:tcW w:w="62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新建</w:t>
                  </w:r>
                </w:p>
              </w:tc>
            </w:tr>
            <w:tr>
              <w:tblPrEx>
                <w:tblW w:w="4998" w:type="pct"/>
                <w:jc w:val="center"/>
                <w:tblCellMar>
                  <w:top w:w="0" w:type="dxa"/>
                  <w:left w:w="57" w:type="dxa"/>
                  <w:bottom w:w="0" w:type="dxa"/>
                  <w:right w:w="57" w:type="dxa"/>
                </w:tblCellMar>
              </w:tblPrEx>
              <w:trPr>
                <w:trHeight w:val="340"/>
                <w:jc w:val="center"/>
              </w:trPr>
              <w:tc>
                <w:tcPr>
                  <w:tcW w:w="5000" w:type="pct"/>
                  <w:gridSpan w:val="5"/>
                  <w:vAlign w:val="center"/>
                </w:tcPr>
                <w:p>
                  <w:pPr>
                    <w:pStyle w:val="H"/>
                    <w:keepNext w:val="0"/>
                    <w:keepLines w:val="0"/>
                    <w:suppressLineNumbers w:val="0"/>
                    <w:spacing w:before="0" w:beforeAutospacing="0" w:after="0" w:afterAutospacing="0"/>
                    <w:ind w:left="0" w:right="0"/>
                    <w:jc w:val="both"/>
                    <w:rPr>
                      <w:rFonts w:eastAsia="宋体" w:hint="default"/>
                      <w:color w:val="auto"/>
                      <w:sz w:val="21"/>
                      <w:szCs w:val="21"/>
                      <w:highlight w:val="none"/>
                      <w:lang w:val="en-US" w:eastAsia="zh-CN"/>
                    </w:rPr>
                  </w:pPr>
                  <w:r>
                    <w:rPr>
                      <w:rFonts w:hint="eastAsia"/>
                      <w:color w:val="auto"/>
                      <w:sz w:val="21"/>
                      <w:szCs w:val="21"/>
                      <w:highlight w:val="none"/>
                      <w:lang w:val="en-US" w:eastAsia="zh-CN"/>
                    </w:rPr>
                    <w:t>*：根据租赁合同填写</w:t>
                  </w:r>
                </w:p>
              </w:tc>
            </w:tr>
          </w:tbl>
          <w:p>
            <w:pPr>
              <w:pStyle w:val="Heading3"/>
              <w:keepNext w:val="0"/>
              <w:keepLines w:val="0"/>
              <w:suppressLineNumbers w:val="0"/>
              <w:spacing w:before="120" w:beforeAutospacing="0" w:after="120" w:afterAutospacing="0"/>
              <w:ind w:left="0" w:right="0"/>
              <w:rPr>
                <w:rFonts w:hint="default"/>
                <w:color w:val="auto"/>
                <w:highlight w:val="none"/>
              </w:rPr>
            </w:pPr>
            <w:r>
              <w:rPr>
                <w:rFonts w:hint="default"/>
                <w:color w:val="auto"/>
                <w:highlight w:val="none"/>
              </w:rPr>
              <w:t>2.1.3 主要产品及产能</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本项目产品方案</w:t>
            </w:r>
            <w:r>
              <w:rPr>
                <w:rFonts w:hint="default"/>
                <w:color w:val="auto"/>
                <w:highlight w:val="none"/>
              </w:rPr>
              <w:t>见表2.1-2。</w:t>
            </w:r>
          </w:p>
          <w:p>
            <w:pPr>
              <w:keepNext w:val="0"/>
              <w:keepLines w:val="0"/>
              <w:suppressLineNumbers w:val="0"/>
              <w:spacing w:before="0" w:beforeAutospacing="0" w:after="0" w:afterAutospacing="0" w:line="360" w:lineRule="auto"/>
              <w:ind w:left="0" w:right="0"/>
              <w:jc w:val="center"/>
              <w:rPr>
                <w:rFonts w:hint="default"/>
                <w:b/>
                <w:bCs/>
                <w:color w:val="auto"/>
                <w:sz w:val="24"/>
                <w:highlight w:val="none"/>
                <w:shd w:val="clear" w:color="auto" w:fill="FFFFFF"/>
              </w:rPr>
            </w:pPr>
            <w:r>
              <w:rPr>
                <w:rFonts w:hint="eastAsia"/>
                <w:b/>
                <w:bCs/>
                <w:color w:val="auto"/>
                <w:sz w:val="24"/>
                <w:highlight w:val="none"/>
                <w:shd w:val="clear" w:color="auto" w:fill="FFFFFF"/>
              </w:rPr>
              <w:t>表2.1-2 项目产品方案</w:t>
            </w:r>
          </w:p>
          <w:tbl>
            <w:tblPr>
              <w:tblStyle w:val="TableNormal"/>
              <w:tblW w:w="8747" w:type="dxa"/>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066"/>
              <w:gridCol w:w="1950"/>
              <w:gridCol w:w="1950"/>
              <w:gridCol w:w="2169"/>
              <w:gridCol w:w="1612"/>
            </w:tblGrid>
            <w:tr>
              <w:tblPrEx>
                <w:tblW w:w="8747" w:type="dxa"/>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40"/>
                <w:jc w:val="center"/>
              </w:trPr>
              <w:tc>
                <w:tcPr>
                  <w:tcW w:w="609" w:type="pct"/>
                  <w:vAlign w:val="center"/>
                </w:tcPr>
                <w:p>
                  <w:pPr>
                    <w:pStyle w:val="a12"/>
                    <w:keepNext w:val="0"/>
                    <w:keepLines w:val="0"/>
                    <w:suppressLineNumbers w:val="0"/>
                    <w:spacing w:before="0" w:beforeAutospacing="0" w:after="0" w:afterAutospacing="0"/>
                    <w:ind w:left="0" w:right="0"/>
                    <w:rPr>
                      <w:rFonts w:hint="default"/>
                      <w:b/>
                      <w:color w:val="auto"/>
                      <w:highlight w:val="none"/>
                    </w:rPr>
                  </w:pPr>
                  <w:r>
                    <w:rPr>
                      <w:rFonts w:hint="default"/>
                      <w:b/>
                      <w:color w:val="auto"/>
                      <w:highlight w:val="none"/>
                    </w:rPr>
                    <w:t>产品名称</w:t>
                  </w:r>
                </w:p>
              </w:tc>
              <w:tc>
                <w:tcPr>
                  <w:tcW w:w="1114" w:type="pct"/>
                  <w:vAlign w:val="center"/>
                </w:tcPr>
                <w:p>
                  <w:pPr>
                    <w:pStyle w:val="a12"/>
                    <w:keepNext w:val="0"/>
                    <w:keepLines w:val="0"/>
                    <w:suppressLineNumbers w:val="0"/>
                    <w:spacing w:before="0" w:beforeAutospacing="0" w:after="0" w:afterAutospacing="0"/>
                    <w:ind w:left="0" w:right="0"/>
                    <w:rPr>
                      <w:rFonts w:hint="default"/>
                      <w:b/>
                      <w:color w:val="auto"/>
                      <w:highlight w:val="none"/>
                    </w:rPr>
                  </w:pPr>
                  <w:r>
                    <w:rPr>
                      <w:rFonts w:hint="default"/>
                      <w:b/>
                      <w:color w:val="auto"/>
                      <w:highlight w:val="none"/>
                    </w:rPr>
                    <w:t>现有项目生产规模</w:t>
                  </w:r>
                </w:p>
              </w:tc>
              <w:tc>
                <w:tcPr>
                  <w:tcW w:w="1114" w:type="pct"/>
                  <w:vAlign w:val="center"/>
                </w:tcPr>
                <w:p>
                  <w:pPr>
                    <w:pStyle w:val="a12"/>
                    <w:keepNext w:val="0"/>
                    <w:keepLines w:val="0"/>
                    <w:suppressLineNumbers w:val="0"/>
                    <w:spacing w:before="0" w:beforeAutospacing="0" w:after="0" w:afterAutospacing="0"/>
                    <w:ind w:left="0" w:right="0"/>
                    <w:rPr>
                      <w:rFonts w:hint="default"/>
                      <w:b/>
                      <w:color w:val="auto"/>
                      <w:highlight w:val="none"/>
                    </w:rPr>
                  </w:pPr>
                  <w:r>
                    <w:rPr>
                      <w:rFonts w:hint="default"/>
                      <w:b/>
                      <w:color w:val="auto"/>
                      <w:highlight w:val="none"/>
                    </w:rPr>
                    <w:t>扩建项目生产规模</w:t>
                  </w:r>
                </w:p>
              </w:tc>
              <w:tc>
                <w:tcPr>
                  <w:tcW w:w="1239" w:type="pct"/>
                  <w:vAlign w:val="center"/>
                </w:tcPr>
                <w:p>
                  <w:pPr>
                    <w:pStyle w:val="a12"/>
                    <w:keepNext w:val="0"/>
                    <w:keepLines w:val="0"/>
                    <w:suppressLineNumbers w:val="0"/>
                    <w:spacing w:before="0" w:beforeAutospacing="0" w:after="0" w:afterAutospacing="0"/>
                    <w:ind w:left="0" w:right="0"/>
                    <w:rPr>
                      <w:rFonts w:hint="default"/>
                      <w:b/>
                      <w:color w:val="auto"/>
                      <w:highlight w:val="none"/>
                    </w:rPr>
                  </w:pPr>
                  <w:r>
                    <w:rPr>
                      <w:rFonts w:hint="default"/>
                      <w:b/>
                      <w:color w:val="auto"/>
                      <w:highlight w:val="none"/>
                    </w:rPr>
                    <w:t>扩建后全厂生产规模</w:t>
                  </w:r>
                </w:p>
              </w:tc>
              <w:tc>
                <w:tcPr>
                  <w:tcW w:w="921" w:type="pct"/>
                  <w:vAlign w:val="center"/>
                </w:tcPr>
                <w:p>
                  <w:pPr>
                    <w:pStyle w:val="a12"/>
                    <w:keepNext w:val="0"/>
                    <w:keepLines w:val="0"/>
                    <w:suppressLineNumbers w:val="0"/>
                    <w:spacing w:before="0" w:beforeAutospacing="0" w:after="0" w:afterAutospacing="0"/>
                    <w:ind w:left="0" w:right="0"/>
                    <w:rPr>
                      <w:rFonts w:eastAsia="宋体" w:hint="default"/>
                      <w:b/>
                      <w:color w:val="auto"/>
                      <w:highlight w:val="none"/>
                      <w:lang w:val="en-US" w:eastAsia="zh-CN"/>
                    </w:rPr>
                  </w:pPr>
                  <w:r>
                    <w:rPr>
                      <w:rFonts w:hint="eastAsia"/>
                      <w:b/>
                      <w:color w:val="auto"/>
                      <w:highlight w:val="none"/>
                      <w:lang w:val="en-US" w:eastAsia="zh-CN"/>
                    </w:rPr>
                    <w:t>备注</w:t>
                  </w:r>
                </w:p>
              </w:tc>
            </w:tr>
            <w:tr>
              <w:tblPrEx>
                <w:tblW w:w="8747" w:type="dxa"/>
                <w:jc w:val="center"/>
                <w:tblCellMar>
                  <w:top w:w="0" w:type="dxa"/>
                  <w:left w:w="108" w:type="dxa"/>
                  <w:bottom w:w="0" w:type="dxa"/>
                  <w:right w:w="108" w:type="dxa"/>
                </w:tblCellMar>
              </w:tblPrEx>
              <w:trPr>
                <w:trHeight w:val="340"/>
                <w:jc w:val="center"/>
              </w:trPr>
              <w:tc>
                <w:tcPr>
                  <w:tcW w:w="609"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PAD刹车片</w:t>
                  </w:r>
                </w:p>
              </w:tc>
              <w:tc>
                <w:tcPr>
                  <w:tcW w:w="1114"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780万片/a</w:t>
                  </w:r>
                </w:p>
              </w:tc>
              <w:tc>
                <w:tcPr>
                  <w:tcW w:w="1114"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p>
              </w:tc>
              <w:tc>
                <w:tcPr>
                  <w:tcW w:w="1239"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780万片/a</w:t>
                  </w:r>
                </w:p>
              </w:tc>
              <w:tc>
                <w:tcPr>
                  <w:tcW w:w="921"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含钢背刹车片，汽车碟刹用</w:t>
                  </w:r>
                </w:p>
              </w:tc>
            </w:tr>
            <w:tr>
              <w:tblPrEx>
                <w:tblW w:w="8747" w:type="dxa"/>
                <w:jc w:val="center"/>
                <w:tblCellMar>
                  <w:top w:w="0" w:type="dxa"/>
                  <w:left w:w="108" w:type="dxa"/>
                  <w:bottom w:w="0" w:type="dxa"/>
                  <w:right w:w="108" w:type="dxa"/>
                </w:tblCellMar>
              </w:tblPrEx>
              <w:trPr>
                <w:trHeight w:val="340"/>
                <w:jc w:val="center"/>
              </w:trPr>
              <w:tc>
                <w:tcPr>
                  <w:tcW w:w="609"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BL刹车片</w:t>
                  </w:r>
                </w:p>
              </w:tc>
              <w:tc>
                <w:tcPr>
                  <w:tcW w:w="1114"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420万片/a</w:t>
                  </w:r>
                </w:p>
              </w:tc>
              <w:tc>
                <w:tcPr>
                  <w:tcW w:w="1114"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w:t>
                  </w:r>
                </w:p>
              </w:tc>
              <w:tc>
                <w:tcPr>
                  <w:tcW w:w="1239"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420万片/a</w:t>
                  </w:r>
                </w:p>
              </w:tc>
              <w:tc>
                <w:tcPr>
                  <w:tcW w:w="921"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无钢背刹车片，摩托车鼓刹用</w:t>
                  </w:r>
                </w:p>
              </w:tc>
            </w:tr>
            <w:tr>
              <w:tblPrEx>
                <w:tblW w:w="8747" w:type="dxa"/>
                <w:jc w:val="center"/>
                <w:tblCellMar>
                  <w:top w:w="0" w:type="dxa"/>
                  <w:left w:w="108" w:type="dxa"/>
                  <w:bottom w:w="0" w:type="dxa"/>
                  <w:right w:w="108" w:type="dxa"/>
                </w:tblCellMar>
              </w:tblPrEx>
              <w:trPr>
                <w:trHeight w:val="340"/>
                <w:jc w:val="center"/>
              </w:trPr>
              <w:tc>
                <w:tcPr>
                  <w:tcW w:w="609" w:type="pct"/>
                  <w:vAlign w:val="center"/>
                </w:tcPr>
                <w:p>
                  <w:pPr>
                    <w:pStyle w:val="H"/>
                    <w:keepNext w:val="0"/>
                    <w:keepLines w:val="0"/>
                    <w:suppressLineNumbers w:val="0"/>
                    <w:spacing w:before="0" w:beforeAutospacing="0" w:after="0" w:afterAutospacing="0"/>
                    <w:ind w:left="0" w:right="0"/>
                    <w:jc w:val="center"/>
                    <w:rPr>
                      <w:rFonts w:eastAsia="宋体" w:hint="eastAsia"/>
                      <w:color w:val="auto"/>
                      <w:szCs w:val="21"/>
                      <w:highlight w:val="none"/>
                      <w:lang w:val="en-US" w:eastAsia="zh-CN"/>
                    </w:rPr>
                  </w:pPr>
                  <w:r>
                    <w:rPr>
                      <w:rFonts w:hint="eastAsia"/>
                      <w:color w:val="auto"/>
                      <w:szCs w:val="21"/>
                      <w:highlight w:val="none"/>
                      <w:lang w:val="en-US" w:eastAsia="zh-CN"/>
                    </w:rPr>
                    <w:t>刹车片</w:t>
                  </w:r>
                </w:p>
              </w:tc>
              <w:tc>
                <w:tcPr>
                  <w:tcW w:w="1114" w:type="pct"/>
                  <w:vAlign w:val="center"/>
                </w:tcPr>
                <w:p>
                  <w:pPr>
                    <w:pStyle w:val="H"/>
                    <w:keepNext w:val="0"/>
                    <w:keepLines w:val="0"/>
                    <w:suppressLineNumbers w:val="0"/>
                    <w:spacing w:before="0" w:beforeAutospacing="0" w:after="0" w:afterAutospacing="0"/>
                    <w:ind w:left="0" w:right="0"/>
                    <w:jc w:val="center"/>
                    <w:rPr>
                      <w:rFonts w:eastAsia="宋体" w:hint="eastAsia"/>
                      <w:color w:val="auto"/>
                      <w:szCs w:val="21"/>
                      <w:highlight w:val="none"/>
                      <w:lang w:val="en-US" w:eastAsia="zh-CN"/>
                    </w:rPr>
                  </w:pPr>
                  <w:r>
                    <w:rPr>
                      <w:rFonts w:hint="eastAsia"/>
                      <w:color w:val="auto"/>
                      <w:szCs w:val="21"/>
                      <w:highlight w:val="none"/>
                      <w:lang w:val="en-US" w:eastAsia="zh-CN"/>
                    </w:rPr>
                    <w:t>-</w:t>
                  </w:r>
                </w:p>
              </w:tc>
              <w:tc>
                <w:tcPr>
                  <w:tcW w:w="1114" w:type="pct"/>
                  <w:vAlign w:val="center"/>
                </w:tcPr>
                <w:p>
                  <w:pPr>
                    <w:pStyle w:val="H"/>
                    <w:keepNext w:val="0"/>
                    <w:keepLines w:val="0"/>
                    <w:suppressLineNumbers w:val="0"/>
                    <w:spacing w:before="0" w:beforeAutospacing="0" w:after="0" w:afterAutospacing="0"/>
                    <w:ind w:left="0" w:right="0"/>
                    <w:jc w:val="center"/>
                    <w:rPr>
                      <w:rFonts w:hint="eastAsia"/>
                      <w:color w:val="auto"/>
                      <w:szCs w:val="21"/>
                      <w:highlight w:val="none"/>
                    </w:rPr>
                  </w:pPr>
                  <w:r>
                    <w:rPr>
                      <w:rFonts w:hint="default"/>
                      <w:color w:val="auto"/>
                      <w:szCs w:val="21"/>
                      <w:highlight w:val="none"/>
                    </w:rPr>
                    <w:t>2160万片/a</w:t>
                  </w:r>
                </w:p>
              </w:tc>
              <w:tc>
                <w:tcPr>
                  <w:tcW w:w="1239"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2160万片/a</w:t>
                  </w:r>
                </w:p>
              </w:tc>
              <w:tc>
                <w:tcPr>
                  <w:tcW w:w="921" w:type="pct"/>
                  <w:vAlign w:val="center"/>
                </w:tcPr>
                <w:p>
                  <w:pPr>
                    <w:pStyle w:val="H"/>
                    <w:keepNext w:val="0"/>
                    <w:keepLines w:val="0"/>
                    <w:suppressLineNumbers w:val="0"/>
                    <w:spacing w:before="0" w:beforeAutospacing="0" w:after="0" w:afterAutospacing="0"/>
                    <w:ind w:left="0" w:right="0"/>
                    <w:jc w:val="center"/>
                    <w:rPr>
                      <w:rFonts w:eastAsia="宋体" w:hint="eastAsia"/>
                      <w:color w:val="auto"/>
                      <w:szCs w:val="21"/>
                      <w:highlight w:val="none"/>
                      <w:lang w:val="en-US" w:eastAsia="zh-CN"/>
                    </w:rPr>
                  </w:pPr>
                  <w:r>
                    <w:rPr>
                      <w:rFonts w:hint="eastAsia"/>
                      <w:color w:val="auto"/>
                      <w:szCs w:val="21"/>
                      <w:highlight w:val="none"/>
                      <w:lang w:val="en-US" w:eastAsia="zh-CN"/>
                    </w:rPr>
                    <w:t>/</w:t>
                  </w:r>
                </w:p>
              </w:tc>
            </w:tr>
          </w:tbl>
          <w:p>
            <w:pPr>
              <w:pStyle w:val="Heading3"/>
              <w:keepNext w:val="0"/>
              <w:keepLines w:val="0"/>
              <w:suppressLineNumbers w:val="0"/>
              <w:spacing w:before="120" w:beforeAutospacing="0" w:after="120" w:afterAutospacing="0"/>
              <w:ind w:left="0" w:right="0"/>
              <w:rPr>
                <w:rFonts w:hint="default"/>
                <w:color w:val="auto"/>
                <w:highlight w:val="none"/>
              </w:rPr>
            </w:pPr>
            <w:r>
              <w:rPr>
                <w:rFonts w:hint="default"/>
                <w:color w:val="auto"/>
                <w:highlight w:val="none"/>
              </w:rPr>
              <w:t>2.1.4 厂区平面布置</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本次扩建项目</w:t>
            </w:r>
            <w:r>
              <w:rPr>
                <w:rFonts w:hint="default"/>
                <w:color w:val="auto"/>
                <w:highlight w:val="none"/>
              </w:rPr>
              <w:t>租赁</w:t>
            </w:r>
            <w:r>
              <w:rPr>
                <w:rFonts w:hint="eastAsia"/>
                <w:color w:val="auto"/>
                <w:highlight w:val="none"/>
                <w:lang w:eastAsia="zh-CN"/>
              </w:rPr>
              <w:t>********</w:t>
            </w:r>
            <w:r>
              <w:rPr>
                <w:rFonts w:hint="eastAsia"/>
                <w:color w:val="auto"/>
                <w:highlight w:val="none"/>
              </w:rPr>
              <w:t>印刷制品有限公司1#厂房进行扩建，扩建项目位于现有项目西北侧约2214m。</w:t>
            </w:r>
            <w:r>
              <w:rPr>
                <w:rFonts w:hint="eastAsia"/>
                <w:color w:val="auto"/>
                <w:highlight w:val="none"/>
                <w:lang w:val="en-US" w:eastAsia="zh-CN"/>
              </w:rPr>
              <w:t>本次</w:t>
            </w:r>
            <w:r>
              <w:rPr>
                <w:rFonts w:hint="eastAsia"/>
                <w:color w:val="auto"/>
                <w:highlight w:val="none"/>
              </w:rPr>
              <w:t>扩建项目</w:t>
            </w:r>
            <w:r>
              <w:rPr>
                <w:rFonts w:hint="eastAsia"/>
                <w:color w:val="auto"/>
                <w:highlight w:val="none"/>
                <w:lang w:val="en-US" w:eastAsia="zh-CN"/>
              </w:rPr>
              <w:t>主要生产区域布置在厂房的东北侧，并在新局调节库200米范围外设置隔断</w:t>
            </w:r>
            <w:r>
              <w:rPr>
                <w:rFonts w:hint="eastAsia"/>
                <w:color w:val="auto"/>
                <w:highlight w:val="none"/>
              </w:rPr>
              <w:t>。生产</w:t>
            </w:r>
            <w:r>
              <w:rPr>
                <w:rFonts w:hint="eastAsia"/>
                <w:color w:val="auto"/>
                <w:highlight w:val="none"/>
                <w:lang w:val="en-US" w:eastAsia="zh-CN"/>
              </w:rPr>
              <w:t>区域分为西南侧和东北侧，其中西南侧区域</w:t>
            </w:r>
            <w:r>
              <w:rPr>
                <w:rFonts w:hint="eastAsia"/>
                <w:color w:val="auto"/>
                <w:highlight w:val="none"/>
              </w:rPr>
              <w:t>自西北向东南，分别设置</w:t>
            </w:r>
            <w:r>
              <w:rPr>
                <w:rFonts w:hint="eastAsia"/>
                <w:color w:val="auto"/>
                <w:highlight w:val="none"/>
                <w:lang w:val="en-US" w:eastAsia="zh-CN"/>
              </w:rPr>
              <w:t>铁板烧、热处理、热压、预压、包装区及仓库</w:t>
            </w:r>
            <w:r>
              <w:rPr>
                <w:rFonts w:hint="eastAsia"/>
                <w:color w:val="auto"/>
                <w:highlight w:val="none"/>
              </w:rPr>
              <w:t>等</w:t>
            </w:r>
            <w:r>
              <w:rPr>
                <w:rFonts w:hint="eastAsia"/>
                <w:color w:val="auto"/>
                <w:highlight w:val="none"/>
                <w:lang w:eastAsia="zh-CN"/>
              </w:rPr>
              <w:t>，</w:t>
            </w:r>
            <w:r>
              <w:rPr>
                <w:rFonts w:hint="eastAsia"/>
                <w:color w:val="auto"/>
                <w:highlight w:val="none"/>
                <w:lang w:val="en-US" w:eastAsia="zh-CN"/>
              </w:rPr>
              <w:t>其中东北侧区域</w:t>
            </w:r>
            <w:r>
              <w:rPr>
                <w:rFonts w:hint="eastAsia"/>
                <w:color w:val="auto"/>
                <w:highlight w:val="none"/>
              </w:rPr>
              <w:t>自西北向东南，分别设置</w:t>
            </w:r>
            <w:r>
              <w:rPr>
                <w:rFonts w:hint="eastAsia"/>
                <w:color w:val="auto"/>
                <w:highlight w:val="none"/>
                <w:lang w:val="en-US" w:eastAsia="zh-CN"/>
              </w:rPr>
              <w:t>配电房、铁片预处理、涂布、粉体涂装</w:t>
            </w:r>
            <w:r>
              <w:rPr>
                <w:rFonts w:hint="eastAsia"/>
                <w:color w:val="auto"/>
                <w:highlight w:val="none"/>
              </w:rPr>
              <w:t>等</w:t>
            </w:r>
            <w:r>
              <w:rPr>
                <w:rFonts w:hint="eastAsia"/>
                <w:color w:val="auto"/>
                <w:highlight w:val="none"/>
                <w:lang w:eastAsia="zh-CN"/>
              </w:rPr>
              <w:t>，</w:t>
            </w:r>
            <w:r>
              <w:rPr>
                <w:rFonts w:hint="eastAsia"/>
                <w:color w:val="auto"/>
                <w:highlight w:val="none"/>
                <w:lang w:val="en-US" w:eastAsia="zh-CN"/>
              </w:rPr>
              <w:t>废气、废水处理设施布设在厂房东侧，废水处理设施为半地埋式处理设备，不涉及屋棚搭盖</w:t>
            </w:r>
            <w:r>
              <w:rPr>
                <w:rFonts w:hint="eastAsia"/>
                <w:color w:val="auto"/>
                <w:highlight w:val="none"/>
              </w:rPr>
              <w:t>。项目总平面布置详见</w:t>
            </w:r>
            <w:r>
              <w:rPr>
                <w:rFonts w:hint="eastAsia"/>
                <w:b/>
                <w:bCs/>
                <w:color w:val="auto"/>
                <w:highlight w:val="none"/>
              </w:rPr>
              <w:t>附图</w:t>
            </w:r>
            <w:r>
              <w:rPr>
                <w:rFonts w:hint="eastAsia"/>
                <w:b/>
                <w:bCs/>
                <w:color w:val="auto"/>
                <w:highlight w:val="none"/>
                <w:lang w:val="en-US" w:eastAsia="zh-CN"/>
              </w:rPr>
              <w:t>3</w:t>
            </w:r>
            <w:r>
              <w:rPr>
                <w:rFonts w:hint="eastAsia"/>
                <w:b/>
                <w:bCs/>
                <w:color w:val="auto"/>
                <w:highlight w:val="none"/>
              </w:rPr>
              <w:t>。</w:t>
            </w:r>
          </w:p>
          <w:p>
            <w:pPr>
              <w:pStyle w:val="Heading3"/>
              <w:keepNext w:val="0"/>
              <w:keepLines w:val="0"/>
              <w:suppressLineNumbers w:val="0"/>
              <w:spacing w:before="120" w:beforeAutospacing="0" w:after="120" w:afterAutospacing="0"/>
              <w:ind w:left="0" w:right="0"/>
              <w:rPr>
                <w:rFonts w:hint="default"/>
                <w:color w:val="auto"/>
                <w:highlight w:val="none"/>
              </w:rPr>
            </w:pPr>
            <w:r>
              <w:rPr>
                <w:rFonts w:hint="default"/>
                <w:color w:val="auto"/>
                <w:highlight w:val="none"/>
              </w:rPr>
              <w:t>2.1.5 主要生产单元及主要生产设备</w:t>
            </w:r>
          </w:p>
        </w:tc>
      </w:tr>
    </w:tbl>
    <w:p>
      <w:pPr>
        <w:sectPr>
          <w:footerReference w:type="default" r:id="rId18"/>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8"/>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3"/>
        <w:gridCol w:w="8836"/>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5855"/>
          <w:jc w:val="center"/>
        </w:trPr>
        <w:tc>
          <w:tcPr>
            <w:tcW w:w="455" w:type="dxa"/>
            <w:vAlign w:val="center"/>
          </w:tcPr>
          <w:p/>
        </w:tc>
        <w:tc>
          <w:tcPr>
            <w:tcW w:w="8834" w:type="dxa"/>
          </w:tcPr>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项目主要生产设备见表2.1-3。</w:t>
            </w:r>
          </w:p>
          <w:p>
            <w:pPr>
              <w:keepNext w:val="0"/>
              <w:keepLines w:val="0"/>
              <w:suppressLineNumbers w:val="0"/>
              <w:spacing w:before="0" w:beforeAutospacing="0" w:after="0" w:afterAutospacing="0" w:line="360" w:lineRule="auto"/>
              <w:ind w:left="0" w:right="0"/>
              <w:jc w:val="center"/>
              <w:rPr>
                <w:rFonts w:hint="default"/>
                <w:b/>
                <w:bCs/>
                <w:color w:val="auto"/>
                <w:sz w:val="24"/>
                <w:highlight w:val="none"/>
                <w:shd w:val="clear" w:color="auto" w:fill="FFFFFF"/>
              </w:rPr>
            </w:pPr>
            <w:r>
              <w:rPr>
                <w:rFonts w:hint="eastAsia"/>
                <w:b/>
                <w:bCs/>
                <w:color w:val="auto"/>
                <w:sz w:val="24"/>
                <w:highlight w:val="none"/>
                <w:shd w:val="clear" w:color="auto" w:fill="FFFFFF"/>
              </w:rPr>
              <w:t xml:space="preserve">表2.1-3 </w:t>
            </w:r>
            <w:r>
              <w:rPr>
                <w:rFonts w:hint="eastAsia"/>
                <w:b/>
                <w:bCs/>
                <w:color w:val="auto"/>
                <w:sz w:val="24"/>
                <w:highlight w:val="none"/>
                <w:shd w:val="clear" w:color="auto" w:fill="FFFFFF"/>
                <w:lang w:val="en-US" w:eastAsia="zh-CN"/>
              </w:rPr>
              <w:t>项目</w:t>
            </w:r>
            <w:r>
              <w:rPr>
                <w:rFonts w:hint="eastAsia"/>
                <w:b/>
                <w:bCs/>
                <w:color w:val="auto"/>
                <w:sz w:val="24"/>
                <w:highlight w:val="none"/>
                <w:shd w:val="clear" w:color="auto" w:fill="FFFFFF"/>
              </w:rPr>
              <w:t>主要设备清单</w:t>
            </w:r>
          </w:p>
          <w:tbl>
            <w:tblPr>
              <w:tblStyle w:val="TableNormal"/>
              <w:tblW w:w="4994"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523"/>
              <w:gridCol w:w="2562"/>
              <w:gridCol w:w="1174"/>
              <w:gridCol w:w="1136"/>
              <w:gridCol w:w="963"/>
              <w:gridCol w:w="1137"/>
              <w:gridCol w:w="1115"/>
            </w:tblGrid>
            <w:tr>
              <w:tblPrEx>
                <w:tblW w:w="4994"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40"/>
                <w:tblHeader/>
                <w:jc w:val="center"/>
              </w:trPr>
              <w:tc>
                <w:tcPr>
                  <w:tcW w:w="318"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bookmarkStart w:id="1" w:name="_Hlk509481769"/>
                  <w:r>
                    <w:rPr>
                      <w:rFonts w:hint="default"/>
                      <w:color w:val="auto"/>
                      <w:sz w:val="21"/>
                      <w:szCs w:val="21"/>
                      <w:highlight w:val="none"/>
                    </w:rPr>
                    <w:t>序号</w:t>
                  </w:r>
                </w:p>
              </w:tc>
              <w:tc>
                <w:tcPr>
                  <w:tcW w:w="1501" w:type="pct"/>
                  <w:vAlign w:val="center"/>
                </w:tcPr>
                <w:p>
                  <w:pPr>
                    <w:pStyle w:val="a12"/>
                    <w:keepNext w:val="0"/>
                    <w:keepLines w:val="0"/>
                    <w:suppressLineNumbers w:val="0"/>
                    <w:spacing w:before="0" w:beforeAutospacing="0" w:after="0" w:afterAutospacing="0" w:line="240" w:lineRule="atLeast"/>
                    <w:ind w:left="0" w:right="0"/>
                    <w:jc w:val="center"/>
                    <w:rPr>
                      <w:rFonts w:ascii="宋体" w:hAnsi="宋体" w:hint="default"/>
                      <w:b/>
                      <w:color w:val="auto"/>
                      <w:sz w:val="21"/>
                      <w:highlight w:val="none"/>
                    </w:rPr>
                  </w:pPr>
                  <w:r>
                    <w:rPr>
                      <w:rFonts w:ascii="宋体" w:hAnsi="宋体" w:hint="default"/>
                      <w:b/>
                      <w:color w:val="auto"/>
                      <w:sz w:val="21"/>
                      <w:szCs w:val="21"/>
                      <w:highlight w:val="none"/>
                    </w:rPr>
                    <w:t>设备名称</w:t>
                  </w:r>
                </w:p>
              </w:tc>
              <w:tc>
                <w:tcPr>
                  <w:tcW w:w="696" w:type="pct"/>
                  <w:vAlign w:val="center"/>
                </w:tcPr>
                <w:p>
                  <w:pPr>
                    <w:pStyle w:val="a12"/>
                    <w:keepNext w:val="0"/>
                    <w:keepLines w:val="0"/>
                    <w:suppressLineNumbers w:val="0"/>
                    <w:spacing w:before="0" w:beforeAutospacing="0" w:after="0" w:afterAutospacing="0" w:line="240" w:lineRule="atLeast"/>
                    <w:ind w:left="0" w:right="0"/>
                    <w:jc w:val="center"/>
                    <w:rPr>
                      <w:rFonts w:ascii="宋体" w:hAnsi="宋体" w:hint="default"/>
                      <w:b/>
                      <w:color w:val="auto"/>
                      <w:sz w:val="21"/>
                      <w:highlight w:val="none"/>
                    </w:rPr>
                  </w:pPr>
                  <w:r>
                    <w:rPr>
                      <w:rFonts w:ascii="宋体" w:hAnsi="宋体" w:hint="eastAsia"/>
                      <w:b/>
                      <w:color w:val="auto"/>
                      <w:sz w:val="21"/>
                      <w:szCs w:val="21"/>
                      <w:highlight w:val="none"/>
                    </w:rPr>
                    <w:t>规格型号</w:t>
                  </w:r>
                </w:p>
              </w:tc>
              <w:tc>
                <w:tcPr>
                  <w:tcW w:w="621" w:type="pct"/>
                  <w:vAlign w:val="center"/>
                </w:tcPr>
                <w:p>
                  <w:pPr>
                    <w:pStyle w:val="a12"/>
                    <w:keepNext w:val="0"/>
                    <w:keepLines w:val="0"/>
                    <w:suppressLineNumbers w:val="0"/>
                    <w:spacing w:before="0" w:beforeAutospacing="0" w:after="0" w:afterAutospacing="0" w:line="240" w:lineRule="atLeast"/>
                    <w:ind w:left="0" w:right="0"/>
                    <w:jc w:val="center"/>
                    <w:rPr>
                      <w:rFonts w:ascii="宋体" w:hAnsi="宋体" w:hint="default"/>
                      <w:b/>
                      <w:color w:val="auto"/>
                      <w:sz w:val="21"/>
                      <w:highlight w:val="none"/>
                    </w:rPr>
                  </w:pPr>
                  <w:r>
                    <w:rPr>
                      <w:rFonts w:ascii="宋体" w:hAnsi="宋体" w:hint="eastAsia"/>
                      <w:b/>
                      <w:color w:val="auto"/>
                      <w:sz w:val="21"/>
                      <w:szCs w:val="21"/>
                      <w:highlight w:val="none"/>
                    </w:rPr>
                    <w:t>现有项目（台）</w:t>
                  </w:r>
                </w:p>
              </w:tc>
              <w:tc>
                <w:tcPr>
                  <w:tcW w:w="557" w:type="pct"/>
                  <w:tcMar>
                    <w:top w:w="0" w:type="dxa"/>
                    <w:left w:w="28" w:type="dxa"/>
                    <w:bottom w:w="0" w:type="dxa"/>
                    <w:right w:w="28" w:type="dxa"/>
                  </w:tcMar>
                  <w:vAlign w:val="center"/>
                </w:tcPr>
                <w:p>
                  <w:pPr>
                    <w:pStyle w:val="a12"/>
                    <w:keepNext w:val="0"/>
                    <w:keepLines w:val="0"/>
                    <w:suppressLineNumbers w:val="0"/>
                    <w:spacing w:before="0" w:beforeAutospacing="0" w:after="0" w:afterAutospacing="0" w:line="240" w:lineRule="atLeast"/>
                    <w:ind w:left="0" w:right="0"/>
                    <w:jc w:val="center"/>
                    <w:rPr>
                      <w:rFonts w:ascii="宋体" w:hAnsi="宋体" w:hint="default"/>
                      <w:b/>
                      <w:color w:val="auto"/>
                      <w:sz w:val="21"/>
                      <w:highlight w:val="none"/>
                    </w:rPr>
                  </w:pPr>
                  <w:r>
                    <w:rPr>
                      <w:rFonts w:ascii="宋体" w:hAnsi="宋体" w:hint="eastAsia"/>
                      <w:b/>
                      <w:color w:val="auto"/>
                      <w:sz w:val="21"/>
                      <w:szCs w:val="21"/>
                      <w:highlight w:val="none"/>
                    </w:rPr>
                    <w:t>扩建项目（台）</w:t>
                  </w:r>
                </w:p>
              </w:tc>
              <w:tc>
                <w:tcPr>
                  <w:tcW w:w="642" w:type="pct"/>
                  <w:vAlign w:val="center"/>
                </w:tcPr>
                <w:p>
                  <w:pPr>
                    <w:pStyle w:val="a12"/>
                    <w:keepNext w:val="0"/>
                    <w:keepLines w:val="0"/>
                    <w:suppressLineNumbers w:val="0"/>
                    <w:spacing w:before="0" w:beforeAutospacing="0" w:after="0" w:afterAutospacing="0" w:line="240" w:lineRule="atLeast"/>
                    <w:ind w:left="0" w:right="0"/>
                    <w:jc w:val="center"/>
                    <w:rPr>
                      <w:rFonts w:ascii="宋体" w:hAnsi="宋体" w:hint="default"/>
                      <w:b/>
                      <w:color w:val="auto"/>
                      <w:sz w:val="21"/>
                      <w:highlight w:val="none"/>
                    </w:rPr>
                  </w:pPr>
                  <w:r>
                    <w:rPr>
                      <w:rFonts w:ascii="宋体" w:hAnsi="宋体" w:hint="eastAsia"/>
                      <w:b/>
                      <w:color w:val="auto"/>
                      <w:sz w:val="21"/>
                      <w:szCs w:val="21"/>
                      <w:highlight w:val="none"/>
                    </w:rPr>
                    <w:t>全厂总计（台）</w:t>
                  </w:r>
                </w:p>
              </w:tc>
              <w:tc>
                <w:tcPr>
                  <w:tcW w:w="661" w:type="pct"/>
                  <w:vAlign w:val="center"/>
                </w:tcPr>
                <w:p>
                  <w:pPr>
                    <w:pStyle w:val="a12"/>
                    <w:keepNext w:val="0"/>
                    <w:keepLines w:val="0"/>
                    <w:suppressLineNumbers w:val="0"/>
                    <w:spacing w:before="0" w:beforeAutospacing="0" w:after="0" w:afterAutospacing="0"/>
                    <w:ind w:left="0" w:right="0"/>
                    <w:jc w:val="center"/>
                    <w:rPr>
                      <w:rFonts w:hint="default"/>
                      <w:b/>
                      <w:color w:val="auto"/>
                      <w:sz w:val="21"/>
                      <w:highlight w:val="none"/>
                    </w:rPr>
                  </w:pPr>
                  <w:r>
                    <w:rPr>
                      <w:rFonts w:ascii="宋体" w:hAnsi="宋体" w:hint="default"/>
                      <w:b/>
                      <w:color w:val="auto"/>
                      <w:sz w:val="21"/>
                      <w:szCs w:val="21"/>
                      <w:highlight w:val="none"/>
                    </w:rPr>
                    <w:t>备注</w:t>
                  </w:r>
                </w:p>
              </w:tc>
            </w:tr>
            <w:tr>
              <w:tblPrEx>
                <w:tblW w:w="4994" w:type="pct"/>
                <w:jc w:val="center"/>
                <w:tblCellMar>
                  <w:top w:w="0" w:type="dxa"/>
                  <w:left w:w="108" w:type="dxa"/>
                  <w:bottom w:w="0" w:type="dxa"/>
                  <w:right w:w="108" w:type="dxa"/>
                </w:tblCellMar>
              </w:tblPrEx>
              <w:trPr>
                <w:trHeight w:val="340"/>
                <w:jc w:val="center"/>
              </w:trPr>
              <w:tc>
                <w:tcPr>
                  <w:tcW w:w="318"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1</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lang w:eastAsia="en-US"/>
                    </w:rPr>
                  </w:pPr>
                  <w:r>
                    <w:rPr>
                      <w:rFonts w:hint="eastAsia"/>
                      <w:color w:val="auto"/>
                      <w:sz w:val="21"/>
                      <w:szCs w:val="21"/>
                      <w:highlight w:val="none"/>
                    </w:rPr>
                    <w:t>洗净设备</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557"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2</w:t>
                  </w:r>
                </w:p>
              </w:tc>
              <w:tc>
                <w:tcPr>
                  <w:tcW w:w="642" w:type="pct"/>
                  <w:vAlign w:val="center"/>
                </w:tcPr>
                <w:p>
                  <w:pPr>
                    <w:keepNext w:val="0"/>
                    <w:keepLines w:val="0"/>
                    <w:widowControl/>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sz w:val="21"/>
                      <w:szCs w:val="21"/>
                      <w:highlight w:val="none"/>
                    </w:rPr>
                    <w:t>4</w:t>
                  </w:r>
                </w:p>
              </w:tc>
              <w:tc>
                <w:tcPr>
                  <w:tcW w:w="661" w:type="pct"/>
                  <w:vAlign w:val="center"/>
                </w:tcPr>
                <w:p>
                  <w:pPr>
                    <w:pStyle w:val="H"/>
                    <w:keepNext w:val="0"/>
                    <w:keepLines w:val="0"/>
                    <w:suppressLineNumbers w:val="0"/>
                    <w:tabs>
                      <w:tab w:val="left" w:pos="329"/>
                    </w:tabs>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脱脂洗净</w:t>
                  </w:r>
                </w:p>
              </w:tc>
            </w:tr>
            <w:tr>
              <w:tblPrEx>
                <w:tblW w:w="4994" w:type="pct"/>
                <w:jc w:val="center"/>
                <w:tblCellMar>
                  <w:top w:w="0" w:type="dxa"/>
                  <w:left w:w="108" w:type="dxa"/>
                  <w:bottom w:w="0" w:type="dxa"/>
                  <w:right w:w="108" w:type="dxa"/>
                </w:tblCellMar>
              </w:tblPrEx>
              <w:trPr>
                <w:trHeight w:val="340"/>
                <w:jc w:val="center"/>
              </w:trPr>
              <w:tc>
                <w:tcPr>
                  <w:tcW w:w="318"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2</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lang w:eastAsia="en-US"/>
                    </w:rPr>
                  </w:pPr>
                  <w:r>
                    <w:rPr>
                      <w:rFonts w:hint="eastAsia"/>
                      <w:color w:val="auto"/>
                      <w:sz w:val="21"/>
                      <w:szCs w:val="21"/>
                      <w:highlight w:val="none"/>
                    </w:rPr>
                    <w:t>抛丸机</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b/>
                      <w:color w:val="auto"/>
                      <w:spacing w:val="-1"/>
                      <w:sz w:val="21"/>
                      <w:szCs w:val="21"/>
                      <w:highlight w:val="none"/>
                    </w:rPr>
                    <w:t>Q324、Q426</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557"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2</w:t>
                  </w:r>
                </w:p>
              </w:tc>
              <w:tc>
                <w:tcPr>
                  <w:tcW w:w="642" w:type="pct"/>
                  <w:vAlign w:val="center"/>
                </w:tcPr>
                <w:p>
                  <w:pPr>
                    <w:keepNext w:val="0"/>
                    <w:keepLines w:val="0"/>
                    <w:widowControl/>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sz w:val="21"/>
                      <w:szCs w:val="21"/>
                      <w:highlight w:val="none"/>
                    </w:rPr>
                    <w:t>4</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珠击</w:t>
                  </w:r>
                </w:p>
              </w:tc>
            </w:tr>
            <w:tr>
              <w:tblPrEx>
                <w:tblW w:w="4994" w:type="pct"/>
                <w:jc w:val="center"/>
                <w:tblCellMar>
                  <w:top w:w="0" w:type="dxa"/>
                  <w:left w:w="108" w:type="dxa"/>
                  <w:bottom w:w="0" w:type="dxa"/>
                  <w:right w:w="108" w:type="dxa"/>
                </w:tblCellMar>
              </w:tblPrEx>
              <w:trPr>
                <w:trHeight w:val="340"/>
                <w:jc w:val="center"/>
              </w:trPr>
              <w:tc>
                <w:tcPr>
                  <w:tcW w:w="318"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3</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涂布机（线）</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557"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2</w:t>
                  </w:r>
                </w:p>
              </w:tc>
              <w:tc>
                <w:tcPr>
                  <w:tcW w:w="642" w:type="pct"/>
                  <w:vAlign w:val="center"/>
                </w:tcPr>
                <w:p>
                  <w:pPr>
                    <w:keepNext w:val="0"/>
                    <w:keepLines w:val="0"/>
                    <w:widowControl/>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sz w:val="21"/>
                      <w:szCs w:val="21"/>
                      <w:highlight w:val="none"/>
                    </w:rPr>
                    <w:t>4</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刷胶黏剂</w:t>
                  </w:r>
                </w:p>
              </w:tc>
            </w:tr>
            <w:tr>
              <w:tblPrEx>
                <w:tblW w:w="4994" w:type="pct"/>
                <w:jc w:val="center"/>
                <w:tblCellMar>
                  <w:top w:w="0" w:type="dxa"/>
                  <w:left w:w="108" w:type="dxa"/>
                  <w:bottom w:w="0" w:type="dxa"/>
                  <w:right w:w="108" w:type="dxa"/>
                </w:tblCellMar>
              </w:tblPrEx>
              <w:trPr>
                <w:trHeight w:val="340"/>
                <w:jc w:val="center"/>
              </w:trPr>
              <w:tc>
                <w:tcPr>
                  <w:tcW w:w="318"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4</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lang w:eastAsia="en-US"/>
                    </w:rPr>
                  </w:pPr>
                  <w:r>
                    <w:rPr>
                      <w:rFonts w:hint="eastAsia"/>
                      <w:color w:val="auto"/>
                      <w:sz w:val="21"/>
                      <w:szCs w:val="21"/>
                      <w:highlight w:val="none"/>
                    </w:rPr>
                    <w:t>搅拌机</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3</w:t>
                  </w:r>
                </w:p>
              </w:tc>
              <w:tc>
                <w:tcPr>
                  <w:tcW w:w="557"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w:t>
                  </w:r>
                </w:p>
              </w:tc>
              <w:tc>
                <w:tcPr>
                  <w:tcW w:w="642"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3</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5</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lang w:eastAsia="en-US"/>
                    </w:rPr>
                  </w:pPr>
                  <w:r>
                    <w:rPr>
                      <w:rFonts w:hint="eastAsia"/>
                      <w:color w:val="auto"/>
                      <w:sz w:val="21"/>
                      <w:szCs w:val="21"/>
                      <w:highlight w:val="none"/>
                    </w:rPr>
                    <w:t>预压机</w:t>
                  </w:r>
                </w:p>
              </w:tc>
              <w:tc>
                <w:tcPr>
                  <w:tcW w:w="696" w:type="pct"/>
                  <w:vAlign w:val="center"/>
                </w:tcPr>
                <w:p>
                  <w:pPr>
                    <w:keepNext w:val="0"/>
                    <w:keepLines w:val="0"/>
                    <w:suppressLineNumbers w:val="0"/>
                    <w:spacing w:before="0" w:beforeAutospacing="0" w:after="0" w:afterAutospacing="0"/>
                    <w:ind w:left="0" w:right="0"/>
                    <w:jc w:val="center"/>
                    <w:rPr>
                      <w:rFonts w:hint="default"/>
                      <w:b/>
                      <w:color w:val="auto"/>
                      <w:szCs w:val="21"/>
                      <w:highlight w:val="none"/>
                    </w:rPr>
                  </w:pPr>
                  <w:r>
                    <w:rPr>
                      <w:rFonts w:hint="eastAsia"/>
                      <w:b/>
                      <w:color w:val="auto"/>
                      <w:sz w:val="21"/>
                      <w:szCs w:val="21"/>
                      <w:highlight w:val="none"/>
                    </w:rPr>
                    <w:t>50T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15</w:t>
                  </w:r>
                </w:p>
              </w:tc>
              <w:tc>
                <w:tcPr>
                  <w:tcW w:w="557"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10</w:t>
                  </w:r>
                </w:p>
              </w:tc>
              <w:tc>
                <w:tcPr>
                  <w:tcW w:w="642"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25</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6</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lang w:eastAsia="en-US"/>
                    </w:rPr>
                  </w:pPr>
                  <w:r>
                    <w:rPr>
                      <w:rFonts w:hint="eastAsia"/>
                      <w:color w:val="auto"/>
                      <w:sz w:val="21"/>
                      <w:szCs w:val="21"/>
                      <w:highlight w:val="none"/>
                    </w:rPr>
                    <w:t>热压机</w:t>
                  </w:r>
                </w:p>
              </w:tc>
              <w:tc>
                <w:tcPr>
                  <w:tcW w:w="696" w:type="pct"/>
                  <w:vAlign w:val="center"/>
                </w:tcPr>
                <w:p>
                  <w:pPr>
                    <w:keepNext w:val="0"/>
                    <w:keepLines w:val="0"/>
                    <w:suppressLineNumbers w:val="0"/>
                    <w:spacing w:before="0" w:beforeAutospacing="0" w:after="0" w:afterAutospacing="0" w:line="219" w:lineRule="exact"/>
                    <w:ind w:left="0" w:right="0"/>
                    <w:jc w:val="center"/>
                    <w:rPr>
                      <w:rFonts w:hint="default"/>
                      <w:b/>
                      <w:color w:val="auto"/>
                      <w:szCs w:val="21"/>
                      <w:highlight w:val="none"/>
                    </w:rPr>
                  </w:pPr>
                  <w:r>
                    <w:rPr>
                      <w:rFonts w:hint="eastAsia"/>
                      <w:b/>
                      <w:color w:val="auto"/>
                      <w:sz w:val="21"/>
                      <w:szCs w:val="21"/>
                      <w:highlight w:val="none"/>
                    </w:rPr>
                    <w:t>300T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19</w:t>
                  </w:r>
                </w:p>
              </w:tc>
              <w:tc>
                <w:tcPr>
                  <w:tcW w:w="557"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10</w:t>
                  </w:r>
                </w:p>
              </w:tc>
              <w:tc>
                <w:tcPr>
                  <w:tcW w:w="642"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29</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7</w:t>
                  </w:r>
                </w:p>
              </w:tc>
              <w:tc>
                <w:tcPr>
                  <w:tcW w:w="1501" w:type="pct"/>
                  <w:vAlign w:val="center"/>
                </w:tcPr>
                <w:p>
                  <w:pPr>
                    <w:keepNext w:val="0"/>
                    <w:keepLines w:val="0"/>
                    <w:suppressLineNumbers w:val="0"/>
                    <w:adjustRightInd w:val="0"/>
                    <w:snapToGrid w:val="0"/>
                    <w:spacing w:before="0" w:beforeAutospacing="0" w:after="0" w:afterAutospacing="0"/>
                    <w:ind w:left="0" w:right="0"/>
                    <w:jc w:val="center"/>
                    <w:rPr>
                      <w:rFonts w:hint="default"/>
                      <w:b/>
                      <w:color w:val="auto"/>
                      <w:szCs w:val="21"/>
                      <w:highlight w:val="none"/>
                    </w:rPr>
                  </w:pPr>
                  <w:r>
                    <w:rPr>
                      <w:rFonts w:hint="eastAsia"/>
                      <w:b/>
                      <w:color w:val="auto"/>
                      <w:sz w:val="21"/>
                      <w:szCs w:val="21"/>
                      <w:highlight w:val="none"/>
                    </w:rPr>
                    <w:t>全自动预热成型机</w:t>
                  </w:r>
                </w:p>
              </w:tc>
              <w:tc>
                <w:tcPr>
                  <w:tcW w:w="696" w:type="pct"/>
                  <w:vAlign w:val="center"/>
                </w:tcPr>
                <w:p>
                  <w:pPr>
                    <w:keepNext w:val="0"/>
                    <w:keepLines w:val="0"/>
                    <w:suppressLineNumbers w:val="0"/>
                    <w:adjustRightInd w:val="0"/>
                    <w:snapToGrid w:val="0"/>
                    <w:spacing w:before="0" w:beforeAutospacing="0" w:after="0" w:afterAutospacing="0"/>
                    <w:ind w:left="0" w:right="0"/>
                    <w:jc w:val="center"/>
                    <w:rPr>
                      <w:rFonts w:hint="default"/>
                      <w:b/>
                      <w:color w:val="auto"/>
                      <w:szCs w:val="21"/>
                      <w:highlight w:val="none"/>
                    </w:rPr>
                  </w:pPr>
                  <w:r>
                    <w:rPr>
                      <w:rFonts w:hint="eastAsia"/>
                      <w:b/>
                      <w:color w:val="auto"/>
                      <w:sz w:val="21"/>
                      <w:szCs w:val="21"/>
                      <w:highlight w:val="none"/>
                    </w:rPr>
                    <w:t>300T、4工位</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557"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8组</w:t>
                  </w:r>
                </w:p>
              </w:tc>
              <w:tc>
                <w:tcPr>
                  <w:tcW w:w="642"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8组</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8</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热处理炉</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7</w:t>
                  </w:r>
                </w:p>
              </w:tc>
              <w:tc>
                <w:tcPr>
                  <w:tcW w:w="557"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10</w:t>
                  </w:r>
                </w:p>
              </w:tc>
              <w:tc>
                <w:tcPr>
                  <w:tcW w:w="642"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17</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9</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切沟倒角机</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557"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2</w:t>
                  </w:r>
                </w:p>
              </w:tc>
              <w:tc>
                <w:tcPr>
                  <w:tcW w:w="642" w:type="pct"/>
                  <w:vAlign w:val="center"/>
                </w:tcPr>
                <w:p>
                  <w:pPr>
                    <w:keepNext w:val="0"/>
                    <w:keepLines w:val="0"/>
                    <w:widowControl/>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sz w:val="21"/>
                      <w:szCs w:val="21"/>
                      <w:highlight w:val="none"/>
                    </w:rPr>
                    <w:t>4</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10</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抛光机</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557"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1</w:t>
                  </w:r>
                </w:p>
              </w:tc>
              <w:tc>
                <w:tcPr>
                  <w:tcW w:w="642" w:type="pct"/>
                  <w:vAlign w:val="center"/>
                </w:tcPr>
                <w:p>
                  <w:pPr>
                    <w:keepNext w:val="0"/>
                    <w:keepLines w:val="0"/>
                    <w:widowControl/>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sz w:val="21"/>
                      <w:szCs w:val="21"/>
                      <w:highlight w:val="none"/>
                    </w:rPr>
                    <w:t>2</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11</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切割机</w:t>
                  </w:r>
                </w:p>
              </w:tc>
              <w:tc>
                <w:tcPr>
                  <w:tcW w:w="696"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557" w:type="pct"/>
                  <w:tcMar>
                    <w:top w:w="0" w:type="dxa"/>
                    <w:left w:w="28" w:type="dxa"/>
                    <w:bottom w:w="0" w:type="dxa"/>
                    <w:right w:w="28" w:type="dxa"/>
                  </w:tcMar>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1</w:t>
                  </w:r>
                </w:p>
              </w:tc>
              <w:tc>
                <w:tcPr>
                  <w:tcW w:w="642"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3</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tcMar>
                    <w:top w:w="0" w:type="dxa"/>
                    <w:left w:w="28" w:type="dxa"/>
                    <w:bottom w:w="0" w:type="dxa"/>
                    <w:right w:w="28" w:type="dxa"/>
                  </w:tcMar>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12</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倒角机</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557" w:type="pct"/>
                  <w:tcMar>
                    <w:top w:w="0" w:type="dxa"/>
                    <w:left w:w="28" w:type="dxa"/>
                    <w:bottom w:w="0" w:type="dxa"/>
                    <w:right w:w="28" w:type="dxa"/>
                  </w:tcMar>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bookmarkEnd w:id="1"/>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13</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平面研磨机</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14</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内径研磨机</w:t>
                  </w:r>
                </w:p>
              </w:tc>
              <w:tc>
                <w:tcPr>
                  <w:tcW w:w="696"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15</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外研磨机</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16</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切沟倒角研磨一体机</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2</w:t>
                  </w:r>
                </w:p>
              </w:tc>
              <w:tc>
                <w:tcPr>
                  <w:tcW w:w="642"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3</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17</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表面烧结生产线</w:t>
                  </w:r>
                </w:p>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（铁板烧）</w:t>
                  </w:r>
                </w:p>
              </w:tc>
              <w:tc>
                <w:tcPr>
                  <w:tcW w:w="696"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default"/>
                      <w:color w:val="auto"/>
                      <w:sz w:val="21"/>
                      <w:szCs w:val="21"/>
                      <w:highlight w:val="none"/>
                    </w:rPr>
                    <w:t>550℃</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1</w:t>
                  </w:r>
                </w:p>
              </w:tc>
              <w:tc>
                <w:tcPr>
                  <w:tcW w:w="642"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2</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18</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盘片式高温烧蚀炉</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19</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喷漆烘烤冷却输送线</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20</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高解析喷墨印字机</w:t>
                  </w:r>
                </w:p>
              </w:tc>
              <w:tc>
                <w:tcPr>
                  <w:tcW w:w="696"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21</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移印机</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22</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b/>
                      <w:color w:val="auto"/>
                      <w:sz w:val="21"/>
                      <w:szCs w:val="21"/>
                      <w:highlight w:val="none"/>
                    </w:rPr>
                    <w:t>粉体</w:t>
                  </w:r>
                  <w:r>
                    <w:rPr>
                      <w:rFonts w:hint="default"/>
                      <w:b/>
                      <w:color w:val="auto"/>
                      <w:spacing w:val="-3"/>
                      <w:sz w:val="21"/>
                      <w:szCs w:val="21"/>
                      <w:highlight w:val="none"/>
                    </w:rPr>
                    <w:t>涂</w:t>
                  </w:r>
                  <w:r>
                    <w:rPr>
                      <w:rFonts w:hint="eastAsia"/>
                      <w:b/>
                      <w:color w:val="auto"/>
                      <w:spacing w:val="-3"/>
                      <w:sz w:val="21"/>
                      <w:szCs w:val="21"/>
                      <w:highlight w:val="none"/>
                    </w:rPr>
                    <w:t>装线</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3</w:t>
                  </w:r>
                </w:p>
              </w:tc>
              <w:tc>
                <w:tcPr>
                  <w:tcW w:w="642"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3</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23</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铆钉机</w:t>
                  </w:r>
                </w:p>
              </w:tc>
              <w:tc>
                <w:tcPr>
                  <w:tcW w:w="696"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3</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12</w:t>
                  </w:r>
                </w:p>
              </w:tc>
              <w:tc>
                <w:tcPr>
                  <w:tcW w:w="642"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15</w:t>
                  </w:r>
                </w:p>
              </w:tc>
              <w:tc>
                <w:tcPr>
                  <w:tcW w:w="661"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24</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b/>
                      <w:color w:val="auto"/>
                      <w:sz w:val="21"/>
                      <w:szCs w:val="21"/>
                      <w:highlight w:val="none"/>
                    </w:rPr>
                    <w:t>喷</w:t>
                  </w:r>
                  <w:bookmarkStart w:id="2" w:name="OLE_LINK3"/>
                  <w:bookmarkStart w:id="3" w:name="OLE_LINK4"/>
                  <w:r>
                    <w:rPr>
                      <w:rFonts w:hint="eastAsia"/>
                      <w:b/>
                      <w:color w:val="auto"/>
                      <w:sz w:val="21"/>
                      <w:szCs w:val="21"/>
                      <w:highlight w:val="none"/>
                    </w:rPr>
                    <w:t>印</w:t>
                  </w:r>
                  <w:bookmarkEnd w:id="2"/>
                  <w:bookmarkEnd w:id="3"/>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3</w:t>
                  </w:r>
                </w:p>
              </w:tc>
              <w:tc>
                <w:tcPr>
                  <w:tcW w:w="642"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3</w:t>
                  </w:r>
                </w:p>
              </w:tc>
              <w:tc>
                <w:tcPr>
                  <w:tcW w:w="661"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批号捺印</w:t>
                  </w: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25</w:t>
                  </w:r>
                </w:p>
              </w:tc>
              <w:tc>
                <w:tcPr>
                  <w:tcW w:w="1501" w:type="pct"/>
                  <w:vAlign w:val="center"/>
                </w:tcPr>
                <w:p>
                  <w:pPr>
                    <w:pStyle w:val="H"/>
                    <w:keepNext w:val="0"/>
                    <w:keepLines w:val="0"/>
                    <w:suppressLineNumbers w:val="0"/>
                    <w:spacing w:before="0" w:beforeAutospacing="0" w:after="0" w:afterAutospacing="0"/>
                    <w:ind w:left="0" w:right="0"/>
                    <w:jc w:val="center"/>
                    <w:rPr>
                      <w:rFonts w:hint="default"/>
                      <w:b/>
                      <w:color w:val="auto"/>
                      <w:sz w:val="21"/>
                      <w:szCs w:val="21"/>
                      <w:highlight w:val="none"/>
                    </w:rPr>
                  </w:pPr>
                  <w:r>
                    <w:rPr>
                      <w:rFonts w:hint="eastAsia"/>
                      <w:b/>
                      <w:color w:val="auto"/>
                      <w:sz w:val="21"/>
                      <w:szCs w:val="21"/>
                      <w:highlight w:val="none"/>
                    </w:rPr>
                    <w:t>AR视觉检测</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3</w:t>
                  </w:r>
                </w:p>
              </w:tc>
              <w:tc>
                <w:tcPr>
                  <w:tcW w:w="642"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3</w:t>
                  </w:r>
                </w:p>
              </w:tc>
              <w:tc>
                <w:tcPr>
                  <w:tcW w:w="661"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外观全检</w:t>
                  </w: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26</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空压机</w:t>
                  </w:r>
                </w:p>
              </w:tc>
              <w:tc>
                <w:tcPr>
                  <w:tcW w:w="696"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72P</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1</w:t>
                  </w:r>
                </w:p>
              </w:tc>
              <w:tc>
                <w:tcPr>
                  <w:tcW w:w="642"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2</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27</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隙片压合机</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2</w:t>
                  </w:r>
                </w:p>
              </w:tc>
              <w:tc>
                <w:tcPr>
                  <w:tcW w:w="642"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4</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28</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包装机</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1</w:t>
                  </w:r>
                </w:p>
              </w:tc>
              <w:tc>
                <w:tcPr>
                  <w:tcW w:w="642"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2</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29</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捆箱机</w:t>
                  </w:r>
                </w:p>
              </w:tc>
              <w:tc>
                <w:tcPr>
                  <w:tcW w:w="696"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2</w:t>
                  </w:r>
                </w:p>
              </w:tc>
              <w:tc>
                <w:tcPr>
                  <w:tcW w:w="642"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4</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30</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打包机</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1</w:t>
                  </w:r>
                </w:p>
              </w:tc>
              <w:tc>
                <w:tcPr>
                  <w:tcW w:w="642"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2</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31</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定速试验机</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32</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台架试验机</w:t>
                  </w:r>
                </w:p>
              </w:tc>
              <w:tc>
                <w:tcPr>
                  <w:tcW w:w="696"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33</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LINK压缩热膨胀机</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bl>
          <w:p/>
        </w:tc>
      </w:tr>
    </w:tbl>
    <w:p>
      <w:pPr>
        <w:sectPr>
          <w:footerReference w:type="default" r:id="rId19"/>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9"/>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3"/>
        <w:gridCol w:w="8836"/>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5855"/>
          <w:jc w:val="center"/>
        </w:trPr>
        <w:tc>
          <w:tcPr>
            <w:tcW w:w="455" w:type="dxa"/>
            <w:vAlign w:val="center"/>
          </w:tcPr>
          <w:p/>
        </w:tc>
        <w:tc>
          <w:tcPr>
            <w:tcW w:w="8834" w:type="dxa"/>
          </w:tcPr>
          <w:tbl>
            <w:tblPr>
              <w:tblStyle w:val="TableNormal"/>
              <w:tblW w:w="4994"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523"/>
              <w:gridCol w:w="2562"/>
              <w:gridCol w:w="1174"/>
              <w:gridCol w:w="1136"/>
              <w:gridCol w:w="963"/>
              <w:gridCol w:w="1137"/>
              <w:gridCol w:w="1115"/>
            </w:tblGrid>
            <w:tr>
              <w:tblPrEx>
                <w:tblW w:w="4994"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34</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研磨机</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35</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盐水喷雾试验机</w:t>
                  </w:r>
                </w:p>
              </w:tc>
              <w:tc>
                <w:tcPr>
                  <w:tcW w:w="696"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36</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微机控制电子万能试验机</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3</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3</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37</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洛式硬度计</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38</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热风循环干燥炉</w:t>
                  </w:r>
                </w:p>
              </w:tc>
              <w:tc>
                <w:tcPr>
                  <w:tcW w:w="696"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39</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电加热蒸汽锅炉</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r>
                    <w:rPr>
                      <w:rFonts w:hint="default"/>
                      <w:color w:val="auto"/>
                      <w:sz w:val="21"/>
                      <w:szCs w:val="21"/>
                      <w:highlight w:val="none"/>
                    </w:rPr>
                    <w:t>0.3t/h</w:t>
                  </w:r>
                  <w:r>
                    <w:rPr>
                      <w:rFonts w:hint="eastAsia"/>
                      <w:color w:val="auto"/>
                      <w:sz w:val="21"/>
                      <w:szCs w:val="21"/>
                      <w:highlight w:val="none"/>
                    </w:rPr>
                    <w:t>）</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r>
                    <w:rPr>
                      <w:rFonts w:hint="default"/>
                      <w:color w:val="auto"/>
                      <w:sz w:val="21"/>
                      <w:szCs w:val="21"/>
                      <w:highlight w:val="none"/>
                    </w:rPr>
                    <w:t>0.3t/h</w:t>
                  </w:r>
                  <w:r>
                    <w:rPr>
                      <w:rFonts w:hint="eastAsia"/>
                      <w:color w:val="auto"/>
                      <w:sz w:val="21"/>
                      <w:szCs w:val="21"/>
                      <w:highlight w:val="none"/>
                    </w:rPr>
                    <w:t>）</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40</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空压机</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2（1</w:t>
                  </w:r>
                  <w:r>
                    <w:rPr>
                      <w:rFonts w:hint="default"/>
                      <w:color w:val="auto"/>
                      <w:sz w:val="21"/>
                      <w:szCs w:val="21"/>
                      <w:highlight w:val="none"/>
                    </w:rPr>
                    <w:t>m</w:t>
                  </w:r>
                  <w:r>
                    <w:rPr>
                      <w:rFonts w:hint="default"/>
                      <w:color w:val="auto"/>
                      <w:sz w:val="21"/>
                      <w:szCs w:val="21"/>
                      <w:highlight w:val="none"/>
                      <w:vertAlign w:val="superscript"/>
                    </w:rPr>
                    <w:t>3</w:t>
                  </w:r>
                  <w:r>
                    <w:rPr>
                      <w:rFonts w:hint="default"/>
                      <w:color w:val="auto"/>
                      <w:sz w:val="21"/>
                      <w:szCs w:val="21"/>
                      <w:highlight w:val="none"/>
                    </w:rPr>
                    <w:t>/h</w:t>
                  </w:r>
                  <w:r>
                    <w:rPr>
                      <w:rFonts w:hint="eastAsia"/>
                      <w:color w:val="auto"/>
                      <w:sz w:val="21"/>
                      <w:szCs w:val="21"/>
                      <w:highlight w:val="none"/>
                    </w:rPr>
                    <w:t>）</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2（1</w:t>
                  </w:r>
                  <w:r>
                    <w:rPr>
                      <w:rFonts w:hint="default"/>
                      <w:color w:val="auto"/>
                      <w:sz w:val="21"/>
                      <w:szCs w:val="21"/>
                      <w:highlight w:val="none"/>
                    </w:rPr>
                    <w:t>m</w:t>
                  </w:r>
                  <w:r>
                    <w:rPr>
                      <w:rFonts w:hint="default"/>
                      <w:color w:val="auto"/>
                      <w:sz w:val="21"/>
                      <w:szCs w:val="21"/>
                      <w:highlight w:val="none"/>
                      <w:vertAlign w:val="superscript"/>
                    </w:rPr>
                    <w:t>3</w:t>
                  </w:r>
                  <w:r>
                    <w:rPr>
                      <w:rFonts w:hint="default"/>
                      <w:color w:val="auto"/>
                      <w:sz w:val="21"/>
                      <w:szCs w:val="21"/>
                      <w:highlight w:val="none"/>
                    </w:rPr>
                    <w:t>/h</w:t>
                  </w:r>
                  <w:r>
                    <w:rPr>
                      <w:rFonts w:hint="eastAsia"/>
                      <w:color w:val="auto"/>
                      <w:sz w:val="21"/>
                      <w:szCs w:val="21"/>
                      <w:highlight w:val="none"/>
                    </w:rPr>
                    <w:t>）</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41</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循环冷却水塔</w:t>
                  </w:r>
                </w:p>
              </w:tc>
              <w:tc>
                <w:tcPr>
                  <w:tcW w:w="696"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default"/>
                      <w:color w:val="auto"/>
                      <w:sz w:val="21"/>
                      <w:szCs w:val="21"/>
                      <w:highlight w:val="none"/>
                    </w:rPr>
                    <w:t>30m</w:t>
                  </w:r>
                  <w:r>
                    <w:rPr>
                      <w:rFonts w:hint="default"/>
                      <w:color w:val="auto"/>
                      <w:sz w:val="21"/>
                      <w:szCs w:val="21"/>
                      <w:highlight w:val="none"/>
                      <w:vertAlign w:val="superscript"/>
                    </w:rPr>
                    <w:t>3</w:t>
                  </w:r>
                  <w:r>
                    <w:rPr>
                      <w:rFonts w:hint="default"/>
                      <w:color w:val="auto"/>
                      <w:sz w:val="21"/>
                      <w:szCs w:val="21"/>
                      <w:highlight w:val="none"/>
                    </w:rPr>
                    <w:t>/h</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1</w:t>
                  </w:r>
                </w:p>
              </w:tc>
              <w:tc>
                <w:tcPr>
                  <w:tcW w:w="642"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2</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42</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污水处理站</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1（10t/d）</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1（</w:t>
                  </w:r>
                  <w:r>
                    <w:rPr>
                      <w:rFonts w:hint="eastAsia"/>
                      <w:color w:val="auto"/>
                      <w:sz w:val="21"/>
                      <w:szCs w:val="21"/>
                      <w:highlight w:val="none"/>
                      <w:lang w:val="en-US" w:eastAsia="zh-CN"/>
                    </w:rPr>
                    <w:t>6</w:t>
                  </w:r>
                  <w:r>
                    <w:rPr>
                      <w:rFonts w:hint="eastAsia"/>
                      <w:color w:val="auto"/>
                      <w:sz w:val="21"/>
                      <w:szCs w:val="21"/>
                      <w:highlight w:val="none"/>
                    </w:rPr>
                    <w:t>t/d）</w:t>
                  </w:r>
                </w:p>
              </w:tc>
              <w:tc>
                <w:tcPr>
                  <w:tcW w:w="642"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2</w:t>
                  </w:r>
                </w:p>
              </w:tc>
              <w:tc>
                <w:tcPr>
                  <w:tcW w:w="66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108" w:type="dxa"/>
                  <w:bottom w:w="0" w:type="dxa"/>
                  <w:right w:w="108" w:type="dxa"/>
                </w:tblCellMar>
              </w:tblPrEx>
              <w:trPr>
                <w:trHeight w:val="340"/>
                <w:jc w:val="center"/>
              </w:trPr>
              <w:tc>
                <w:tcPr>
                  <w:tcW w:w="31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43</w:t>
                  </w:r>
                </w:p>
              </w:tc>
              <w:tc>
                <w:tcPr>
                  <w:tcW w:w="150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全自动配料系统</w:t>
                  </w:r>
                </w:p>
              </w:tc>
              <w:tc>
                <w:tcPr>
                  <w:tcW w:w="696" w:type="pct"/>
                  <w:vAlign w:val="center"/>
                </w:tcPr>
                <w:p>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621"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1</w:t>
                  </w:r>
                </w:p>
              </w:tc>
              <w:tc>
                <w:tcPr>
                  <w:tcW w:w="557"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w:t>
                  </w:r>
                </w:p>
              </w:tc>
              <w:tc>
                <w:tcPr>
                  <w:tcW w:w="642" w:type="pct"/>
                  <w:vAlign w:val="center"/>
                </w:tcPr>
                <w:p>
                  <w:pPr>
                    <w:pStyle w:val="a10"/>
                    <w:keepNext w:val="0"/>
                    <w:keepLines w:val="0"/>
                    <w:suppressLineNumbers w:val="0"/>
                    <w:spacing w:before="0" w:beforeAutospacing="0" w:after="0" w:afterAutospacing="0"/>
                    <w:ind w:left="0" w:right="0"/>
                    <w:jc w:val="center"/>
                    <w:rPr>
                      <w:rFonts w:hint="default"/>
                      <w:color w:val="auto"/>
                      <w:sz w:val="21"/>
                      <w:highlight w:val="none"/>
                    </w:rPr>
                  </w:pPr>
                  <w:r>
                    <w:rPr>
                      <w:rFonts w:hint="eastAsia"/>
                      <w:color w:val="auto"/>
                      <w:sz w:val="21"/>
                      <w:szCs w:val="21"/>
                      <w:highlight w:val="none"/>
                    </w:rPr>
                    <w:t>1</w:t>
                  </w:r>
                </w:p>
              </w:tc>
              <w:tc>
                <w:tcPr>
                  <w:tcW w:w="661" w:type="pct"/>
                  <w:vAlign w:val="center"/>
                </w:tcPr>
                <w:p>
                  <w:pPr>
                    <w:pStyle w:val="H"/>
                    <w:keepNext w:val="0"/>
                    <w:keepLines w:val="0"/>
                    <w:suppressLineNumbers w:val="0"/>
                    <w:spacing w:before="0" w:beforeAutospacing="0" w:after="0" w:afterAutospacing="0"/>
                    <w:ind w:left="0" w:right="0"/>
                    <w:jc w:val="center"/>
                    <w:rPr>
                      <w:rFonts w:eastAsia="宋体" w:hint="default"/>
                      <w:color w:val="auto"/>
                      <w:sz w:val="21"/>
                      <w:szCs w:val="21"/>
                      <w:highlight w:val="none"/>
                      <w:lang w:val="en-US" w:eastAsia="zh-CN"/>
                    </w:rPr>
                  </w:pPr>
                  <w:r>
                    <w:rPr>
                      <w:rFonts w:hint="eastAsia"/>
                      <w:color w:val="auto"/>
                      <w:sz w:val="21"/>
                      <w:szCs w:val="21"/>
                      <w:highlight w:val="none"/>
                      <w:lang w:val="en-US" w:eastAsia="zh-CN"/>
                    </w:rPr>
                    <w:t>/</w:t>
                  </w:r>
                </w:p>
              </w:tc>
            </w:tr>
          </w:tbl>
          <w:p>
            <w:pPr>
              <w:pStyle w:val="Heading3"/>
              <w:keepNext w:val="0"/>
              <w:keepLines w:val="0"/>
              <w:suppressLineNumbers w:val="0"/>
              <w:spacing w:before="120" w:beforeAutospacing="0" w:after="120" w:afterAutospacing="0"/>
              <w:ind w:left="0" w:right="0"/>
              <w:rPr>
                <w:rFonts w:hint="default"/>
                <w:color w:val="auto"/>
                <w:highlight w:val="none"/>
              </w:rPr>
            </w:pPr>
            <w:r>
              <w:rPr>
                <w:rFonts w:hint="default"/>
                <w:color w:val="auto"/>
                <w:highlight w:val="none"/>
              </w:rPr>
              <w:t>2.1.6 主要原辅材料及燃料种类和用量</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lang w:val="en-US" w:eastAsia="zh-CN"/>
              </w:rPr>
              <w:t>本次扩建</w:t>
            </w:r>
            <w:r>
              <w:rPr>
                <w:rFonts w:hint="default"/>
                <w:color w:val="auto"/>
                <w:highlight w:val="none"/>
              </w:rPr>
              <w:t>项目原辅材料及能源消耗见表2.1-4。</w:t>
            </w:r>
          </w:p>
          <w:p>
            <w:pPr>
              <w:keepNext w:val="0"/>
              <w:keepLines w:val="0"/>
              <w:suppressLineNumbers w:val="0"/>
              <w:spacing w:before="0" w:beforeAutospacing="0" w:after="0" w:afterAutospacing="0" w:line="360" w:lineRule="auto"/>
              <w:ind w:left="0" w:right="0"/>
              <w:jc w:val="center"/>
              <w:rPr>
                <w:rFonts w:hint="default"/>
                <w:b/>
                <w:bCs/>
                <w:color w:val="auto"/>
                <w:sz w:val="24"/>
                <w:highlight w:val="none"/>
                <w:shd w:val="clear" w:color="auto" w:fill="FFFFFF"/>
              </w:rPr>
            </w:pPr>
            <w:r>
              <w:rPr>
                <w:rFonts w:hint="eastAsia"/>
                <w:b/>
                <w:bCs/>
                <w:color w:val="auto"/>
                <w:sz w:val="24"/>
                <w:highlight w:val="none"/>
                <w:shd w:val="clear" w:color="auto" w:fill="FFFFFF"/>
              </w:rPr>
              <w:t xml:space="preserve">表2.1-4 </w:t>
            </w:r>
            <w:r>
              <w:rPr>
                <w:rFonts w:hint="eastAsia"/>
                <w:b/>
                <w:bCs/>
                <w:color w:val="auto"/>
                <w:sz w:val="24"/>
                <w:highlight w:val="none"/>
                <w:shd w:val="clear" w:color="auto" w:fill="FFFFFF"/>
                <w:lang w:val="en-US" w:eastAsia="zh-CN"/>
              </w:rPr>
              <w:t xml:space="preserve"> 本次扩建项目</w:t>
            </w:r>
            <w:r>
              <w:rPr>
                <w:rFonts w:hint="eastAsia"/>
                <w:b/>
                <w:bCs/>
                <w:color w:val="auto"/>
                <w:sz w:val="24"/>
                <w:highlight w:val="none"/>
                <w:shd w:val="clear" w:color="auto" w:fill="FFFFFF"/>
              </w:rPr>
              <w:t>主要原辅材料及能源消耗情况</w:t>
            </w:r>
          </w:p>
          <w:tbl>
            <w:tblPr>
              <w:tblStyle w:val="TableNormal"/>
              <w:tblW w:w="4994" w:type="pct"/>
              <w:jc w:val="center"/>
              <w:tblBorders>
                <w:top w:val="single" w:sz="18" w:space="0" w:color="auto"/>
                <w:left w:val="none" w:sz="0" w:space="0" w:color="auto"/>
                <w:bottom w:val="single" w:sz="18" w:space="0" w:color="auto"/>
                <w:right w:val="none" w:sz="0" w:space="0" w:color="auto"/>
                <w:insideH w:val="single" w:sz="6" w:space="0" w:color="auto"/>
                <w:insideV w:val="single" w:sz="6" w:space="0" w:color="auto"/>
              </w:tblBorders>
              <w:tblCellMar>
                <w:top w:w="0" w:type="dxa"/>
                <w:left w:w="28" w:type="dxa"/>
                <w:bottom w:w="0" w:type="dxa"/>
                <w:right w:w="28" w:type="dxa"/>
              </w:tblCellMar>
            </w:tblPr>
            <w:tblGrid>
              <w:gridCol w:w="489"/>
              <w:gridCol w:w="1367"/>
              <w:gridCol w:w="1045"/>
              <w:gridCol w:w="985"/>
              <w:gridCol w:w="1226"/>
              <w:gridCol w:w="1030"/>
              <w:gridCol w:w="515"/>
              <w:gridCol w:w="651"/>
              <w:gridCol w:w="596"/>
              <w:gridCol w:w="706"/>
            </w:tblGrid>
            <w:tr>
              <w:tblPrEx>
                <w:tblW w:w="4994" w:type="pct"/>
                <w:jc w:val="center"/>
                <w:tblBorders>
                  <w:top w:val="single" w:sz="18" w:space="0" w:color="auto"/>
                  <w:left w:val="none" w:sz="0" w:space="0" w:color="auto"/>
                  <w:bottom w:val="single" w:sz="18" w:space="0" w:color="auto"/>
                  <w:right w:val="none" w:sz="0" w:space="0" w:color="auto"/>
                  <w:insideH w:val="single" w:sz="6" w:space="0" w:color="auto"/>
                  <w:insideV w:val="single" w:sz="6" w:space="0" w:color="auto"/>
                </w:tblBorders>
                <w:tblCellMar>
                  <w:top w:w="0" w:type="dxa"/>
                  <w:left w:w="28" w:type="dxa"/>
                  <w:bottom w:w="0" w:type="dxa"/>
                  <w:right w:w="28" w:type="dxa"/>
                </w:tblCellMar>
              </w:tblPrEx>
              <w:trPr>
                <w:trHeight w:val="338"/>
                <w:jc w:val="center"/>
              </w:trPr>
              <w:tc>
                <w:tcPr>
                  <w:tcW w:w="284" w:type="pct"/>
                  <w:vAlign w:val="center"/>
                </w:tcPr>
                <w:p>
                  <w:pPr>
                    <w:pStyle w:val="H"/>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default"/>
                      <w:b/>
                      <w:bCs/>
                      <w:color w:val="auto"/>
                      <w:sz w:val="21"/>
                      <w:szCs w:val="21"/>
                      <w:highlight w:val="none"/>
                    </w:rPr>
                    <w:t>类别</w:t>
                  </w:r>
                </w:p>
              </w:tc>
              <w:tc>
                <w:tcPr>
                  <w:tcW w:w="794" w:type="pct"/>
                  <w:tcMar>
                    <w:top w:w="0" w:type="dxa"/>
                    <w:left w:w="57" w:type="dxa"/>
                    <w:bottom w:w="0" w:type="dxa"/>
                    <w:right w:w="57" w:type="dxa"/>
                  </w:tcMar>
                  <w:vAlign w:val="center"/>
                </w:tcPr>
                <w:p>
                  <w:pPr>
                    <w:pStyle w:val="H"/>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default"/>
                      <w:b/>
                      <w:bCs/>
                      <w:color w:val="auto"/>
                      <w:sz w:val="21"/>
                      <w:szCs w:val="21"/>
                      <w:highlight w:val="none"/>
                    </w:rPr>
                    <w:t>原料名称</w:t>
                  </w:r>
                </w:p>
              </w:tc>
              <w:tc>
                <w:tcPr>
                  <w:tcW w:w="607" w:type="pct"/>
                  <w:vAlign w:val="center"/>
                </w:tcPr>
                <w:p>
                  <w:pPr>
                    <w:pStyle w:val="H"/>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eastAsia"/>
                      <w:b/>
                      <w:bCs/>
                      <w:color w:val="auto"/>
                      <w:sz w:val="21"/>
                      <w:szCs w:val="21"/>
                      <w:highlight w:val="none"/>
                    </w:rPr>
                    <w:t>现有项目年用量（t/a）</w:t>
                  </w:r>
                </w:p>
              </w:tc>
              <w:tc>
                <w:tcPr>
                  <w:tcW w:w="572" w:type="pct"/>
                  <w:vAlign w:val="center"/>
                </w:tcPr>
                <w:p>
                  <w:pPr>
                    <w:pStyle w:val="H"/>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eastAsia"/>
                      <w:b/>
                      <w:bCs/>
                      <w:color w:val="auto"/>
                      <w:sz w:val="21"/>
                      <w:szCs w:val="21"/>
                      <w:highlight w:val="none"/>
                    </w:rPr>
                    <w:t>扩建项目年用量（t/a）</w:t>
                  </w:r>
                </w:p>
              </w:tc>
              <w:tc>
                <w:tcPr>
                  <w:tcW w:w="712" w:type="pct"/>
                  <w:tcMar>
                    <w:top w:w="0" w:type="dxa"/>
                    <w:left w:w="57" w:type="dxa"/>
                    <w:bottom w:w="0" w:type="dxa"/>
                    <w:right w:w="57" w:type="dxa"/>
                  </w:tcMar>
                  <w:vAlign w:val="center"/>
                </w:tcPr>
                <w:p>
                  <w:pPr>
                    <w:pStyle w:val="H"/>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eastAsia"/>
                      <w:b/>
                      <w:bCs/>
                      <w:color w:val="auto"/>
                      <w:sz w:val="21"/>
                      <w:szCs w:val="21"/>
                      <w:highlight w:val="none"/>
                    </w:rPr>
                    <w:t>扩建后全厂</w:t>
                  </w:r>
                  <w:r>
                    <w:rPr>
                      <w:rFonts w:hint="default"/>
                      <w:b/>
                      <w:bCs/>
                      <w:color w:val="auto"/>
                      <w:sz w:val="21"/>
                      <w:szCs w:val="21"/>
                      <w:highlight w:val="none"/>
                    </w:rPr>
                    <w:t>年用量</w:t>
                  </w:r>
                  <w:r>
                    <w:rPr>
                      <w:rFonts w:hint="eastAsia"/>
                      <w:b/>
                      <w:bCs/>
                      <w:color w:val="auto"/>
                      <w:sz w:val="21"/>
                      <w:szCs w:val="21"/>
                      <w:highlight w:val="none"/>
                    </w:rPr>
                    <w:t>（t/a）</w:t>
                  </w:r>
                </w:p>
              </w:tc>
              <w:tc>
                <w:tcPr>
                  <w:tcW w:w="598" w:type="pct"/>
                  <w:vAlign w:val="center"/>
                </w:tcPr>
                <w:p>
                  <w:pPr>
                    <w:pStyle w:val="H"/>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default"/>
                      <w:b/>
                      <w:bCs/>
                      <w:color w:val="auto"/>
                      <w:sz w:val="21"/>
                      <w:szCs w:val="21"/>
                      <w:highlight w:val="none"/>
                    </w:rPr>
                    <w:t>厂内最大储存量</w:t>
                  </w:r>
                  <w:r>
                    <w:rPr>
                      <w:rFonts w:hint="eastAsia"/>
                      <w:b/>
                      <w:bCs/>
                      <w:color w:val="auto"/>
                      <w:sz w:val="21"/>
                      <w:szCs w:val="21"/>
                      <w:highlight w:val="none"/>
                    </w:rPr>
                    <w:t>（t）</w:t>
                  </w:r>
                </w:p>
              </w:tc>
              <w:tc>
                <w:tcPr>
                  <w:tcW w:w="299" w:type="pct"/>
                  <w:vAlign w:val="center"/>
                </w:tcPr>
                <w:p>
                  <w:pPr>
                    <w:pStyle w:val="H"/>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default"/>
                      <w:b/>
                      <w:bCs/>
                      <w:color w:val="auto"/>
                      <w:sz w:val="21"/>
                      <w:szCs w:val="21"/>
                      <w:highlight w:val="none"/>
                    </w:rPr>
                    <w:t>形态</w:t>
                  </w:r>
                </w:p>
              </w:tc>
              <w:tc>
                <w:tcPr>
                  <w:tcW w:w="378" w:type="pct"/>
                  <w:tcMar>
                    <w:top w:w="0" w:type="dxa"/>
                    <w:left w:w="57" w:type="dxa"/>
                    <w:bottom w:w="0" w:type="dxa"/>
                    <w:right w:w="57" w:type="dxa"/>
                  </w:tcMar>
                  <w:vAlign w:val="center"/>
                </w:tcPr>
                <w:p>
                  <w:pPr>
                    <w:pStyle w:val="H"/>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default"/>
                      <w:b/>
                      <w:bCs/>
                      <w:color w:val="auto"/>
                      <w:sz w:val="21"/>
                      <w:szCs w:val="21"/>
                      <w:highlight w:val="none"/>
                    </w:rPr>
                    <w:t>包装形式</w:t>
                  </w:r>
                </w:p>
              </w:tc>
              <w:tc>
                <w:tcPr>
                  <w:tcW w:w="346" w:type="pct"/>
                  <w:vAlign w:val="center"/>
                </w:tcPr>
                <w:p>
                  <w:pPr>
                    <w:pStyle w:val="H"/>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default"/>
                      <w:b/>
                      <w:bCs/>
                      <w:color w:val="auto"/>
                      <w:sz w:val="21"/>
                      <w:szCs w:val="21"/>
                      <w:highlight w:val="none"/>
                    </w:rPr>
                    <w:t>储存地</w:t>
                  </w:r>
                </w:p>
              </w:tc>
              <w:tc>
                <w:tcPr>
                  <w:tcW w:w="407" w:type="pct"/>
                  <w:vAlign w:val="center"/>
                </w:tcPr>
                <w:p>
                  <w:pPr>
                    <w:pStyle w:val="H"/>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eastAsia"/>
                      <w:b/>
                      <w:bCs/>
                      <w:color w:val="auto"/>
                      <w:sz w:val="21"/>
                      <w:szCs w:val="21"/>
                      <w:highlight w:val="none"/>
                    </w:rPr>
                    <w:t>来源</w:t>
                  </w:r>
                </w:p>
              </w:tc>
            </w:tr>
            <w:tr>
              <w:tblPrEx>
                <w:tblW w:w="4994" w:type="pct"/>
                <w:jc w:val="center"/>
                <w:tblCellMar>
                  <w:top w:w="0" w:type="dxa"/>
                  <w:left w:w="28" w:type="dxa"/>
                  <w:bottom w:w="0" w:type="dxa"/>
                  <w:right w:w="28" w:type="dxa"/>
                </w:tblCellMar>
              </w:tblPrEx>
              <w:trPr>
                <w:trHeight w:val="338"/>
                <w:jc w:val="center"/>
              </w:trPr>
              <w:tc>
                <w:tcPr>
                  <w:tcW w:w="284" w:type="pct"/>
                  <w:vAlign w:val="center"/>
                </w:tcPr>
                <w:p>
                  <w:pPr>
                    <w:pStyle w:val="H"/>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eastAsia"/>
                      <w:color w:val="auto"/>
                      <w:sz w:val="21"/>
                      <w:szCs w:val="21"/>
                      <w:highlight w:val="none"/>
                    </w:rPr>
                    <w:t>原料</w:t>
                  </w:r>
                </w:p>
              </w:tc>
              <w:tc>
                <w:tcPr>
                  <w:tcW w:w="794" w:type="pct"/>
                  <w:tcMar>
                    <w:top w:w="0" w:type="dxa"/>
                    <w:left w:w="57" w:type="dxa"/>
                    <w:bottom w:w="0" w:type="dxa"/>
                    <w:right w:w="57" w:type="dxa"/>
                  </w:tcMar>
                  <w:vAlign w:val="center"/>
                </w:tcPr>
                <w:p>
                  <w:pPr>
                    <w:pStyle w:val="H"/>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eastAsia"/>
                      <w:color w:val="auto"/>
                      <w:sz w:val="21"/>
                      <w:szCs w:val="21"/>
                      <w:highlight w:val="none"/>
                    </w:rPr>
                    <w:t>摩擦材料</w:t>
                  </w:r>
                </w:p>
              </w:tc>
              <w:tc>
                <w:tcPr>
                  <w:tcW w:w="607" w:type="pct"/>
                  <w:vAlign w:val="center"/>
                </w:tcPr>
                <w:p>
                  <w:pPr>
                    <w:keepNext w:val="0"/>
                    <w:keepLines w:val="0"/>
                    <w:suppressLineNumbers w:val="0"/>
                    <w:spacing w:before="0" w:beforeAutospacing="0" w:after="0" w:afterAutospacing="0"/>
                    <w:ind w:left="0" w:right="0" w:leftChars="0" w:rightChars="0"/>
                    <w:jc w:val="center"/>
                    <w:rPr>
                      <w:rFonts w:hint="eastAsia"/>
                      <w:color w:val="auto"/>
                      <w:szCs w:val="21"/>
                      <w:highlight w:val="none"/>
                    </w:rPr>
                  </w:pPr>
                  <w:r>
                    <w:rPr>
                      <w:rFonts w:hint="eastAsia"/>
                      <w:color w:val="auto"/>
                      <w:sz w:val="21"/>
                      <w:szCs w:val="21"/>
                      <w:highlight w:val="none"/>
                      <w:lang w:val="en-US" w:eastAsia="zh-CN"/>
                    </w:rPr>
                    <w:t>665.9</w:t>
                  </w:r>
                </w:p>
                <w:p>
                  <w:pPr>
                    <w:keepNext w:val="0"/>
                    <w:keepLines w:val="0"/>
                    <w:suppressLineNumbers w:val="0"/>
                    <w:spacing w:before="0" w:beforeAutospacing="0" w:after="0" w:afterAutospacing="0"/>
                    <w:ind w:left="0" w:right="0" w:leftChars="0" w:rightChars="0"/>
                    <w:jc w:val="center"/>
                    <w:rPr>
                      <w:rFonts w:hint="eastAsia"/>
                      <w:color w:val="auto"/>
                      <w:szCs w:val="21"/>
                      <w:highlight w:val="none"/>
                    </w:rPr>
                  </w:pPr>
                  <w:r>
                    <w:rPr>
                      <w:rFonts w:hint="eastAsia"/>
                      <w:color w:val="auto"/>
                      <w:sz w:val="21"/>
                      <w:szCs w:val="21"/>
                      <w:highlight w:val="none"/>
                      <w:lang w:val="en-US" w:eastAsia="zh-CN"/>
                    </w:rPr>
                    <w:t>（现有厂区自配）</w:t>
                  </w:r>
                </w:p>
              </w:tc>
              <w:tc>
                <w:tcPr>
                  <w:tcW w:w="572" w:type="pct"/>
                  <w:vAlign w:val="center"/>
                </w:tcPr>
                <w:p>
                  <w:pPr>
                    <w:keepNext w:val="0"/>
                    <w:keepLines w:val="0"/>
                    <w:suppressLineNumbers w:val="0"/>
                    <w:spacing w:before="0" w:beforeAutospacing="0" w:after="0" w:afterAutospacing="0"/>
                    <w:ind w:left="0" w:right="0" w:leftChars="0" w:rightChars="0"/>
                    <w:jc w:val="center"/>
                    <w:rPr>
                      <w:rFonts w:hint="eastAsia"/>
                      <w:color w:val="auto"/>
                      <w:szCs w:val="21"/>
                      <w:highlight w:val="none"/>
                    </w:rPr>
                  </w:pPr>
                  <w:r>
                    <w:rPr>
                      <w:rFonts w:hint="eastAsia"/>
                      <w:color w:val="auto"/>
                      <w:sz w:val="21"/>
                      <w:szCs w:val="21"/>
                      <w:highlight w:val="none"/>
                      <w:lang w:val="en-US" w:eastAsia="zh-CN"/>
                    </w:rPr>
                    <w:t>1198.62</w:t>
                  </w:r>
                </w:p>
                <w:p>
                  <w:pPr>
                    <w:keepNext w:val="0"/>
                    <w:keepLines w:val="0"/>
                    <w:suppressLineNumbers w:val="0"/>
                    <w:spacing w:before="0" w:beforeAutospacing="0" w:after="0" w:afterAutospacing="0"/>
                    <w:ind w:left="0" w:right="0" w:leftChars="0" w:rightChars="0"/>
                    <w:jc w:val="center"/>
                    <w:rPr>
                      <w:rFonts w:hint="eastAsia"/>
                      <w:color w:val="auto"/>
                      <w:highlight w:val="none"/>
                    </w:rPr>
                  </w:pPr>
                  <w:r>
                    <w:rPr>
                      <w:rFonts w:hint="eastAsia"/>
                      <w:color w:val="auto"/>
                      <w:sz w:val="21"/>
                      <w:szCs w:val="21"/>
                      <w:highlight w:val="none"/>
                      <w:lang w:val="en-US" w:eastAsia="zh-CN"/>
                    </w:rPr>
                    <w:t>（新厂区外购）</w:t>
                  </w:r>
                </w:p>
              </w:tc>
              <w:tc>
                <w:tcPr>
                  <w:tcW w:w="712" w:type="pct"/>
                  <w:tcMar>
                    <w:top w:w="0" w:type="dxa"/>
                    <w:left w:w="57" w:type="dxa"/>
                    <w:bottom w:w="0" w:type="dxa"/>
                    <w:right w:w="57" w:type="dxa"/>
                  </w:tcMar>
                  <w:vAlign w:val="center"/>
                </w:tcPr>
                <w:p>
                  <w:pPr>
                    <w:pStyle w:val="H"/>
                    <w:keepNext w:val="0"/>
                    <w:keepLines w:val="0"/>
                    <w:suppressLineNumbers w:val="0"/>
                    <w:spacing w:before="0" w:beforeAutospacing="0" w:after="0" w:afterAutospacing="0"/>
                    <w:ind w:left="0" w:right="0"/>
                    <w:jc w:val="center"/>
                    <w:rPr>
                      <w:rFonts w:eastAsia="宋体" w:hint="eastAsia"/>
                      <w:b/>
                      <w:bCs/>
                      <w:color w:val="auto"/>
                      <w:sz w:val="21"/>
                      <w:szCs w:val="21"/>
                      <w:highlight w:val="none"/>
                      <w:lang w:val="en-US" w:eastAsia="zh-CN"/>
                    </w:rPr>
                  </w:pPr>
                  <w:r>
                    <w:rPr>
                      <w:rFonts w:hint="eastAsia"/>
                      <w:b/>
                      <w:bCs/>
                      <w:color w:val="auto"/>
                      <w:sz w:val="21"/>
                      <w:szCs w:val="21"/>
                      <w:highlight w:val="none"/>
                      <w:lang w:val="en-US" w:eastAsia="zh-CN"/>
                    </w:rPr>
                    <w:t>1864.52</w:t>
                  </w:r>
                </w:p>
              </w:tc>
              <w:tc>
                <w:tcPr>
                  <w:tcW w:w="598" w:type="pct"/>
                  <w:vAlign w:val="center"/>
                </w:tcPr>
                <w:p>
                  <w:pPr>
                    <w:pStyle w:val="H"/>
                    <w:keepNext w:val="0"/>
                    <w:keepLines w:val="0"/>
                    <w:suppressLineNumbers w:val="0"/>
                    <w:spacing w:before="0" w:beforeAutospacing="0" w:after="0" w:afterAutospacing="0"/>
                    <w:ind w:left="0" w:right="0"/>
                    <w:jc w:val="center"/>
                    <w:rPr>
                      <w:rFonts w:eastAsia="宋体" w:hint="default"/>
                      <w:b/>
                      <w:bCs/>
                      <w:color w:val="auto"/>
                      <w:sz w:val="21"/>
                      <w:szCs w:val="21"/>
                      <w:highlight w:val="none"/>
                      <w:lang w:val="en-US" w:eastAsia="zh-CN"/>
                    </w:rPr>
                  </w:pPr>
                  <w:r>
                    <w:rPr>
                      <w:rFonts w:hint="eastAsia"/>
                      <w:b/>
                      <w:bCs/>
                      <w:color w:val="auto"/>
                      <w:sz w:val="21"/>
                      <w:szCs w:val="21"/>
                      <w:highlight w:val="none"/>
                      <w:lang w:val="en-US" w:eastAsia="zh-CN"/>
                    </w:rPr>
                    <w:t>12</w:t>
                  </w:r>
                </w:p>
              </w:tc>
              <w:tc>
                <w:tcPr>
                  <w:tcW w:w="299" w:type="pct"/>
                  <w:vMerge w:val="restart"/>
                  <w:vAlign w:val="center"/>
                </w:tcPr>
                <w:p>
                  <w:pPr>
                    <w:pStyle w:val="H"/>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eastAsia"/>
                      <w:color w:val="auto"/>
                      <w:sz w:val="21"/>
                      <w:szCs w:val="21"/>
                      <w:highlight w:val="none"/>
                    </w:rPr>
                    <w:t>固态</w:t>
                  </w:r>
                </w:p>
              </w:tc>
              <w:tc>
                <w:tcPr>
                  <w:tcW w:w="378" w:type="pct"/>
                  <w:tcMar>
                    <w:top w:w="0" w:type="dxa"/>
                    <w:left w:w="57" w:type="dxa"/>
                    <w:bottom w:w="0" w:type="dxa"/>
                    <w:right w:w="57" w:type="dxa"/>
                  </w:tcMar>
                  <w:vAlign w:val="center"/>
                </w:tcPr>
                <w:p>
                  <w:pPr>
                    <w:pStyle w:val="H"/>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eastAsia"/>
                      <w:color w:val="auto"/>
                      <w:sz w:val="21"/>
                      <w:szCs w:val="21"/>
                      <w:highlight w:val="none"/>
                    </w:rPr>
                    <w:t>袋装</w:t>
                  </w:r>
                </w:p>
              </w:tc>
              <w:tc>
                <w:tcPr>
                  <w:tcW w:w="346" w:type="pct"/>
                  <w:vAlign w:val="center"/>
                </w:tcPr>
                <w:p>
                  <w:pPr>
                    <w:pStyle w:val="H"/>
                    <w:keepNext w:val="0"/>
                    <w:keepLines w:val="0"/>
                    <w:suppressLineNumbers w:val="0"/>
                    <w:spacing w:before="0" w:beforeAutospacing="0" w:after="0" w:afterAutospacing="0"/>
                    <w:ind w:left="0" w:right="0"/>
                    <w:jc w:val="center"/>
                    <w:rPr>
                      <w:rFonts w:eastAsia="宋体" w:hint="default"/>
                      <w:b/>
                      <w:bCs/>
                      <w:color w:val="auto"/>
                      <w:sz w:val="21"/>
                      <w:szCs w:val="21"/>
                      <w:highlight w:val="none"/>
                      <w:lang w:val="en-US" w:eastAsia="zh-CN"/>
                    </w:rPr>
                  </w:pPr>
                  <w:r>
                    <w:rPr>
                      <w:rFonts w:hint="eastAsia"/>
                      <w:color w:val="auto"/>
                      <w:sz w:val="21"/>
                      <w:szCs w:val="21"/>
                      <w:highlight w:val="none"/>
                    </w:rPr>
                    <w:t>扩建项目</w:t>
                  </w:r>
                  <w:r>
                    <w:rPr>
                      <w:rFonts w:hint="eastAsia"/>
                      <w:color w:val="auto"/>
                      <w:sz w:val="21"/>
                      <w:szCs w:val="21"/>
                      <w:highlight w:val="none"/>
                      <w:lang w:val="en-US" w:eastAsia="zh-CN"/>
                    </w:rPr>
                    <w:t>仓库内</w:t>
                  </w:r>
                </w:p>
              </w:tc>
              <w:tc>
                <w:tcPr>
                  <w:tcW w:w="407" w:type="pct"/>
                  <w:vAlign w:val="center"/>
                </w:tcPr>
                <w:p>
                  <w:pPr>
                    <w:pStyle w:val="H"/>
                    <w:keepNext w:val="0"/>
                    <w:keepLines w:val="0"/>
                    <w:suppressLineNumbers w:val="0"/>
                    <w:spacing w:before="0" w:beforeAutospacing="0" w:after="0" w:afterAutospacing="0"/>
                    <w:ind w:left="0" w:right="0"/>
                    <w:jc w:val="center"/>
                    <w:rPr>
                      <w:rFonts w:eastAsia="宋体" w:hint="default"/>
                      <w:b/>
                      <w:bCs/>
                      <w:color w:val="auto"/>
                      <w:sz w:val="21"/>
                      <w:szCs w:val="21"/>
                      <w:highlight w:val="none"/>
                      <w:lang w:val="en-US" w:eastAsia="zh-CN"/>
                    </w:rPr>
                  </w:pPr>
                  <w:r>
                    <w:rPr>
                      <w:rFonts w:hint="eastAsia"/>
                      <w:b/>
                      <w:bCs/>
                      <w:color w:val="auto"/>
                      <w:sz w:val="21"/>
                      <w:szCs w:val="21"/>
                      <w:highlight w:val="none"/>
                      <w:lang w:val="en-US" w:eastAsia="zh-CN"/>
                    </w:rPr>
                    <w:t>现有自配；本次扩建外购</w:t>
                  </w:r>
                </w:p>
              </w:tc>
            </w:tr>
            <w:tr>
              <w:tblPrEx>
                <w:tblW w:w="4994" w:type="pct"/>
                <w:jc w:val="center"/>
                <w:tblCellMar>
                  <w:top w:w="0" w:type="dxa"/>
                  <w:left w:w="28" w:type="dxa"/>
                  <w:bottom w:w="0" w:type="dxa"/>
                  <w:right w:w="28" w:type="dxa"/>
                </w:tblCellMar>
              </w:tblPrEx>
              <w:trPr>
                <w:trHeight w:val="338"/>
                <w:jc w:val="center"/>
              </w:trPr>
              <w:tc>
                <w:tcPr>
                  <w:tcW w:w="284" w:type="pct"/>
                  <w:vMerge w:val="restar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辅料</w:t>
                  </w:r>
                </w:p>
              </w:tc>
              <w:tc>
                <w:tcPr>
                  <w:tcW w:w="794" w:type="pct"/>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铁片</w:t>
                  </w:r>
                </w:p>
              </w:tc>
              <w:tc>
                <w:tcPr>
                  <w:tcW w:w="607" w:type="pct"/>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 w:val="21"/>
                      <w:szCs w:val="21"/>
                      <w:highlight w:val="none"/>
                    </w:rPr>
                    <w:t>780</w:t>
                  </w:r>
                  <w:r>
                    <w:rPr>
                      <w:rFonts w:hint="eastAsia"/>
                      <w:color w:val="auto"/>
                      <w:sz w:val="21"/>
                      <w:szCs w:val="21"/>
                      <w:highlight w:val="none"/>
                    </w:rPr>
                    <w:t>万片</w:t>
                  </w:r>
                </w:p>
              </w:tc>
              <w:tc>
                <w:tcPr>
                  <w:tcW w:w="572" w:type="pct"/>
                  <w:vAlign w:val="center"/>
                </w:tcPr>
                <w:p>
                  <w:pPr>
                    <w:keepNext w:val="0"/>
                    <w:keepLines w:val="0"/>
                    <w:suppressLineNumbers w:val="0"/>
                    <w:spacing w:before="0" w:beforeAutospacing="0" w:after="0" w:afterAutospacing="0"/>
                    <w:ind w:left="0" w:right="0"/>
                    <w:jc w:val="center"/>
                    <w:rPr>
                      <w:rFonts w:eastAsia="等线" w:hint="default"/>
                      <w:color w:val="auto"/>
                      <w:szCs w:val="21"/>
                      <w:highlight w:val="none"/>
                    </w:rPr>
                  </w:pPr>
                  <w:r>
                    <w:rPr>
                      <w:rFonts w:eastAsia="等线" w:hint="eastAsia"/>
                      <w:color w:val="auto"/>
                      <w:sz w:val="21"/>
                      <w:szCs w:val="21"/>
                      <w:highlight w:val="none"/>
                    </w:rPr>
                    <w:t>2160</w:t>
                  </w:r>
                  <w:r>
                    <w:rPr>
                      <w:rFonts w:hint="eastAsia"/>
                      <w:color w:val="auto"/>
                      <w:sz w:val="21"/>
                      <w:szCs w:val="21"/>
                      <w:highlight w:val="none"/>
                    </w:rPr>
                    <w:t>万片</w:t>
                  </w:r>
                </w:p>
              </w:tc>
              <w:tc>
                <w:tcPr>
                  <w:tcW w:w="712" w:type="pct"/>
                  <w:vAlign w:val="center"/>
                </w:tcPr>
                <w:p>
                  <w:pPr>
                    <w:keepNext w:val="0"/>
                    <w:keepLines w:val="0"/>
                    <w:widowControl/>
                    <w:suppressLineNumbers w:val="0"/>
                    <w:spacing w:before="0" w:beforeAutospacing="0" w:after="0" w:afterAutospacing="0"/>
                    <w:ind w:left="0" w:right="0"/>
                    <w:jc w:val="center"/>
                    <w:textAlignment w:val="center"/>
                    <w:rPr>
                      <w:rFonts w:eastAsia="等线" w:hint="default"/>
                      <w:color w:val="auto"/>
                      <w:szCs w:val="21"/>
                      <w:highlight w:val="none"/>
                    </w:rPr>
                  </w:pPr>
                  <w:r>
                    <w:rPr>
                      <w:rFonts w:hint="eastAsia"/>
                      <w:color w:val="auto"/>
                      <w:kern w:val="0"/>
                      <w:sz w:val="21"/>
                      <w:szCs w:val="21"/>
                      <w:highlight w:val="none"/>
                      <w:lang w:bidi="ar"/>
                    </w:rPr>
                    <w:t>2940</w:t>
                  </w:r>
                  <w:r>
                    <w:rPr>
                      <w:rFonts w:hint="eastAsia"/>
                      <w:color w:val="auto"/>
                      <w:sz w:val="21"/>
                      <w:szCs w:val="21"/>
                      <w:highlight w:val="none"/>
                    </w:rPr>
                    <w:t>万片</w:t>
                  </w:r>
                </w:p>
              </w:tc>
              <w:tc>
                <w:tcPr>
                  <w:tcW w:w="598" w:type="pct"/>
                  <w:vAlign w:val="center"/>
                </w:tcPr>
                <w:p>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eastAsia"/>
                      <w:color w:val="auto"/>
                      <w:kern w:val="0"/>
                      <w:sz w:val="21"/>
                      <w:szCs w:val="21"/>
                      <w:highlight w:val="none"/>
                      <w:lang w:val="en-US" w:eastAsia="zh-CN" w:bidi="ar"/>
                    </w:rPr>
                    <w:t>21</w:t>
                  </w:r>
                  <w:r>
                    <w:rPr>
                      <w:rFonts w:hint="eastAsia"/>
                      <w:color w:val="auto"/>
                      <w:kern w:val="0"/>
                      <w:sz w:val="21"/>
                      <w:szCs w:val="21"/>
                      <w:highlight w:val="none"/>
                      <w:lang w:bidi="ar"/>
                    </w:rPr>
                    <w:t>万片</w:t>
                  </w:r>
                </w:p>
              </w:tc>
              <w:tc>
                <w:tcPr>
                  <w:tcW w:w="299"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37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箱装</w:t>
                  </w:r>
                </w:p>
              </w:tc>
              <w:tc>
                <w:tcPr>
                  <w:tcW w:w="346" w:type="pct"/>
                  <w:vMerge w:val="restar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扩建项目生产车间内</w:t>
                  </w:r>
                </w:p>
              </w:tc>
              <w:tc>
                <w:tcPr>
                  <w:tcW w:w="407" w:type="pct"/>
                  <w:vMerge w:val="restart"/>
                  <w:tcBorders>
                    <w:top w:val="single" w:sz="4" w:space="0" w:color="auto"/>
                  </w:tcBorders>
                  <w:vAlign w:val="center"/>
                </w:tcPr>
                <w:p>
                  <w:pPr>
                    <w:pStyle w:val="H"/>
                    <w:keepNext w:val="0"/>
                    <w:keepLines w:val="0"/>
                    <w:suppressLineNumbers w:val="0"/>
                    <w:spacing w:before="0" w:beforeAutospacing="0" w:after="0" w:afterAutospacing="0"/>
                    <w:ind w:left="0" w:right="0"/>
                    <w:jc w:val="center"/>
                    <w:rPr>
                      <w:rFonts w:eastAsia="宋体" w:hint="default"/>
                      <w:color w:val="auto"/>
                      <w:sz w:val="21"/>
                      <w:szCs w:val="21"/>
                      <w:highlight w:val="none"/>
                      <w:lang w:val="en-US" w:eastAsia="zh-CN"/>
                    </w:rPr>
                  </w:pPr>
                  <w:r>
                    <w:rPr>
                      <w:rFonts w:hint="eastAsia"/>
                      <w:color w:val="auto"/>
                      <w:sz w:val="21"/>
                      <w:szCs w:val="21"/>
                      <w:highlight w:val="none"/>
                      <w:lang w:val="en-US" w:eastAsia="zh-CN"/>
                    </w:rPr>
                    <w:t>外购</w:t>
                  </w:r>
                </w:p>
              </w:tc>
            </w:tr>
            <w:tr>
              <w:tblPrEx>
                <w:tblW w:w="4994" w:type="pct"/>
                <w:jc w:val="center"/>
                <w:tblCellMar>
                  <w:top w:w="0" w:type="dxa"/>
                  <w:left w:w="28" w:type="dxa"/>
                  <w:bottom w:w="0" w:type="dxa"/>
                  <w:right w:w="28" w:type="dxa"/>
                </w:tblCellMar>
              </w:tblPrEx>
              <w:trPr>
                <w:trHeight w:val="338"/>
                <w:jc w:val="center"/>
              </w:trPr>
              <w:tc>
                <w:tcPr>
                  <w:tcW w:w="284"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794" w:type="pct"/>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脱脂剂-固体</w:t>
                  </w:r>
                </w:p>
              </w:tc>
              <w:tc>
                <w:tcPr>
                  <w:tcW w:w="607" w:type="pct"/>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 w:val="21"/>
                      <w:szCs w:val="21"/>
                      <w:highlight w:val="none"/>
                    </w:rPr>
                    <w:t>2.018</w:t>
                  </w:r>
                </w:p>
              </w:tc>
              <w:tc>
                <w:tcPr>
                  <w:tcW w:w="572" w:type="pct"/>
                  <w:vAlign w:val="center"/>
                </w:tcPr>
                <w:p>
                  <w:pPr>
                    <w:keepNext w:val="0"/>
                    <w:keepLines w:val="0"/>
                    <w:widowControl/>
                    <w:suppressLineNumbers w:val="0"/>
                    <w:spacing w:before="0" w:beforeAutospacing="0" w:after="0" w:afterAutospacing="0"/>
                    <w:ind w:left="0" w:right="0"/>
                    <w:jc w:val="center"/>
                    <w:textAlignment w:val="center"/>
                    <w:rPr>
                      <w:rFonts w:eastAsia="等线" w:hint="default"/>
                      <w:color w:val="auto"/>
                      <w:szCs w:val="21"/>
                      <w:highlight w:val="none"/>
                    </w:rPr>
                  </w:pPr>
                  <w:r>
                    <w:rPr>
                      <w:rFonts w:hint="default"/>
                      <w:color w:val="auto"/>
                      <w:kern w:val="0"/>
                      <w:sz w:val="21"/>
                      <w:szCs w:val="21"/>
                      <w:highlight w:val="none"/>
                      <w:lang w:bidi="ar"/>
                    </w:rPr>
                    <w:t>3.63</w:t>
                  </w:r>
                </w:p>
              </w:tc>
              <w:tc>
                <w:tcPr>
                  <w:tcW w:w="712" w:type="pct"/>
                  <w:vAlign w:val="center"/>
                </w:tcPr>
                <w:p>
                  <w:pPr>
                    <w:keepNext w:val="0"/>
                    <w:keepLines w:val="0"/>
                    <w:widowControl/>
                    <w:suppressLineNumbers w:val="0"/>
                    <w:spacing w:before="0" w:beforeAutospacing="0" w:after="0" w:afterAutospacing="0"/>
                    <w:ind w:left="0" w:right="0"/>
                    <w:jc w:val="center"/>
                    <w:textAlignment w:val="center"/>
                    <w:rPr>
                      <w:rFonts w:eastAsia="等线" w:hint="default"/>
                      <w:color w:val="auto"/>
                      <w:szCs w:val="21"/>
                      <w:highlight w:val="none"/>
                    </w:rPr>
                  </w:pPr>
                  <w:r>
                    <w:rPr>
                      <w:rFonts w:hint="default"/>
                      <w:color w:val="auto"/>
                      <w:kern w:val="0"/>
                      <w:sz w:val="21"/>
                      <w:szCs w:val="21"/>
                      <w:highlight w:val="none"/>
                      <w:lang w:bidi="ar"/>
                    </w:rPr>
                    <w:t>5.65</w:t>
                  </w:r>
                </w:p>
              </w:tc>
              <w:tc>
                <w:tcPr>
                  <w:tcW w:w="598" w:type="pct"/>
                  <w:vAlign w:val="center"/>
                </w:tcPr>
                <w:p>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eastAsia"/>
                      <w:color w:val="auto"/>
                      <w:kern w:val="0"/>
                      <w:sz w:val="21"/>
                      <w:szCs w:val="21"/>
                      <w:highlight w:val="none"/>
                      <w:lang w:bidi="ar"/>
                    </w:rPr>
                    <w:t>0.1</w:t>
                  </w:r>
                </w:p>
              </w:tc>
              <w:tc>
                <w:tcPr>
                  <w:tcW w:w="299" w:type="pct"/>
                  <w:vMerge/>
                  <w:tcBorders>
                    <w:bottom w:val="single" w:sz="4" w:space="0" w:color="auto"/>
                  </w:tcBorders>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37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袋装</w:t>
                  </w:r>
                </w:p>
              </w:tc>
              <w:tc>
                <w:tcPr>
                  <w:tcW w:w="346"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407"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28" w:type="dxa"/>
                  <w:bottom w:w="0" w:type="dxa"/>
                  <w:right w:w="28" w:type="dxa"/>
                </w:tblCellMar>
              </w:tblPrEx>
              <w:trPr>
                <w:trHeight w:val="338"/>
                <w:jc w:val="center"/>
              </w:trPr>
              <w:tc>
                <w:tcPr>
                  <w:tcW w:w="284"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794" w:type="pct"/>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脱脂剂-液体</w:t>
                  </w:r>
                </w:p>
              </w:tc>
              <w:tc>
                <w:tcPr>
                  <w:tcW w:w="607" w:type="pct"/>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 w:val="21"/>
                      <w:szCs w:val="21"/>
                      <w:highlight w:val="none"/>
                    </w:rPr>
                    <w:t>10.38</w:t>
                  </w:r>
                </w:p>
              </w:tc>
              <w:tc>
                <w:tcPr>
                  <w:tcW w:w="572" w:type="pct"/>
                  <w:vAlign w:val="center"/>
                </w:tcPr>
                <w:p>
                  <w:pPr>
                    <w:keepNext w:val="0"/>
                    <w:keepLines w:val="0"/>
                    <w:widowControl/>
                    <w:suppressLineNumbers w:val="0"/>
                    <w:spacing w:before="0" w:beforeAutospacing="0" w:after="0" w:afterAutospacing="0"/>
                    <w:ind w:left="0" w:right="0"/>
                    <w:jc w:val="center"/>
                    <w:textAlignment w:val="center"/>
                    <w:rPr>
                      <w:rFonts w:eastAsia="等线" w:hint="default"/>
                      <w:color w:val="auto"/>
                      <w:szCs w:val="21"/>
                      <w:highlight w:val="none"/>
                    </w:rPr>
                  </w:pPr>
                  <w:r>
                    <w:rPr>
                      <w:rFonts w:hint="default"/>
                      <w:color w:val="auto"/>
                      <w:kern w:val="0"/>
                      <w:sz w:val="21"/>
                      <w:szCs w:val="21"/>
                      <w:highlight w:val="none"/>
                      <w:lang w:bidi="ar"/>
                    </w:rPr>
                    <w:t>18.68</w:t>
                  </w:r>
                </w:p>
              </w:tc>
              <w:tc>
                <w:tcPr>
                  <w:tcW w:w="712" w:type="pct"/>
                  <w:vAlign w:val="center"/>
                </w:tcPr>
                <w:p>
                  <w:pPr>
                    <w:keepNext w:val="0"/>
                    <w:keepLines w:val="0"/>
                    <w:widowControl/>
                    <w:suppressLineNumbers w:val="0"/>
                    <w:spacing w:before="0" w:beforeAutospacing="0" w:after="0" w:afterAutospacing="0"/>
                    <w:ind w:left="0" w:right="0"/>
                    <w:jc w:val="center"/>
                    <w:textAlignment w:val="center"/>
                    <w:rPr>
                      <w:rFonts w:eastAsia="等线" w:hint="default"/>
                      <w:color w:val="auto"/>
                      <w:szCs w:val="21"/>
                      <w:highlight w:val="none"/>
                    </w:rPr>
                  </w:pPr>
                  <w:r>
                    <w:rPr>
                      <w:rFonts w:hint="default"/>
                      <w:color w:val="auto"/>
                      <w:kern w:val="0"/>
                      <w:sz w:val="21"/>
                      <w:szCs w:val="21"/>
                      <w:highlight w:val="none"/>
                      <w:lang w:bidi="ar"/>
                    </w:rPr>
                    <w:t>29.06</w:t>
                  </w:r>
                </w:p>
              </w:tc>
              <w:tc>
                <w:tcPr>
                  <w:tcW w:w="598" w:type="pct"/>
                  <w:vAlign w:val="center"/>
                </w:tcPr>
                <w:p>
                  <w:pPr>
                    <w:keepNext w:val="0"/>
                    <w:keepLines w:val="0"/>
                    <w:widowControl/>
                    <w:suppressLineNumbers w:val="0"/>
                    <w:spacing w:before="0" w:beforeAutospacing="0" w:after="0" w:afterAutospacing="0"/>
                    <w:ind w:left="0" w:right="0"/>
                    <w:jc w:val="center"/>
                    <w:textAlignment w:val="center"/>
                    <w:rPr>
                      <w:rFonts w:hint="eastAsia"/>
                      <w:color w:val="auto"/>
                      <w:kern w:val="0"/>
                      <w:szCs w:val="21"/>
                      <w:highlight w:val="none"/>
                      <w:lang w:bidi="ar"/>
                    </w:rPr>
                  </w:pPr>
                  <w:r>
                    <w:rPr>
                      <w:rFonts w:hint="eastAsia"/>
                      <w:color w:val="auto"/>
                      <w:kern w:val="0"/>
                      <w:sz w:val="21"/>
                      <w:szCs w:val="21"/>
                      <w:highlight w:val="none"/>
                      <w:lang w:bidi="ar"/>
                    </w:rPr>
                    <w:t>0.</w:t>
                  </w:r>
                  <w:r>
                    <w:rPr>
                      <w:rFonts w:hint="eastAsia"/>
                      <w:color w:val="auto"/>
                      <w:kern w:val="0"/>
                      <w:sz w:val="21"/>
                      <w:szCs w:val="21"/>
                      <w:highlight w:val="none"/>
                      <w:lang w:val="en-US" w:eastAsia="zh-CN" w:bidi="ar"/>
                    </w:rPr>
                    <w:t>4</w:t>
                  </w:r>
                </w:p>
              </w:tc>
              <w:tc>
                <w:tcPr>
                  <w:tcW w:w="299" w:type="pct"/>
                  <w:vMerge w:val="restart"/>
                  <w:tcBorders>
                    <w:top w:val="single" w:sz="4" w:space="0" w:color="auto"/>
                    <w:bottom w:val="single" w:sz="4" w:space="0" w:color="auto"/>
                  </w:tcBorders>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液态</w:t>
                  </w:r>
                </w:p>
              </w:tc>
              <w:tc>
                <w:tcPr>
                  <w:tcW w:w="37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桶装</w:t>
                  </w:r>
                </w:p>
              </w:tc>
              <w:tc>
                <w:tcPr>
                  <w:tcW w:w="346"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407"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28" w:type="dxa"/>
                  <w:bottom w:w="0" w:type="dxa"/>
                  <w:right w:w="28" w:type="dxa"/>
                </w:tblCellMar>
              </w:tblPrEx>
              <w:trPr>
                <w:trHeight w:val="338"/>
                <w:jc w:val="center"/>
              </w:trPr>
              <w:tc>
                <w:tcPr>
                  <w:tcW w:w="284"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794" w:type="pct"/>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胶黏剂</w:t>
                  </w:r>
                </w:p>
              </w:tc>
              <w:tc>
                <w:tcPr>
                  <w:tcW w:w="607" w:type="pct"/>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 w:val="21"/>
                      <w:szCs w:val="21"/>
                      <w:highlight w:val="none"/>
                    </w:rPr>
                    <w:t>9.208</w:t>
                  </w:r>
                </w:p>
              </w:tc>
              <w:tc>
                <w:tcPr>
                  <w:tcW w:w="572" w:type="pct"/>
                  <w:vAlign w:val="center"/>
                </w:tcPr>
                <w:p>
                  <w:pPr>
                    <w:keepNext w:val="0"/>
                    <w:keepLines w:val="0"/>
                    <w:widowControl/>
                    <w:suppressLineNumbers w:val="0"/>
                    <w:spacing w:before="0" w:beforeAutospacing="0" w:after="0" w:afterAutospacing="0"/>
                    <w:ind w:left="0" w:right="0"/>
                    <w:jc w:val="center"/>
                    <w:textAlignment w:val="center"/>
                    <w:rPr>
                      <w:rFonts w:hint="eastAsia"/>
                      <w:color w:val="auto"/>
                      <w:szCs w:val="21"/>
                      <w:highlight w:val="none"/>
                    </w:rPr>
                  </w:pPr>
                  <w:r>
                    <w:rPr>
                      <w:rFonts w:hint="eastAsia"/>
                      <w:color w:val="auto"/>
                      <w:kern w:val="0"/>
                      <w:sz w:val="21"/>
                      <w:szCs w:val="21"/>
                      <w:highlight w:val="none"/>
                      <w:lang w:val="en-US" w:eastAsia="zh-CN" w:bidi="ar"/>
                    </w:rPr>
                    <w:t>11.17</w:t>
                  </w:r>
                </w:p>
              </w:tc>
              <w:tc>
                <w:tcPr>
                  <w:tcW w:w="712" w:type="pct"/>
                  <w:vAlign w:val="center"/>
                </w:tcPr>
                <w:p>
                  <w:pPr>
                    <w:keepNext w:val="0"/>
                    <w:keepLines w:val="0"/>
                    <w:widowControl/>
                    <w:suppressLineNumbers w:val="0"/>
                    <w:spacing w:before="0" w:beforeAutospacing="0" w:after="0" w:afterAutospacing="0"/>
                    <w:ind w:left="0" w:right="0"/>
                    <w:jc w:val="center"/>
                    <w:textAlignment w:val="center"/>
                    <w:rPr>
                      <w:rFonts w:eastAsia="等线" w:hint="default"/>
                      <w:color w:val="auto"/>
                      <w:szCs w:val="21"/>
                      <w:highlight w:val="none"/>
                    </w:rPr>
                  </w:pPr>
                  <w:r>
                    <w:rPr>
                      <w:rFonts w:eastAsia="等线" w:hint="eastAsia"/>
                      <w:color w:val="auto"/>
                      <w:kern w:val="0"/>
                      <w:sz w:val="21"/>
                      <w:szCs w:val="21"/>
                      <w:highlight w:val="none"/>
                      <w:lang w:val="en-US" w:eastAsia="zh-CN" w:bidi="ar"/>
                    </w:rPr>
                    <w:t>20.38</w:t>
                  </w:r>
                </w:p>
              </w:tc>
              <w:tc>
                <w:tcPr>
                  <w:tcW w:w="598" w:type="pct"/>
                  <w:vAlign w:val="center"/>
                </w:tcPr>
                <w:p>
                  <w:pPr>
                    <w:keepNext w:val="0"/>
                    <w:keepLines w:val="0"/>
                    <w:widowControl/>
                    <w:suppressLineNumbers w:val="0"/>
                    <w:spacing w:before="0" w:beforeAutospacing="0" w:after="0" w:afterAutospacing="0"/>
                    <w:ind w:left="0" w:right="0"/>
                    <w:jc w:val="center"/>
                    <w:textAlignment w:val="center"/>
                    <w:rPr>
                      <w:rFonts w:hint="eastAsia"/>
                      <w:color w:val="auto"/>
                      <w:kern w:val="0"/>
                      <w:szCs w:val="21"/>
                      <w:highlight w:val="none"/>
                      <w:lang w:bidi="ar"/>
                    </w:rPr>
                  </w:pPr>
                  <w:r>
                    <w:rPr>
                      <w:rFonts w:hint="eastAsia"/>
                      <w:color w:val="auto"/>
                      <w:kern w:val="0"/>
                      <w:sz w:val="21"/>
                      <w:szCs w:val="21"/>
                      <w:highlight w:val="none"/>
                      <w:lang w:bidi="ar"/>
                    </w:rPr>
                    <w:t>0.</w:t>
                  </w:r>
                  <w:r>
                    <w:rPr>
                      <w:rFonts w:hint="eastAsia"/>
                      <w:color w:val="auto"/>
                      <w:kern w:val="0"/>
                      <w:sz w:val="21"/>
                      <w:szCs w:val="21"/>
                      <w:highlight w:val="none"/>
                      <w:lang w:val="en-US" w:eastAsia="zh-CN" w:bidi="ar"/>
                    </w:rPr>
                    <w:t>5</w:t>
                  </w:r>
                </w:p>
              </w:tc>
              <w:tc>
                <w:tcPr>
                  <w:tcW w:w="299" w:type="pct"/>
                  <w:vMerge/>
                  <w:tcBorders>
                    <w:top w:val="single" w:sz="4" w:space="0" w:color="auto"/>
                    <w:bottom w:val="single" w:sz="4" w:space="0" w:color="auto"/>
                  </w:tcBorders>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378" w:type="pct"/>
                  <w:vMerge w:val="restar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罐装</w:t>
                  </w:r>
                </w:p>
              </w:tc>
              <w:tc>
                <w:tcPr>
                  <w:tcW w:w="346"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407"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28" w:type="dxa"/>
                  <w:bottom w:w="0" w:type="dxa"/>
                  <w:right w:w="28" w:type="dxa"/>
                </w:tblCellMar>
              </w:tblPrEx>
              <w:trPr>
                <w:trHeight w:val="338"/>
                <w:jc w:val="center"/>
              </w:trPr>
              <w:tc>
                <w:tcPr>
                  <w:tcW w:w="284"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794" w:type="pct"/>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烤漆</w:t>
                  </w:r>
                </w:p>
              </w:tc>
              <w:tc>
                <w:tcPr>
                  <w:tcW w:w="607" w:type="pct"/>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 w:val="21"/>
                      <w:szCs w:val="21"/>
                      <w:highlight w:val="none"/>
                    </w:rPr>
                    <w:t>11.63</w:t>
                  </w:r>
                </w:p>
              </w:tc>
              <w:tc>
                <w:tcPr>
                  <w:tcW w:w="572" w:type="pct"/>
                  <w:vAlign w:val="center"/>
                </w:tcPr>
                <w:p>
                  <w:pPr>
                    <w:keepNext w:val="0"/>
                    <w:keepLines w:val="0"/>
                    <w:suppressLineNumbers w:val="0"/>
                    <w:spacing w:before="0" w:beforeAutospacing="0" w:after="0" w:afterAutospacing="0"/>
                    <w:ind w:left="0" w:right="0"/>
                    <w:jc w:val="center"/>
                    <w:rPr>
                      <w:rFonts w:eastAsia="等线" w:hint="default"/>
                      <w:color w:val="auto"/>
                      <w:szCs w:val="21"/>
                      <w:highlight w:val="none"/>
                    </w:rPr>
                  </w:pPr>
                  <w:r>
                    <w:rPr>
                      <w:rFonts w:eastAsia="等线" w:hint="eastAsia"/>
                      <w:color w:val="auto"/>
                      <w:sz w:val="21"/>
                      <w:szCs w:val="21"/>
                      <w:highlight w:val="none"/>
                    </w:rPr>
                    <w:t>/</w:t>
                  </w:r>
                </w:p>
              </w:tc>
              <w:tc>
                <w:tcPr>
                  <w:tcW w:w="712" w:type="pct"/>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 w:val="21"/>
                      <w:szCs w:val="21"/>
                      <w:highlight w:val="none"/>
                    </w:rPr>
                    <w:t>11.63</w:t>
                  </w:r>
                </w:p>
              </w:tc>
              <w:tc>
                <w:tcPr>
                  <w:tcW w:w="598" w:type="pct"/>
                  <w:vAlign w:val="center"/>
                </w:tcPr>
                <w:p>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eastAsia"/>
                      <w:color w:val="auto"/>
                      <w:kern w:val="0"/>
                      <w:sz w:val="21"/>
                      <w:szCs w:val="21"/>
                      <w:highlight w:val="none"/>
                      <w:lang w:bidi="ar"/>
                    </w:rPr>
                    <w:t>/</w:t>
                  </w:r>
                </w:p>
              </w:tc>
              <w:tc>
                <w:tcPr>
                  <w:tcW w:w="299" w:type="pct"/>
                  <w:vMerge/>
                  <w:tcBorders>
                    <w:top w:val="single" w:sz="4" w:space="0" w:color="auto"/>
                    <w:bottom w:val="single" w:sz="4" w:space="0" w:color="auto"/>
                  </w:tcBorders>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378"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346"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407"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28" w:type="dxa"/>
                  <w:bottom w:w="0" w:type="dxa"/>
                  <w:right w:w="28" w:type="dxa"/>
                </w:tblCellMar>
              </w:tblPrEx>
              <w:trPr>
                <w:trHeight w:val="338"/>
                <w:jc w:val="center"/>
              </w:trPr>
              <w:tc>
                <w:tcPr>
                  <w:tcW w:w="284"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794" w:type="pct"/>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油墨</w:t>
                  </w:r>
                </w:p>
              </w:tc>
              <w:tc>
                <w:tcPr>
                  <w:tcW w:w="607" w:type="pct"/>
                  <w:vAlign w:val="center"/>
                </w:tcPr>
                <w:p>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color w:val="auto"/>
                      <w:kern w:val="0"/>
                      <w:sz w:val="21"/>
                      <w:szCs w:val="21"/>
                      <w:highlight w:val="none"/>
                      <w:lang w:bidi="ar"/>
                    </w:rPr>
                    <w:t>0.0146</w:t>
                  </w:r>
                </w:p>
              </w:tc>
              <w:tc>
                <w:tcPr>
                  <w:tcW w:w="572" w:type="pct"/>
                  <w:vAlign w:val="center"/>
                </w:tcPr>
                <w:p>
                  <w:pPr>
                    <w:keepNext w:val="0"/>
                    <w:keepLines w:val="0"/>
                    <w:widowControl/>
                    <w:suppressLineNumbers w:val="0"/>
                    <w:spacing w:before="0" w:beforeAutospacing="0" w:after="0" w:afterAutospacing="0"/>
                    <w:ind w:left="0" w:right="0"/>
                    <w:jc w:val="center"/>
                    <w:textAlignment w:val="center"/>
                    <w:rPr>
                      <w:rFonts w:eastAsia="等线" w:hint="default"/>
                      <w:color w:val="auto"/>
                      <w:szCs w:val="21"/>
                      <w:highlight w:val="none"/>
                    </w:rPr>
                  </w:pPr>
                  <w:r>
                    <w:rPr>
                      <w:rFonts w:hint="default"/>
                      <w:color w:val="auto"/>
                      <w:kern w:val="0"/>
                      <w:sz w:val="21"/>
                      <w:szCs w:val="21"/>
                      <w:highlight w:val="none"/>
                      <w:lang w:bidi="ar"/>
                    </w:rPr>
                    <w:t>0.0263</w:t>
                  </w:r>
                </w:p>
              </w:tc>
              <w:tc>
                <w:tcPr>
                  <w:tcW w:w="712" w:type="pct"/>
                  <w:vAlign w:val="center"/>
                </w:tcPr>
                <w:p>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color w:val="auto"/>
                      <w:kern w:val="0"/>
                      <w:sz w:val="21"/>
                      <w:szCs w:val="21"/>
                      <w:highlight w:val="none"/>
                      <w:lang w:bidi="ar"/>
                    </w:rPr>
                    <w:t>0.0409</w:t>
                  </w:r>
                </w:p>
              </w:tc>
              <w:tc>
                <w:tcPr>
                  <w:tcW w:w="598" w:type="pct"/>
                  <w:vAlign w:val="center"/>
                </w:tcPr>
                <w:p>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eastAsia"/>
                      <w:color w:val="auto"/>
                      <w:kern w:val="0"/>
                      <w:sz w:val="21"/>
                      <w:szCs w:val="21"/>
                      <w:highlight w:val="none"/>
                      <w:lang w:bidi="ar"/>
                    </w:rPr>
                    <w:t>0.002</w:t>
                  </w:r>
                </w:p>
              </w:tc>
              <w:tc>
                <w:tcPr>
                  <w:tcW w:w="299" w:type="pct"/>
                  <w:vMerge/>
                  <w:tcBorders>
                    <w:top w:val="single" w:sz="4" w:space="0" w:color="auto"/>
                    <w:bottom w:val="single" w:sz="4" w:space="0" w:color="auto"/>
                  </w:tcBorders>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378"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346"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407"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28" w:type="dxa"/>
                  <w:bottom w:w="0" w:type="dxa"/>
                  <w:right w:w="28" w:type="dxa"/>
                </w:tblCellMar>
              </w:tblPrEx>
              <w:trPr>
                <w:trHeight w:val="338"/>
                <w:jc w:val="center"/>
              </w:trPr>
              <w:tc>
                <w:tcPr>
                  <w:tcW w:w="284"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794" w:type="pct"/>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粉体</w:t>
                  </w:r>
                </w:p>
              </w:tc>
              <w:tc>
                <w:tcPr>
                  <w:tcW w:w="607" w:type="pct"/>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w:t>
                  </w:r>
                </w:p>
              </w:tc>
              <w:tc>
                <w:tcPr>
                  <w:tcW w:w="572" w:type="pct"/>
                  <w:vAlign w:val="center"/>
                </w:tcPr>
                <w:p>
                  <w:pPr>
                    <w:keepNext w:val="0"/>
                    <w:keepLines w:val="0"/>
                    <w:suppressLineNumbers w:val="0"/>
                    <w:spacing w:before="0" w:beforeAutospacing="0" w:after="0" w:afterAutospacing="0"/>
                    <w:ind w:left="0" w:right="0"/>
                    <w:jc w:val="center"/>
                    <w:rPr>
                      <w:rFonts w:eastAsia="等线" w:hint="default"/>
                      <w:color w:val="auto"/>
                      <w:szCs w:val="21"/>
                      <w:highlight w:val="none"/>
                    </w:rPr>
                  </w:pPr>
                  <w:r>
                    <w:rPr>
                      <w:rFonts w:hint="eastAsia"/>
                      <w:color w:val="auto"/>
                      <w:sz w:val="21"/>
                      <w:szCs w:val="21"/>
                      <w:highlight w:val="none"/>
                    </w:rPr>
                    <w:t>21</w:t>
                  </w:r>
                </w:p>
              </w:tc>
              <w:tc>
                <w:tcPr>
                  <w:tcW w:w="712" w:type="pct"/>
                  <w:vAlign w:val="center"/>
                </w:tcPr>
                <w:p>
                  <w:pPr>
                    <w:keepNext w:val="0"/>
                    <w:keepLines w:val="0"/>
                    <w:suppressLineNumbers w:val="0"/>
                    <w:spacing w:before="0" w:beforeAutospacing="0" w:after="0" w:afterAutospacing="0"/>
                    <w:ind w:left="0" w:right="0"/>
                    <w:jc w:val="center"/>
                    <w:rPr>
                      <w:rFonts w:eastAsia="等线" w:hint="default"/>
                      <w:color w:val="auto"/>
                      <w:szCs w:val="21"/>
                      <w:highlight w:val="none"/>
                    </w:rPr>
                  </w:pPr>
                  <w:r>
                    <w:rPr>
                      <w:rFonts w:eastAsia="等线" w:hint="eastAsia"/>
                      <w:color w:val="auto"/>
                      <w:sz w:val="21"/>
                      <w:szCs w:val="21"/>
                      <w:highlight w:val="none"/>
                    </w:rPr>
                    <w:t>21</w:t>
                  </w:r>
                </w:p>
              </w:tc>
              <w:tc>
                <w:tcPr>
                  <w:tcW w:w="598" w:type="pct"/>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 w:val="21"/>
                      <w:szCs w:val="21"/>
                      <w:highlight w:val="none"/>
                    </w:rPr>
                    <w:t>0.6</w:t>
                  </w:r>
                </w:p>
              </w:tc>
              <w:tc>
                <w:tcPr>
                  <w:tcW w:w="299" w:type="pct"/>
                  <w:tcBorders>
                    <w:top w:val="single" w:sz="4" w:space="0" w:color="auto"/>
                  </w:tcBorders>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固</w:t>
                  </w:r>
                </w:p>
              </w:tc>
              <w:tc>
                <w:tcPr>
                  <w:tcW w:w="37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袋装</w:t>
                  </w:r>
                </w:p>
              </w:tc>
              <w:tc>
                <w:tcPr>
                  <w:tcW w:w="346"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407"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r>
            <w:tr>
              <w:tblPrEx>
                <w:tblW w:w="4994" w:type="pct"/>
                <w:jc w:val="center"/>
                <w:tblCellMar>
                  <w:top w:w="0" w:type="dxa"/>
                  <w:left w:w="28" w:type="dxa"/>
                  <w:bottom w:w="0" w:type="dxa"/>
                  <w:right w:w="28" w:type="dxa"/>
                </w:tblCellMar>
              </w:tblPrEx>
              <w:trPr>
                <w:trHeight w:val="338"/>
                <w:jc w:val="center"/>
              </w:trPr>
              <w:tc>
                <w:tcPr>
                  <w:tcW w:w="284" w:type="pct"/>
                  <w:vMerge w:val="restar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资</w:t>
                  </w:r>
                  <w:r>
                    <w:rPr>
                      <w:rFonts w:hint="eastAsia"/>
                      <w:color w:val="auto"/>
                      <w:sz w:val="21"/>
                      <w:szCs w:val="21"/>
                      <w:highlight w:val="none"/>
                    </w:rPr>
                    <w:t>源、</w:t>
                  </w:r>
                  <w:r>
                    <w:rPr>
                      <w:rFonts w:hint="default"/>
                      <w:color w:val="auto"/>
                      <w:sz w:val="21"/>
                      <w:szCs w:val="21"/>
                      <w:highlight w:val="none"/>
                    </w:rPr>
                    <w:t>能源</w:t>
                  </w:r>
                </w:p>
              </w:tc>
              <w:tc>
                <w:tcPr>
                  <w:tcW w:w="794"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水</w:t>
                  </w:r>
                  <w:r>
                    <w:rPr>
                      <w:rFonts w:hint="eastAsia"/>
                      <w:color w:val="auto"/>
                      <w:sz w:val="21"/>
                      <w:szCs w:val="21"/>
                      <w:highlight w:val="none"/>
                    </w:rPr>
                    <w:t>（t/a）</w:t>
                  </w:r>
                </w:p>
              </w:tc>
              <w:tc>
                <w:tcPr>
                  <w:tcW w:w="607" w:type="pct"/>
                  <w:vAlign w:val="center"/>
                </w:tcPr>
                <w:p>
                  <w:pPr>
                    <w:keepNext w:val="0"/>
                    <w:keepLines w:val="0"/>
                    <w:suppressLineNumbers w:val="0"/>
                    <w:spacing w:before="0" w:beforeAutospacing="0" w:after="0" w:afterAutospacing="0"/>
                    <w:ind w:left="0" w:right="0"/>
                    <w:jc w:val="center"/>
                    <w:rPr>
                      <w:rFonts w:eastAsia="等线" w:hint="default"/>
                      <w:color w:val="auto"/>
                      <w:szCs w:val="21"/>
                      <w:highlight w:val="none"/>
                    </w:rPr>
                  </w:pPr>
                  <w:r>
                    <w:rPr>
                      <w:rFonts w:eastAsia="等线" w:hint="eastAsia"/>
                      <w:color w:val="auto"/>
                      <w:sz w:val="21"/>
                      <w:szCs w:val="21"/>
                      <w:highlight w:val="none"/>
                    </w:rPr>
                    <w:t>7920</w:t>
                  </w:r>
                </w:p>
              </w:tc>
              <w:tc>
                <w:tcPr>
                  <w:tcW w:w="572" w:type="pct"/>
                  <w:vAlign w:val="center"/>
                </w:tcPr>
                <w:p>
                  <w:pPr>
                    <w:keepNext w:val="0"/>
                    <w:keepLines w:val="0"/>
                    <w:suppressLineNumbers w:val="0"/>
                    <w:spacing w:before="0" w:beforeAutospacing="0" w:after="0" w:afterAutospacing="0"/>
                    <w:ind w:left="0" w:right="0"/>
                    <w:jc w:val="center"/>
                    <w:rPr>
                      <w:rFonts w:eastAsia="等线" w:hint="default"/>
                      <w:color w:val="auto"/>
                      <w:szCs w:val="21"/>
                      <w:highlight w:val="none"/>
                    </w:rPr>
                  </w:pPr>
                  <w:r>
                    <w:rPr>
                      <w:rFonts w:eastAsia="等线" w:hint="eastAsia"/>
                      <w:color w:val="auto"/>
                      <w:sz w:val="21"/>
                      <w:szCs w:val="21"/>
                      <w:highlight w:val="none"/>
                      <w:lang w:val="en-US" w:eastAsia="zh-CN"/>
                    </w:rPr>
                    <w:t>15665.4</w:t>
                  </w:r>
                </w:p>
              </w:tc>
              <w:tc>
                <w:tcPr>
                  <w:tcW w:w="712" w:type="pct"/>
                  <w:vAlign w:val="center"/>
                </w:tcPr>
                <w:p>
                  <w:pPr>
                    <w:pStyle w:val="H"/>
                    <w:keepNext w:val="0"/>
                    <w:keepLines w:val="0"/>
                    <w:suppressLineNumbers w:val="0"/>
                    <w:spacing w:before="0" w:beforeAutospacing="0" w:after="0" w:afterAutospacing="0"/>
                    <w:ind w:left="0" w:right="0"/>
                    <w:jc w:val="center"/>
                    <w:rPr>
                      <w:rFonts w:eastAsia="宋体" w:hint="default"/>
                      <w:color w:val="auto"/>
                      <w:sz w:val="21"/>
                      <w:szCs w:val="21"/>
                      <w:highlight w:val="none"/>
                      <w:lang w:val="en-US" w:eastAsia="zh-CN"/>
                    </w:rPr>
                  </w:pPr>
                  <w:r>
                    <w:rPr>
                      <w:rFonts w:hint="eastAsia"/>
                      <w:color w:val="auto"/>
                      <w:sz w:val="21"/>
                      <w:szCs w:val="21"/>
                      <w:highlight w:val="none"/>
                      <w:lang w:val="en-US" w:eastAsia="zh-CN"/>
                    </w:rPr>
                    <w:t>23585.4</w:t>
                  </w:r>
                </w:p>
              </w:tc>
              <w:tc>
                <w:tcPr>
                  <w:tcW w:w="59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w:t>
                  </w:r>
                </w:p>
              </w:tc>
              <w:tc>
                <w:tcPr>
                  <w:tcW w:w="299"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w:t>
                  </w:r>
                </w:p>
              </w:tc>
              <w:tc>
                <w:tcPr>
                  <w:tcW w:w="37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w:t>
                  </w:r>
                </w:p>
              </w:tc>
              <w:tc>
                <w:tcPr>
                  <w:tcW w:w="346"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w:t>
                  </w:r>
                </w:p>
              </w:tc>
              <w:tc>
                <w:tcPr>
                  <w:tcW w:w="407"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供水管网</w:t>
                  </w:r>
                </w:p>
              </w:tc>
            </w:tr>
            <w:tr>
              <w:tblPrEx>
                <w:tblW w:w="4994" w:type="pct"/>
                <w:jc w:val="center"/>
                <w:tblCellMar>
                  <w:top w:w="0" w:type="dxa"/>
                  <w:left w:w="28" w:type="dxa"/>
                  <w:bottom w:w="0" w:type="dxa"/>
                  <w:right w:w="28" w:type="dxa"/>
                </w:tblCellMar>
              </w:tblPrEx>
              <w:trPr>
                <w:trHeight w:val="338"/>
                <w:jc w:val="center"/>
              </w:trPr>
              <w:tc>
                <w:tcPr>
                  <w:tcW w:w="284" w:type="pct"/>
                  <w:vMerge/>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794"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电（万kwh）</w:t>
                  </w:r>
                </w:p>
              </w:tc>
              <w:tc>
                <w:tcPr>
                  <w:tcW w:w="607" w:type="pct"/>
                  <w:vAlign w:val="center"/>
                </w:tcPr>
                <w:p>
                  <w:pPr>
                    <w:keepNext w:val="0"/>
                    <w:keepLines w:val="0"/>
                    <w:suppressLineNumbers w:val="0"/>
                    <w:spacing w:before="0" w:beforeAutospacing="0" w:after="0" w:afterAutospacing="0"/>
                    <w:ind w:left="0" w:right="0"/>
                    <w:jc w:val="center"/>
                    <w:rPr>
                      <w:rFonts w:eastAsia="等线" w:hint="default"/>
                      <w:color w:val="auto"/>
                      <w:szCs w:val="21"/>
                      <w:highlight w:val="none"/>
                    </w:rPr>
                  </w:pPr>
                  <w:r>
                    <w:rPr>
                      <w:rFonts w:eastAsia="等线" w:hint="eastAsia"/>
                      <w:color w:val="auto"/>
                      <w:sz w:val="21"/>
                      <w:szCs w:val="21"/>
                      <w:highlight w:val="none"/>
                    </w:rPr>
                    <w:t>750</w:t>
                  </w:r>
                </w:p>
              </w:tc>
              <w:tc>
                <w:tcPr>
                  <w:tcW w:w="572" w:type="pct"/>
                  <w:vAlign w:val="center"/>
                </w:tcPr>
                <w:p>
                  <w:pPr>
                    <w:keepNext w:val="0"/>
                    <w:keepLines w:val="0"/>
                    <w:suppressLineNumbers w:val="0"/>
                    <w:spacing w:before="0" w:beforeAutospacing="0" w:after="0" w:afterAutospacing="0"/>
                    <w:ind w:left="0" w:right="0"/>
                    <w:jc w:val="center"/>
                    <w:rPr>
                      <w:rFonts w:eastAsia="等线" w:hint="default"/>
                      <w:color w:val="auto"/>
                      <w:szCs w:val="21"/>
                      <w:highlight w:val="none"/>
                    </w:rPr>
                  </w:pPr>
                  <w:r>
                    <w:rPr>
                      <w:rFonts w:eastAsia="等线" w:hint="eastAsia"/>
                      <w:color w:val="auto"/>
                      <w:sz w:val="21"/>
                      <w:szCs w:val="21"/>
                      <w:highlight w:val="none"/>
                    </w:rPr>
                    <w:t>445</w:t>
                  </w:r>
                </w:p>
              </w:tc>
              <w:tc>
                <w:tcPr>
                  <w:tcW w:w="712" w:type="pct"/>
                  <w:vAlign w:val="center"/>
                </w:tcPr>
                <w:p>
                  <w:pPr>
                    <w:keepNext w:val="0"/>
                    <w:keepLines w:val="0"/>
                    <w:suppressLineNumbers w:val="0"/>
                    <w:spacing w:before="0" w:beforeAutospacing="0" w:after="0" w:afterAutospacing="0"/>
                    <w:ind w:left="0" w:right="0"/>
                    <w:jc w:val="center"/>
                    <w:rPr>
                      <w:rFonts w:eastAsia="等线" w:hint="default"/>
                      <w:color w:val="auto"/>
                      <w:szCs w:val="21"/>
                      <w:highlight w:val="none"/>
                    </w:rPr>
                  </w:pPr>
                  <w:r>
                    <w:rPr>
                      <w:rFonts w:eastAsia="等线" w:hint="eastAsia"/>
                      <w:color w:val="auto"/>
                      <w:sz w:val="21"/>
                      <w:szCs w:val="21"/>
                      <w:highlight w:val="none"/>
                    </w:rPr>
                    <w:t>1190</w:t>
                  </w:r>
                </w:p>
              </w:tc>
              <w:tc>
                <w:tcPr>
                  <w:tcW w:w="59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w:t>
                  </w:r>
                </w:p>
              </w:tc>
              <w:tc>
                <w:tcPr>
                  <w:tcW w:w="299"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w:t>
                  </w:r>
                </w:p>
              </w:tc>
              <w:tc>
                <w:tcPr>
                  <w:tcW w:w="378"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w:t>
                  </w:r>
                </w:p>
              </w:tc>
              <w:tc>
                <w:tcPr>
                  <w:tcW w:w="346"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w:t>
                  </w:r>
                </w:p>
              </w:tc>
              <w:tc>
                <w:tcPr>
                  <w:tcW w:w="407" w:type="pct"/>
                  <w:vAlign w:val="center"/>
                </w:tcPr>
                <w:p>
                  <w:pPr>
                    <w:pStyle w:val="H"/>
                    <w:keepNext w:val="0"/>
                    <w:keepLines w:val="0"/>
                    <w:suppressLineNumbers w:val="0"/>
                    <w:spacing w:before="0" w:beforeAutospacing="0" w:after="0" w:afterAutospacing="0"/>
                    <w:ind w:left="0" w:right="0"/>
                    <w:jc w:val="center"/>
                    <w:rPr>
                      <w:rFonts w:hint="default"/>
                      <w:color w:val="auto"/>
                      <w:sz w:val="21"/>
                      <w:szCs w:val="21"/>
                      <w:highlight w:val="none"/>
                    </w:rPr>
                  </w:pPr>
                  <w:r>
                    <w:rPr>
                      <w:rFonts w:hint="default"/>
                      <w:color w:val="auto"/>
                      <w:sz w:val="21"/>
                      <w:szCs w:val="21"/>
                      <w:highlight w:val="none"/>
                    </w:rPr>
                    <w:t>供电管网</w:t>
                  </w:r>
                </w:p>
              </w:tc>
            </w:tr>
            <w:tr>
              <w:tblPrEx>
                <w:tblW w:w="4994" w:type="pct"/>
                <w:jc w:val="center"/>
                <w:tblCellMar>
                  <w:top w:w="0" w:type="dxa"/>
                  <w:left w:w="28" w:type="dxa"/>
                  <w:bottom w:w="0" w:type="dxa"/>
                  <w:right w:w="28" w:type="dxa"/>
                </w:tblCellMar>
              </w:tblPrEx>
              <w:trPr>
                <w:trHeight w:val="338"/>
                <w:jc w:val="center"/>
              </w:trPr>
              <w:tc>
                <w:tcPr>
                  <w:tcW w:w="5000" w:type="pct"/>
                  <w:gridSpan w:val="10"/>
                  <w:vAlign w:val="center"/>
                </w:tcPr>
                <w:p>
                  <w:pPr>
                    <w:pStyle w:val="H"/>
                    <w:keepNext w:val="0"/>
                    <w:keepLines w:val="0"/>
                    <w:suppressLineNumbers w:val="0"/>
                    <w:spacing w:before="0" w:beforeAutospacing="0" w:after="0" w:afterAutospacing="0"/>
                    <w:ind w:left="630" w:right="0" w:hanging="630" w:hangingChars="300"/>
                    <w:jc w:val="both"/>
                    <w:rPr>
                      <w:rFonts w:eastAsia="宋体" w:hint="default"/>
                      <w:color w:val="auto"/>
                      <w:sz w:val="21"/>
                      <w:szCs w:val="21"/>
                      <w:highlight w:val="none"/>
                      <w:lang w:val="en-US" w:eastAsia="zh-CN"/>
                    </w:rPr>
                  </w:pPr>
                  <w:r>
                    <w:rPr>
                      <w:rFonts w:hint="eastAsia"/>
                      <w:color w:val="auto"/>
                      <w:sz w:val="21"/>
                      <w:szCs w:val="21"/>
                      <w:highlight w:val="none"/>
                      <w:lang w:val="en-US" w:eastAsia="zh-CN"/>
                    </w:rPr>
                    <w:t>备注：胶黏剂、油墨均不属于低（无）VOCs辅料，根据建设单位提供的资料，胶黏剂为特定辅料，无法进行更换，油墨用量极少，仅为26.3kg</w:t>
                  </w:r>
                </w:p>
              </w:tc>
            </w:tr>
          </w:tbl>
          <w:p>
            <w:pPr>
              <w:keepNext w:val="0"/>
              <w:keepLines w:val="0"/>
              <w:suppressLineNumbers w:val="0"/>
              <w:spacing w:before="120" w:beforeLines="50" w:beforeAutospacing="0" w:after="0" w:afterAutospacing="0" w:line="360" w:lineRule="auto"/>
              <w:ind w:left="0" w:right="0" w:firstLine="480" w:firstLineChars="200"/>
              <w:rPr>
                <w:rFonts w:hint="default"/>
                <w:color w:val="auto"/>
                <w:sz w:val="24"/>
                <w:highlight w:val="none"/>
              </w:rPr>
            </w:pPr>
            <w:r>
              <w:rPr>
                <w:rFonts w:hint="eastAsia"/>
                <w:color w:val="auto"/>
                <w:sz w:val="24"/>
                <w:highlight w:val="none"/>
              </w:rPr>
              <w:t>根据业主提供资料，主要化学试剂成分及性质见表2.1-5和2.1-6。</w:t>
            </w:r>
          </w:p>
          <w:p>
            <w:pPr>
              <w:keepNext w:val="0"/>
              <w:keepLines w:val="0"/>
              <w:suppressLineNumbers w:val="0"/>
              <w:spacing w:before="0" w:beforeAutospacing="0" w:after="0" w:afterAutospacing="0" w:line="360" w:lineRule="auto"/>
              <w:ind w:left="0" w:right="0"/>
              <w:jc w:val="center"/>
              <w:rPr>
                <w:rFonts w:hint="default"/>
                <w:b/>
                <w:bCs/>
                <w:color w:val="auto"/>
                <w:sz w:val="24"/>
                <w:highlight w:val="none"/>
                <w:shd w:val="clear" w:color="auto" w:fill="FFFFFF"/>
              </w:rPr>
            </w:pPr>
            <w:r>
              <w:rPr>
                <w:rFonts w:hint="eastAsia"/>
                <w:b/>
                <w:bCs/>
                <w:color w:val="auto"/>
                <w:sz w:val="24"/>
                <w:highlight w:val="none"/>
                <w:shd w:val="clear" w:color="auto" w:fill="FFFFFF"/>
              </w:rPr>
              <w:t>表2.1-5 扩建项目使用化学品成分一览表</w:t>
            </w:r>
          </w:p>
          <w:tbl>
            <w:tblPr>
              <w:tblStyle w:val="TableNormal"/>
              <w:tblW w:w="4998"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57" w:type="dxa"/>
                <w:bottom w:w="0" w:type="dxa"/>
                <w:right w:w="57" w:type="dxa"/>
              </w:tblCellMar>
            </w:tblPr>
            <w:tblGrid>
              <w:gridCol w:w="1000"/>
              <w:gridCol w:w="662"/>
              <w:gridCol w:w="1679"/>
              <w:gridCol w:w="1567"/>
              <w:gridCol w:w="1255"/>
              <w:gridCol w:w="1136"/>
              <w:gridCol w:w="1318"/>
            </w:tblGrid>
            <w:tr>
              <w:tblPrEx>
                <w:tblW w:w="4998"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57" w:type="dxa"/>
                  <w:bottom w:w="0" w:type="dxa"/>
                  <w:right w:w="57" w:type="dxa"/>
                </w:tblCellMar>
              </w:tblPrEx>
              <w:trPr>
                <w:trHeight w:val="340"/>
                <w:jc w:val="center"/>
              </w:trPr>
              <w:tc>
                <w:tcPr>
                  <w:tcW w:w="580"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b/>
                      <w:bCs/>
                      <w:color w:val="auto"/>
                      <w:szCs w:val="21"/>
                      <w:highlight w:val="none"/>
                    </w:rPr>
                  </w:pPr>
                  <w:r>
                    <w:rPr>
                      <w:rFonts w:hint="eastAsia"/>
                      <w:b/>
                      <w:bCs/>
                      <w:color w:val="auto"/>
                      <w:szCs w:val="21"/>
                      <w:highlight w:val="none"/>
                    </w:rPr>
                    <w:t>名称</w:t>
                  </w:r>
                </w:p>
              </w:tc>
              <w:tc>
                <w:tcPr>
                  <w:tcW w:w="38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b/>
                      <w:bCs/>
                      <w:color w:val="auto"/>
                      <w:szCs w:val="21"/>
                      <w:highlight w:val="none"/>
                    </w:rPr>
                  </w:pPr>
                  <w:r>
                    <w:rPr>
                      <w:rFonts w:hint="eastAsia"/>
                      <w:b/>
                      <w:bCs/>
                      <w:color w:val="auto"/>
                      <w:szCs w:val="21"/>
                      <w:highlight w:val="none"/>
                    </w:rPr>
                    <w:t>类别</w:t>
                  </w:r>
                </w:p>
              </w:tc>
              <w:tc>
                <w:tcPr>
                  <w:tcW w:w="4034" w:type="pct"/>
                  <w:gridSpan w:val="5"/>
                  <w:tcBorders>
                    <w:tl2br w:val="nil"/>
                    <w:tr2bl w:val="nil"/>
                  </w:tcBorders>
                  <w:vAlign w:val="center"/>
                </w:tcPr>
                <w:p>
                  <w:pPr>
                    <w:keepNext w:val="0"/>
                    <w:keepLines w:val="0"/>
                    <w:suppressLineNumbers w:val="0"/>
                    <w:spacing w:before="0" w:beforeAutospacing="0" w:after="0" w:afterAutospacing="0"/>
                    <w:ind w:left="0" w:right="0"/>
                    <w:jc w:val="center"/>
                    <w:rPr>
                      <w:rFonts w:hint="default"/>
                      <w:b/>
                      <w:bCs/>
                      <w:color w:val="auto"/>
                      <w:szCs w:val="21"/>
                      <w:highlight w:val="none"/>
                    </w:rPr>
                  </w:pPr>
                  <w:r>
                    <w:rPr>
                      <w:rFonts w:hint="eastAsia"/>
                      <w:b/>
                      <w:bCs/>
                      <w:color w:val="auto"/>
                      <w:szCs w:val="21"/>
                      <w:highlight w:val="none"/>
                    </w:rPr>
                    <w:t>组分</w:t>
                  </w:r>
                </w:p>
              </w:tc>
            </w:tr>
            <w:tr>
              <w:tblPrEx>
                <w:tblW w:w="4998" w:type="pct"/>
                <w:jc w:val="center"/>
                <w:tblCellMar>
                  <w:top w:w="0" w:type="dxa"/>
                  <w:left w:w="57" w:type="dxa"/>
                  <w:bottom w:w="0" w:type="dxa"/>
                  <w:right w:w="57" w:type="dxa"/>
                </w:tblCellMar>
              </w:tblPrEx>
              <w:trPr>
                <w:trHeight w:val="340"/>
                <w:jc w:val="center"/>
              </w:trPr>
              <w:tc>
                <w:tcPr>
                  <w:tcW w:w="580"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胶黏剂</w:t>
                  </w:r>
                </w:p>
              </w:tc>
              <w:tc>
                <w:tcPr>
                  <w:tcW w:w="38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成分</w:t>
                  </w:r>
                </w:p>
              </w:tc>
              <w:tc>
                <w:tcPr>
                  <w:tcW w:w="97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异丙醇</w:t>
                  </w:r>
                </w:p>
              </w:tc>
              <w:tc>
                <w:tcPr>
                  <w:tcW w:w="9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乙醇</w:t>
                  </w:r>
                </w:p>
              </w:tc>
              <w:tc>
                <w:tcPr>
                  <w:tcW w:w="72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甲醇</w:t>
                  </w:r>
                </w:p>
              </w:tc>
              <w:tc>
                <w:tcPr>
                  <w:tcW w:w="65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苯酚</w:t>
                  </w:r>
                </w:p>
              </w:tc>
              <w:tc>
                <w:tcPr>
                  <w:tcW w:w="76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酚醛树脂</w:t>
                  </w:r>
                </w:p>
              </w:tc>
            </w:tr>
            <w:tr>
              <w:tblPrEx>
                <w:tblW w:w="4998" w:type="pct"/>
                <w:jc w:val="center"/>
                <w:tblCellMar>
                  <w:top w:w="0" w:type="dxa"/>
                  <w:left w:w="57" w:type="dxa"/>
                  <w:bottom w:w="0" w:type="dxa"/>
                  <w:right w:w="57" w:type="dxa"/>
                </w:tblCellMar>
              </w:tblPrEx>
              <w:trPr>
                <w:trHeight w:val="340"/>
                <w:jc w:val="center"/>
              </w:trPr>
              <w:tc>
                <w:tcPr>
                  <w:tcW w:w="580" w:type="pct"/>
                  <w:vMerge/>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p>
              </w:tc>
              <w:tc>
                <w:tcPr>
                  <w:tcW w:w="38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比例</w:t>
                  </w:r>
                </w:p>
              </w:tc>
              <w:tc>
                <w:tcPr>
                  <w:tcW w:w="97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55</w:t>
                  </w:r>
                  <w:r>
                    <w:rPr>
                      <w:rFonts w:hint="default"/>
                      <w:color w:val="auto"/>
                      <w:szCs w:val="21"/>
                      <w:highlight w:val="none"/>
                    </w:rPr>
                    <w:t>%</w:t>
                  </w:r>
                </w:p>
              </w:tc>
              <w:tc>
                <w:tcPr>
                  <w:tcW w:w="9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7.5</w:t>
                  </w:r>
                  <w:r>
                    <w:rPr>
                      <w:rFonts w:hint="default"/>
                      <w:color w:val="auto"/>
                      <w:szCs w:val="21"/>
                      <w:highlight w:val="none"/>
                    </w:rPr>
                    <w:t>%</w:t>
                  </w:r>
                </w:p>
              </w:tc>
              <w:tc>
                <w:tcPr>
                  <w:tcW w:w="72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2.5</w:t>
                  </w:r>
                  <w:r>
                    <w:rPr>
                      <w:rFonts w:hint="default"/>
                      <w:color w:val="auto"/>
                      <w:szCs w:val="21"/>
                      <w:highlight w:val="none"/>
                    </w:rPr>
                    <w:t>%</w:t>
                  </w:r>
                </w:p>
              </w:tc>
              <w:tc>
                <w:tcPr>
                  <w:tcW w:w="65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3.9</w:t>
                  </w:r>
                  <w:r>
                    <w:rPr>
                      <w:rFonts w:hint="default"/>
                      <w:color w:val="auto"/>
                      <w:szCs w:val="21"/>
                      <w:highlight w:val="none"/>
                    </w:rPr>
                    <w:t>%</w:t>
                  </w:r>
                </w:p>
              </w:tc>
              <w:tc>
                <w:tcPr>
                  <w:tcW w:w="76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31.3</w:t>
                  </w:r>
                  <w:r>
                    <w:rPr>
                      <w:rFonts w:hint="default"/>
                      <w:color w:val="auto"/>
                      <w:szCs w:val="21"/>
                      <w:highlight w:val="none"/>
                    </w:rPr>
                    <w:t>%</w:t>
                  </w:r>
                </w:p>
              </w:tc>
            </w:tr>
            <w:tr>
              <w:tblPrEx>
                <w:tblW w:w="4998" w:type="pct"/>
                <w:jc w:val="center"/>
                <w:tblCellMar>
                  <w:top w:w="0" w:type="dxa"/>
                  <w:left w:w="57" w:type="dxa"/>
                  <w:bottom w:w="0" w:type="dxa"/>
                  <w:right w:w="57" w:type="dxa"/>
                </w:tblCellMar>
              </w:tblPrEx>
              <w:trPr>
                <w:trHeight w:val="340"/>
                <w:jc w:val="center"/>
              </w:trPr>
              <w:tc>
                <w:tcPr>
                  <w:tcW w:w="580"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p>
              </w:tc>
              <w:tc>
                <w:tcPr>
                  <w:tcW w:w="38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成分</w:t>
                  </w:r>
                </w:p>
              </w:tc>
              <w:tc>
                <w:tcPr>
                  <w:tcW w:w="97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硅酸钠</w:t>
                  </w:r>
                </w:p>
              </w:tc>
              <w:tc>
                <w:tcPr>
                  <w:tcW w:w="9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表面活性剂</w:t>
                  </w:r>
                </w:p>
              </w:tc>
              <w:tc>
                <w:tcPr>
                  <w:tcW w:w="72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碳酸钠</w:t>
                  </w:r>
                </w:p>
              </w:tc>
              <w:tc>
                <w:tcPr>
                  <w:tcW w:w="65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磷酸三钠</w:t>
                  </w:r>
                </w:p>
              </w:tc>
              <w:tc>
                <w:tcPr>
                  <w:tcW w:w="76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p>
              </w:tc>
            </w:tr>
          </w:tbl>
          <w:p/>
        </w:tc>
      </w:tr>
    </w:tbl>
    <w:p>
      <w:pPr>
        <w:sectPr>
          <w:footerReference w:type="default" r:id="rId20"/>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10"/>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3"/>
        <w:gridCol w:w="8836"/>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5855"/>
          <w:jc w:val="center"/>
        </w:trPr>
        <w:tc>
          <w:tcPr>
            <w:tcW w:w="455" w:type="dxa"/>
            <w:vAlign w:val="center"/>
          </w:tcPr>
          <w:p/>
        </w:tc>
        <w:tc>
          <w:tcPr>
            <w:tcW w:w="8834" w:type="dxa"/>
          </w:tcPr>
          <w:tbl>
            <w:tblPr>
              <w:tblStyle w:val="TableNormal"/>
              <w:tblW w:w="4998"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57" w:type="dxa"/>
                <w:bottom w:w="0" w:type="dxa"/>
                <w:right w:w="57" w:type="dxa"/>
              </w:tblCellMar>
            </w:tblPr>
            <w:tblGrid>
              <w:gridCol w:w="1000"/>
              <w:gridCol w:w="662"/>
              <w:gridCol w:w="1679"/>
              <w:gridCol w:w="1567"/>
              <w:gridCol w:w="1255"/>
              <w:gridCol w:w="1136"/>
              <w:gridCol w:w="1318"/>
            </w:tblGrid>
            <w:tr>
              <w:tblPrEx>
                <w:tblW w:w="4998"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57" w:type="dxa"/>
                  <w:bottom w:w="0" w:type="dxa"/>
                  <w:right w:w="57" w:type="dxa"/>
                </w:tblCellMar>
              </w:tblPrEx>
              <w:trPr>
                <w:trHeight w:val="340"/>
                <w:jc w:val="center"/>
              </w:trPr>
              <w:tc>
                <w:tcPr>
                  <w:tcW w:w="580"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脱脂剂-固体</w:t>
                  </w:r>
                </w:p>
              </w:tc>
              <w:tc>
                <w:tcPr>
                  <w:tcW w:w="384" w:type="pct"/>
                  <w:tcBorders>
                    <w:tl2br w:val="nil"/>
                    <w:tr2bl w:val="nil"/>
                  </w:tcBorders>
                  <w:vAlign w:val="center"/>
                </w:tcPr>
                <w:p/>
              </w:tc>
              <w:tc>
                <w:tcPr>
                  <w:tcW w:w="974" w:type="pct"/>
                  <w:tcBorders>
                    <w:tl2br w:val="nil"/>
                    <w:tr2bl w:val="nil"/>
                  </w:tcBorders>
                  <w:vAlign w:val="center"/>
                </w:tcPr>
                <w:p/>
              </w:tc>
              <w:tc>
                <w:tcPr>
                  <w:tcW w:w="909" w:type="pct"/>
                  <w:tcBorders>
                    <w:tl2br w:val="nil"/>
                    <w:tr2bl w:val="nil"/>
                  </w:tcBorders>
                  <w:vAlign w:val="center"/>
                </w:tcPr>
                <w:p/>
              </w:tc>
              <w:tc>
                <w:tcPr>
                  <w:tcW w:w="728" w:type="pct"/>
                  <w:tcBorders>
                    <w:tl2br w:val="nil"/>
                    <w:tr2bl w:val="nil"/>
                  </w:tcBorders>
                  <w:vAlign w:val="center"/>
                </w:tcPr>
                <w:p/>
              </w:tc>
              <w:tc>
                <w:tcPr>
                  <w:tcW w:w="659" w:type="pct"/>
                  <w:tcBorders>
                    <w:tl2br w:val="nil"/>
                    <w:tr2bl w:val="nil"/>
                  </w:tcBorders>
                  <w:vAlign w:val="center"/>
                </w:tcPr>
                <w:p/>
              </w:tc>
              <w:tc>
                <w:tcPr>
                  <w:tcW w:w="763" w:type="pct"/>
                  <w:tcBorders>
                    <w:tl2br w:val="nil"/>
                    <w:tr2bl w:val="nil"/>
                  </w:tcBorders>
                  <w:vAlign w:val="center"/>
                </w:tcPr>
                <w:p/>
              </w:tc>
            </w:tr>
            <w:tr>
              <w:tblPrEx>
                <w:tblW w:w="4998" w:type="pct"/>
                <w:jc w:val="center"/>
                <w:tblCellMar>
                  <w:top w:w="0" w:type="dxa"/>
                  <w:left w:w="57" w:type="dxa"/>
                  <w:bottom w:w="0" w:type="dxa"/>
                  <w:right w:w="57" w:type="dxa"/>
                </w:tblCellMar>
              </w:tblPrEx>
              <w:trPr>
                <w:trHeight w:val="340"/>
                <w:jc w:val="center"/>
              </w:trPr>
              <w:tc>
                <w:tcPr>
                  <w:tcW w:w="580" w:type="pct"/>
                  <w:vMerge/>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p>
              </w:tc>
              <w:tc>
                <w:tcPr>
                  <w:tcW w:w="38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比例</w:t>
                  </w:r>
                </w:p>
              </w:tc>
              <w:tc>
                <w:tcPr>
                  <w:tcW w:w="97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40</w:t>
                  </w:r>
                  <w:r>
                    <w:rPr>
                      <w:rFonts w:hint="default"/>
                      <w:color w:val="auto"/>
                      <w:szCs w:val="21"/>
                      <w:highlight w:val="none"/>
                    </w:rPr>
                    <w:t>-</w:t>
                  </w:r>
                  <w:r>
                    <w:rPr>
                      <w:rFonts w:hint="eastAsia"/>
                      <w:color w:val="auto"/>
                      <w:szCs w:val="21"/>
                      <w:highlight w:val="none"/>
                    </w:rPr>
                    <w:t>50%</w:t>
                  </w:r>
                </w:p>
              </w:tc>
              <w:tc>
                <w:tcPr>
                  <w:tcW w:w="9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10</w:t>
                  </w:r>
                  <w:r>
                    <w:rPr>
                      <w:rFonts w:hint="default"/>
                      <w:color w:val="auto"/>
                      <w:szCs w:val="21"/>
                      <w:highlight w:val="none"/>
                    </w:rPr>
                    <w:t>-</w:t>
                  </w:r>
                  <w:r>
                    <w:rPr>
                      <w:rFonts w:hint="eastAsia"/>
                      <w:color w:val="auto"/>
                      <w:szCs w:val="21"/>
                      <w:highlight w:val="none"/>
                    </w:rPr>
                    <w:t>15%</w:t>
                  </w:r>
                </w:p>
              </w:tc>
              <w:tc>
                <w:tcPr>
                  <w:tcW w:w="72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25</w:t>
                  </w:r>
                  <w:r>
                    <w:rPr>
                      <w:rFonts w:hint="default"/>
                      <w:color w:val="auto"/>
                      <w:szCs w:val="21"/>
                      <w:highlight w:val="none"/>
                    </w:rPr>
                    <w:t>-</w:t>
                  </w:r>
                  <w:r>
                    <w:rPr>
                      <w:rFonts w:hint="eastAsia"/>
                      <w:color w:val="auto"/>
                      <w:szCs w:val="21"/>
                      <w:highlight w:val="none"/>
                    </w:rPr>
                    <w:t>35%</w:t>
                  </w:r>
                </w:p>
              </w:tc>
              <w:tc>
                <w:tcPr>
                  <w:tcW w:w="65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10</w:t>
                  </w:r>
                  <w:r>
                    <w:rPr>
                      <w:rFonts w:hint="default"/>
                      <w:color w:val="auto"/>
                      <w:szCs w:val="21"/>
                      <w:highlight w:val="none"/>
                    </w:rPr>
                    <w:t>-</w:t>
                  </w:r>
                  <w:r>
                    <w:rPr>
                      <w:rFonts w:hint="eastAsia"/>
                      <w:color w:val="auto"/>
                      <w:szCs w:val="21"/>
                      <w:highlight w:val="none"/>
                    </w:rPr>
                    <w:t>25%</w:t>
                  </w:r>
                </w:p>
              </w:tc>
              <w:tc>
                <w:tcPr>
                  <w:tcW w:w="76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p>
              </w:tc>
            </w:tr>
            <w:tr>
              <w:tblPrEx>
                <w:tblW w:w="4998" w:type="pct"/>
                <w:jc w:val="center"/>
                <w:tblCellMar>
                  <w:top w:w="0" w:type="dxa"/>
                  <w:left w:w="57" w:type="dxa"/>
                  <w:bottom w:w="0" w:type="dxa"/>
                  <w:right w:w="57" w:type="dxa"/>
                </w:tblCellMar>
              </w:tblPrEx>
              <w:trPr>
                <w:trHeight w:val="340"/>
                <w:jc w:val="center"/>
              </w:trPr>
              <w:tc>
                <w:tcPr>
                  <w:tcW w:w="580"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脱脂剂-液体</w:t>
                  </w:r>
                </w:p>
              </w:tc>
              <w:tc>
                <w:tcPr>
                  <w:tcW w:w="38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成分</w:t>
                  </w:r>
                </w:p>
              </w:tc>
              <w:tc>
                <w:tcPr>
                  <w:tcW w:w="97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氢氧化钠</w:t>
                  </w:r>
                </w:p>
              </w:tc>
              <w:tc>
                <w:tcPr>
                  <w:tcW w:w="9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螯合剂</w:t>
                  </w:r>
                </w:p>
              </w:tc>
              <w:tc>
                <w:tcPr>
                  <w:tcW w:w="72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聚羧酸</w:t>
                  </w:r>
                </w:p>
              </w:tc>
              <w:tc>
                <w:tcPr>
                  <w:tcW w:w="65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水、其他</w:t>
                  </w:r>
                </w:p>
              </w:tc>
              <w:tc>
                <w:tcPr>
                  <w:tcW w:w="76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w:t>
                  </w:r>
                </w:p>
              </w:tc>
            </w:tr>
            <w:tr>
              <w:tblPrEx>
                <w:tblW w:w="4998" w:type="pct"/>
                <w:jc w:val="center"/>
                <w:tblCellMar>
                  <w:top w:w="0" w:type="dxa"/>
                  <w:left w:w="57" w:type="dxa"/>
                  <w:bottom w:w="0" w:type="dxa"/>
                  <w:right w:w="57" w:type="dxa"/>
                </w:tblCellMar>
              </w:tblPrEx>
              <w:trPr>
                <w:trHeight w:val="340"/>
                <w:jc w:val="center"/>
              </w:trPr>
              <w:tc>
                <w:tcPr>
                  <w:tcW w:w="580" w:type="pct"/>
                  <w:vMerge/>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p>
              </w:tc>
              <w:tc>
                <w:tcPr>
                  <w:tcW w:w="38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比例</w:t>
                  </w:r>
                </w:p>
              </w:tc>
              <w:tc>
                <w:tcPr>
                  <w:tcW w:w="97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45</w:t>
                  </w:r>
                  <w:r>
                    <w:rPr>
                      <w:rFonts w:hint="default"/>
                      <w:color w:val="auto"/>
                      <w:szCs w:val="21"/>
                      <w:highlight w:val="none"/>
                    </w:rPr>
                    <w:t>-</w:t>
                  </w:r>
                  <w:r>
                    <w:rPr>
                      <w:rFonts w:hint="eastAsia"/>
                      <w:color w:val="auto"/>
                      <w:szCs w:val="21"/>
                      <w:highlight w:val="none"/>
                    </w:rPr>
                    <w:t>50%</w:t>
                  </w:r>
                </w:p>
              </w:tc>
              <w:tc>
                <w:tcPr>
                  <w:tcW w:w="9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6</w:t>
                  </w:r>
                  <w:r>
                    <w:rPr>
                      <w:rFonts w:hint="default"/>
                      <w:color w:val="auto"/>
                      <w:szCs w:val="21"/>
                      <w:highlight w:val="none"/>
                    </w:rPr>
                    <w:t>-</w:t>
                  </w:r>
                  <w:r>
                    <w:rPr>
                      <w:rFonts w:hint="eastAsia"/>
                      <w:color w:val="auto"/>
                      <w:szCs w:val="21"/>
                      <w:highlight w:val="none"/>
                    </w:rPr>
                    <w:t>15%</w:t>
                  </w:r>
                </w:p>
              </w:tc>
              <w:tc>
                <w:tcPr>
                  <w:tcW w:w="72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1</w:t>
                  </w:r>
                  <w:r>
                    <w:rPr>
                      <w:rFonts w:hint="default"/>
                      <w:color w:val="auto"/>
                      <w:szCs w:val="21"/>
                      <w:highlight w:val="none"/>
                    </w:rPr>
                    <w:t>-</w:t>
                  </w:r>
                  <w:r>
                    <w:rPr>
                      <w:rFonts w:hint="eastAsia"/>
                      <w:color w:val="auto"/>
                      <w:szCs w:val="21"/>
                      <w:highlight w:val="none"/>
                    </w:rPr>
                    <w:t>5%</w:t>
                  </w:r>
                </w:p>
              </w:tc>
              <w:tc>
                <w:tcPr>
                  <w:tcW w:w="65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30</w:t>
                  </w:r>
                  <w:r>
                    <w:rPr>
                      <w:rFonts w:hint="default"/>
                      <w:color w:val="auto"/>
                      <w:szCs w:val="21"/>
                      <w:highlight w:val="none"/>
                    </w:rPr>
                    <w:t>-</w:t>
                  </w:r>
                  <w:r>
                    <w:rPr>
                      <w:rFonts w:hint="eastAsia"/>
                      <w:color w:val="auto"/>
                      <w:szCs w:val="21"/>
                      <w:highlight w:val="none"/>
                    </w:rPr>
                    <w:t>48%</w:t>
                  </w:r>
                </w:p>
              </w:tc>
              <w:tc>
                <w:tcPr>
                  <w:tcW w:w="76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w:t>
                  </w:r>
                </w:p>
              </w:tc>
            </w:tr>
            <w:tr>
              <w:tblPrEx>
                <w:tblW w:w="4998" w:type="pct"/>
                <w:jc w:val="center"/>
                <w:tblCellMar>
                  <w:top w:w="0" w:type="dxa"/>
                  <w:left w:w="57" w:type="dxa"/>
                  <w:bottom w:w="0" w:type="dxa"/>
                  <w:right w:w="57" w:type="dxa"/>
                </w:tblCellMar>
              </w:tblPrEx>
              <w:trPr>
                <w:trHeight w:val="340"/>
                <w:jc w:val="center"/>
              </w:trPr>
              <w:tc>
                <w:tcPr>
                  <w:tcW w:w="580"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油墨</w:t>
                  </w:r>
                </w:p>
              </w:tc>
              <w:tc>
                <w:tcPr>
                  <w:tcW w:w="38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成分</w:t>
                  </w:r>
                </w:p>
              </w:tc>
              <w:tc>
                <w:tcPr>
                  <w:tcW w:w="97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甲乙酮MEK</w:t>
                  </w:r>
                </w:p>
              </w:tc>
              <w:tc>
                <w:tcPr>
                  <w:tcW w:w="9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氧化</w:t>
                  </w:r>
                  <w:r>
                    <w:rPr>
                      <w:rFonts w:hint="eastAsia"/>
                      <w:color w:val="auto"/>
                      <w:szCs w:val="21"/>
                      <w:highlight w:val="none"/>
                    </w:rPr>
                    <w:t>钛</w:t>
                  </w:r>
                </w:p>
              </w:tc>
              <w:tc>
                <w:tcPr>
                  <w:tcW w:w="72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乙醇</w:t>
                  </w:r>
                </w:p>
              </w:tc>
              <w:tc>
                <w:tcPr>
                  <w:tcW w:w="65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光</w:t>
                  </w:r>
                  <w:r>
                    <w:rPr>
                      <w:rFonts w:hint="eastAsia"/>
                      <w:color w:val="auto"/>
                      <w:szCs w:val="21"/>
                      <w:highlight w:val="none"/>
                    </w:rPr>
                    <w:t>固化</w:t>
                  </w:r>
                  <w:r>
                    <w:rPr>
                      <w:rFonts w:hint="default"/>
                      <w:color w:val="auto"/>
                      <w:szCs w:val="21"/>
                      <w:highlight w:val="none"/>
                    </w:rPr>
                    <w:t>剂</w:t>
                  </w:r>
                </w:p>
              </w:tc>
              <w:tc>
                <w:tcPr>
                  <w:tcW w:w="76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表面活性剂</w:t>
                  </w:r>
                </w:p>
              </w:tc>
            </w:tr>
            <w:tr>
              <w:tblPrEx>
                <w:tblW w:w="4998" w:type="pct"/>
                <w:jc w:val="center"/>
                <w:tblCellMar>
                  <w:top w:w="0" w:type="dxa"/>
                  <w:left w:w="57" w:type="dxa"/>
                  <w:bottom w:w="0" w:type="dxa"/>
                  <w:right w:w="57" w:type="dxa"/>
                </w:tblCellMar>
              </w:tblPrEx>
              <w:trPr>
                <w:trHeight w:val="340"/>
                <w:jc w:val="center"/>
              </w:trPr>
              <w:tc>
                <w:tcPr>
                  <w:tcW w:w="580" w:type="pct"/>
                  <w:vMerge/>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p>
              </w:tc>
              <w:tc>
                <w:tcPr>
                  <w:tcW w:w="38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比例</w:t>
                  </w:r>
                </w:p>
              </w:tc>
              <w:tc>
                <w:tcPr>
                  <w:tcW w:w="97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60%</w:t>
                  </w:r>
                </w:p>
              </w:tc>
              <w:tc>
                <w:tcPr>
                  <w:tcW w:w="90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10%</w:t>
                  </w:r>
                </w:p>
              </w:tc>
              <w:tc>
                <w:tcPr>
                  <w:tcW w:w="72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10%</w:t>
                  </w:r>
                </w:p>
              </w:tc>
              <w:tc>
                <w:tcPr>
                  <w:tcW w:w="65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10%</w:t>
                  </w:r>
                </w:p>
              </w:tc>
              <w:tc>
                <w:tcPr>
                  <w:tcW w:w="76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10%</w:t>
                  </w:r>
                </w:p>
              </w:tc>
            </w:tr>
          </w:tbl>
          <w:p>
            <w:pPr>
              <w:keepNext w:val="0"/>
              <w:keepLines w:val="0"/>
              <w:suppressLineNumbers w:val="0"/>
              <w:spacing w:before="0" w:beforeAutospacing="0" w:after="0" w:afterAutospacing="0" w:line="360" w:lineRule="auto"/>
              <w:ind w:left="0" w:right="0"/>
              <w:jc w:val="center"/>
              <w:rPr>
                <w:rFonts w:hint="default"/>
                <w:b/>
                <w:bCs/>
                <w:color w:val="auto"/>
                <w:sz w:val="24"/>
                <w:highlight w:val="none"/>
                <w:shd w:val="clear" w:color="auto" w:fill="FFFFFF"/>
              </w:rPr>
            </w:pPr>
            <w:r>
              <w:rPr>
                <w:rFonts w:hint="default"/>
                <w:b/>
                <w:bCs/>
                <w:color w:val="auto"/>
                <w:sz w:val="24"/>
                <w:highlight w:val="none"/>
                <w:shd w:val="clear" w:color="auto" w:fill="FFFFFF"/>
              </w:rPr>
              <w:t>表2.1-6 主要原辅材料性质</w:t>
            </w:r>
          </w:p>
          <w:tbl>
            <w:tblPr>
              <w:tblStyle w:val="TableNormal"/>
              <w:tblW w:w="5000"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443"/>
              <w:gridCol w:w="736"/>
              <w:gridCol w:w="1040"/>
              <w:gridCol w:w="2285"/>
              <w:gridCol w:w="1816"/>
              <w:gridCol w:w="2300"/>
            </w:tblGrid>
            <w:tr>
              <w:tblPrEx>
                <w:tblW w:w="5000"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40"/>
                <w:jc w:val="center"/>
              </w:trPr>
              <w:tc>
                <w:tcPr>
                  <w:tcW w:w="2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b/>
                      <w:bCs/>
                      <w:color w:val="auto"/>
                      <w:szCs w:val="21"/>
                      <w:highlight w:val="none"/>
                    </w:rPr>
                  </w:pPr>
                  <w:r>
                    <w:rPr>
                      <w:rFonts w:ascii="Times New Roman" w:eastAsia="宋体" w:hAnsi="Times New Roman" w:cs="Times New Roman" w:hint="default"/>
                      <w:b/>
                      <w:bCs/>
                      <w:color w:val="auto"/>
                      <w:sz w:val="21"/>
                      <w:szCs w:val="21"/>
                      <w:highlight w:val="none"/>
                    </w:rPr>
                    <w:t>序号</w:t>
                  </w:r>
                </w:p>
              </w:tc>
              <w:tc>
                <w:tcPr>
                  <w:tcW w:w="42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b/>
                      <w:bCs/>
                      <w:color w:val="auto"/>
                      <w:szCs w:val="21"/>
                      <w:highlight w:val="none"/>
                    </w:rPr>
                  </w:pPr>
                  <w:r>
                    <w:rPr>
                      <w:rFonts w:ascii="Times New Roman" w:eastAsia="宋体" w:hAnsi="Times New Roman" w:cs="Times New Roman" w:hint="default"/>
                      <w:b/>
                      <w:bCs/>
                      <w:color w:val="auto"/>
                      <w:sz w:val="21"/>
                      <w:szCs w:val="21"/>
                      <w:highlight w:val="none"/>
                    </w:rPr>
                    <w:t>化学品名</w:t>
                  </w:r>
                </w:p>
              </w:tc>
              <w:tc>
                <w:tcPr>
                  <w:tcW w:w="60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b/>
                      <w:bCs/>
                      <w:color w:val="auto"/>
                      <w:szCs w:val="21"/>
                      <w:highlight w:val="none"/>
                    </w:rPr>
                  </w:pPr>
                  <w:r>
                    <w:rPr>
                      <w:rFonts w:ascii="Times New Roman" w:eastAsia="宋体" w:hAnsi="Times New Roman" w:cs="Times New Roman" w:hint="default"/>
                      <w:b/>
                      <w:bCs/>
                      <w:color w:val="auto"/>
                      <w:sz w:val="21"/>
                      <w:szCs w:val="21"/>
                      <w:highlight w:val="none"/>
                    </w:rPr>
                    <w:t>物质性状</w:t>
                  </w:r>
                </w:p>
              </w:tc>
              <w:tc>
                <w:tcPr>
                  <w:tcW w:w="1325"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b/>
                      <w:bCs/>
                      <w:color w:val="auto"/>
                      <w:szCs w:val="21"/>
                      <w:highlight w:val="none"/>
                    </w:rPr>
                  </w:pPr>
                  <w:r>
                    <w:rPr>
                      <w:rFonts w:ascii="Times New Roman" w:eastAsia="宋体" w:hAnsi="Times New Roman" w:cs="Times New Roman" w:hint="default"/>
                      <w:b/>
                      <w:bCs/>
                      <w:color w:val="auto"/>
                      <w:sz w:val="21"/>
                      <w:szCs w:val="21"/>
                      <w:highlight w:val="none"/>
                    </w:rPr>
                    <w:t>理化性质</w:t>
                  </w:r>
                </w:p>
              </w:tc>
              <w:tc>
                <w:tcPr>
                  <w:tcW w:w="105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b/>
                      <w:bCs/>
                      <w:color w:val="auto"/>
                      <w:szCs w:val="21"/>
                      <w:highlight w:val="none"/>
                    </w:rPr>
                  </w:pPr>
                  <w:r>
                    <w:rPr>
                      <w:rFonts w:ascii="Times New Roman" w:eastAsia="宋体" w:hAnsi="Times New Roman" w:cs="Times New Roman" w:hint="default"/>
                      <w:b/>
                      <w:bCs/>
                      <w:color w:val="auto"/>
                      <w:sz w:val="21"/>
                      <w:szCs w:val="21"/>
                      <w:highlight w:val="none"/>
                    </w:rPr>
                    <w:t>毒性</w:t>
                  </w:r>
                </w:p>
              </w:tc>
              <w:tc>
                <w:tcPr>
                  <w:tcW w:w="133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b/>
                      <w:bCs/>
                      <w:color w:val="auto"/>
                      <w:szCs w:val="21"/>
                      <w:highlight w:val="none"/>
                    </w:rPr>
                  </w:pPr>
                  <w:r>
                    <w:rPr>
                      <w:rFonts w:ascii="Times New Roman" w:eastAsia="宋体" w:hAnsi="Times New Roman" w:cs="Times New Roman" w:hint="default"/>
                      <w:b/>
                      <w:bCs/>
                      <w:color w:val="auto"/>
                      <w:sz w:val="21"/>
                      <w:szCs w:val="21"/>
                      <w:highlight w:val="none"/>
                    </w:rPr>
                    <w:t>危险特性</w:t>
                  </w:r>
                </w:p>
              </w:tc>
            </w:tr>
            <w:tr>
              <w:tblPrEx>
                <w:tblW w:w="5000" w:type="pct"/>
                <w:jc w:val="center"/>
                <w:tblCellMar>
                  <w:top w:w="0" w:type="dxa"/>
                  <w:left w:w="108" w:type="dxa"/>
                  <w:bottom w:w="0" w:type="dxa"/>
                  <w:right w:w="108" w:type="dxa"/>
                </w:tblCellMar>
              </w:tblPrEx>
              <w:trPr>
                <w:trHeight w:val="340"/>
                <w:jc w:val="center"/>
              </w:trPr>
              <w:tc>
                <w:tcPr>
                  <w:tcW w:w="2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1</w:t>
                  </w:r>
                </w:p>
              </w:tc>
              <w:tc>
                <w:tcPr>
                  <w:tcW w:w="42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胶黏剂</w:t>
                  </w:r>
                </w:p>
              </w:tc>
              <w:tc>
                <w:tcPr>
                  <w:tcW w:w="60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淡黄色粘稠状液体；</w:t>
                  </w:r>
                </w:p>
              </w:tc>
              <w:tc>
                <w:tcPr>
                  <w:tcW w:w="1325"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合成胶黏剂由主剂和助剂组成，胶黏剂中的游离苯酚和有机溶剂易于挥发。</w:t>
                  </w:r>
                </w:p>
              </w:tc>
              <w:tc>
                <w:tcPr>
                  <w:tcW w:w="105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属低毒类物质</w:t>
                  </w:r>
                </w:p>
              </w:tc>
              <w:tc>
                <w:tcPr>
                  <w:tcW w:w="133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本品为易燃液体，混合物中的游离苯酚和有机溶剂易于挥发，挥发物有刺激性，接触皮肤能引起中毒，吸入后会损害肾脏。</w:t>
                  </w:r>
                </w:p>
              </w:tc>
            </w:tr>
            <w:tr>
              <w:tblPrEx>
                <w:tblW w:w="5000" w:type="pct"/>
                <w:jc w:val="center"/>
                <w:tblCellMar>
                  <w:top w:w="0" w:type="dxa"/>
                  <w:left w:w="108" w:type="dxa"/>
                  <w:bottom w:w="0" w:type="dxa"/>
                  <w:right w:w="108" w:type="dxa"/>
                </w:tblCellMar>
              </w:tblPrEx>
              <w:trPr>
                <w:trHeight w:val="340"/>
                <w:jc w:val="center"/>
              </w:trPr>
              <w:tc>
                <w:tcPr>
                  <w:tcW w:w="2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2</w:t>
                  </w:r>
                </w:p>
              </w:tc>
              <w:tc>
                <w:tcPr>
                  <w:tcW w:w="42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异丙醇</w:t>
                  </w:r>
                </w:p>
              </w:tc>
              <w:tc>
                <w:tcPr>
                  <w:tcW w:w="60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无色透明液体，有似乙醇和丙酮混合物的气味；</w:t>
                  </w:r>
                </w:p>
              </w:tc>
              <w:tc>
                <w:tcPr>
                  <w:tcW w:w="1325"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外观与性状：熔点：-88.5℃；沸点：80.3℃；蒸汽压：4.40kPa/20℃；闪点：12℃；溶解性：溶于水、醇醚、苯、氯仿等多种有机溶剂；密度：相对密度（水=1）0.79；相对密度（空气=1）2.07；</w:t>
                  </w:r>
                </w:p>
              </w:tc>
              <w:tc>
                <w:tcPr>
                  <w:tcW w:w="105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LD</w:t>
                  </w:r>
                  <w:r>
                    <w:rPr>
                      <w:rFonts w:ascii="Times New Roman" w:eastAsia="宋体" w:hAnsi="Times New Roman" w:cs="Times New Roman" w:hint="default"/>
                      <w:color w:val="auto"/>
                      <w:sz w:val="21"/>
                      <w:szCs w:val="21"/>
                      <w:highlight w:val="none"/>
                      <w:vertAlign w:val="subscript"/>
                    </w:rPr>
                    <w:t>50</w:t>
                  </w:r>
                  <w:r>
                    <w:rPr>
                      <w:rFonts w:ascii="Times New Roman" w:eastAsia="宋体" w:hAnsi="Times New Roman" w:cs="Times New Roman" w:hint="default"/>
                      <w:color w:val="auto"/>
                      <w:sz w:val="21"/>
                      <w:szCs w:val="21"/>
                      <w:highlight w:val="none"/>
                    </w:rPr>
                    <w:t>：5045mg/kg(大鼠经口)；12800mg/kg(兔经皮)；人吸入80mg/m</w:t>
                  </w:r>
                  <w:r>
                    <w:rPr>
                      <w:rFonts w:ascii="Times New Roman" w:eastAsia="宋体" w:hAnsi="Times New Roman" w:cs="Times New Roman" w:hint="default"/>
                      <w:color w:val="auto"/>
                      <w:sz w:val="21"/>
                      <w:szCs w:val="21"/>
                      <w:highlight w:val="none"/>
                      <w:vertAlign w:val="superscript"/>
                    </w:rPr>
                    <w:t>3</w:t>
                  </w:r>
                  <w:r>
                    <w:rPr>
                      <w:rFonts w:ascii="Times New Roman" w:eastAsia="宋体" w:hAnsi="Times New Roman" w:cs="Times New Roman" w:hint="default"/>
                      <w:color w:val="auto"/>
                      <w:sz w:val="21"/>
                      <w:szCs w:val="21"/>
                      <w:highlight w:val="none"/>
                    </w:rPr>
                    <w:t>×3～5分钟，眼鼻粘膜轻度刺激；人经口22.5ml头晕、面红，吸入2～3小时后头痛、恶心。属低毒类物质</w:t>
                  </w:r>
                </w:p>
              </w:tc>
              <w:tc>
                <w:tcPr>
                  <w:tcW w:w="133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易燃，其蒸气与空气可形成爆炸性混合物。遇明火、高热能引起燃烧爆炸。与氧化剂接触会猛烈反应。在火场中，受热的容器有爆炸危险。其蒸气比空气重，能在较低处扩散到相当远的地方，遇明火会引着回燃。</w:t>
                  </w:r>
                </w:p>
              </w:tc>
            </w:tr>
            <w:tr>
              <w:tblPrEx>
                <w:tblW w:w="5000" w:type="pct"/>
                <w:jc w:val="center"/>
                <w:tblCellMar>
                  <w:top w:w="0" w:type="dxa"/>
                  <w:left w:w="108" w:type="dxa"/>
                  <w:bottom w:w="0" w:type="dxa"/>
                  <w:right w:w="108" w:type="dxa"/>
                </w:tblCellMar>
              </w:tblPrEx>
              <w:trPr>
                <w:trHeight w:val="340"/>
                <w:jc w:val="center"/>
              </w:trPr>
              <w:tc>
                <w:tcPr>
                  <w:tcW w:w="2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3</w:t>
                  </w:r>
                </w:p>
              </w:tc>
              <w:tc>
                <w:tcPr>
                  <w:tcW w:w="42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乙醇</w:t>
                  </w:r>
                </w:p>
              </w:tc>
              <w:tc>
                <w:tcPr>
                  <w:tcW w:w="60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无色液体，有酒香；</w:t>
                  </w:r>
                </w:p>
              </w:tc>
              <w:tc>
                <w:tcPr>
                  <w:tcW w:w="1325"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熔点：-114.1℃；沸点：78.3℃；蒸汽压：5.33kPa/19℃；闪点：12℃；溶解性：与水混溶，可混溶于醚、氯仿、甘油等多数有机溶剂；密度：相对密度（水=1）0.79；相对密度（空气=1）1.59；稳定性：稳定</w:t>
                  </w:r>
                </w:p>
              </w:tc>
              <w:tc>
                <w:tcPr>
                  <w:tcW w:w="105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LD</w:t>
                  </w:r>
                  <w:r>
                    <w:rPr>
                      <w:rFonts w:ascii="Times New Roman" w:eastAsia="宋体" w:hAnsi="Times New Roman" w:cs="Times New Roman" w:hint="default"/>
                      <w:color w:val="auto"/>
                      <w:sz w:val="21"/>
                      <w:szCs w:val="21"/>
                      <w:highlight w:val="none"/>
                      <w:vertAlign w:val="subscript"/>
                    </w:rPr>
                    <w:t>50</w:t>
                  </w:r>
                  <w:r>
                    <w:rPr>
                      <w:rFonts w:ascii="Times New Roman" w:eastAsia="宋体" w:hAnsi="Times New Roman" w:cs="Times New Roman" w:hint="default"/>
                      <w:color w:val="auto"/>
                      <w:sz w:val="21"/>
                      <w:szCs w:val="21"/>
                      <w:highlight w:val="none"/>
                    </w:rPr>
                    <w:t>：7060mg/kg(兔经口)；7430mg/kg(兔经皮)；LC</w:t>
                  </w:r>
                  <w:r>
                    <w:rPr>
                      <w:rFonts w:ascii="Times New Roman" w:eastAsia="宋体" w:hAnsi="Times New Roman" w:cs="Times New Roman" w:hint="default"/>
                      <w:color w:val="auto"/>
                      <w:sz w:val="21"/>
                      <w:szCs w:val="21"/>
                      <w:highlight w:val="none"/>
                      <w:vertAlign w:val="subscript"/>
                    </w:rPr>
                    <w:t>50</w:t>
                  </w:r>
                  <w:r>
                    <w:rPr>
                      <w:rFonts w:ascii="Times New Roman" w:eastAsia="宋体" w:hAnsi="Times New Roman" w:cs="Times New Roman" w:hint="default"/>
                      <w:color w:val="auto"/>
                      <w:sz w:val="21"/>
                      <w:szCs w:val="21"/>
                      <w:highlight w:val="none"/>
                    </w:rPr>
                    <w:t>：37620mg/m</w:t>
                  </w:r>
                  <w:r>
                    <w:rPr>
                      <w:rFonts w:ascii="Times New Roman" w:eastAsia="宋体" w:hAnsi="Times New Roman" w:cs="Times New Roman" w:hint="default"/>
                      <w:color w:val="auto"/>
                      <w:sz w:val="21"/>
                      <w:szCs w:val="21"/>
                      <w:highlight w:val="none"/>
                      <w:vertAlign w:val="superscript"/>
                    </w:rPr>
                    <w:t>3</w:t>
                  </w:r>
                  <w:r>
                    <w:rPr>
                      <w:rFonts w:ascii="Times New Roman" w:eastAsia="宋体" w:hAnsi="Times New Roman" w:cs="Times New Roman" w:hint="default"/>
                      <w:color w:val="auto"/>
                      <w:sz w:val="21"/>
                      <w:szCs w:val="21"/>
                      <w:highlight w:val="none"/>
                    </w:rPr>
                    <w:t>，10小时(大鼠吸入)；毒性：属低毒类物质</w:t>
                  </w:r>
                </w:p>
              </w:tc>
              <w:tc>
                <w:tcPr>
                  <w:tcW w:w="133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易燃，其蒸气与空气可形成爆炸性混合物。遇明火、高热能引起燃烧爆炸。与氧化剂接触会猛烈反应。在火场中，受热的容器有爆炸危险。其蒸气比空气重，能在较低处扩散到相当远的地方，遇明火会引着回燃。</w:t>
                  </w:r>
                </w:p>
              </w:tc>
            </w:tr>
            <w:tr>
              <w:tblPrEx>
                <w:tblW w:w="5000" w:type="pct"/>
                <w:jc w:val="center"/>
                <w:tblCellMar>
                  <w:top w:w="0" w:type="dxa"/>
                  <w:left w:w="108" w:type="dxa"/>
                  <w:bottom w:w="0" w:type="dxa"/>
                  <w:right w:w="108" w:type="dxa"/>
                </w:tblCellMar>
              </w:tblPrEx>
              <w:trPr>
                <w:trHeight w:val="340"/>
                <w:jc w:val="center"/>
              </w:trPr>
              <w:tc>
                <w:tcPr>
                  <w:tcW w:w="2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4</w:t>
                  </w:r>
                </w:p>
              </w:tc>
              <w:tc>
                <w:tcPr>
                  <w:tcW w:w="42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苯酚</w:t>
                  </w:r>
                </w:p>
              </w:tc>
              <w:tc>
                <w:tcPr>
                  <w:tcW w:w="60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白色结晶，有特殊</w:t>
                  </w:r>
                </w:p>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气味；</w:t>
                  </w:r>
                </w:p>
              </w:tc>
              <w:tc>
                <w:tcPr>
                  <w:tcW w:w="1325"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熔点：40.6℃；沸点：181.9℃；蒸汽压：0.13kPa/40.1℃；闪点：79℃；溶解性：可混溶于乙醇、醚、氯仿、甘油；密度：相对密度（水=1）1.07；相对密度（空气=1）3.24；稳定性：稳定</w:t>
                  </w:r>
                </w:p>
              </w:tc>
              <w:tc>
                <w:tcPr>
                  <w:tcW w:w="105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LD</w:t>
                  </w:r>
                  <w:r>
                    <w:rPr>
                      <w:rFonts w:ascii="Times New Roman" w:eastAsia="宋体" w:hAnsi="Times New Roman" w:cs="Times New Roman" w:hint="default"/>
                      <w:color w:val="auto"/>
                      <w:sz w:val="21"/>
                      <w:szCs w:val="21"/>
                      <w:highlight w:val="none"/>
                      <w:vertAlign w:val="subscript"/>
                    </w:rPr>
                    <w:t>50</w:t>
                  </w:r>
                  <w:r>
                    <w:rPr>
                      <w:rFonts w:ascii="Times New Roman" w:eastAsia="宋体" w:hAnsi="Times New Roman" w:cs="Times New Roman" w:hint="default"/>
                      <w:color w:val="auto"/>
                      <w:sz w:val="21"/>
                      <w:szCs w:val="21"/>
                      <w:highlight w:val="none"/>
                    </w:rPr>
                    <w:t>：317mg/kg(大鼠经口)；850mg/kg(兔经皮)；LC</w:t>
                  </w:r>
                  <w:r>
                    <w:rPr>
                      <w:rFonts w:ascii="Times New Roman" w:eastAsia="宋体" w:hAnsi="Times New Roman" w:cs="Times New Roman" w:hint="default"/>
                      <w:color w:val="auto"/>
                      <w:sz w:val="21"/>
                      <w:szCs w:val="21"/>
                      <w:highlight w:val="none"/>
                      <w:vertAlign w:val="subscript"/>
                    </w:rPr>
                    <w:t>50</w:t>
                  </w:r>
                  <w:r>
                    <w:rPr>
                      <w:rFonts w:ascii="Times New Roman" w:eastAsia="宋体" w:hAnsi="Times New Roman" w:cs="Times New Roman" w:hint="default"/>
                      <w:color w:val="auto"/>
                      <w:sz w:val="21"/>
                      <w:szCs w:val="21"/>
                      <w:highlight w:val="none"/>
                    </w:rPr>
                    <w:t>：316mg/m</w:t>
                  </w:r>
                  <w:r>
                    <w:rPr>
                      <w:rFonts w:ascii="Times New Roman" w:eastAsia="宋体" w:hAnsi="Times New Roman" w:cs="Times New Roman" w:hint="default"/>
                      <w:color w:val="auto"/>
                      <w:sz w:val="21"/>
                      <w:szCs w:val="21"/>
                      <w:highlight w:val="none"/>
                      <w:vertAlign w:val="superscript"/>
                    </w:rPr>
                    <w:t>3</w:t>
                  </w:r>
                  <w:r>
                    <w:rPr>
                      <w:rFonts w:ascii="Times New Roman" w:eastAsia="宋体" w:hAnsi="Times New Roman" w:cs="Times New Roman" w:hint="default"/>
                      <w:color w:val="auto"/>
                      <w:sz w:val="21"/>
                      <w:szCs w:val="21"/>
                      <w:highlight w:val="none"/>
                    </w:rPr>
                    <w:t>(大鼠吸入)；毒性：属高毒类物质</w:t>
                  </w:r>
                </w:p>
              </w:tc>
              <w:tc>
                <w:tcPr>
                  <w:tcW w:w="133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本品可燃，高毒，具强腐蚀性，可致人体灼伤。遇明火、高热可燃</w:t>
                  </w:r>
                </w:p>
              </w:tc>
            </w:tr>
            <w:tr>
              <w:tblPrEx>
                <w:tblW w:w="5000" w:type="pct"/>
                <w:jc w:val="center"/>
                <w:tblCellMar>
                  <w:top w:w="0" w:type="dxa"/>
                  <w:left w:w="108" w:type="dxa"/>
                  <w:bottom w:w="0" w:type="dxa"/>
                  <w:right w:w="108" w:type="dxa"/>
                </w:tblCellMar>
              </w:tblPrEx>
              <w:trPr>
                <w:trHeight w:val="340"/>
                <w:jc w:val="center"/>
              </w:trPr>
              <w:tc>
                <w:tcPr>
                  <w:tcW w:w="2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5</w:t>
                  </w:r>
                </w:p>
              </w:tc>
              <w:tc>
                <w:tcPr>
                  <w:tcW w:w="42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甲醇</w:t>
                  </w:r>
                </w:p>
              </w:tc>
              <w:tc>
                <w:tcPr>
                  <w:tcW w:w="60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p>
              </w:tc>
              <w:tc>
                <w:tcPr>
                  <w:tcW w:w="1325"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p>
              </w:tc>
              <w:tc>
                <w:tcPr>
                  <w:tcW w:w="105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LD</w:t>
                  </w:r>
                  <w:r>
                    <w:rPr>
                      <w:rFonts w:ascii="Times New Roman" w:eastAsia="宋体" w:hAnsi="Times New Roman" w:cs="Times New Roman" w:hint="default"/>
                      <w:color w:val="auto"/>
                      <w:sz w:val="21"/>
                      <w:szCs w:val="21"/>
                      <w:highlight w:val="none"/>
                      <w:vertAlign w:val="subscript"/>
                    </w:rPr>
                    <w:t>50</w:t>
                  </w:r>
                </w:p>
              </w:tc>
              <w:tc>
                <w:tcPr>
                  <w:tcW w:w="133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p>
              </w:tc>
            </w:tr>
          </w:tbl>
          <w:p/>
        </w:tc>
      </w:tr>
    </w:tbl>
    <w:p>
      <w:pPr>
        <w:sectPr>
          <w:footerReference w:type="default" r:id="rId21"/>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11"/>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3"/>
        <w:gridCol w:w="8836"/>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5855"/>
          <w:jc w:val="center"/>
        </w:trPr>
        <w:tc>
          <w:tcPr>
            <w:tcW w:w="455" w:type="dxa"/>
            <w:vAlign w:val="center"/>
          </w:tcPr>
          <w:p/>
        </w:tc>
        <w:tc>
          <w:tcPr>
            <w:tcW w:w="8834" w:type="dxa"/>
          </w:tcPr>
          <w:tbl>
            <w:tblPr>
              <w:tblStyle w:val="TableNormal"/>
              <w:tblW w:w="5000"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443"/>
              <w:gridCol w:w="736"/>
              <w:gridCol w:w="1040"/>
              <w:gridCol w:w="2285"/>
              <w:gridCol w:w="1816"/>
              <w:gridCol w:w="2300"/>
            </w:tblGrid>
            <w:tr>
              <w:tblPrEx>
                <w:tblW w:w="5000"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40"/>
                <w:jc w:val="center"/>
              </w:trPr>
              <w:tc>
                <w:tcPr>
                  <w:tcW w:w="257" w:type="pct"/>
                  <w:tcBorders>
                    <w:tl2br w:val="nil"/>
                    <w:tr2bl w:val="nil"/>
                  </w:tcBorders>
                  <w:vAlign w:val="center"/>
                </w:tcPr>
                <w:p/>
              </w:tc>
              <w:tc>
                <w:tcPr>
                  <w:tcW w:w="427" w:type="pct"/>
                  <w:tcBorders>
                    <w:tl2br w:val="nil"/>
                    <w:tr2bl w:val="nil"/>
                  </w:tcBorders>
                  <w:vAlign w:val="center"/>
                </w:tcPr>
                <w:p/>
              </w:tc>
              <w:tc>
                <w:tcPr>
                  <w:tcW w:w="60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无色澄清液体，有刺激性气味</w:t>
                  </w:r>
                </w:p>
              </w:tc>
              <w:tc>
                <w:tcPr>
                  <w:tcW w:w="1325"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熔点：-97.8℃；沸点：64.8℃；蒸汽压：13.33kPa/21.2℃；闪点：11℃；溶解性：溶于水，可混溶于醇、醚等多数有机溶剂；密度：相对密度（水=1）0.79；相对密度（空气=1）1.11；稳定性：稳定</w:t>
                  </w:r>
                </w:p>
              </w:tc>
              <w:tc>
                <w:tcPr>
                  <w:tcW w:w="105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：5628mg/kg(大鼠经口)；15800mg/kg(兔经皮)；LC</w:t>
                  </w:r>
                  <w:r>
                    <w:rPr>
                      <w:rFonts w:ascii="Times New Roman" w:eastAsia="宋体" w:hAnsi="Times New Roman" w:cs="Times New Roman" w:hint="default"/>
                      <w:color w:val="auto"/>
                      <w:sz w:val="21"/>
                      <w:szCs w:val="21"/>
                      <w:highlight w:val="none"/>
                      <w:vertAlign w:val="subscript"/>
                    </w:rPr>
                    <w:t>50</w:t>
                  </w:r>
                  <w:r>
                    <w:rPr>
                      <w:rFonts w:ascii="Times New Roman" w:eastAsia="宋体" w:hAnsi="Times New Roman" w:cs="Times New Roman" w:hint="default"/>
                      <w:color w:val="auto"/>
                      <w:sz w:val="21"/>
                      <w:szCs w:val="21"/>
                      <w:highlight w:val="none"/>
                    </w:rPr>
                    <w:t>：83776mg/m</w:t>
                  </w:r>
                  <w:r>
                    <w:rPr>
                      <w:rFonts w:ascii="Times New Roman" w:eastAsia="宋体" w:hAnsi="Times New Roman" w:cs="Times New Roman" w:hint="default"/>
                      <w:color w:val="auto"/>
                      <w:sz w:val="21"/>
                      <w:szCs w:val="21"/>
                      <w:highlight w:val="none"/>
                      <w:vertAlign w:val="superscript"/>
                    </w:rPr>
                    <w:t>3</w:t>
                  </w:r>
                  <w:r>
                    <w:rPr>
                      <w:rFonts w:ascii="Times New Roman" w:eastAsia="宋体" w:hAnsi="Times New Roman" w:cs="Times New Roman" w:hint="default"/>
                      <w:color w:val="auto"/>
                      <w:sz w:val="21"/>
                      <w:szCs w:val="21"/>
                      <w:highlight w:val="none"/>
                    </w:rPr>
                    <w:t>，4小时(大鼠吸入)；毒性：属低毒类物质</w:t>
                  </w:r>
                </w:p>
              </w:tc>
              <w:tc>
                <w:tcPr>
                  <w:tcW w:w="133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易燃，其蒸气与空气可形成爆炸性混合物，遇明火、高热能引起燃烧爆炸。与氧化剂接触发生化学反应或引起燃烧。在火场中，受热的容器有爆炸危险。其蒸气比空气重，能在较低处扩散到相当远的地方，遇火源会着火回燃。</w:t>
                  </w:r>
                </w:p>
              </w:tc>
            </w:tr>
            <w:tr>
              <w:tblPrEx>
                <w:tblW w:w="5000" w:type="pct"/>
                <w:jc w:val="center"/>
                <w:tblCellMar>
                  <w:top w:w="0" w:type="dxa"/>
                  <w:left w:w="108" w:type="dxa"/>
                  <w:bottom w:w="0" w:type="dxa"/>
                  <w:right w:w="108" w:type="dxa"/>
                </w:tblCellMar>
              </w:tblPrEx>
              <w:trPr>
                <w:trHeight w:val="340"/>
                <w:jc w:val="center"/>
              </w:trPr>
              <w:tc>
                <w:tcPr>
                  <w:tcW w:w="2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6</w:t>
                  </w:r>
                </w:p>
              </w:tc>
              <w:tc>
                <w:tcPr>
                  <w:tcW w:w="42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脱脂剂（混合物）</w:t>
                  </w:r>
                </w:p>
              </w:tc>
              <w:tc>
                <w:tcPr>
                  <w:tcW w:w="60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外观：白色乃至淡黄色悬浊；</w:t>
                  </w:r>
                </w:p>
              </w:tc>
              <w:tc>
                <w:tcPr>
                  <w:tcW w:w="1325"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氢氧化钠：45-50%、羧酸盐：1-5%、螯合剂：6-15%、水、其他：剩余部分。相对密度(水=1)1.5；溶解性：可溶于水；稳定性：通常条件下稳定。</w:t>
                  </w:r>
                </w:p>
              </w:tc>
              <w:tc>
                <w:tcPr>
                  <w:tcW w:w="105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属低毒类物质</w:t>
                  </w:r>
                </w:p>
              </w:tc>
              <w:tc>
                <w:tcPr>
                  <w:tcW w:w="133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本品为急性毒性物质类腐蚀性物质。本品有强烈刺激和腐蚀性；粉尘或烟雾对眼睛、皮肤、呼吸道，腐蚀鼻中膜；眼睛和皮肤接触有可能会造成灼伤，吞入可能造成危害</w:t>
                  </w:r>
                </w:p>
              </w:tc>
            </w:tr>
            <w:tr>
              <w:tblPrEx>
                <w:tblW w:w="5000" w:type="pct"/>
                <w:jc w:val="center"/>
                <w:tblCellMar>
                  <w:top w:w="0" w:type="dxa"/>
                  <w:left w:w="108" w:type="dxa"/>
                  <w:bottom w:w="0" w:type="dxa"/>
                  <w:right w:w="108" w:type="dxa"/>
                </w:tblCellMar>
              </w:tblPrEx>
              <w:trPr>
                <w:trHeight w:val="340"/>
                <w:jc w:val="center"/>
              </w:trPr>
              <w:tc>
                <w:tcPr>
                  <w:tcW w:w="2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7</w:t>
                  </w:r>
                </w:p>
              </w:tc>
              <w:tc>
                <w:tcPr>
                  <w:tcW w:w="42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氢氧化钠</w:t>
                  </w:r>
                </w:p>
              </w:tc>
              <w:tc>
                <w:tcPr>
                  <w:tcW w:w="60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白色不透明固体，易潮解</w:t>
                  </w:r>
                </w:p>
              </w:tc>
              <w:tc>
                <w:tcPr>
                  <w:tcW w:w="1325"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熔点/℃：318.4；沸点/℃：1390；相对密度（水=1）：2.12；溶解性：微溶于水、乙醇</w:t>
                  </w:r>
                </w:p>
              </w:tc>
              <w:tc>
                <w:tcPr>
                  <w:tcW w:w="105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w:t>
                  </w:r>
                </w:p>
              </w:tc>
              <w:tc>
                <w:tcPr>
                  <w:tcW w:w="133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本品不会燃烧，遇水和水蒸气大量放热，形成腐蚀性溶液。与酸发生中和反应并放热。具有强腐蚀性。燃烧（分解）产物：可能产生有毒有害的毒性烟雾</w:t>
                  </w:r>
                </w:p>
              </w:tc>
            </w:tr>
            <w:tr>
              <w:tblPrEx>
                <w:tblW w:w="5000" w:type="pct"/>
                <w:jc w:val="center"/>
                <w:tblCellMar>
                  <w:top w:w="0" w:type="dxa"/>
                  <w:left w:w="108" w:type="dxa"/>
                  <w:bottom w:w="0" w:type="dxa"/>
                  <w:right w:w="108" w:type="dxa"/>
                </w:tblCellMar>
              </w:tblPrEx>
              <w:trPr>
                <w:trHeight w:val="340"/>
                <w:jc w:val="center"/>
              </w:trPr>
              <w:tc>
                <w:tcPr>
                  <w:tcW w:w="2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8</w:t>
                  </w:r>
                </w:p>
              </w:tc>
              <w:tc>
                <w:tcPr>
                  <w:tcW w:w="42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酚醛树脂</w:t>
                  </w:r>
                </w:p>
              </w:tc>
              <w:tc>
                <w:tcPr>
                  <w:tcW w:w="60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固态为黄色、透明、无定形块状物质；液态为黄色、深棕色液体</w:t>
                  </w:r>
                </w:p>
              </w:tc>
              <w:tc>
                <w:tcPr>
                  <w:tcW w:w="1325"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分子式：C</w:t>
                  </w:r>
                  <w:r>
                    <w:rPr>
                      <w:rFonts w:ascii="Times New Roman" w:eastAsia="宋体" w:hAnsi="Times New Roman" w:cs="Times New Roman" w:hint="default"/>
                      <w:color w:val="auto"/>
                      <w:sz w:val="21"/>
                      <w:szCs w:val="21"/>
                      <w:highlight w:val="none"/>
                      <w:vertAlign w:val="subscript"/>
                    </w:rPr>
                    <w:t>7</w:t>
                  </w:r>
                  <w:r>
                    <w:rPr>
                      <w:rFonts w:ascii="Times New Roman" w:eastAsia="宋体" w:hAnsi="Times New Roman" w:cs="Times New Roman" w:hint="default"/>
                      <w:color w:val="auto"/>
                      <w:sz w:val="21"/>
                      <w:szCs w:val="21"/>
                      <w:highlight w:val="none"/>
                    </w:rPr>
                    <w:t>H</w:t>
                  </w:r>
                  <w:r>
                    <w:rPr>
                      <w:rFonts w:ascii="Times New Roman" w:eastAsia="宋体" w:hAnsi="Times New Roman" w:cs="Times New Roman" w:hint="default"/>
                      <w:color w:val="auto"/>
                      <w:sz w:val="21"/>
                      <w:szCs w:val="21"/>
                      <w:highlight w:val="none"/>
                      <w:vertAlign w:val="subscript"/>
                    </w:rPr>
                    <w:t>6</w:t>
                  </w:r>
                  <w:r>
                    <w:rPr>
                      <w:rFonts w:ascii="Times New Roman" w:eastAsia="宋体" w:hAnsi="Times New Roman" w:cs="Times New Roman" w:hint="default"/>
                      <w:color w:val="auto"/>
                      <w:sz w:val="21"/>
                      <w:szCs w:val="21"/>
                      <w:highlight w:val="none"/>
                    </w:rPr>
                    <w:t>O</w:t>
                  </w:r>
                  <w:r>
                    <w:rPr>
                      <w:rFonts w:ascii="Times New Roman" w:eastAsia="宋体" w:hAnsi="Times New Roman" w:cs="Times New Roman" w:hint="default"/>
                      <w:color w:val="auto"/>
                      <w:sz w:val="21"/>
                      <w:szCs w:val="21"/>
                      <w:highlight w:val="none"/>
                      <w:vertAlign w:val="subscript"/>
                    </w:rPr>
                    <w:t>2</w:t>
                  </w:r>
                  <w:r>
                    <w:rPr>
                      <w:rFonts w:ascii="Times New Roman" w:eastAsia="宋体" w:hAnsi="Times New Roman" w:cs="Times New Roman" w:hint="default"/>
                      <w:color w:val="auto"/>
                      <w:sz w:val="21"/>
                      <w:szCs w:val="21"/>
                      <w:highlight w:val="none"/>
                    </w:rPr>
                    <w:t>，分子量122.1；酚醛树脂中含有游离的甲醛和酚，加热固化时会产生含甲醛和酚的有机废气</w:t>
                  </w:r>
                </w:p>
              </w:tc>
              <w:tc>
                <w:tcPr>
                  <w:tcW w:w="105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w:t>
                  </w:r>
                </w:p>
              </w:tc>
              <w:tc>
                <w:tcPr>
                  <w:tcW w:w="133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易燃，遇明火、高热能燃烧。受高热分解放出有毒的气体。粉体遇空气可形成爆炸性混合物，当达到一定浓度时，遇火星会发生爆炸。</w:t>
                  </w:r>
                </w:p>
              </w:tc>
            </w:tr>
            <w:tr>
              <w:tblPrEx>
                <w:tblW w:w="5000" w:type="pct"/>
                <w:jc w:val="center"/>
                <w:tblCellMar>
                  <w:top w:w="0" w:type="dxa"/>
                  <w:left w:w="108" w:type="dxa"/>
                  <w:bottom w:w="0" w:type="dxa"/>
                  <w:right w:w="108" w:type="dxa"/>
                </w:tblCellMar>
              </w:tblPrEx>
              <w:trPr>
                <w:trHeight w:val="340"/>
                <w:jc w:val="center"/>
              </w:trPr>
              <w:tc>
                <w:tcPr>
                  <w:tcW w:w="2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9</w:t>
                  </w:r>
                </w:p>
              </w:tc>
              <w:tc>
                <w:tcPr>
                  <w:tcW w:w="42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乌洛托品</w:t>
                  </w:r>
                </w:p>
              </w:tc>
              <w:tc>
                <w:tcPr>
                  <w:tcW w:w="60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白色结晶粉末或无色有光泽的晶体</w:t>
                  </w:r>
                </w:p>
              </w:tc>
              <w:tc>
                <w:tcPr>
                  <w:tcW w:w="1325"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分子式：C</w:t>
                  </w:r>
                  <w:r>
                    <w:rPr>
                      <w:rFonts w:ascii="Times New Roman" w:eastAsia="宋体" w:hAnsi="Times New Roman" w:cs="Times New Roman" w:hint="default"/>
                      <w:color w:val="auto"/>
                      <w:sz w:val="21"/>
                      <w:szCs w:val="21"/>
                      <w:highlight w:val="none"/>
                      <w:vertAlign w:val="subscript"/>
                    </w:rPr>
                    <w:t>6</w:t>
                  </w:r>
                  <w:r>
                    <w:rPr>
                      <w:rFonts w:ascii="Times New Roman" w:eastAsia="宋体" w:hAnsi="Times New Roman" w:cs="Times New Roman" w:hint="default"/>
                      <w:color w:val="auto"/>
                      <w:sz w:val="21"/>
                      <w:szCs w:val="21"/>
                      <w:highlight w:val="none"/>
                    </w:rPr>
                    <w:t>H</w:t>
                  </w:r>
                  <w:r>
                    <w:rPr>
                      <w:rFonts w:ascii="Times New Roman" w:eastAsia="宋体" w:hAnsi="Times New Roman" w:cs="Times New Roman" w:hint="default"/>
                      <w:color w:val="auto"/>
                      <w:sz w:val="21"/>
                      <w:szCs w:val="21"/>
                      <w:highlight w:val="none"/>
                      <w:vertAlign w:val="subscript"/>
                    </w:rPr>
                    <w:t>12</w:t>
                  </w:r>
                  <w:r>
                    <w:rPr>
                      <w:rFonts w:ascii="Times New Roman" w:eastAsia="宋体" w:hAnsi="Times New Roman" w:cs="Times New Roman" w:hint="default"/>
                      <w:color w:val="auto"/>
                      <w:sz w:val="21"/>
                      <w:szCs w:val="21"/>
                      <w:highlight w:val="none"/>
                    </w:rPr>
                    <w:t>N</w:t>
                  </w:r>
                  <w:r>
                    <w:rPr>
                      <w:rFonts w:ascii="Times New Roman" w:eastAsia="宋体" w:hAnsi="Times New Roman" w:cs="Times New Roman" w:hint="default"/>
                      <w:color w:val="auto"/>
                      <w:sz w:val="21"/>
                      <w:szCs w:val="21"/>
                      <w:highlight w:val="none"/>
                      <w:vertAlign w:val="subscript"/>
                    </w:rPr>
                    <w:t>4</w:t>
                  </w:r>
                  <w:r>
                    <w:rPr>
                      <w:rFonts w:ascii="Times New Roman" w:eastAsia="宋体" w:hAnsi="Times New Roman" w:cs="Times New Roman" w:hint="default"/>
                      <w:color w:val="auto"/>
                      <w:sz w:val="21"/>
                      <w:szCs w:val="21"/>
                      <w:highlight w:val="none"/>
                    </w:rPr>
                    <w:t>，分子量140.2；熔点263℃，沸点280℃；相对密度（水=1）：1.27（25℃）、1.331（-5℃）。溶于水，乙醇和氯仿，不溶于乙醚。乌洛托品在超过100℃情况下会热解产生氨气和VOCs</w:t>
                  </w:r>
                </w:p>
              </w:tc>
              <w:tc>
                <w:tcPr>
                  <w:tcW w:w="105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LD</w:t>
                  </w:r>
                  <w:r>
                    <w:rPr>
                      <w:rFonts w:ascii="Times New Roman" w:eastAsia="宋体" w:hAnsi="Times New Roman" w:cs="Times New Roman" w:hint="default"/>
                      <w:color w:val="auto"/>
                      <w:sz w:val="21"/>
                      <w:szCs w:val="21"/>
                      <w:highlight w:val="none"/>
                      <w:vertAlign w:val="subscript"/>
                    </w:rPr>
                    <w:t>50</w:t>
                  </w:r>
                  <w:r>
                    <w:rPr>
                      <w:rFonts w:ascii="Times New Roman" w:eastAsia="宋体" w:hAnsi="Times New Roman" w:cs="Times New Roman" w:hint="default"/>
                      <w:color w:val="auto"/>
                      <w:sz w:val="21"/>
                      <w:szCs w:val="21"/>
                      <w:highlight w:val="none"/>
                    </w:rPr>
                    <w:t>：大鼠静脉注射1200 mg/kg。小鼠腹腔注射512 mg/kg</w:t>
                  </w:r>
                </w:p>
              </w:tc>
              <w:tc>
                <w:tcPr>
                  <w:tcW w:w="133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w:t>
                  </w:r>
                </w:p>
              </w:tc>
            </w:tr>
            <w:tr>
              <w:tblPrEx>
                <w:tblW w:w="5000" w:type="pct"/>
                <w:jc w:val="center"/>
                <w:tblCellMar>
                  <w:top w:w="0" w:type="dxa"/>
                  <w:left w:w="108" w:type="dxa"/>
                  <w:bottom w:w="0" w:type="dxa"/>
                  <w:right w:w="108" w:type="dxa"/>
                </w:tblCellMar>
              </w:tblPrEx>
              <w:trPr>
                <w:trHeight w:val="340"/>
                <w:jc w:val="center"/>
              </w:trPr>
              <w:tc>
                <w:tcPr>
                  <w:tcW w:w="2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10</w:t>
                  </w:r>
                </w:p>
              </w:tc>
              <w:tc>
                <w:tcPr>
                  <w:tcW w:w="42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甲乙酮</w:t>
                  </w:r>
                </w:p>
              </w:tc>
              <w:tc>
                <w:tcPr>
                  <w:tcW w:w="60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无色透明液体。有类似丙酮气味</w:t>
                  </w:r>
                </w:p>
              </w:tc>
              <w:tc>
                <w:tcPr>
                  <w:tcW w:w="1325"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p>
              </w:tc>
              <w:tc>
                <w:tcPr>
                  <w:tcW w:w="105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低毒，半数致死量(大鼠，经口)3300mg/kg。</w:t>
                  </w:r>
                </w:p>
              </w:tc>
              <w:tc>
                <w:tcPr>
                  <w:tcW w:w="133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易燃，蒸气能与空气形成爆炸性混合物，爆炸极限1.81%~11.5%(体积)。高浓度蒸气有麻醉性</w:t>
                  </w:r>
                </w:p>
              </w:tc>
            </w:tr>
          </w:tbl>
          <w:p/>
        </w:tc>
      </w:tr>
    </w:tbl>
    <w:p>
      <w:pPr>
        <w:sectPr>
          <w:footerReference w:type="default" r:id="rId22"/>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12"/>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3"/>
        <w:gridCol w:w="8836"/>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5855"/>
          <w:jc w:val="center"/>
        </w:trPr>
        <w:tc>
          <w:tcPr>
            <w:tcW w:w="455" w:type="dxa"/>
            <w:vAlign w:val="center"/>
          </w:tcPr>
          <w:p/>
        </w:tc>
        <w:tc>
          <w:tcPr>
            <w:tcW w:w="8834" w:type="dxa"/>
          </w:tcPr>
          <w:tbl>
            <w:tblPr>
              <w:tblStyle w:val="TableNormal"/>
              <w:tblW w:w="5000"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443"/>
              <w:gridCol w:w="736"/>
              <w:gridCol w:w="1040"/>
              <w:gridCol w:w="2285"/>
              <w:gridCol w:w="1816"/>
              <w:gridCol w:w="2300"/>
            </w:tblGrid>
            <w:tr>
              <w:tblPrEx>
                <w:tblW w:w="5000"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40"/>
                <w:jc w:val="center"/>
              </w:trPr>
              <w:tc>
                <w:tcPr>
                  <w:tcW w:w="257" w:type="pct"/>
                  <w:tcBorders>
                    <w:tl2br w:val="nil"/>
                    <w:tr2bl w:val="nil"/>
                  </w:tcBorders>
                  <w:vAlign w:val="center"/>
                </w:tcPr>
                <w:p/>
              </w:tc>
              <w:tc>
                <w:tcPr>
                  <w:tcW w:w="427" w:type="pct"/>
                  <w:tcBorders>
                    <w:tl2br w:val="nil"/>
                    <w:tr2bl w:val="nil"/>
                  </w:tcBorders>
                  <w:vAlign w:val="center"/>
                </w:tcPr>
                <w:p/>
              </w:tc>
              <w:tc>
                <w:tcPr>
                  <w:tcW w:w="603" w:type="pct"/>
                  <w:tcBorders>
                    <w:tl2br w:val="nil"/>
                    <w:tr2bl w:val="nil"/>
                  </w:tcBorders>
                  <w:vAlign w:val="center"/>
                </w:tcPr>
                <w:p/>
              </w:tc>
              <w:tc>
                <w:tcPr>
                  <w:tcW w:w="1325"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易挥发。能与乙醇、乙醚、苯、氯仿、油类混溶。溶于4份水中，但温度升高时溶解度降低。能与水形成共沸混合物(含水11.3%)，共沸点73.4℃(含丁酮88.7%)。相对密度(d204)0.805。凝固点-86℃。沸点79.6℃。折光率(n15D)1.3814。闪点1.1℃</w:t>
                  </w:r>
                </w:p>
              </w:tc>
              <w:tc>
                <w:tcPr>
                  <w:tcW w:w="1053" w:type="pct"/>
                  <w:tcBorders>
                    <w:tl2br w:val="nil"/>
                    <w:tr2bl w:val="nil"/>
                  </w:tcBorders>
                  <w:vAlign w:val="center"/>
                </w:tcPr>
                <w:p/>
              </w:tc>
              <w:tc>
                <w:tcPr>
                  <w:tcW w:w="1333" w:type="pct"/>
                  <w:tcBorders>
                    <w:tl2br w:val="nil"/>
                    <w:tr2bl w:val="nil"/>
                  </w:tcBorders>
                  <w:vAlign w:val="center"/>
                </w:tcPr>
                <w:p/>
              </w:tc>
            </w:tr>
          </w:tbl>
          <w:p>
            <w:pPr>
              <w:pStyle w:val="Heading3"/>
              <w:keepNext w:val="0"/>
              <w:keepLines w:val="0"/>
              <w:suppressLineNumbers w:val="0"/>
              <w:spacing w:before="120" w:beforeAutospacing="0" w:after="120" w:afterAutospacing="0"/>
              <w:ind w:left="0" w:right="0"/>
              <w:rPr>
                <w:rFonts w:hint="default"/>
                <w:color w:val="auto"/>
                <w:highlight w:val="none"/>
              </w:rPr>
            </w:pPr>
            <w:r>
              <w:rPr>
                <w:rFonts w:hint="default"/>
                <w:color w:val="auto"/>
                <w:highlight w:val="none"/>
              </w:rPr>
              <w:t>2.1.7 项目水平衡分析</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扩建项目用水主要为生活用水和生产用水。</w:t>
            </w:r>
          </w:p>
          <w:p>
            <w:pPr>
              <w:pStyle w:val="NormalIndent"/>
              <w:keepNext w:val="0"/>
              <w:keepLines w:val="0"/>
              <w:suppressLineNumbers w:val="0"/>
              <w:spacing w:before="0" w:beforeAutospacing="0" w:after="0" w:afterAutospacing="0"/>
              <w:ind w:left="0" w:right="0" w:firstLine="482"/>
              <w:rPr>
                <w:rFonts w:hint="default"/>
                <w:b/>
                <w:bCs/>
                <w:color w:val="auto"/>
                <w:highlight w:val="none"/>
              </w:rPr>
            </w:pPr>
            <w:r>
              <w:rPr>
                <w:rFonts w:hint="eastAsia"/>
                <w:b/>
                <w:bCs/>
                <w:color w:val="auto"/>
                <w:highlight w:val="none"/>
              </w:rPr>
              <w:t>（</w:t>
            </w:r>
            <w:r>
              <w:rPr>
                <w:rFonts w:hint="default"/>
                <w:b/>
                <w:bCs/>
                <w:color w:val="auto"/>
                <w:highlight w:val="none"/>
              </w:rPr>
              <w:t>1</w:t>
            </w:r>
            <w:r>
              <w:rPr>
                <w:rFonts w:hint="eastAsia"/>
                <w:b/>
                <w:bCs/>
                <w:color w:val="auto"/>
                <w:highlight w:val="none"/>
              </w:rPr>
              <w:t>）生活用水</w:t>
            </w:r>
          </w:p>
          <w:p>
            <w:pPr>
              <w:keepNext w:val="0"/>
              <w:keepLines w:val="0"/>
              <w:widowControl/>
              <w:suppressLineNumbers w:val="0"/>
              <w:spacing w:before="0" w:beforeAutospacing="0" w:after="0" w:afterAutospacing="0" w:line="360" w:lineRule="auto"/>
              <w:ind w:left="0" w:right="0" w:firstLine="480" w:firstLineChars="200"/>
              <w:rPr>
                <w:rFonts w:hint="default"/>
                <w:color w:val="auto"/>
                <w:sz w:val="24"/>
                <w:szCs w:val="22"/>
                <w:highlight w:val="none"/>
              </w:rPr>
            </w:pPr>
            <w:r>
              <w:rPr>
                <w:rFonts w:hint="eastAsia"/>
                <w:color w:val="auto"/>
                <w:sz w:val="24"/>
                <w:szCs w:val="22"/>
                <w:highlight w:val="none"/>
              </w:rPr>
              <w:t>扩建项目新增职工60人，均不在厂内食宿。类比现有项目生活用水量为9.0m</w:t>
            </w:r>
            <w:r>
              <w:rPr>
                <w:rFonts w:hint="eastAsia"/>
                <w:color w:val="auto"/>
                <w:sz w:val="24"/>
                <w:szCs w:val="22"/>
                <w:highlight w:val="none"/>
                <w:vertAlign w:val="superscript"/>
              </w:rPr>
              <w:t>3</w:t>
            </w:r>
            <w:r>
              <w:rPr>
                <w:rFonts w:hint="eastAsia"/>
                <w:color w:val="auto"/>
                <w:sz w:val="24"/>
                <w:szCs w:val="22"/>
                <w:highlight w:val="none"/>
              </w:rPr>
              <w:t>/d（180人，无食宿），则本次扩建项目生活用水量为3.0</w:t>
            </w:r>
            <w:r>
              <w:rPr>
                <w:rFonts w:hint="default"/>
                <w:color w:val="auto"/>
                <w:sz w:val="24"/>
                <w:szCs w:val="22"/>
                <w:highlight w:val="none"/>
              </w:rPr>
              <w:t>m</w:t>
            </w:r>
            <w:r>
              <w:rPr>
                <w:rFonts w:hint="default"/>
                <w:color w:val="auto"/>
                <w:sz w:val="24"/>
                <w:szCs w:val="22"/>
                <w:highlight w:val="none"/>
                <w:vertAlign w:val="superscript"/>
              </w:rPr>
              <w:t>3</w:t>
            </w:r>
            <w:r>
              <w:rPr>
                <w:rFonts w:hint="default"/>
                <w:color w:val="auto"/>
                <w:sz w:val="24"/>
                <w:szCs w:val="22"/>
                <w:highlight w:val="none"/>
              </w:rPr>
              <w:t>/d</w:t>
            </w:r>
            <w:r>
              <w:rPr>
                <w:rFonts w:hint="eastAsia"/>
                <w:color w:val="auto"/>
                <w:sz w:val="24"/>
                <w:szCs w:val="22"/>
                <w:highlight w:val="none"/>
              </w:rPr>
              <w:t>，即960</w:t>
            </w:r>
            <w:r>
              <w:rPr>
                <w:rFonts w:hint="default"/>
                <w:color w:val="auto"/>
                <w:sz w:val="24"/>
                <w:szCs w:val="22"/>
                <w:highlight w:val="none"/>
              </w:rPr>
              <w:t>m</w:t>
            </w:r>
            <w:r>
              <w:rPr>
                <w:rFonts w:hint="default"/>
                <w:color w:val="auto"/>
                <w:sz w:val="24"/>
                <w:szCs w:val="22"/>
                <w:highlight w:val="none"/>
                <w:vertAlign w:val="superscript"/>
              </w:rPr>
              <w:t>3</w:t>
            </w:r>
            <w:r>
              <w:rPr>
                <w:rFonts w:hint="default"/>
                <w:color w:val="auto"/>
                <w:sz w:val="24"/>
                <w:szCs w:val="22"/>
                <w:highlight w:val="none"/>
              </w:rPr>
              <w:t>/a</w:t>
            </w:r>
            <w:r>
              <w:rPr>
                <w:rFonts w:hint="eastAsia"/>
                <w:color w:val="auto"/>
                <w:sz w:val="24"/>
                <w:szCs w:val="22"/>
                <w:highlight w:val="none"/>
              </w:rPr>
              <w:t>（按320天计）。排水系数取</w:t>
            </w:r>
            <w:r>
              <w:rPr>
                <w:rFonts w:hint="default"/>
                <w:color w:val="auto"/>
                <w:sz w:val="24"/>
                <w:szCs w:val="22"/>
                <w:highlight w:val="none"/>
              </w:rPr>
              <w:t>0.8</w:t>
            </w:r>
            <w:r>
              <w:rPr>
                <w:rFonts w:hint="eastAsia"/>
                <w:color w:val="auto"/>
                <w:sz w:val="24"/>
                <w:szCs w:val="22"/>
                <w:highlight w:val="none"/>
              </w:rPr>
              <w:t>，则员工生活污水排放量为2.4</w:t>
            </w:r>
            <w:r>
              <w:rPr>
                <w:rFonts w:hint="default"/>
                <w:color w:val="auto"/>
                <w:sz w:val="24"/>
                <w:szCs w:val="22"/>
                <w:highlight w:val="none"/>
              </w:rPr>
              <w:t>m</w:t>
            </w:r>
            <w:r>
              <w:rPr>
                <w:rFonts w:hint="default"/>
                <w:color w:val="auto"/>
                <w:sz w:val="24"/>
                <w:szCs w:val="22"/>
                <w:highlight w:val="none"/>
                <w:vertAlign w:val="superscript"/>
              </w:rPr>
              <w:t>3</w:t>
            </w:r>
            <w:r>
              <w:rPr>
                <w:rFonts w:hint="default"/>
                <w:color w:val="auto"/>
                <w:sz w:val="24"/>
                <w:szCs w:val="22"/>
                <w:highlight w:val="none"/>
              </w:rPr>
              <w:t>/d</w:t>
            </w:r>
            <w:r>
              <w:rPr>
                <w:rFonts w:hint="eastAsia"/>
                <w:color w:val="auto"/>
                <w:sz w:val="24"/>
                <w:szCs w:val="22"/>
                <w:highlight w:val="none"/>
              </w:rPr>
              <w:t>，即768</w:t>
            </w:r>
            <w:r>
              <w:rPr>
                <w:rFonts w:hint="default"/>
                <w:color w:val="auto"/>
                <w:sz w:val="24"/>
                <w:szCs w:val="22"/>
                <w:highlight w:val="none"/>
              </w:rPr>
              <w:t>m</w:t>
            </w:r>
            <w:r>
              <w:rPr>
                <w:rFonts w:hint="default"/>
                <w:color w:val="auto"/>
                <w:sz w:val="24"/>
                <w:szCs w:val="22"/>
                <w:highlight w:val="none"/>
                <w:vertAlign w:val="superscript"/>
              </w:rPr>
              <w:t>3</w:t>
            </w:r>
            <w:r>
              <w:rPr>
                <w:rFonts w:hint="default"/>
                <w:color w:val="auto"/>
                <w:sz w:val="24"/>
                <w:szCs w:val="22"/>
                <w:highlight w:val="none"/>
              </w:rPr>
              <w:t>/a</w:t>
            </w:r>
            <w:r>
              <w:rPr>
                <w:rFonts w:hint="eastAsia"/>
                <w:color w:val="auto"/>
                <w:sz w:val="24"/>
                <w:szCs w:val="22"/>
                <w:highlight w:val="none"/>
              </w:rPr>
              <w:t>（按320天计）。生活污水通过厂区现有化粪池处理后纳入市政污水管网进入融元污水处理厂统一处理，处理达标后排放至龙江。</w:t>
            </w:r>
          </w:p>
          <w:p>
            <w:pPr>
              <w:keepNext w:val="0"/>
              <w:keepLines w:val="0"/>
              <w:widowControl/>
              <w:suppressLineNumbers w:val="0"/>
              <w:spacing w:before="0" w:beforeAutospacing="0" w:after="0" w:afterAutospacing="0" w:line="360" w:lineRule="auto"/>
              <w:ind w:left="0" w:right="0" w:firstLine="480" w:firstLineChars="200"/>
              <w:rPr>
                <w:rFonts w:hint="default"/>
                <w:b/>
                <w:bCs/>
                <w:color w:val="auto"/>
                <w:sz w:val="24"/>
                <w:szCs w:val="22"/>
                <w:highlight w:val="none"/>
              </w:rPr>
            </w:pPr>
            <w:r>
              <w:rPr>
                <w:rFonts w:hint="eastAsia"/>
                <w:b/>
                <w:bCs/>
                <w:color w:val="auto"/>
                <w:sz w:val="24"/>
                <w:szCs w:val="22"/>
                <w:highlight w:val="none"/>
              </w:rPr>
              <w:t>（2）生产用水</w:t>
            </w:r>
          </w:p>
          <w:p>
            <w:pPr>
              <w:keepNext w:val="0"/>
              <w:keepLines w:val="0"/>
              <w:widowControl/>
              <w:suppressLineNumbers w:val="0"/>
              <w:spacing w:before="0" w:beforeAutospacing="0" w:after="0" w:afterAutospacing="0" w:line="360" w:lineRule="auto"/>
              <w:ind w:left="0" w:right="0" w:firstLine="480" w:firstLineChars="200"/>
              <w:rPr>
                <w:rFonts w:hint="default"/>
                <w:color w:val="auto"/>
                <w:sz w:val="24"/>
                <w:szCs w:val="22"/>
                <w:highlight w:val="none"/>
              </w:rPr>
            </w:pPr>
            <w:r>
              <w:rPr>
                <w:rFonts w:hint="eastAsia"/>
                <w:color w:val="auto"/>
                <w:sz w:val="24"/>
                <w:szCs w:val="22"/>
                <w:highlight w:val="none"/>
              </w:rPr>
              <w:t>生产用水主要是脱脂生产用水、涂布工序用水、热压机设备冷却用水</w:t>
            </w:r>
            <w:r>
              <w:rPr>
                <w:rFonts w:hint="eastAsia"/>
                <w:color w:val="auto"/>
                <w:sz w:val="24"/>
                <w:szCs w:val="22"/>
                <w:highlight w:val="none"/>
                <w:lang w:val="en-US" w:eastAsia="zh-CN"/>
              </w:rPr>
              <w:t>及混动旋流塔循环用水</w:t>
            </w:r>
            <w:r>
              <w:rPr>
                <w:rFonts w:hint="eastAsia"/>
                <w:color w:val="auto"/>
                <w:sz w:val="24"/>
                <w:szCs w:val="22"/>
                <w:highlight w:val="none"/>
              </w:rPr>
              <w:t>。脱脂生产用水包括脱脂用水和洗净用水。因扩建项目使用粉体涂装，无喷漆工艺，且验收时未分别统计各工艺的用水量及废水排放量，因此无法根据竣工验收监测报告表类比各个工艺的用水量，主要是企业根据运营经验提供。</w:t>
            </w:r>
          </w:p>
          <w:p>
            <w:pPr>
              <w:keepNext w:val="0"/>
              <w:keepLines w:val="0"/>
              <w:widowControl/>
              <w:suppressLineNumbers w:val="0"/>
              <w:spacing w:before="0" w:beforeAutospacing="0" w:after="0" w:afterAutospacing="0" w:line="360" w:lineRule="auto"/>
              <w:ind w:left="0" w:right="0" w:firstLine="480" w:firstLineChars="200"/>
              <w:rPr>
                <w:rFonts w:hint="default"/>
                <w:b/>
                <w:bCs/>
                <w:color w:val="auto"/>
                <w:sz w:val="24"/>
                <w:szCs w:val="22"/>
                <w:highlight w:val="none"/>
              </w:rPr>
            </w:pPr>
            <w:r>
              <w:rPr>
                <w:rFonts w:ascii="宋体" w:hAnsi="宋体" w:cs="宋体" w:hint="eastAsia"/>
                <w:b/>
                <w:bCs/>
                <w:color w:val="auto"/>
                <w:sz w:val="24"/>
                <w:szCs w:val="22"/>
                <w:highlight w:val="none"/>
              </w:rPr>
              <w:t>①</w:t>
            </w:r>
            <w:r>
              <w:rPr>
                <w:rFonts w:hint="eastAsia"/>
                <w:b/>
                <w:bCs/>
                <w:color w:val="auto"/>
                <w:sz w:val="24"/>
                <w:szCs w:val="22"/>
                <w:highlight w:val="none"/>
              </w:rPr>
              <w:t>脱脂生产用水</w:t>
            </w:r>
          </w:p>
          <w:p>
            <w:pPr>
              <w:pStyle w:val="NormalIndent"/>
              <w:keepNext w:val="0"/>
              <w:keepLines w:val="0"/>
              <w:suppressLineNumbers w:val="0"/>
              <w:spacing w:before="0" w:beforeAutospacing="0" w:after="0" w:afterAutospacing="0"/>
              <w:ind w:left="0" w:right="0" w:firstLine="480"/>
              <w:rPr>
                <w:rFonts w:eastAsia="宋体" w:hint="eastAsia"/>
                <w:color w:val="auto"/>
                <w:highlight w:val="none"/>
                <w:lang w:val="en-US" w:eastAsia="zh-CN"/>
              </w:rPr>
            </w:pPr>
            <w:r>
              <w:rPr>
                <w:rFonts w:hint="eastAsia"/>
                <w:color w:val="auto"/>
                <w:szCs w:val="22"/>
                <w:highlight w:val="none"/>
              </w:rPr>
              <w:t>根据建设单位提供的资料，脱脂生产用水包括脱脂用水和洗净用水，</w:t>
            </w:r>
            <w:r>
              <w:rPr>
                <w:rFonts w:hint="eastAsia"/>
                <w:color w:val="auto"/>
                <w:highlight w:val="none"/>
              </w:rPr>
              <w:t>项目脱脂和洗净用水循环使用定期外排，一天排放一次，每次脱脂废水和洗净废水分别排放2.8m</w:t>
            </w:r>
            <w:r>
              <w:rPr>
                <w:rFonts w:hint="eastAsia"/>
                <w:color w:val="auto"/>
                <w:highlight w:val="none"/>
                <w:vertAlign w:val="superscript"/>
              </w:rPr>
              <w:t>3</w:t>
            </w:r>
            <w:r>
              <w:rPr>
                <w:rFonts w:hint="eastAsia"/>
                <w:color w:val="auto"/>
                <w:szCs w:val="22"/>
                <w:highlight w:val="none"/>
              </w:rPr>
              <w:t>（896m</w:t>
            </w:r>
            <w:r>
              <w:rPr>
                <w:rFonts w:hint="eastAsia"/>
                <w:color w:val="auto"/>
                <w:szCs w:val="22"/>
                <w:highlight w:val="none"/>
                <w:vertAlign w:val="superscript"/>
              </w:rPr>
              <w:t>3</w:t>
            </w:r>
            <w:r>
              <w:rPr>
                <w:rFonts w:hint="eastAsia"/>
                <w:color w:val="auto"/>
                <w:szCs w:val="22"/>
                <w:highlight w:val="none"/>
              </w:rPr>
              <w:t>/a）</w:t>
            </w:r>
            <w:r>
              <w:rPr>
                <w:rFonts w:hint="eastAsia"/>
                <w:color w:val="auto"/>
                <w:highlight w:val="none"/>
              </w:rPr>
              <w:t>废水，并补充2.8m</w:t>
            </w:r>
            <w:r>
              <w:rPr>
                <w:rFonts w:hint="eastAsia"/>
                <w:color w:val="auto"/>
                <w:highlight w:val="none"/>
                <w:vertAlign w:val="superscript"/>
              </w:rPr>
              <w:t>3</w:t>
            </w:r>
            <w:r>
              <w:rPr>
                <w:rFonts w:hint="eastAsia"/>
                <w:color w:val="auto"/>
                <w:szCs w:val="22"/>
                <w:highlight w:val="none"/>
              </w:rPr>
              <w:t>（896m</w:t>
            </w:r>
            <w:r>
              <w:rPr>
                <w:rFonts w:hint="eastAsia"/>
                <w:color w:val="auto"/>
                <w:szCs w:val="22"/>
                <w:highlight w:val="none"/>
                <w:vertAlign w:val="superscript"/>
              </w:rPr>
              <w:t>3</w:t>
            </w:r>
            <w:r>
              <w:rPr>
                <w:rFonts w:hint="eastAsia"/>
                <w:color w:val="auto"/>
                <w:szCs w:val="22"/>
                <w:highlight w:val="none"/>
              </w:rPr>
              <w:t>/a）</w:t>
            </w:r>
            <w:r>
              <w:rPr>
                <w:rFonts w:hint="eastAsia"/>
                <w:color w:val="auto"/>
                <w:highlight w:val="none"/>
              </w:rPr>
              <w:t>的自来水，则脱脂生产用水量和废水排放量为5.6m</w:t>
            </w:r>
            <w:r>
              <w:rPr>
                <w:rFonts w:hint="eastAsia"/>
                <w:color w:val="auto"/>
                <w:highlight w:val="none"/>
                <w:vertAlign w:val="superscript"/>
              </w:rPr>
              <w:t>3</w:t>
            </w:r>
            <w:r>
              <w:rPr>
                <w:rFonts w:hint="eastAsia"/>
                <w:color w:val="auto"/>
                <w:highlight w:val="none"/>
              </w:rPr>
              <w:t>/d</w:t>
            </w:r>
            <w:r>
              <w:rPr>
                <w:rFonts w:hint="eastAsia"/>
                <w:color w:val="auto"/>
                <w:szCs w:val="22"/>
                <w:highlight w:val="none"/>
              </w:rPr>
              <w:t>（1792m</w:t>
            </w:r>
            <w:r>
              <w:rPr>
                <w:rFonts w:hint="eastAsia"/>
                <w:color w:val="auto"/>
                <w:szCs w:val="22"/>
                <w:highlight w:val="none"/>
                <w:vertAlign w:val="superscript"/>
              </w:rPr>
              <w:t>3</w:t>
            </w:r>
            <w:r>
              <w:rPr>
                <w:rFonts w:hint="eastAsia"/>
                <w:color w:val="auto"/>
                <w:szCs w:val="22"/>
                <w:highlight w:val="none"/>
              </w:rPr>
              <w:t>/a）</w:t>
            </w:r>
            <w:r>
              <w:rPr>
                <w:rFonts w:hint="eastAsia"/>
                <w:color w:val="auto"/>
                <w:highlight w:val="none"/>
              </w:rPr>
              <w:t>。</w:t>
            </w:r>
            <w:r>
              <w:rPr>
                <w:rFonts w:hint="eastAsia"/>
                <w:color w:val="auto"/>
                <w:highlight w:val="none"/>
                <w:lang w:val="en-US" w:eastAsia="zh-CN"/>
              </w:rPr>
              <w:t>脱脂生产废水经厂内污水处理站处理达标后</w:t>
            </w:r>
            <w:r>
              <w:rPr>
                <w:rFonts w:hint="eastAsia"/>
                <w:color w:val="auto"/>
                <w:sz w:val="24"/>
                <w:szCs w:val="22"/>
                <w:highlight w:val="none"/>
              </w:rPr>
              <w:t>纳入市政污水管网进入融元污水处理厂统一处理</w:t>
            </w:r>
            <w:r>
              <w:rPr>
                <w:rFonts w:hint="eastAsia"/>
                <w:color w:val="auto"/>
                <w:sz w:val="24"/>
                <w:szCs w:val="22"/>
                <w:highlight w:val="none"/>
                <w:lang w:eastAsia="zh-CN"/>
              </w:rPr>
              <w:t>。</w:t>
            </w:r>
          </w:p>
          <w:p>
            <w:pPr>
              <w:pStyle w:val="NormalIndent"/>
              <w:keepNext w:val="0"/>
              <w:keepLines w:val="0"/>
              <w:suppressLineNumbers w:val="0"/>
              <w:spacing w:before="0" w:beforeAutospacing="0" w:after="0" w:afterAutospacing="0"/>
              <w:ind w:left="0" w:right="0" w:firstLine="482"/>
              <w:rPr>
                <w:rFonts w:hint="default"/>
                <w:b/>
                <w:bCs/>
                <w:color w:val="auto"/>
                <w:highlight w:val="none"/>
              </w:rPr>
            </w:pPr>
            <w:r>
              <w:rPr>
                <w:rFonts w:ascii="宋体" w:hAnsi="宋体" w:cs="宋体" w:hint="eastAsia"/>
                <w:b/>
                <w:bCs/>
                <w:color w:val="auto"/>
                <w:szCs w:val="22"/>
                <w:highlight w:val="none"/>
              </w:rPr>
              <w:t>②</w:t>
            </w:r>
            <w:r>
              <w:rPr>
                <w:rFonts w:hint="eastAsia"/>
                <w:b/>
                <w:bCs/>
                <w:color w:val="auto"/>
                <w:highlight w:val="none"/>
              </w:rPr>
              <w:t>涂布用水</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脱脂洗净后铁片需进行涂布工序（既涂胶黏剂），涂布工序</w:t>
            </w:r>
            <w:r>
              <w:rPr>
                <w:rFonts w:hint="eastAsia"/>
                <w:color w:val="auto"/>
                <w:highlight w:val="none"/>
                <w:lang w:val="en-US" w:eastAsia="zh-CN"/>
              </w:rPr>
              <w:t>采用水帘喷淋</w:t>
            </w:r>
            <w:r>
              <w:rPr>
                <w:rFonts w:hint="default"/>
                <w:color w:val="auto"/>
                <w:highlight w:val="none"/>
              </w:rPr>
              <w:t>，，</w:t>
            </w:r>
            <w:r>
              <w:rPr>
                <w:rFonts w:hint="eastAsia"/>
                <w:color w:val="auto"/>
                <w:highlight w:val="none"/>
              </w:rPr>
              <w:t>水帘用水循环使用不外排，定期补充损耗，</w:t>
            </w:r>
            <w:r>
              <w:rPr>
                <w:rFonts w:hint="eastAsia"/>
                <w:color w:val="auto"/>
                <w:szCs w:val="22"/>
                <w:highlight w:val="none"/>
              </w:rPr>
              <w:t>根据建设单位提供的资料，</w:t>
            </w:r>
            <w:r>
              <w:rPr>
                <w:rFonts w:hint="eastAsia"/>
                <w:color w:val="auto"/>
                <w:highlight w:val="none"/>
              </w:rPr>
              <w:t>每个月补充约1m</w:t>
            </w:r>
            <w:r>
              <w:rPr>
                <w:rFonts w:hint="eastAsia"/>
                <w:color w:val="auto"/>
                <w:highlight w:val="none"/>
                <w:vertAlign w:val="superscript"/>
              </w:rPr>
              <w:t>3</w:t>
            </w:r>
            <w:r>
              <w:rPr>
                <w:rFonts w:hint="eastAsia"/>
                <w:color w:val="auto"/>
                <w:szCs w:val="22"/>
                <w:highlight w:val="none"/>
              </w:rPr>
              <w:t>（11m</w:t>
            </w:r>
            <w:r>
              <w:rPr>
                <w:rFonts w:hint="eastAsia"/>
                <w:color w:val="auto"/>
                <w:szCs w:val="22"/>
                <w:highlight w:val="none"/>
                <w:vertAlign w:val="superscript"/>
              </w:rPr>
              <w:t>3</w:t>
            </w:r>
            <w:r>
              <w:rPr>
                <w:rFonts w:hint="eastAsia"/>
                <w:color w:val="auto"/>
                <w:szCs w:val="22"/>
                <w:highlight w:val="none"/>
              </w:rPr>
              <w:t>/a）</w:t>
            </w:r>
            <w:r>
              <w:rPr>
                <w:rFonts w:hint="eastAsia"/>
                <w:color w:val="auto"/>
                <w:highlight w:val="none"/>
              </w:rPr>
              <w:t>的自来水。</w:t>
            </w:r>
          </w:p>
          <w:p>
            <w:pPr>
              <w:keepNext w:val="0"/>
              <w:keepLines w:val="0"/>
              <w:widowControl/>
              <w:suppressLineNumbers w:val="0"/>
              <w:spacing w:before="0" w:beforeAutospacing="0" w:after="0" w:afterAutospacing="0" w:line="360" w:lineRule="auto"/>
              <w:ind w:left="0" w:right="0" w:firstLine="480" w:firstLineChars="200"/>
              <w:rPr>
                <w:rFonts w:hint="default"/>
                <w:b/>
                <w:bCs/>
                <w:color w:val="auto"/>
                <w:sz w:val="24"/>
                <w:highlight w:val="none"/>
              </w:rPr>
            </w:pPr>
            <w:r>
              <w:rPr>
                <w:rFonts w:ascii="宋体" w:hAnsi="宋体" w:cs="宋体" w:hint="default"/>
                <w:b/>
                <w:bCs/>
                <w:color w:val="auto"/>
                <w:sz w:val="24"/>
                <w:szCs w:val="22"/>
                <w:highlight w:val="none"/>
              </w:rPr>
              <w:t>③</w:t>
            </w:r>
            <w:r>
              <w:rPr>
                <w:rFonts w:hint="default"/>
                <w:b/>
                <w:bCs/>
                <w:color w:val="auto"/>
                <w:sz w:val="24"/>
                <w:highlight w:val="none"/>
              </w:rPr>
              <w:t>热压机设备冷却用水</w:t>
            </w:r>
          </w:p>
          <w:p>
            <w:pPr>
              <w:pStyle w:val="NormalIndent"/>
              <w:keepNext w:val="0"/>
              <w:keepLines w:val="0"/>
              <w:suppressLineNumbers w:val="0"/>
              <w:spacing w:before="0" w:beforeAutospacing="0" w:after="0" w:afterAutospacing="0"/>
              <w:ind w:left="0" w:right="0" w:firstLine="480"/>
              <w:rPr>
                <w:rFonts w:hint="default"/>
                <w:color w:val="auto"/>
                <w:szCs w:val="22"/>
                <w:highlight w:val="none"/>
              </w:rPr>
            </w:pPr>
            <w:r>
              <w:rPr>
                <w:rFonts w:hint="eastAsia"/>
                <w:color w:val="auto"/>
                <w:szCs w:val="22"/>
                <w:highlight w:val="none"/>
              </w:rPr>
              <w:t>项目拟新增1座30m</w:t>
            </w:r>
            <w:r>
              <w:rPr>
                <w:rFonts w:hint="eastAsia"/>
                <w:color w:val="auto"/>
                <w:szCs w:val="22"/>
                <w:highlight w:val="none"/>
                <w:vertAlign w:val="superscript"/>
              </w:rPr>
              <w:t>3</w:t>
            </w:r>
            <w:r>
              <w:rPr>
                <w:rFonts w:hint="eastAsia"/>
                <w:color w:val="auto"/>
                <w:szCs w:val="22"/>
                <w:highlight w:val="none"/>
              </w:rPr>
              <w:t>/h冷却水塔，则扩建项目设备冷却水循环水量为720</w:t>
            </w:r>
            <w:r>
              <w:rPr>
                <w:rFonts w:hint="default"/>
                <w:color w:val="auto"/>
                <w:szCs w:val="22"/>
                <w:highlight w:val="none"/>
              </w:rPr>
              <w:t>m</w:t>
            </w:r>
            <w:r>
              <w:rPr>
                <w:rFonts w:hint="default"/>
                <w:color w:val="auto"/>
                <w:szCs w:val="22"/>
                <w:highlight w:val="none"/>
                <w:vertAlign w:val="superscript"/>
              </w:rPr>
              <w:t>3</w:t>
            </w:r>
            <w:r>
              <w:rPr>
                <w:rFonts w:hint="default"/>
                <w:color w:val="auto"/>
                <w:szCs w:val="22"/>
                <w:highlight w:val="none"/>
              </w:rPr>
              <w:t>/d</w:t>
            </w:r>
            <w:r>
              <w:rPr>
                <w:rFonts w:hint="eastAsia"/>
                <w:color w:val="auto"/>
                <w:szCs w:val="22"/>
                <w:highlight w:val="none"/>
              </w:rPr>
              <w:t>，用于热压机设备间接冷却。冷却水耗损量以循环量的2%计，则扩建项目需补充新鲜水14.4m</w:t>
            </w:r>
            <w:r>
              <w:rPr>
                <w:rFonts w:hint="eastAsia"/>
                <w:color w:val="auto"/>
                <w:szCs w:val="22"/>
                <w:highlight w:val="none"/>
                <w:vertAlign w:val="superscript"/>
              </w:rPr>
              <w:t>3</w:t>
            </w:r>
            <w:r>
              <w:rPr>
                <w:rFonts w:hint="eastAsia"/>
                <w:color w:val="auto"/>
                <w:szCs w:val="22"/>
                <w:highlight w:val="none"/>
              </w:rPr>
              <w:t>/d（4608m</w:t>
            </w:r>
            <w:r>
              <w:rPr>
                <w:rFonts w:hint="eastAsia"/>
                <w:color w:val="auto"/>
                <w:szCs w:val="22"/>
                <w:highlight w:val="none"/>
                <w:vertAlign w:val="superscript"/>
              </w:rPr>
              <w:t>3</w:t>
            </w:r>
            <w:r>
              <w:rPr>
                <w:rFonts w:hint="eastAsia"/>
                <w:color w:val="auto"/>
                <w:szCs w:val="22"/>
                <w:highlight w:val="none"/>
              </w:rPr>
              <w:t>/a），</w:t>
            </w:r>
            <w:r>
              <w:rPr>
                <w:rFonts w:hint="eastAsia"/>
                <w:color w:val="auto"/>
                <w:highlight w:val="none"/>
              </w:rPr>
              <w:t>冷却水与设备间接接触，循环使用不外排</w:t>
            </w:r>
            <w:r>
              <w:rPr>
                <w:rFonts w:hint="eastAsia"/>
                <w:color w:val="auto"/>
                <w:szCs w:val="22"/>
                <w:highlight w:val="none"/>
              </w:rPr>
              <w:t>。</w:t>
            </w:r>
          </w:p>
          <w:p>
            <w:pPr>
              <w:keepNext w:val="0"/>
              <w:keepLines w:val="0"/>
              <w:widowControl/>
              <w:suppressLineNumbers w:val="0"/>
              <w:spacing w:before="0" w:beforeAutospacing="0" w:after="0" w:afterAutospacing="0" w:line="360" w:lineRule="auto"/>
              <w:ind w:left="0" w:right="0" w:firstLine="480" w:firstLineChars="200"/>
              <w:rPr>
                <w:rFonts w:hint="default"/>
                <w:b/>
                <w:bCs/>
                <w:color w:val="auto"/>
                <w:sz w:val="24"/>
                <w:highlight w:val="none"/>
              </w:rPr>
            </w:pPr>
            <w:r>
              <w:rPr>
                <w:rFonts w:ascii="宋体" w:hAnsi="宋体" w:cs="宋体" w:hint="default"/>
                <w:b/>
                <w:bCs/>
                <w:color w:val="auto"/>
                <w:sz w:val="24"/>
                <w:szCs w:val="22"/>
                <w:highlight w:val="none"/>
              </w:rPr>
              <w:t>③</w:t>
            </w:r>
            <w:r>
              <w:rPr>
                <w:rFonts w:hint="default"/>
                <w:b/>
                <w:bCs/>
                <w:color w:val="auto"/>
                <w:sz w:val="24"/>
                <w:highlight w:val="none"/>
              </w:rPr>
              <w:t>混动旋流塔循环用水</w:t>
            </w:r>
          </w:p>
        </w:tc>
      </w:tr>
    </w:tbl>
    <w:p>
      <w:pPr>
        <w:sectPr>
          <w:footerReference w:type="default" r:id="rId23"/>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13"/>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3"/>
        <w:gridCol w:w="8836"/>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5855"/>
          <w:jc w:val="center"/>
        </w:trPr>
        <w:tc>
          <w:tcPr>
            <w:tcW w:w="455" w:type="dxa"/>
            <w:vAlign w:val="center"/>
          </w:tcPr>
          <w:p/>
        </w:tc>
        <w:tc>
          <w:tcPr>
            <w:tcW w:w="8834" w:type="dxa"/>
          </w:tcPr>
          <w:p>
            <w:pPr>
              <w:pStyle w:val="NormalIndent"/>
              <w:keepNext w:val="0"/>
              <w:keepLines w:val="0"/>
              <w:suppressLineNumbers w:val="0"/>
              <w:spacing w:before="0" w:beforeAutospacing="0" w:after="0" w:afterAutospacing="0"/>
              <w:ind w:left="0" w:right="0" w:firstLine="480"/>
              <w:rPr>
                <w:rFonts w:eastAsia="宋体" w:hint="default"/>
                <w:color w:val="auto"/>
                <w:szCs w:val="22"/>
                <w:highlight w:val="none"/>
                <w:lang w:val="en-US" w:eastAsia="zh-CN"/>
              </w:rPr>
            </w:pPr>
            <w:r>
              <w:rPr>
                <w:rFonts w:hint="eastAsia"/>
                <w:color w:val="auto"/>
                <w:szCs w:val="22"/>
                <w:highlight w:val="none"/>
                <w:lang w:val="en-US" w:eastAsia="zh-CN"/>
              </w:rPr>
              <w:t>本项目有机废气处理设备使用</w:t>
            </w:r>
            <w:r>
              <w:rPr>
                <w:rFonts w:hint="eastAsia"/>
                <w:b/>
                <w:bCs/>
                <w:color w:val="auto"/>
                <w:sz w:val="24"/>
                <w:highlight w:val="none"/>
              </w:rPr>
              <w:t>混动旋流塔+离心除雾+蜂窝等离子净化器+活性炭吸附净化器</w:t>
            </w:r>
            <w:r>
              <w:rPr>
                <w:rFonts w:hint="eastAsia"/>
                <w:b w:val="0"/>
                <w:bCs w:val="0"/>
                <w:color w:val="auto"/>
                <w:sz w:val="24"/>
                <w:highlight w:val="none"/>
                <w:lang w:val="en-US" w:eastAsia="zh-CN"/>
              </w:rPr>
              <w:t>进行</w:t>
            </w:r>
            <w:r>
              <w:rPr>
                <w:rFonts w:hint="eastAsia"/>
                <w:color w:val="auto"/>
                <w:szCs w:val="22"/>
                <w:highlight w:val="none"/>
                <w:lang w:val="en-US" w:eastAsia="zh-CN"/>
              </w:rPr>
              <w:t>处理，根据设计单位提供的资料，混动旋流塔循环水量为36m</w:t>
            </w:r>
            <w:r>
              <w:rPr>
                <w:rFonts w:hint="eastAsia"/>
                <w:color w:val="auto"/>
                <w:szCs w:val="22"/>
                <w:highlight w:val="none"/>
                <w:vertAlign w:val="superscript"/>
                <w:lang w:val="en-US" w:eastAsia="zh-CN"/>
              </w:rPr>
              <w:t>3</w:t>
            </w:r>
            <w:r>
              <w:rPr>
                <w:rFonts w:hint="eastAsia"/>
                <w:color w:val="auto"/>
                <w:szCs w:val="22"/>
                <w:highlight w:val="none"/>
                <w:lang w:val="en-US" w:eastAsia="zh-CN"/>
              </w:rPr>
              <w:t>/h，循环使用不外排，需定期补充损耗水，</w:t>
            </w:r>
            <w:r>
              <w:rPr>
                <w:rFonts w:hint="eastAsia"/>
                <w:color w:val="auto"/>
                <w:szCs w:val="22"/>
                <w:highlight w:val="none"/>
              </w:rPr>
              <w:t>耗损量以循环量的</w:t>
            </w:r>
            <w:r>
              <w:rPr>
                <w:rFonts w:hint="eastAsia"/>
                <w:color w:val="auto"/>
                <w:szCs w:val="22"/>
                <w:highlight w:val="none"/>
                <w:lang w:val="en-US" w:eastAsia="zh-CN"/>
              </w:rPr>
              <w:t>3</w:t>
            </w:r>
            <w:r>
              <w:rPr>
                <w:rFonts w:hint="eastAsia"/>
                <w:color w:val="auto"/>
                <w:szCs w:val="22"/>
                <w:highlight w:val="none"/>
              </w:rPr>
              <w:t>%计</w:t>
            </w:r>
            <w:r>
              <w:rPr>
                <w:rFonts w:hint="eastAsia"/>
                <w:color w:val="auto"/>
                <w:szCs w:val="22"/>
                <w:highlight w:val="none"/>
                <w:lang w:eastAsia="zh-CN"/>
              </w:rPr>
              <w:t>，</w:t>
            </w:r>
            <w:r>
              <w:rPr>
                <w:rFonts w:hint="eastAsia"/>
                <w:color w:val="auto"/>
                <w:szCs w:val="22"/>
                <w:highlight w:val="none"/>
              </w:rPr>
              <w:t>则需补充新鲜水</w:t>
            </w:r>
            <w:r>
              <w:rPr>
                <w:rFonts w:hint="eastAsia"/>
                <w:color w:val="auto"/>
                <w:szCs w:val="22"/>
                <w:highlight w:val="none"/>
                <w:lang w:val="en-US" w:eastAsia="zh-CN"/>
              </w:rPr>
              <w:t>25.92</w:t>
            </w:r>
            <w:r>
              <w:rPr>
                <w:rFonts w:hint="eastAsia"/>
                <w:color w:val="auto"/>
                <w:szCs w:val="22"/>
                <w:highlight w:val="none"/>
              </w:rPr>
              <w:t>m</w:t>
            </w:r>
            <w:r>
              <w:rPr>
                <w:rFonts w:hint="eastAsia"/>
                <w:color w:val="auto"/>
                <w:szCs w:val="22"/>
                <w:highlight w:val="none"/>
                <w:vertAlign w:val="superscript"/>
              </w:rPr>
              <w:t>3</w:t>
            </w:r>
            <w:r>
              <w:rPr>
                <w:rFonts w:hint="eastAsia"/>
                <w:color w:val="auto"/>
                <w:szCs w:val="22"/>
                <w:highlight w:val="none"/>
              </w:rPr>
              <w:t>/d（</w:t>
            </w:r>
            <w:r>
              <w:rPr>
                <w:rFonts w:hint="eastAsia"/>
                <w:color w:val="auto"/>
                <w:szCs w:val="22"/>
                <w:highlight w:val="none"/>
                <w:lang w:val="en-US" w:eastAsia="zh-CN"/>
              </w:rPr>
              <w:t>8294.4</w:t>
            </w:r>
            <w:r>
              <w:rPr>
                <w:rFonts w:hint="eastAsia"/>
                <w:color w:val="auto"/>
                <w:szCs w:val="22"/>
                <w:highlight w:val="none"/>
              </w:rPr>
              <w:t>m</w:t>
            </w:r>
            <w:r>
              <w:rPr>
                <w:rFonts w:hint="eastAsia"/>
                <w:color w:val="auto"/>
                <w:szCs w:val="22"/>
                <w:highlight w:val="none"/>
                <w:vertAlign w:val="superscript"/>
              </w:rPr>
              <w:t>3</w:t>
            </w:r>
            <w:r>
              <w:rPr>
                <w:rFonts w:hint="eastAsia"/>
                <w:color w:val="auto"/>
                <w:szCs w:val="22"/>
                <w:highlight w:val="none"/>
              </w:rPr>
              <w:t>/a）</w:t>
            </w:r>
            <w:r>
              <w:rPr>
                <w:rFonts w:hint="eastAsia"/>
                <w:color w:val="auto"/>
                <w:szCs w:val="22"/>
                <w:highlight w:val="none"/>
                <w:lang w:val="en-US" w:eastAsia="zh-CN"/>
              </w:rPr>
              <w:t>。离心除雾箱废水接到</w:t>
            </w:r>
            <w:r>
              <w:rPr>
                <w:rFonts w:hint="eastAsia"/>
                <w:b/>
                <w:bCs/>
                <w:color w:val="auto"/>
                <w:sz w:val="24"/>
                <w:highlight w:val="none"/>
              </w:rPr>
              <w:t>混动旋流塔</w:t>
            </w:r>
            <w:r>
              <w:rPr>
                <w:rFonts w:hint="eastAsia"/>
                <w:b/>
                <w:bCs/>
                <w:color w:val="auto"/>
                <w:sz w:val="24"/>
                <w:highlight w:val="none"/>
                <w:lang w:val="en-US" w:eastAsia="zh-CN"/>
              </w:rPr>
              <w:t>内循环使用不外排。</w:t>
            </w:r>
          </w:p>
          <w:p>
            <w:pPr>
              <w:pStyle w:val="NormalIndent"/>
              <w:keepNext w:val="0"/>
              <w:keepLines w:val="0"/>
              <w:suppressLineNumbers w:val="0"/>
              <w:spacing w:before="0" w:beforeAutospacing="0" w:after="0" w:afterAutospacing="0"/>
              <w:ind w:left="0" w:right="0" w:firstLine="480"/>
              <w:rPr>
                <w:rFonts w:hint="default"/>
                <w:color w:val="auto"/>
                <w:szCs w:val="22"/>
                <w:highlight w:val="none"/>
              </w:rPr>
            </w:pPr>
            <w:r>
              <w:rPr>
                <w:rFonts w:hint="eastAsia"/>
                <w:color w:val="auto"/>
                <w:szCs w:val="22"/>
                <w:highlight w:val="none"/>
              </w:rPr>
              <w:t>扩建工程水平衡见图2.1-1，全厂水平衡见图2.1-2。</w:t>
            </w:r>
          </w:p>
          <w:p>
            <w:pPr>
              <w:keepNext w:val="0"/>
              <w:keepLines w:val="0"/>
              <w:widowControl/>
              <w:suppressLineNumbers w:val="0"/>
              <w:spacing w:before="0" w:beforeAutospacing="0" w:after="0" w:afterAutospacing="0"/>
              <w:ind w:left="0" w:right="0"/>
              <w:jc w:val="center"/>
              <w:rPr>
                <w:rFonts w:hint="default"/>
                <w:color w:val="auto"/>
                <w:sz w:val="24"/>
                <w:szCs w:val="20"/>
                <w:highlight w:val="none"/>
              </w:rPr>
            </w:pPr>
            <w:r>
              <w:rPr>
                <w:rFonts w:hint="default"/>
                <w:color w:val="auto"/>
                <w:sz w:val="24"/>
                <w:szCs w:val="20"/>
                <w:highlight w:val="non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5.5pt;height:255.1pt" o:ole="" coordsize="21600,21600" o:preferrelative="t" filled="f" stroked="f">
                  <v:imagedata r:id="rId24" o:title="" croptop="742f" cropbottom="7142f"/>
                  <o:lock v:ext="edit" aspectratio="t"/>
                  <w10:anchorlock/>
                </v:shape>
                <o:OLEObject Type="Embed" ProgID="Visio.Drawing.15" ShapeID="_x0000_i1025" DrawAspect="Content" ObjectID="_1468075725" r:id="rId25"/>
              </w:object>
            </w:r>
          </w:p>
          <w:p>
            <w:pPr>
              <w:keepNext w:val="0"/>
              <w:keepLines w:val="0"/>
              <w:widowControl/>
              <w:suppressLineNumbers w:val="0"/>
              <w:spacing w:before="0" w:beforeAutospacing="0" w:after="0" w:afterAutospacing="0"/>
              <w:ind w:left="0" w:right="0"/>
              <w:jc w:val="center"/>
              <w:rPr>
                <w:rFonts w:hint="default"/>
                <w:b/>
                <w:color w:val="auto"/>
                <w:sz w:val="24"/>
                <w:highlight w:val="none"/>
              </w:rPr>
            </w:pPr>
            <w:r>
              <w:rPr>
                <w:rFonts w:hint="default"/>
                <w:b/>
                <w:color w:val="auto"/>
                <w:sz w:val="24"/>
                <w:highlight w:val="none"/>
              </w:rPr>
              <w:t>图</w:t>
            </w:r>
            <w:r>
              <w:rPr>
                <w:rFonts w:hint="eastAsia"/>
                <w:b/>
                <w:color w:val="auto"/>
                <w:sz w:val="24"/>
                <w:highlight w:val="none"/>
              </w:rPr>
              <w:t xml:space="preserve">2.1-1 </w:t>
            </w:r>
            <w:r>
              <w:rPr>
                <w:rFonts w:hint="eastAsia"/>
                <w:b/>
                <w:color w:val="auto"/>
                <w:sz w:val="24"/>
                <w:highlight w:val="none"/>
                <w:lang w:val="en-US" w:eastAsia="zh-CN"/>
              </w:rPr>
              <w:t>本次</w:t>
            </w:r>
            <w:r>
              <w:rPr>
                <w:rFonts w:hint="eastAsia"/>
                <w:b/>
                <w:color w:val="auto"/>
                <w:sz w:val="24"/>
                <w:highlight w:val="none"/>
              </w:rPr>
              <w:t>扩建项目水平衡图（单位：m</w:t>
            </w:r>
            <w:r>
              <w:rPr>
                <w:rFonts w:hint="eastAsia"/>
                <w:b/>
                <w:color w:val="auto"/>
                <w:sz w:val="24"/>
                <w:highlight w:val="none"/>
                <w:vertAlign w:val="superscript"/>
              </w:rPr>
              <w:t>3</w:t>
            </w:r>
            <w:r>
              <w:rPr>
                <w:rFonts w:hint="eastAsia"/>
                <w:b/>
                <w:color w:val="auto"/>
                <w:sz w:val="24"/>
                <w:highlight w:val="none"/>
              </w:rPr>
              <w:t>/a）</w:t>
            </w:r>
          </w:p>
        </w:tc>
      </w:tr>
    </w:tbl>
    <w:p>
      <w:pPr>
        <w:sectPr>
          <w:footerReference w:type="default" r:id="rId26"/>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14"/>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3"/>
        <w:gridCol w:w="8836"/>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5855"/>
          <w:jc w:val="center"/>
        </w:trPr>
        <w:tc>
          <w:tcPr>
            <w:tcW w:w="455" w:type="dxa"/>
            <w:vAlign w:val="center"/>
          </w:tcPr>
          <w:p/>
        </w:tc>
        <w:tc>
          <w:tcPr>
            <w:tcW w:w="8834" w:type="dxa"/>
          </w:tcPr>
          <w:p>
            <w:pPr>
              <w:keepNext w:val="0"/>
              <w:keepLines w:val="0"/>
              <w:widowControl/>
              <w:suppressLineNumbers w:val="0"/>
              <w:spacing w:before="0" w:beforeAutospacing="0" w:after="0" w:afterAutospacing="0"/>
              <w:ind w:left="0" w:right="0"/>
              <w:jc w:val="center"/>
              <w:rPr>
                <w:rFonts w:hint="default"/>
                <w:color w:val="auto"/>
                <w:sz w:val="24"/>
                <w:szCs w:val="22"/>
                <w:highlight w:val="none"/>
              </w:rPr>
            </w:pPr>
            <w:r>
              <w:rPr>
                <w:rFonts w:hint="default"/>
                <w:color w:val="auto"/>
                <w:sz w:val="24"/>
                <w:szCs w:val="20"/>
                <w:highlight w:val="none"/>
              </w:rPr>
              <w:object>
                <v:shape id="_x0000_i1026" type="#_x0000_t75" style="width:340.35pt;height:318pt" o:ole="" coordsize="21600,21600" o:preferrelative="t" filled="f" stroked="f">
                  <v:imagedata r:id="rId27" o:title="" cropbottom="16765f"/>
                  <o:lock v:ext="edit" aspectratio="t"/>
                  <w10:anchorlock/>
                </v:shape>
                <o:OLEObject Type="Embed" ProgID="Visio.Drawing.15" ShapeID="_x0000_i1026" DrawAspect="Content" ObjectID="_1468075726" r:id="rId28"/>
              </w:object>
            </w:r>
          </w:p>
          <w:p>
            <w:pPr>
              <w:keepNext w:val="0"/>
              <w:keepLines w:val="0"/>
              <w:suppressLineNumbers w:val="0"/>
              <w:spacing w:before="0" w:beforeAutospacing="0" w:after="0" w:afterAutospacing="0"/>
              <w:ind w:left="0" w:right="0"/>
              <w:jc w:val="center"/>
              <w:rPr>
                <w:rFonts w:hint="default"/>
                <w:color w:val="auto"/>
                <w:highlight w:val="none"/>
              </w:rPr>
            </w:pPr>
            <w:r>
              <w:rPr>
                <w:rFonts w:hint="default"/>
                <w:b/>
                <w:color w:val="auto"/>
                <w:sz w:val="24"/>
                <w:highlight w:val="none"/>
              </w:rPr>
              <w:t>图</w:t>
            </w:r>
            <w:r>
              <w:rPr>
                <w:rFonts w:hint="eastAsia"/>
                <w:b/>
                <w:color w:val="auto"/>
                <w:sz w:val="24"/>
                <w:highlight w:val="none"/>
              </w:rPr>
              <w:t>2.1-2 扩建后全厂水平衡图（单位：m</w:t>
            </w:r>
            <w:r>
              <w:rPr>
                <w:rFonts w:hint="eastAsia"/>
                <w:b/>
                <w:color w:val="auto"/>
                <w:sz w:val="24"/>
                <w:highlight w:val="none"/>
                <w:vertAlign w:val="superscript"/>
              </w:rPr>
              <w:t>3</w:t>
            </w:r>
            <w:r>
              <w:rPr>
                <w:rFonts w:hint="eastAsia"/>
                <w:b/>
                <w:color w:val="auto"/>
                <w:sz w:val="24"/>
                <w:highlight w:val="none"/>
              </w:rPr>
              <w:t>/a）</w:t>
            </w:r>
          </w:p>
        </w:tc>
      </w:tr>
      <w:tr>
        <w:tblPrEx>
          <w:tblW w:w="0" w:type="auto"/>
          <w:jc w:val="center"/>
          <w:tblCellMar>
            <w:top w:w="0" w:type="dxa"/>
            <w:left w:w="108" w:type="dxa"/>
            <w:bottom w:w="0" w:type="dxa"/>
            <w:right w:w="108" w:type="dxa"/>
          </w:tblCellMar>
        </w:tblPrEx>
        <w:trPr>
          <w:trHeight w:val="497"/>
          <w:jc w:val="center"/>
        </w:trPr>
        <w:tc>
          <w:tcPr>
            <w:tcW w:w="455" w:type="dxa"/>
            <w:vAlign w:val="center"/>
          </w:tcPr>
          <w:p>
            <w:pPr>
              <w:pStyle w:val="NormalWeb"/>
              <w:keepNext w:val="0"/>
              <w:keepLines w:val="0"/>
              <w:suppressLineNumbers w:val="0"/>
              <w:adjustRightInd w:val="0"/>
              <w:snapToGrid w:val="0"/>
              <w:spacing w:before="0" w:beforeAutospacing="0" w:after="0" w:afterAutospacing="0"/>
              <w:ind w:left="0" w:right="0"/>
              <w:jc w:val="center"/>
              <w:rPr>
                <w:rFonts w:ascii="Times New Roman" w:hAnsi="Times New Roman" w:hint="default"/>
                <w:color w:val="auto"/>
                <w:szCs w:val="24"/>
                <w:highlight w:val="none"/>
              </w:rPr>
            </w:pPr>
            <w:r>
              <w:rPr>
                <w:rFonts w:ascii="Times New Roman" w:hAnsi="Times New Roman" w:hint="default"/>
                <w:color w:val="auto"/>
                <w:szCs w:val="24"/>
                <w:highlight w:val="none"/>
              </w:rPr>
              <w:t>工艺流程和产排污环节</w:t>
            </w:r>
          </w:p>
        </w:tc>
        <w:tc>
          <w:tcPr>
            <w:tcW w:w="8834" w:type="dxa"/>
          </w:tcPr>
          <w:p>
            <w:pPr>
              <w:pStyle w:val="Heading2"/>
              <w:suppressLineNumbers w:val="0"/>
              <w:spacing w:before="120" w:beforeAutospacing="0" w:after="120" w:afterAutospacing="0"/>
              <w:ind w:left="0" w:right="0"/>
              <w:rPr>
                <w:rFonts w:hint="default"/>
                <w:color w:val="auto"/>
                <w:kern w:val="2"/>
                <w:highlight w:val="none"/>
              </w:rPr>
            </w:pPr>
            <w:r>
              <w:rPr>
                <w:rFonts w:hint="default"/>
                <w:color w:val="auto"/>
                <w:kern w:val="2"/>
                <w:highlight w:val="none"/>
              </w:rPr>
              <w:t>2.2 工艺流程和产排污环节</w:t>
            </w:r>
          </w:p>
          <w:p>
            <w:pPr>
              <w:pStyle w:val="Heading3"/>
              <w:keepNext w:val="0"/>
              <w:keepLines w:val="0"/>
              <w:suppressLineNumbers w:val="0"/>
              <w:spacing w:before="120" w:beforeAutospacing="0" w:after="120" w:afterAutospacing="0"/>
              <w:ind w:left="0" w:right="0"/>
              <w:rPr>
                <w:rFonts w:hint="default"/>
                <w:color w:val="auto"/>
                <w:highlight w:val="none"/>
              </w:rPr>
            </w:pPr>
            <w:r>
              <w:rPr>
                <w:color w:val="auto"/>
                <w:highlight w:val="none"/>
              </w:rPr>
              <w:t>2.2.1工艺流程</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本次扩建项目主要生产刹车片</w:t>
            </w:r>
            <w:r>
              <w:rPr>
                <w:rFonts w:hint="eastAsia"/>
                <w:color w:val="auto"/>
                <w:highlight w:val="none"/>
                <w:lang w:eastAsia="zh-CN"/>
              </w:rPr>
              <w:t>，</w:t>
            </w:r>
            <w:r>
              <w:rPr>
                <w:rFonts w:hint="eastAsia"/>
                <w:color w:val="auto"/>
                <w:highlight w:val="none"/>
                <w:lang w:val="en-US" w:eastAsia="zh-CN"/>
              </w:rPr>
              <w:t>主要生产工艺是</w:t>
            </w:r>
            <w:r>
              <w:rPr>
                <w:rFonts w:hint="eastAsia"/>
                <w:color w:val="auto"/>
                <w:highlight w:val="none"/>
              </w:rPr>
              <w:t>先将铁片进行表面脱脂处理后，喷涂胶黏剂，后与摩擦材料预压后的半成品进行热压、热处理，再经切沟打磨，涂粉喷印。</w:t>
            </w:r>
            <w:r>
              <w:rPr>
                <w:rFonts w:hint="eastAsia"/>
                <w:color w:val="auto"/>
                <w:highlight w:val="none"/>
                <w:lang w:val="en-US" w:eastAsia="zh-CN"/>
              </w:rPr>
              <w:t>扩建项目的</w:t>
            </w:r>
            <w:r>
              <w:rPr>
                <w:rFonts w:hint="eastAsia"/>
                <w:color w:val="auto"/>
                <w:highlight w:val="none"/>
              </w:rPr>
              <w:t>刹车片的工艺流程及产污环节见图</w:t>
            </w:r>
            <w:r>
              <w:rPr>
                <w:rFonts w:hint="eastAsia"/>
                <w:color w:val="auto"/>
                <w:highlight w:val="none"/>
                <w:lang w:val="en-US" w:eastAsia="zh-CN"/>
              </w:rPr>
              <w:t>2.2-1</w:t>
            </w:r>
            <w:r>
              <w:rPr>
                <w:rFonts w:hint="eastAsia"/>
                <w:color w:val="auto"/>
                <w:highlight w:val="none"/>
              </w:rPr>
              <w:t>：</w:t>
            </w:r>
          </w:p>
          <w:p>
            <w:pPr>
              <w:pStyle w:val="NormalIndent"/>
              <w:keepNext w:val="0"/>
              <w:keepLines w:val="0"/>
              <w:suppressLineNumbers w:val="0"/>
              <w:spacing w:before="0" w:beforeAutospacing="0" w:after="0" w:afterAutospacing="0"/>
              <w:ind w:left="0" w:right="0" w:firstLine="480"/>
              <w:rPr>
                <w:rFonts w:hint="default"/>
                <w:b/>
                <w:bCs/>
                <w:color w:val="auto"/>
                <w:highlight w:val="none"/>
              </w:rPr>
            </w:pPr>
            <w:r>
              <w:rPr>
                <w:rFonts w:hint="eastAsia"/>
                <w:b/>
                <w:bCs/>
                <w:color w:val="auto"/>
                <w:highlight w:val="none"/>
              </w:rPr>
              <w:t>工艺流程说明：</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（1）铁片预处理工序</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外购刹车片用铁片表面含有一定油脂等杂质、不利于后期工序，因此需对其表面进行脱脂洗净处理，脱脂洗净工序采用自动洗净线。将脱脂剂定期补充入两个脱脂水槽，脱脂水槽内水循环使用，定期外排部分废水。两个水洗水槽内的清洗水循环使用，定期外排部分废水。</w:t>
            </w:r>
            <w:r>
              <w:rPr>
                <w:rFonts w:ascii="Times New Roman" w:hAnsi="Times New Roman" w:cs="Times New Roman" w:hint="default"/>
                <w:color w:val="auto"/>
                <w:highlight w:val="none"/>
              </w:rPr>
              <w:t>脱脂水槽和水洗水槽内水温控制在50℃左右</w:t>
            </w:r>
            <w:r>
              <w:rPr>
                <w:rFonts w:hint="eastAsia"/>
                <w:color w:val="auto"/>
                <w:highlight w:val="none"/>
              </w:rPr>
              <w:t>，由设备自带加热器加热。之后铁片再经环带式研扫机珠击（打磨）后，完成铁片预处理，抛丸机设备自带布袋除尘器，珠击碎屑经自带的布袋除尘器收集。</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（2）铁片喷涂（涂布）烘干工序</w:t>
            </w:r>
          </w:p>
        </w:tc>
      </w:tr>
    </w:tbl>
    <w:p>
      <w:pPr>
        <w:sectPr>
          <w:footerReference w:type="default" r:id="rId29"/>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15"/>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3"/>
        <w:gridCol w:w="8836"/>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497"/>
          <w:jc w:val="center"/>
        </w:trPr>
        <w:tc>
          <w:tcPr>
            <w:tcW w:w="455" w:type="dxa"/>
            <w:vAlign w:val="center"/>
          </w:tcPr>
          <w:p/>
        </w:tc>
        <w:tc>
          <w:tcPr>
            <w:tcW w:w="8834" w:type="dxa"/>
          </w:tcPr>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前道预处理后的铁片</w:t>
            </w:r>
            <w:r>
              <w:rPr>
                <w:rFonts w:ascii="Times New Roman" w:hAnsi="Times New Roman" w:cs="Times New Roman" w:hint="default"/>
                <w:color w:val="auto"/>
                <w:highlight w:val="none"/>
              </w:rPr>
              <w:t>，置入涂布机内进行两次喷胶黏剂及烘干冷却。第一次涂布后烘干温度控制在180℃，后经自然冷却后，再进行第二次涂布及烘干冷却（第二次烘干温度80℃），涂布机供热采用自带的电热器供热。涂布机内配套水帘设备，水帘设备用水循环使用，定期补充循环水不外排。喷胶黏剂采用自动喷胶设备，胶黏剂为热塑性酚醛树脂，为钢</w:t>
            </w:r>
            <w:r>
              <w:rPr>
                <w:rFonts w:hint="eastAsia"/>
                <w:color w:val="auto"/>
                <w:highlight w:val="none"/>
              </w:rPr>
              <w:t>瓶形式接入涂布机内。</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项目烘干过程除胶黏剂内溶剂成分会产生一定挥发外，胶黏剂中的热塑性酚醛树脂中所含的游离酚和游离醛也会有一定量挥发，同时热塑性酚醛树脂所含的固化剂乌洛托品（六亚甲基四胺）在超过100℃下发生分解，形成二甲醇胺并释放出氨，从而二甲醇胺与酚醛树脂分子反应，发生交联。乌洛托品（六亚甲基四胺）的受热分解可表示为：C</w:t>
            </w:r>
            <w:r>
              <w:rPr>
                <w:rFonts w:hint="eastAsia"/>
                <w:color w:val="auto"/>
                <w:highlight w:val="none"/>
                <w:vertAlign w:val="subscript"/>
              </w:rPr>
              <w:t>6</w:t>
            </w:r>
            <w:r>
              <w:rPr>
                <w:rFonts w:hint="eastAsia"/>
                <w:color w:val="auto"/>
                <w:highlight w:val="none"/>
              </w:rPr>
              <w:t>H</w:t>
            </w:r>
            <w:r>
              <w:rPr>
                <w:rFonts w:hint="eastAsia"/>
                <w:color w:val="auto"/>
                <w:highlight w:val="none"/>
                <w:vertAlign w:val="subscript"/>
              </w:rPr>
              <w:t>12</w:t>
            </w:r>
            <w:r>
              <w:rPr>
                <w:rFonts w:hint="eastAsia"/>
                <w:color w:val="auto"/>
                <w:highlight w:val="none"/>
              </w:rPr>
              <w:t>N</w:t>
            </w:r>
            <w:r>
              <w:rPr>
                <w:rFonts w:hint="eastAsia"/>
                <w:color w:val="auto"/>
                <w:highlight w:val="none"/>
                <w:vertAlign w:val="subscript"/>
              </w:rPr>
              <w:t>4</w:t>
            </w:r>
            <w:r>
              <w:rPr>
                <w:rFonts w:hint="eastAsia"/>
                <w:color w:val="auto"/>
                <w:highlight w:val="none"/>
              </w:rPr>
              <w:t>+6H</w:t>
            </w:r>
            <w:r>
              <w:rPr>
                <w:rFonts w:hint="eastAsia"/>
                <w:color w:val="auto"/>
                <w:highlight w:val="none"/>
                <w:vertAlign w:val="subscript"/>
              </w:rPr>
              <w:t>2</w:t>
            </w:r>
            <w:r>
              <w:rPr>
                <w:rFonts w:hint="eastAsia"/>
                <w:color w:val="auto"/>
                <w:highlight w:val="none"/>
              </w:rPr>
              <w:t>O=3C</w:t>
            </w:r>
            <w:r>
              <w:rPr>
                <w:rFonts w:hint="eastAsia"/>
                <w:color w:val="auto"/>
                <w:highlight w:val="none"/>
                <w:vertAlign w:val="subscript"/>
              </w:rPr>
              <w:t>2</w:t>
            </w:r>
            <w:r>
              <w:rPr>
                <w:rFonts w:hint="eastAsia"/>
                <w:color w:val="auto"/>
                <w:highlight w:val="none"/>
              </w:rPr>
              <w:t>H</w:t>
            </w:r>
            <w:r>
              <w:rPr>
                <w:rFonts w:hint="eastAsia"/>
                <w:color w:val="auto"/>
                <w:highlight w:val="none"/>
                <w:vertAlign w:val="subscript"/>
              </w:rPr>
              <w:t>4</w:t>
            </w:r>
            <w:r>
              <w:rPr>
                <w:rFonts w:hint="eastAsia"/>
                <w:color w:val="auto"/>
                <w:highlight w:val="none"/>
              </w:rPr>
              <w:t>O</w:t>
            </w:r>
            <w:r>
              <w:rPr>
                <w:rFonts w:hint="eastAsia"/>
                <w:color w:val="auto"/>
                <w:highlight w:val="none"/>
                <w:vertAlign w:val="subscript"/>
              </w:rPr>
              <w:t>2</w:t>
            </w:r>
            <w:r>
              <w:rPr>
                <w:rFonts w:hint="eastAsia"/>
                <w:color w:val="auto"/>
                <w:highlight w:val="none"/>
              </w:rPr>
              <w:t>H</w:t>
            </w:r>
            <w:r>
              <w:rPr>
                <w:rFonts w:hint="eastAsia"/>
                <w:color w:val="auto"/>
                <w:highlight w:val="none"/>
                <w:vertAlign w:val="subscript"/>
              </w:rPr>
              <w:t>2</w:t>
            </w:r>
            <w:r>
              <w:rPr>
                <w:rFonts w:hint="eastAsia"/>
                <w:color w:val="auto"/>
                <w:highlight w:val="none"/>
              </w:rPr>
              <w:t>NH+NH</w:t>
            </w:r>
            <w:r>
              <w:rPr>
                <w:rFonts w:hint="eastAsia"/>
                <w:color w:val="auto"/>
                <w:highlight w:val="none"/>
                <w:vertAlign w:val="subscript"/>
              </w:rPr>
              <w:t>3</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（3）预压工序</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lang w:val="en-US" w:eastAsia="zh-CN"/>
              </w:rPr>
              <w:t>将已混合好的摩擦材料进行预压成型后进入下一步工序</w:t>
            </w:r>
            <w:r>
              <w:rPr>
                <w:rFonts w:hint="eastAsia"/>
                <w:color w:val="auto"/>
                <w:highlight w:val="none"/>
              </w:rPr>
              <w:t>。</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（4）热压工序</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预压成型后的摩擦材料与表面处理、涂布后的铁片，由人工摆放入热压机进行热压，热压工序持续6~9分钟，温度控制在160</w:t>
            </w:r>
            <w:r>
              <w:rPr>
                <w:rFonts w:hint="default"/>
                <w:color w:val="auto"/>
                <w:highlight w:val="none"/>
              </w:rPr>
              <w:t>℃左右</w:t>
            </w:r>
            <w:r>
              <w:rPr>
                <w:rFonts w:hint="eastAsia"/>
                <w:color w:val="auto"/>
                <w:highlight w:val="none"/>
              </w:rPr>
              <w:t>，供热采用热压机自带的电热器供热。</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（5）热处理工序</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热压后的刹车片半成品，放入热处理炉内热处理，热处理供热采用机器自带的电热器供热，热处理持续5个小时，其中前1个小时匀速加温至230</w:t>
            </w:r>
            <w:r>
              <w:rPr>
                <w:rFonts w:hint="default"/>
                <w:color w:val="auto"/>
                <w:highlight w:val="none"/>
              </w:rPr>
              <w:t>℃</w:t>
            </w:r>
            <w:r>
              <w:rPr>
                <w:rFonts w:hint="eastAsia"/>
                <w:color w:val="auto"/>
                <w:highlight w:val="none"/>
              </w:rPr>
              <w:t>，后在230</w:t>
            </w:r>
            <w:r>
              <w:rPr>
                <w:rFonts w:hint="default"/>
                <w:color w:val="auto"/>
                <w:highlight w:val="none"/>
              </w:rPr>
              <w:t>℃</w:t>
            </w:r>
            <w:r>
              <w:rPr>
                <w:rFonts w:hint="eastAsia"/>
                <w:color w:val="auto"/>
                <w:highlight w:val="none"/>
              </w:rPr>
              <w:t>保温3小时和最后1小时降温处理至常温。</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（6）表面烧结（铁板烧）工序</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表面烧结工序在铁板烘烤生产线上进行，烘烤温度控制在500</w:t>
            </w:r>
            <w:r>
              <w:rPr>
                <w:rFonts w:hint="default"/>
                <w:color w:val="auto"/>
                <w:highlight w:val="none"/>
              </w:rPr>
              <w:t>℃</w:t>
            </w:r>
            <w:r>
              <w:rPr>
                <w:rFonts w:hint="eastAsia"/>
                <w:color w:val="auto"/>
                <w:highlight w:val="none"/>
              </w:rPr>
              <w:t>，采用机器自带的电热器供热，烘烤过程，胶黏剂和酚醛树脂颗粒中的溶剂和乌洛托品全部挥发或分解完全。</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（7）表面加工工序</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表面烧结后产品在切沟倒角研磨一体机上进行切沟倒角、研磨工序，切沟倒角研磨一体机为密闭设备，废气采用负压收集。</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（8）粉体涂装干燥工序</w:t>
            </w:r>
          </w:p>
          <w:p>
            <w:pPr>
              <w:pStyle w:val="NormalIndent"/>
              <w:keepNext w:val="0"/>
              <w:keepLines w:val="0"/>
              <w:suppressLineNumbers w:val="0"/>
              <w:spacing w:before="0" w:beforeAutospacing="0" w:after="0" w:afterAutospacing="0"/>
              <w:ind w:left="0" w:right="0" w:firstLine="480"/>
              <w:rPr>
                <w:rFonts w:hint="default"/>
                <w:color w:val="auto"/>
                <w:highlight w:val="none"/>
              </w:rPr>
            </w:pPr>
          </w:p>
        </w:tc>
      </w:tr>
    </w:tbl>
    <w:p>
      <w:pPr>
        <w:sectPr>
          <w:footerReference w:type="default" r:id="rId30"/>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16"/>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3"/>
        <w:gridCol w:w="8836"/>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497"/>
          <w:jc w:val="center"/>
        </w:trPr>
        <w:tc>
          <w:tcPr>
            <w:tcW w:w="455" w:type="dxa"/>
            <w:vAlign w:val="center"/>
          </w:tcPr>
          <w:p/>
        </w:tc>
        <w:tc>
          <w:tcPr>
            <w:tcW w:w="8834" w:type="dxa"/>
          </w:tcPr>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经物性检验的刹车片半成品在粉体涂装干燥一体化设备在密闭条件下进行。该设备烘干过程会产生少量废气经收集处理后排放；设备喷套有塑粉回收设备（布袋除尘器），对喷塑过程中设备内部逸散塑粉进行收集回收。</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（9）喷印工序</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经粉体涂装的半成品先在喷墨印字机上进行喷印作业，喷印过程仅使用少量的油墨，且主要为人工操作。</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（10）钉铆钉、检查、包装工序</w:t>
            </w:r>
          </w:p>
          <w:p>
            <w:pPr>
              <w:pStyle w:val="NormalIndent"/>
              <w:keepNext w:val="0"/>
              <w:keepLines w:val="0"/>
              <w:suppressLineNumbers w:val="0"/>
              <w:spacing w:before="0" w:beforeAutospacing="0" w:after="0" w:afterAutospacing="0"/>
              <w:ind w:left="0" w:right="0" w:firstLine="480"/>
              <w:rPr>
                <w:rFonts w:hint="eastAsia"/>
                <w:color w:val="auto"/>
                <w:highlight w:val="none"/>
              </w:rPr>
            </w:pPr>
            <w:r>
              <w:rPr>
                <w:rFonts w:hint="eastAsia"/>
                <w:color w:val="auto"/>
                <w:highlight w:val="none"/>
              </w:rPr>
              <w:t>贴好隙片的成品继续在铆钉机、包装机和打包机上进行后续的钉铆钉、加压隙片、外观检查后成品包装。</w:t>
            </w:r>
          </w:p>
          <w:p>
            <w:pPr>
              <w:pStyle w:val="Heading3"/>
              <w:keepNext w:val="0"/>
              <w:keepLines w:val="0"/>
              <w:suppressLineNumbers w:val="0"/>
              <w:spacing w:before="120" w:beforeAutospacing="0" w:after="120" w:afterAutospacing="0"/>
              <w:ind w:left="0" w:right="0"/>
              <w:rPr>
                <w:rFonts w:hint="default"/>
                <w:color w:val="auto"/>
                <w:highlight w:val="none"/>
              </w:rPr>
            </w:pPr>
            <w:r>
              <w:rPr>
                <w:color w:val="auto"/>
                <w:highlight w:val="none"/>
              </w:rPr>
              <w:t>2.2.2产污环节</w:t>
            </w:r>
          </w:p>
          <w:p>
            <w:pPr>
              <w:keepNext w:val="0"/>
              <w:keepLines w:val="0"/>
              <w:suppressLineNumbers w:val="0"/>
              <w:spacing w:before="0" w:beforeAutospacing="0" w:after="0" w:afterAutospacing="0" w:line="360" w:lineRule="auto"/>
              <w:ind w:left="0" w:right="0"/>
              <w:jc w:val="center"/>
              <w:rPr>
                <w:rFonts w:hint="default"/>
                <w:b/>
                <w:bCs/>
                <w:color w:val="auto"/>
                <w:sz w:val="24"/>
                <w:highlight w:val="none"/>
                <w:shd w:val="clear" w:color="auto" w:fill="FFFFFF"/>
              </w:rPr>
            </w:pPr>
            <w:r>
              <w:rPr>
                <w:rFonts w:hint="eastAsia"/>
                <w:b/>
                <w:bCs/>
                <w:color w:val="auto"/>
                <w:sz w:val="24"/>
                <w:highlight w:val="none"/>
                <w:shd w:val="clear" w:color="auto" w:fill="FFFFFF"/>
              </w:rPr>
              <w:t>表2.2-1 本次扩建项目产污环节一览表</w:t>
            </w:r>
          </w:p>
          <w:tbl>
            <w:tblPr>
              <w:tblStyle w:val="TableNormal"/>
              <w:tblW w:w="4914" w:type="pct"/>
              <w:jc w:val="center"/>
              <w:tblBorders>
                <w:top w:val="single" w:sz="18" w:space="0" w:color="auto"/>
                <w:left w:val="none" w:sz="0" w:space="0" w:color="auto"/>
                <w:bottom w:val="single" w:sz="18" w:space="0" w:color="auto"/>
                <w:right w:val="none" w:sz="0" w:space="0" w:color="auto"/>
                <w:insideH w:val="single" w:sz="8" w:space="0" w:color="auto"/>
                <w:insideV w:val="single" w:sz="8" w:space="0" w:color="auto"/>
              </w:tblBorders>
              <w:tblCellMar>
                <w:top w:w="0" w:type="dxa"/>
                <w:left w:w="108" w:type="dxa"/>
                <w:bottom w:w="0" w:type="dxa"/>
                <w:right w:w="108" w:type="dxa"/>
              </w:tblCellMar>
            </w:tblPr>
            <w:tblGrid>
              <w:gridCol w:w="477"/>
              <w:gridCol w:w="1482"/>
              <w:gridCol w:w="1650"/>
              <w:gridCol w:w="1988"/>
              <w:gridCol w:w="2875"/>
            </w:tblGrid>
            <w:tr>
              <w:tblPrEx>
                <w:tblW w:w="4914" w:type="pct"/>
                <w:jc w:val="center"/>
                <w:tblBorders>
                  <w:top w:val="single" w:sz="18" w:space="0" w:color="auto"/>
                  <w:left w:val="none" w:sz="0" w:space="0" w:color="auto"/>
                  <w:bottom w:val="single" w:sz="18" w:space="0" w:color="auto"/>
                  <w:right w:val="none" w:sz="0" w:space="0" w:color="auto"/>
                  <w:insideH w:val="single" w:sz="8" w:space="0" w:color="auto"/>
                  <w:insideV w:val="single" w:sz="8" w:space="0" w:color="auto"/>
                </w:tblBorders>
                <w:tblCellMar>
                  <w:top w:w="0" w:type="dxa"/>
                  <w:left w:w="108" w:type="dxa"/>
                  <w:bottom w:w="0" w:type="dxa"/>
                  <w:right w:w="108" w:type="dxa"/>
                </w:tblCellMar>
              </w:tblPrEx>
              <w:trPr>
                <w:trHeight w:val="312"/>
                <w:jc w:val="center"/>
              </w:trPr>
              <w:tc>
                <w:tcPr>
                  <w:tcW w:w="1959" w:type="dxa"/>
                  <w:gridSpan w:val="2"/>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b/>
                      <w:bCs/>
                      <w:color w:val="auto"/>
                      <w:szCs w:val="21"/>
                      <w:highlight w:val="none"/>
                    </w:rPr>
                  </w:pPr>
                  <w:r>
                    <w:rPr>
                      <w:rFonts w:ascii="Times New Roman" w:eastAsia="宋体" w:hAnsi="Times New Roman" w:cs="Times New Roman" w:hint="default"/>
                      <w:b/>
                      <w:bCs/>
                      <w:color w:val="auto"/>
                      <w:sz w:val="21"/>
                      <w:szCs w:val="21"/>
                      <w:highlight w:val="none"/>
                    </w:rPr>
                    <w:t>类别</w:t>
                  </w:r>
                </w:p>
              </w:tc>
              <w:tc>
                <w:tcPr>
                  <w:tcW w:w="165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b/>
                      <w:bCs/>
                      <w:color w:val="auto"/>
                      <w:szCs w:val="21"/>
                      <w:highlight w:val="none"/>
                    </w:rPr>
                  </w:pPr>
                  <w:r>
                    <w:rPr>
                      <w:rFonts w:ascii="Times New Roman" w:eastAsia="宋体" w:hAnsi="Times New Roman" w:cs="Times New Roman" w:hint="default"/>
                      <w:b/>
                      <w:bCs/>
                      <w:color w:val="auto"/>
                      <w:sz w:val="21"/>
                      <w:szCs w:val="21"/>
                      <w:highlight w:val="none"/>
                    </w:rPr>
                    <w:t>产污环节</w:t>
                  </w:r>
                </w:p>
              </w:tc>
              <w:tc>
                <w:tcPr>
                  <w:tcW w:w="198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b/>
                      <w:bCs/>
                      <w:color w:val="auto"/>
                      <w:szCs w:val="21"/>
                      <w:highlight w:val="none"/>
                    </w:rPr>
                  </w:pPr>
                  <w:r>
                    <w:rPr>
                      <w:rFonts w:ascii="Times New Roman" w:eastAsia="宋体" w:hAnsi="Times New Roman" w:cs="Times New Roman" w:hint="default"/>
                      <w:b/>
                      <w:bCs/>
                      <w:color w:val="auto"/>
                      <w:sz w:val="21"/>
                      <w:szCs w:val="21"/>
                      <w:highlight w:val="none"/>
                    </w:rPr>
                    <w:t>主要污染物</w:t>
                  </w:r>
                </w:p>
              </w:tc>
              <w:tc>
                <w:tcPr>
                  <w:tcW w:w="287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b/>
                      <w:bCs/>
                      <w:color w:val="auto"/>
                      <w:szCs w:val="21"/>
                      <w:highlight w:val="none"/>
                    </w:rPr>
                  </w:pPr>
                  <w:r>
                    <w:rPr>
                      <w:rFonts w:ascii="Times New Roman" w:eastAsia="宋体" w:hAnsi="Times New Roman" w:cs="Times New Roman" w:hint="default"/>
                      <w:b/>
                      <w:bCs/>
                      <w:color w:val="auto"/>
                      <w:sz w:val="21"/>
                      <w:szCs w:val="21"/>
                      <w:highlight w:val="none"/>
                    </w:rPr>
                    <w:t>治理措施及排放去向</w:t>
                  </w:r>
                </w:p>
              </w:tc>
            </w:tr>
            <w:tr>
              <w:tblPrEx>
                <w:tblW w:w="4914" w:type="pct"/>
                <w:jc w:val="center"/>
                <w:tblCellMar>
                  <w:top w:w="0" w:type="dxa"/>
                  <w:left w:w="108" w:type="dxa"/>
                  <w:bottom w:w="0" w:type="dxa"/>
                  <w:right w:w="108" w:type="dxa"/>
                </w:tblCellMar>
              </w:tblPrEx>
              <w:trPr>
                <w:trHeight w:val="312"/>
                <w:jc w:val="center"/>
              </w:trPr>
              <w:tc>
                <w:tcPr>
                  <w:tcW w:w="477"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废气</w:t>
                  </w:r>
                </w:p>
              </w:tc>
              <w:tc>
                <w:tcPr>
                  <w:tcW w:w="1482"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珠击粉尘</w:t>
                  </w:r>
                </w:p>
              </w:tc>
              <w:tc>
                <w:tcPr>
                  <w:tcW w:w="165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珠击</w:t>
                  </w:r>
                </w:p>
              </w:tc>
              <w:tc>
                <w:tcPr>
                  <w:tcW w:w="198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颗粒物</w:t>
                  </w:r>
                </w:p>
              </w:tc>
              <w:tc>
                <w:tcPr>
                  <w:tcW w:w="287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经设备自带的除尘器处理后直接无组织排放</w:t>
                  </w:r>
                </w:p>
              </w:tc>
            </w:tr>
            <w:tr>
              <w:tblPrEx>
                <w:tblW w:w="4914" w:type="pct"/>
                <w:jc w:val="center"/>
                <w:tblCellMar>
                  <w:top w:w="0" w:type="dxa"/>
                  <w:left w:w="108" w:type="dxa"/>
                  <w:bottom w:w="0" w:type="dxa"/>
                  <w:right w:w="108" w:type="dxa"/>
                </w:tblCellMar>
              </w:tblPrEx>
              <w:trPr>
                <w:trHeight w:val="452"/>
                <w:jc w:val="center"/>
              </w:trPr>
              <w:tc>
                <w:tcPr>
                  <w:tcW w:w="477" w:type="dxa"/>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szCs w:val="21"/>
                      <w:highlight w:val="none"/>
                    </w:rPr>
                  </w:pPr>
                </w:p>
              </w:tc>
              <w:tc>
                <w:tcPr>
                  <w:tcW w:w="1482"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预压、切沟倒角、研磨粉尘</w:t>
                  </w:r>
                </w:p>
              </w:tc>
              <w:tc>
                <w:tcPr>
                  <w:tcW w:w="165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预压、切沟倒角、研磨</w:t>
                  </w:r>
                </w:p>
              </w:tc>
              <w:tc>
                <w:tcPr>
                  <w:tcW w:w="198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颗粒物</w:t>
                  </w:r>
                </w:p>
              </w:tc>
              <w:tc>
                <w:tcPr>
                  <w:tcW w:w="2873" w:type="dxa"/>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经布袋除尘器处理达标后并入排气筒（</w:t>
                  </w:r>
                  <w:r>
                    <w:rPr>
                      <w:rFonts w:cs="Times New Roman" w:hint="eastAsia"/>
                      <w:color w:val="auto"/>
                      <w:sz w:val="21"/>
                      <w:szCs w:val="21"/>
                      <w:highlight w:val="none"/>
                      <w:lang w:eastAsia="zh-CN"/>
                    </w:rPr>
                    <w:t>DA001</w:t>
                  </w:r>
                  <w:r>
                    <w:rPr>
                      <w:rFonts w:ascii="Times New Roman" w:eastAsia="宋体" w:hAnsi="Times New Roman" w:cs="Times New Roman" w:hint="default"/>
                      <w:color w:val="auto"/>
                      <w:sz w:val="21"/>
                      <w:szCs w:val="21"/>
                      <w:highlight w:val="none"/>
                    </w:rPr>
                    <w:t>）高空排放</w:t>
                  </w:r>
                </w:p>
              </w:tc>
            </w:tr>
            <w:tr>
              <w:tblPrEx>
                <w:tblW w:w="4914" w:type="pct"/>
                <w:jc w:val="center"/>
                <w:tblCellMar>
                  <w:top w:w="0" w:type="dxa"/>
                  <w:left w:w="108" w:type="dxa"/>
                  <w:bottom w:w="0" w:type="dxa"/>
                  <w:right w:w="108" w:type="dxa"/>
                </w:tblCellMar>
              </w:tblPrEx>
              <w:trPr>
                <w:trHeight w:val="312"/>
                <w:jc w:val="center"/>
              </w:trPr>
              <w:tc>
                <w:tcPr>
                  <w:tcW w:w="477" w:type="dxa"/>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szCs w:val="21"/>
                      <w:highlight w:val="none"/>
                    </w:rPr>
                  </w:pPr>
                </w:p>
              </w:tc>
              <w:tc>
                <w:tcPr>
                  <w:tcW w:w="1482"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粉体涂装粉尘</w:t>
                  </w:r>
                </w:p>
              </w:tc>
              <w:tc>
                <w:tcPr>
                  <w:tcW w:w="165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粉体涂装</w:t>
                  </w:r>
                </w:p>
              </w:tc>
              <w:tc>
                <w:tcPr>
                  <w:tcW w:w="198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粉体（颗粒物）</w:t>
                  </w:r>
                </w:p>
              </w:tc>
              <w:tc>
                <w:tcPr>
                  <w:tcW w:w="2873" w:type="dxa"/>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经设备自带的塑粉回收设备收集后回用于生产</w:t>
                  </w:r>
                </w:p>
              </w:tc>
            </w:tr>
            <w:tr>
              <w:tblPrEx>
                <w:tblW w:w="4914" w:type="pct"/>
                <w:jc w:val="center"/>
                <w:tblCellMar>
                  <w:top w:w="0" w:type="dxa"/>
                  <w:left w:w="108" w:type="dxa"/>
                  <w:bottom w:w="0" w:type="dxa"/>
                  <w:right w:w="108" w:type="dxa"/>
                </w:tblCellMar>
              </w:tblPrEx>
              <w:trPr>
                <w:trHeight w:val="312"/>
                <w:jc w:val="center"/>
              </w:trPr>
              <w:tc>
                <w:tcPr>
                  <w:tcW w:w="477" w:type="dxa"/>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szCs w:val="21"/>
                      <w:highlight w:val="none"/>
                    </w:rPr>
                  </w:pPr>
                </w:p>
              </w:tc>
              <w:tc>
                <w:tcPr>
                  <w:tcW w:w="1482"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有机废气</w:t>
                  </w:r>
                </w:p>
              </w:tc>
              <w:tc>
                <w:tcPr>
                  <w:tcW w:w="165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涂布烘干、热压成型、热处理、铁板烧、粉体烘干、批号捺印</w:t>
                  </w:r>
                </w:p>
              </w:tc>
              <w:tc>
                <w:tcPr>
                  <w:tcW w:w="198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非甲烷总烃、甲醛、氨气、酚、硫化氢、颗粒物</w:t>
                  </w:r>
                </w:p>
              </w:tc>
              <w:tc>
                <w:tcPr>
                  <w:tcW w:w="2873" w:type="dxa"/>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经收集后由混动旋流塔+离心除雾+蜂窝等离子净化器+活性炭吸附净化器处理后通过排气筒（</w:t>
                  </w:r>
                  <w:r>
                    <w:rPr>
                      <w:rFonts w:cs="Times New Roman" w:hint="eastAsia"/>
                      <w:color w:val="auto"/>
                      <w:sz w:val="21"/>
                      <w:szCs w:val="21"/>
                      <w:highlight w:val="none"/>
                      <w:lang w:eastAsia="zh-CN"/>
                    </w:rPr>
                    <w:t>DA001</w:t>
                  </w:r>
                  <w:r>
                    <w:rPr>
                      <w:rFonts w:ascii="Times New Roman" w:eastAsia="宋体" w:hAnsi="Times New Roman" w:cs="Times New Roman" w:hint="default"/>
                      <w:color w:val="auto"/>
                      <w:sz w:val="21"/>
                      <w:szCs w:val="21"/>
                      <w:highlight w:val="none"/>
                    </w:rPr>
                    <w:t>）排放到大气环境中</w:t>
                  </w:r>
                </w:p>
              </w:tc>
            </w:tr>
            <w:tr>
              <w:tblPrEx>
                <w:tblW w:w="4914" w:type="pct"/>
                <w:jc w:val="center"/>
                <w:tblCellMar>
                  <w:top w:w="0" w:type="dxa"/>
                  <w:left w:w="108" w:type="dxa"/>
                  <w:bottom w:w="0" w:type="dxa"/>
                  <w:right w:w="108" w:type="dxa"/>
                </w:tblCellMar>
              </w:tblPrEx>
              <w:trPr>
                <w:trHeight w:val="312"/>
                <w:jc w:val="center"/>
              </w:trPr>
              <w:tc>
                <w:tcPr>
                  <w:tcW w:w="477"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废水</w:t>
                  </w:r>
                </w:p>
              </w:tc>
              <w:tc>
                <w:tcPr>
                  <w:tcW w:w="1482"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生活污水</w:t>
                  </w:r>
                </w:p>
              </w:tc>
              <w:tc>
                <w:tcPr>
                  <w:tcW w:w="165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员工生活</w:t>
                  </w:r>
                </w:p>
              </w:tc>
              <w:tc>
                <w:tcPr>
                  <w:tcW w:w="198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COD、BOD</w:t>
                  </w:r>
                  <w:r>
                    <w:rPr>
                      <w:rFonts w:ascii="Times New Roman" w:eastAsia="宋体" w:hAnsi="Times New Roman" w:cs="Times New Roman" w:hint="default"/>
                      <w:color w:val="auto"/>
                      <w:sz w:val="21"/>
                      <w:szCs w:val="21"/>
                      <w:highlight w:val="none"/>
                      <w:vertAlign w:val="subscript"/>
                    </w:rPr>
                    <w:t>5</w:t>
                  </w:r>
                  <w:r>
                    <w:rPr>
                      <w:rFonts w:ascii="Times New Roman" w:eastAsia="宋体" w:hAnsi="Times New Roman" w:cs="Times New Roman" w:hint="default"/>
                      <w:color w:val="auto"/>
                      <w:sz w:val="21"/>
                      <w:szCs w:val="21"/>
                      <w:highlight w:val="none"/>
                    </w:rPr>
                    <w:t>、氨氮</w:t>
                  </w:r>
                </w:p>
              </w:tc>
              <w:tc>
                <w:tcPr>
                  <w:tcW w:w="2873"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生活废水经化粪池处理达标后与经厂区废水处理站处理达标的生产废水一起排入市政污水管网纳入福清市融元污水厂处理厂处理</w:t>
                  </w:r>
                </w:p>
              </w:tc>
            </w:tr>
            <w:tr>
              <w:tblPrEx>
                <w:tblW w:w="4914" w:type="pct"/>
                <w:jc w:val="center"/>
                <w:tblCellMar>
                  <w:top w:w="0" w:type="dxa"/>
                  <w:left w:w="108" w:type="dxa"/>
                  <w:bottom w:w="0" w:type="dxa"/>
                  <w:right w:w="108" w:type="dxa"/>
                </w:tblCellMar>
              </w:tblPrEx>
              <w:trPr>
                <w:trHeight w:val="312"/>
                <w:jc w:val="center"/>
              </w:trPr>
              <w:tc>
                <w:tcPr>
                  <w:tcW w:w="477" w:type="dxa"/>
                  <w:vMerg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p>
              </w:tc>
              <w:tc>
                <w:tcPr>
                  <w:tcW w:w="1482"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脱脂废水</w:t>
                  </w:r>
                </w:p>
              </w:tc>
              <w:tc>
                <w:tcPr>
                  <w:tcW w:w="165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脱脂洗净</w:t>
                  </w:r>
                </w:p>
              </w:tc>
              <w:tc>
                <w:tcPr>
                  <w:tcW w:w="198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pH、COD、SS、氨氮、石油类、阴离子表面活性剂</w:t>
                  </w:r>
                </w:p>
              </w:tc>
              <w:tc>
                <w:tcPr>
                  <w:tcW w:w="2873" w:type="dxa"/>
                  <w:vMerg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p>
              </w:tc>
            </w:tr>
            <w:tr>
              <w:tblPrEx>
                <w:tblW w:w="4914" w:type="pct"/>
                <w:jc w:val="center"/>
                <w:tblCellMar>
                  <w:top w:w="0" w:type="dxa"/>
                  <w:left w:w="108" w:type="dxa"/>
                  <w:bottom w:w="0" w:type="dxa"/>
                  <w:right w:w="108" w:type="dxa"/>
                </w:tblCellMar>
              </w:tblPrEx>
              <w:trPr>
                <w:trHeight w:val="312"/>
                <w:jc w:val="center"/>
              </w:trPr>
              <w:tc>
                <w:tcPr>
                  <w:tcW w:w="477" w:type="dxa"/>
                  <w:vMerg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p>
              </w:tc>
              <w:tc>
                <w:tcPr>
                  <w:tcW w:w="1482"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color w:val="auto"/>
                      <w:szCs w:val="21"/>
                      <w:highlight w:val="none"/>
                    </w:rPr>
                  </w:pPr>
                  <w:r>
                    <w:rPr>
                      <w:rFonts w:cs="Times New Roman" w:hint="eastAsia"/>
                      <w:color w:val="auto"/>
                      <w:sz w:val="21"/>
                      <w:szCs w:val="21"/>
                      <w:highlight w:val="none"/>
                      <w:lang w:val="en-US" w:eastAsia="zh-CN"/>
                    </w:rPr>
                    <w:t>循环用水</w:t>
                  </w:r>
                </w:p>
              </w:tc>
              <w:tc>
                <w:tcPr>
                  <w:tcW w:w="165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cs="Times New Roman" w:hint="eastAsia"/>
                      <w:color w:val="auto"/>
                      <w:sz w:val="21"/>
                      <w:szCs w:val="21"/>
                      <w:highlight w:val="none"/>
                      <w:lang w:val="en-US" w:eastAsia="zh-CN"/>
                    </w:rPr>
                    <w:t>涂布、设备冷却、混动旋流塔水循环</w:t>
                  </w:r>
                </w:p>
              </w:tc>
              <w:tc>
                <w:tcPr>
                  <w:tcW w:w="198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COD、</w:t>
                  </w:r>
                  <w:r>
                    <w:rPr>
                      <w:rFonts w:ascii="Times New Roman" w:eastAsia="宋体" w:hAnsi="Times New Roman" w:cs="Times New Roman" w:hint="eastAsia"/>
                      <w:color w:val="auto"/>
                      <w:sz w:val="21"/>
                      <w:szCs w:val="21"/>
                      <w:highlight w:val="none"/>
                      <w:lang w:val="en-US" w:eastAsia="zh-CN"/>
                    </w:rPr>
                    <w:t>SS</w:t>
                  </w:r>
                </w:p>
              </w:tc>
              <w:tc>
                <w:tcPr>
                  <w:tcW w:w="287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eastAsia"/>
                      <w:color w:val="auto"/>
                      <w:sz w:val="21"/>
                      <w:szCs w:val="21"/>
                      <w:highlight w:val="none"/>
                      <w:lang w:val="en-US" w:eastAsia="zh-CN"/>
                    </w:rPr>
                    <w:t>循环使用不外排</w:t>
                  </w:r>
                </w:p>
              </w:tc>
            </w:tr>
            <w:tr>
              <w:tblPrEx>
                <w:tblW w:w="4914" w:type="pct"/>
                <w:jc w:val="center"/>
                <w:tblCellMar>
                  <w:top w:w="0" w:type="dxa"/>
                  <w:left w:w="108" w:type="dxa"/>
                  <w:bottom w:w="0" w:type="dxa"/>
                  <w:right w:w="108" w:type="dxa"/>
                </w:tblCellMar>
              </w:tblPrEx>
              <w:trPr>
                <w:trHeight w:val="312"/>
                <w:jc w:val="center"/>
              </w:trPr>
              <w:tc>
                <w:tcPr>
                  <w:tcW w:w="477"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固废</w:t>
                  </w:r>
                </w:p>
              </w:tc>
              <w:tc>
                <w:tcPr>
                  <w:tcW w:w="1482"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一般</w:t>
                  </w:r>
                  <w:r>
                    <w:rPr>
                      <w:rFonts w:cs="Times New Roman" w:hint="eastAsia"/>
                      <w:color w:val="auto"/>
                      <w:sz w:val="21"/>
                      <w:szCs w:val="21"/>
                      <w:highlight w:val="none"/>
                      <w:lang w:eastAsia="zh-CN"/>
                    </w:rPr>
                    <w:t>***</w:t>
                  </w:r>
                  <w:r>
                    <w:rPr>
                      <w:rFonts w:ascii="Times New Roman" w:eastAsia="宋体" w:hAnsi="Times New Roman" w:cs="Times New Roman" w:hint="default"/>
                      <w:color w:val="auto"/>
                      <w:sz w:val="21"/>
                      <w:szCs w:val="21"/>
                      <w:highlight w:val="none"/>
                    </w:rPr>
                    <w:t>固废</w:t>
                  </w:r>
                </w:p>
              </w:tc>
              <w:tc>
                <w:tcPr>
                  <w:tcW w:w="165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检验、包装</w:t>
                  </w:r>
                </w:p>
              </w:tc>
              <w:tc>
                <w:tcPr>
                  <w:tcW w:w="198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残次品及边角料</w:t>
                  </w:r>
                </w:p>
              </w:tc>
              <w:tc>
                <w:tcPr>
                  <w:tcW w:w="2873"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暂存于固废间，集中收集后外售综合利用</w:t>
                  </w:r>
                </w:p>
              </w:tc>
            </w:tr>
            <w:tr>
              <w:tblPrEx>
                <w:tblW w:w="4914" w:type="pct"/>
                <w:jc w:val="center"/>
                <w:tblCellMar>
                  <w:top w:w="0" w:type="dxa"/>
                  <w:left w:w="108" w:type="dxa"/>
                  <w:bottom w:w="0" w:type="dxa"/>
                  <w:right w:w="108" w:type="dxa"/>
                </w:tblCellMar>
              </w:tblPrEx>
              <w:trPr>
                <w:trHeight w:val="312"/>
                <w:jc w:val="center"/>
              </w:trPr>
              <w:tc>
                <w:tcPr>
                  <w:tcW w:w="477" w:type="dxa"/>
                  <w:vMerg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p>
              </w:tc>
              <w:tc>
                <w:tcPr>
                  <w:tcW w:w="1482" w:type="dxa"/>
                  <w:vMerg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p>
              </w:tc>
              <w:tc>
                <w:tcPr>
                  <w:tcW w:w="165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废气处理设施</w:t>
                  </w:r>
                </w:p>
              </w:tc>
              <w:tc>
                <w:tcPr>
                  <w:tcW w:w="198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布袋除尘器收集的灰渣、铁屑</w:t>
                  </w:r>
                </w:p>
              </w:tc>
              <w:tc>
                <w:tcPr>
                  <w:tcW w:w="2873" w:type="dxa"/>
                  <w:vMerg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p>
              </w:tc>
            </w:tr>
            <w:tr>
              <w:tblPrEx>
                <w:tblW w:w="4914" w:type="pct"/>
                <w:jc w:val="center"/>
                <w:tblCellMar>
                  <w:top w:w="0" w:type="dxa"/>
                  <w:left w:w="108" w:type="dxa"/>
                  <w:bottom w:w="0" w:type="dxa"/>
                  <w:right w:w="108" w:type="dxa"/>
                </w:tblCellMar>
              </w:tblPrEx>
              <w:trPr>
                <w:trHeight w:val="312"/>
                <w:jc w:val="center"/>
              </w:trPr>
              <w:tc>
                <w:tcPr>
                  <w:tcW w:w="477" w:type="dxa"/>
                  <w:vMerg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p>
              </w:tc>
              <w:tc>
                <w:tcPr>
                  <w:tcW w:w="1482" w:type="dxa"/>
                  <w:vMerg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p>
              </w:tc>
              <w:tc>
                <w:tcPr>
                  <w:tcW w:w="165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原料包装</w:t>
                  </w:r>
                </w:p>
              </w:tc>
              <w:tc>
                <w:tcPr>
                  <w:tcW w:w="198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废摩擦材料包装袋</w:t>
                  </w:r>
                </w:p>
              </w:tc>
              <w:tc>
                <w:tcPr>
                  <w:tcW w:w="2873" w:type="dxa"/>
                  <w:vMerg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p>
              </w:tc>
            </w:tr>
            <w:tr>
              <w:tblPrEx>
                <w:tblW w:w="4914" w:type="pct"/>
                <w:jc w:val="center"/>
                <w:tblCellMar>
                  <w:top w:w="0" w:type="dxa"/>
                  <w:left w:w="108" w:type="dxa"/>
                  <w:bottom w:w="0" w:type="dxa"/>
                  <w:right w:w="108" w:type="dxa"/>
                </w:tblCellMar>
              </w:tblPrEx>
              <w:trPr>
                <w:trHeight w:val="312"/>
                <w:jc w:val="center"/>
              </w:trPr>
              <w:tc>
                <w:tcPr>
                  <w:tcW w:w="477" w:type="dxa"/>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szCs w:val="21"/>
                      <w:highlight w:val="none"/>
                    </w:rPr>
                  </w:pPr>
                </w:p>
              </w:tc>
              <w:tc>
                <w:tcPr>
                  <w:tcW w:w="1482" w:type="dxa"/>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color w:val="auto"/>
                      <w:szCs w:val="21"/>
                      <w:highlight w:val="none"/>
                    </w:rPr>
                  </w:pPr>
                </w:p>
              </w:tc>
              <w:tc>
                <w:tcPr>
                  <w:tcW w:w="165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废水处理设施</w:t>
                  </w:r>
                </w:p>
              </w:tc>
              <w:tc>
                <w:tcPr>
                  <w:tcW w:w="198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污泥</w:t>
                  </w:r>
                </w:p>
              </w:tc>
              <w:tc>
                <w:tcPr>
                  <w:tcW w:w="2873" w:type="dxa"/>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color w:val="auto"/>
                      <w:szCs w:val="21"/>
                      <w:highlight w:val="none"/>
                    </w:rPr>
                  </w:pPr>
                </w:p>
              </w:tc>
            </w:tr>
            <w:tr>
              <w:tblPrEx>
                <w:tblW w:w="4914" w:type="pct"/>
                <w:jc w:val="center"/>
                <w:tblCellMar>
                  <w:top w:w="0" w:type="dxa"/>
                  <w:left w:w="108" w:type="dxa"/>
                  <w:bottom w:w="0" w:type="dxa"/>
                  <w:right w:w="108" w:type="dxa"/>
                </w:tblCellMar>
              </w:tblPrEx>
              <w:trPr>
                <w:trHeight w:val="312"/>
                <w:jc w:val="center"/>
              </w:trPr>
              <w:tc>
                <w:tcPr>
                  <w:tcW w:w="477" w:type="dxa"/>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szCs w:val="21"/>
                      <w:highlight w:val="none"/>
                    </w:rPr>
                  </w:pPr>
                </w:p>
              </w:tc>
              <w:tc>
                <w:tcPr>
                  <w:tcW w:w="1482"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危险废物</w:t>
                  </w:r>
                </w:p>
              </w:tc>
              <w:tc>
                <w:tcPr>
                  <w:tcW w:w="165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废气处理设施</w:t>
                  </w:r>
                </w:p>
              </w:tc>
              <w:tc>
                <w:tcPr>
                  <w:tcW w:w="1988" w:type="dxa"/>
                  <w:tcBorders>
                    <w:tl2br w:val="nil"/>
                    <w:tr2bl w:val="nil"/>
                  </w:tcBorders>
                  <w:vAlign w:val="center"/>
                </w:tcPr>
                <w:p>
                  <w:pPr>
                    <w:pStyle w:val="a10"/>
                    <w:keepNext w:val="0"/>
                    <w:keepLines w:val="0"/>
                    <w:suppressLineNumbers w:val="0"/>
                    <w:spacing w:before="0" w:beforeAutospacing="0" w:after="0" w:afterAutospacing="0"/>
                    <w:ind w:left="0" w:right="0"/>
                    <w:rPr>
                      <w:rFonts w:ascii="Times New Roman" w:eastAsia="宋体" w:hAnsi="Times New Roman" w:cs="Times New Roman" w:hint="default"/>
                      <w:color w:val="auto"/>
                      <w:sz w:val="21"/>
                      <w:highlight w:val="none"/>
                    </w:rPr>
                  </w:pPr>
                  <w:r>
                    <w:rPr>
                      <w:rFonts w:ascii="Times New Roman" w:eastAsia="宋体" w:hAnsi="Times New Roman" w:cs="Times New Roman" w:hint="default"/>
                      <w:color w:val="auto"/>
                      <w:sz w:val="21"/>
                      <w:szCs w:val="21"/>
                      <w:highlight w:val="none"/>
                    </w:rPr>
                    <w:t>废活性炭</w:t>
                  </w:r>
                </w:p>
              </w:tc>
              <w:tc>
                <w:tcPr>
                  <w:tcW w:w="2873"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暂存于危废间，定期委托福建绿洲固体废物处置有限公司处置</w:t>
                  </w:r>
                </w:p>
              </w:tc>
            </w:tr>
            <w:tr>
              <w:tblPrEx>
                <w:tblW w:w="4914" w:type="pct"/>
                <w:jc w:val="center"/>
                <w:tblCellMar>
                  <w:top w:w="0" w:type="dxa"/>
                  <w:left w:w="108" w:type="dxa"/>
                  <w:bottom w:w="0" w:type="dxa"/>
                  <w:right w:w="108" w:type="dxa"/>
                </w:tblCellMar>
              </w:tblPrEx>
              <w:trPr>
                <w:trHeight w:val="312"/>
                <w:jc w:val="center"/>
              </w:trPr>
              <w:tc>
                <w:tcPr>
                  <w:tcW w:w="477" w:type="dxa"/>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szCs w:val="21"/>
                      <w:highlight w:val="none"/>
                    </w:rPr>
                  </w:pPr>
                </w:p>
              </w:tc>
              <w:tc>
                <w:tcPr>
                  <w:tcW w:w="1482" w:type="dxa"/>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color w:val="auto"/>
                      <w:szCs w:val="21"/>
                      <w:highlight w:val="none"/>
                    </w:rPr>
                  </w:pPr>
                </w:p>
              </w:tc>
              <w:tc>
                <w:tcPr>
                  <w:tcW w:w="165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涂布、喷印</w:t>
                  </w:r>
                </w:p>
              </w:tc>
              <w:tc>
                <w:tcPr>
                  <w:tcW w:w="1988" w:type="dxa"/>
                  <w:tcBorders>
                    <w:tl2br w:val="nil"/>
                    <w:tr2bl w:val="nil"/>
                  </w:tcBorders>
                  <w:vAlign w:val="center"/>
                </w:tcPr>
                <w:p>
                  <w:pPr>
                    <w:pStyle w:val="a10"/>
                    <w:keepNext w:val="0"/>
                    <w:keepLines w:val="0"/>
                    <w:suppressLineNumbers w:val="0"/>
                    <w:spacing w:before="0" w:beforeAutospacing="0" w:after="0" w:afterAutospacing="0"/>
                    <w:ind w:left="0" w:right="0"/>
                    <w:rPr>
                      <w:rFonts w:ascii="Times New Roman" w:eastAsia="宋体" w:hAnsi="Times New Roman" w:cs="Times New Roman" w:hint="default"/>
                      <w:color w:val="auto"/>
                      <w:sz w:val="21"/>
                      <w:highlight w:val="none"/>
                    </w:rPr>
                  </w:pPr>
                  <w:r>
                    <w:rPr>
                      <w:rFonts w:ascii="Times New Roman" w:eastAsia="宋体" w:hAnsi="Times New Roman" w:cs="Times New Roman" w:hint="default"/>
                      <w:color w:val="auto"/>
                      <w:sz w:val="21"/>
                      <w:szCs w:val="21"/>
                      <w:highlight w:val="none"/>
                    </w:rPr>
                    <w:t>废原料空桶</w:t>
                  </w:r>
                </w:p>
              </w:tc>
              <w:tc>
                <w:tcPr>
                  <w:tcW w:w="2873" w:type="dxa"/>
                  <w:vMerg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p>
              </w:tc>
            </w:tr>
            <w:tr>
              <w:tblPrEx>
                <w:tblW w:w="4914" w:type="pct"/>
                <w:jc w:val="center"/>
                <w:tblCellMar>
                  <w:top w:w="0" w:type="dxa"/>
                  <w:left w:w="108" w:type="dxa"/>
                  <w:bottom w:w="0" w:type="dxa"/>
                  <w:right w:w="108" w:type="dxa"/>
                </w:tblCellMar>
              </w:tblPrEx>
              <w:trPr>
                <w:trHeight w:val="312"/>
                <w:jc w:val="center"/>
              </w:trPr>
              <w:tc>
                <w:tcPr>
                  <w:tcW w:w="477" w:type="dxa"/>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szCs w:val="21"/>
                      <w:highlight w:val="none"/>
                    </w:rPr>
                  </w:pPr>
                </w:p>
              </w:tc>
              <w:tc>
                <w:tcPr>
                  <w:tcW w:w="1482" w:type="dxa"/>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color w:val="auto"/>
                      <w:szCs w:val="21"/>
                      <w:highlight w:val="none"/>
                    </w:rPr>
                  </w:pPr>
                </w:p>
              </w:tc>
              <w:tc>
                <w:tcPr>
                  <w:tcW w:w="165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设备日常维护</w:t>
                  </w:r>
                </w:p>
              </w:tc>
              <w:tc>
                <w:tcPr>
                  <w:tcW w:w="1988" w:type="dxa"/>
                  <w:tcBorders>
                    <w:tl2br w:val="nil"/>
                    <w:tr2bl w:val="nil"/>
                  </w:tcBorders>
                  <w:vAlign w:val="center"/>
                </w:tcPr>
                <w:p>
                  <w:pPr>
                    <w:pStyle w:val="a10"/>
                    <w:keepNext w:val="0"/>
                    <w:keepLines w:val="0"/>
                    <w:suppressLineNumbers w:val="0"/>
                    <w:spacing w:before="0" w:beforeAutospacing="0" w:after="0" w:afterAutospacing="0"/>
                    <w:ind w:left="0" w:right="0"/>
                    <w:rPr>
                      <w:rFonts w:ascii="Times New Roman" w:eastAsia="宋体" w:hAnsi="Times New Roman" w:cs="Times New Roman" w:hint="default"/>
                      <w:color w:val="auto"/>
                      <w:sz w:val="21"/>
                      <w:highlight w:val="none"/>
                    </w:rPr>
                  </w:pPr>
                  <w:r>
                    <w:rPr>
                      <w:rFonts w:ascii="Times New Roman" w:eastAsia="宋体" w:hAnsi="Times New Roman" w:cs="Times New Roman" w:hint="default"/>
                      <w:color w:val="auto"/>
                      <w:sz w:val="21"/>
                      <w:szCs w:val="21"/>
                      <w:highlight w:val="none"/>
                    </w:rPr>
                    <w:t>废机油</w:t>
                  </w:r>
                </w:p>
              </w:tc>
              <w:tc>
                <w:tcPr>
                  <w:tcW w:w="2873" w:type="dxa"/>
                  <w:vMerg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p>
              </w:tc>
            </w:tr>
            <w:tr>
              <w:tblPrEx>
                <w:tblW w:w="4914" w:type="pct"/>
                <w:jc w:val="center"/>
                <w:tblCellMar>
                  <w:top w:w="0" w:type="dxa"/>
                  <w:left w:w="108" w:type="dxa"/>
                  <w:bottom w:w="0" w:type="dxa"/>
                  <w:right w:w="108" w:type="dxa"/>
                </w:tblCellMar>
              </w:tblPrEx>
              <w:trPr>
                <w:trHeight w:val="312"/>
                <w:jc w:val="center"/>
              </w:trPr>
              <w:tc>
                <w:tcPr>
                  <w:tcW w:w="477" w:type="dxa"/>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szCs w:val="21"/>
                      <w:highlight w:val="none"/>
                    </w:rPr>
                  </w:pPr>
                </w:p>
              </w:tc>
              <w:tc>
                <w:tcPr>
                  <w:tcW w:w="1482" w:type="dxa"/>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生活垃圾</w:t>
                  </w:r>
                </w:p>
              </w:tc>
              <w:tc>
                <w:tcPr>
                  <w:tcW w:w="1650"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行政办公、生活</w:t>
                  </w:r>
                </w:p>
              </w:tc>
              <w:tc>
                <w:tcPr>
                  <w:tcW w:w="198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废纸、果皮</w:t>
                  </w:r>
                </w:p>
              </w:tc>
              <w:tc>
                <w:tcPr>
                  <w:tcW w:w="287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收集后委托环卫部门处理</w:t>
                  </w:r>
                </w:p>
              </w:tc>
            </w:tr>
            <w:tr>
              <w:tblPrEx>
                <w:tblW w:w="4914" w:type="pct"/>
                <w:jc w:val="center"/>
                <w:tblCellMar>
                  <w:top w:w="0" w:type="dxa"/>
                  <w:left w:w="108" w:type="dxa"/>
                  <w:bottom w:w="0" w:type="dxa"/>
                  <w:right w:w="108" w:type="dxa"/>
                </w:tblCellMar>
              </w:tblPrEx>
              <w:trPr>
                <w:trHeight w:val="312"/>
                <w:jc w:val="center"/>
              </w:trPr>
              <w:tc>
                <w:tcPr>
                  <w:tcW w:w="1959" w:type="dxa"/>
                  <w:gridSpan w:val="2"/>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噪声</w:t>
                  </w:r>
                </w:p>
              </w:tc>
              <w:tc>
                <w:tcPr>
                  <w:tcW w:w="165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设备运行</w:t>
                  </w:r>
                </w:p>
              </w:tc>
              <w:tc>
                <w:tcPr>
                  <w:tcW w:w="198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噪声</w:t>
                  </w:r>
                </w:p>
              </w:tc>
              <w:tc>
                <w:tcPr>
                  <w:tcW w:w="287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ascii="Times New Roman" w:eastAsia="宋体" w:hAnsi="Times New Roman" w:cs="Times New Roman" w:hint="default"/>
                      <w:color w:val="auto"/>
                      <w:sz w:val="21"/>
                      <w:szCs w:val="21"/>
                      <w:highlight w:val="none"/>
                    </w:rPr>
                    <w:t>设备基础减振、墙体隔声</w:t>
                  </w:r>
                </w:p>
              </w:tc>
            </w:tr>
          </w:tbl>
          <w:p>
            <w:pPr>
              <w:pStyle w:val="EnvelopeReturn"/>
              <w:keepNext w:val="0"/>
              <w:keepLines w:val="0"/>
              <w:suppressLineNumbers w:val="0"/>
              <w:spacing w:before="0" w:beforeAutospacing="0" w:after="0" w:afterAutospacing="0"/>
              <w:ind w:left="0" w:right="0"/>
              <w:rPr>
                <w:rFonts w:ascii="Times New Roman" w:hAnsi="Times New Roman" w:hint="default"/>
                <w:bCs/>
                <w:color w:val="auto"/>
                <w:szCs w:val="21"/>
                <w:highlight w:val="none"/>
              </w:rPr>
            </w:pPr>
          </w:p>
        </w:tc>
      </w:tr>
    </w:tbl>
    <w:p>
      <w:pPr>
        <w:rPr>
          <w:color w:val="auto"/>
          <w:highlight w:val="none"/>
        </w:rPr>
        <w:sectPr>
          <w:footerReference w:type="default" r:id="rId31"/>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17"/>
          <w:cols w:num="1" w:space="720"/>
          <w:titlePg w:val="0"/>
          <w:docGrid w:linePitch="312" w:charSpace="0"/>
        </w:sectPr>
      </w:pPr>
    </w:p>
    <w:p>
      <w:pPr>
        <w:pStyle w:val="NormalIndent"/>
        <w:ind w:firstLine="0" w:firstLineChars="0"/>
        <w:jc w:val="center"/>
        <w:rPr>
          <w:color w:val="auto"/>
          <w:highlight w:val="none"/>
        </w:rPr>
      </w:pPr>
      <w:r>
        <w:rPr>
          <w:color w:val="auto"/>
          <w:highlight w:val="none"/>
        </w:rPr>
        <w:drawing>
          <wp:inline distT="0" distB="0" distL="114300" distR="114300">
            <wp:extent cx="8883015" cy="3234055"/>
            <wp:effectExtent l="0" t="0" r="13335" b="4445"/>
            <wp:docPr id="2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9"/>
                    <pic:cNvPicPr>
                      <a:picLocks noChangeAspect="1"/>
                    </pic:cNvPicPr>
                  </pic:nvPicPr>
                  <pic:blipFill>
                    <a:blip xmlns:r="http://schemas.openxmlformats.org/officeDocument/2006/relationships" r:embed="rId32"/>
                    <a:stretch>
                      <a:fillRect/>
                    </a:stretch>
                  </pic:blipFill>
                  <pic:spPr>
                    <a:xfrm>
                      <a:off x="0" y="0"/>
                      <a:ext cx="8883015" cy="3234055"/>
                    </a:xfrm>
                    <a:prstGeom prst="rect">
                      <a:avLst/>
                    </a:prstGeom>
                    <a:noFill/>
                    <a:ln>
                      <a:noFill/>
                    </a:ln>
                  </pic:spPr>
                </pic:pic>
              </a:graphicData>
            </a:graphic>
          </wp:inline>
        </w:drawing>
      </w:r>
    </w:p>
    <w:p>
      <w:pPr>
        <w:pStyle w:val="NormalIndent"/>
        <w:ind w:firstLine="0" w:firstLineChars="0"/>
        <w:jc w:val="center"/>
        <w:rPr>
          <w:b/>
          <w:bCs/>
          <w:color w:val="auto"/>
          <w:highlight w:val="none"/>
        </w:rPr>
      </w:pPr>
      <w:r>
        <w:rPr>
          <w:rFonts w:hint="eastAsia"/>
          <w:b/>
          <w:bCs/>
          <w:color w:val="auto"/>
          <w:szCs w:val="24"/>
          <w:highlight w:val="none"/>
          <w:shd w:val="clear" w:color="auto" w:fill="FFFFFF"/>
        </w:rPr>
        <w:t xml:space="preserve">图2.2-1 </w:t>
      </w:r>
      <w:r>
        <w:rPr>
          <w:rFonts w:hint="eastAsia"/>
          <w:b/>
          <w:bCs/>
          <w:color w:val="auto"/>
          <w:szCs w:val="24"/>
          <w:highlight w:val="none"/>
          <w:shd w:val="clear" w:color="auto" w:fill="FFFFFF"/>
          <w:lang w:val="en-US" w:eastAsia="zh-CN"/>
        </w:rPr>
        <w:t>本次扩建项目</w:t>
      </w:r>
      <w:r>
        <w:rPr>
          <w:rFonts w:hint="eastAsia"/>
          <w:b/>
          <w:bCs/>
          <w:color w:val="auto"/>
          <w:szCs w:val="24"/>
          <w:highlight w:val="none"/>
          <w:shd w:val="clear" w:color="auto" w:fill="FFFFFF"/>
        </w:rPr>
        <w:t>工艺流程图及产污环节图</w:t>
      </w:r>
    </w:p>
    <w:p>
      <w:pPr>
        <w:rPr>
          <w:color w:val="auto"/>
          <w:highlight w:val="none"/>
        </w:rPr>
        <w:sectPr>
          <w:footerReference w:type="default" r:id="rId33"/>
          <w:pgSz w:w="16840" w:h="11907" w:orient="landscape"/>
          <w:pgMar w:top="1417" w:right="1417" w:bottom="1417" w:left="1417" w:header="992" w:footer="992" w:gutter="0"/>
          <w:pgBorders>
            <w:top w:val="none" w:sz="0" w:space="0" w:color="auto"/>
            <w:left w:val="none" w:sz="0" w:space="0" w:color="auto"/>
            <w:bottom w:val="none" w:sz="0" w:space="0" w:color="auto"/>
            <w:right w:val="none" w:sz="0" w:space="0" w:color="auto"/>
          </w:pgBorders>
          <w:pgNumType w:start="18"/>
          <w:cols w:num="1" w:space="72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6"/>
        <w:gridCol w:w="8833"/>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497"/>
          <w:jc w:val="center"/>
        </w:trPr>
        <w:tc>
          <w:tcPr>
            <w:tcW w:w="455" w:type="dxa"/>
            <w:vAlign w:val="center"/>
          </w:tcPr>
          <w:p>
            <w:pPr>
              <w:pStyle w:val="NormalWeb"/>
              <w:keepNext w:val="0"/>
              <w:keepLines w:val="0"/>
              <w:suppressLineNumbers w:val="0"/>
              <w:adjustRightInd w:val="0"/>
              <w:snapToGrid w:val="0"/>
              <w:spacing w:before="0" w:beforeAutospacing="0" w:after="0" w:afterAutospacing="0"/>
              <w:ind w:left="0" w:right="0"/>
              <w:jc w:val="center"/>
              <w:rPr>
                <w:rFonts w:ascii="Times New Roman" w:hAnsi="Times New Roman" w:hint="default"/>
                <w:color w:val="auto"/>
                <w:szCs w:val="24"/>
                <w:highlight w:val="none"/>
              </w:rPr>
            </w:pPr>
          </w:p>
        </w:tc>
        <w:tc>
          <w:tcPr>
            <w:tcW w:w="8834" w:type="dxa"/>
          </w:tcPr>
          <w:p>
            <w:pPr>
              <w:pStyle w:val="Heading3"/>
              <w:keepNext w:val="0"/>
              <w:keepLines w:val="0"/>
              <w:suppressLineNumbers w:val="0"/>
              <w:spacing w:before="120" w:beforeAutospacing="0" w:after="120" w:afterAutospacing="0"/>
              <w:ind w:left="0" w:right="0"/>
              <w:rPr>
                <w:rFonts w:hint="default"/>
                <w:color w:val="auto"/>
                <w:highlight w:val="none"/>
              </w:rPr>
            </w:pPr>
            <w:r>
              <w:rPr>
                <w:color w:val="auto"/>
                <w:highlight w:val="none"/>
              </w:rPr>
              <w:t>2.2.3项目物料平衡分析</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本扩建项目摩擦材料混合后进行预压成型，后与经表面处理、涂布后的铁片进行热压、热处理及铁板烧之后处理，再将半成品进行切沟倒角研磨后进行粉体涂装干燥，之后再贴隙片、捺印、加压铆合、检验包装即为成品。</w:t>
            </w:r>
          </w:p>
          <w:p>
            <w:pPr>
              <w:pStyle w:val="NormalIndent"/>
              <w:keepNext w:val="0"/>
              <w:keepLines w:val="0"/>
              <w:suppressLineNumbers w:val="0"/>
              <w:spacing w:before="0" w:beforeAutospacing="0" w:after="0" w:afterAutospacing="0"/>
              <w:ind w:left="0" w:right="0" w:firstLine="0" w:firstLineChars="0"/>
              <w:jc w:val="center"/>
              <w:rPr>
                <w:rFonts w:hint="default"/>
                <w:b/>
                <w:bCs/>
                <w:color w:val="auto"/>
                <w:szCs w:val="24"/>
                <w:highlight w:val="none"/>
                <w:shd w:val="clear" w:color="auto" w:fill="FFFFFF"/>
              </w:rPr>
            </w:pPr>
            <w:r>
              <w:rPr>
                <w:rFonts w:hint="default"/>
                <w:color w:val="auto"/>
                <w:highlight w:val="none"/>
              </w:rPr>
              <w:object>
                <v:shape id="_x0000_i1027" type="#_x0000_t75" style="width:429.8pt;height:194.6pt" o:ole="" coordsize="21600,21600" o:preferrelative="t" filled="f" stroked="f">
                  <v:imagedata r:id="rId34" o:title="" croptop="1898f" cropbottom="1177f" cropright="1485f"/>
                  <o:lock v:ext="edit" aspectratio="t"/>
                  <w10:anchorlock/>
                </v:shape>
                <o:OLEObject Type="Embed" ProgID="Visio.Drawing.15" ShapeID="_x0000_i1027" DrawAspect="Content" ObjectID="_1468075727" r:id="rId35"/>
              </w:object>
            </w:r>
            <w:r>
              <w:rPr>
                <w:rFonts w:hint="eastAsia"/>
                <w:b/>
                <w:bCs/>
                <w:color w:val="auto"/>
                <w:szCs w:val="24"/>
                <w:highlight w:val="none"/>
                <w:shd w:val="clear" w:color="auto" w:fill="FFFFFF"/>
              </w:rPr>
              <w:t xml:space="preserve">图2.2-2 </w:t>
            </w:r>
            <w:r>
              <w:rPr>
                <w:rFonts w:hint="eastAsia"/>
                <w:b/>
                <w:bCs/>
                <w:color w:val="auto"/>
                <w:szCs w:val="24"/>
                <w:highlight w:val="none"/>
                <w:shd w:val="clear" w:color="auto" w:fill="FFFFFF"/>
                <w:lang w:val="en-US" w:eastAsia="zh-CN"/>
              </w:rPr>
              <w:t>本次</w:t>
            </w:r>
            <w:r>
              <w:rPr>
                <w:rFonts w:hint="eastAsia"/>
                <w:b/>
                <w:bCs/>
                <w:color w:val="auto"/>
                <w:szCs w:val="24"/>
                <w:highlight w:val="none"/>
                <w:shd w:val="clear" w:color="auto" w:fill="FFFFFF"/>
              </w:rPr>
              <w:t>扩建项目物料平衡图（t/a）</w:t>
            </w:r>
          </w:p>
          <w:p>
            <w:pPr>
              <w:pStyle w:val="EnvelopeReturn"/>
              <w:keepNext w:val="0"/>
              <w:keepLines w:val="0"/>
              <w:suppressLineNumbers w:val="0"/>
              <w:spacing w:before="0" w:beforeAutospacing="0" w:after="0" w:afterAutospacing="0"/>
              <w:ind w:left="0" w:right="0"/>
              <w:rPr>
                <w:rFonts w:ascii="Times New Roman" w:hAnsi="Times New Roman" w:hint="default"/>
                <w:bCs/>
                <w:color w:val="auto"/>
                <w:szCs w:val="21"/>
                <w:highlight w:val="none"/>
              </w:rPr>
            </w:pPr>
          </w:p>
        </w:tc>
      </w:tr>
      <w:tr>
        <w:tblPrEx>
          <w:tblW w:w="0" w:type="auto"/>
          <w:jc w:val="center"/>
          <w:tblCellMar>
            <w:top w:w="0" w:type="dxa"/>
            <w:left w:w="108" w:type="dxa"/>
            <w:bottom w:w="0" w:type="dxa"/>
            <w:right w:w="108" w:type="dxa"/>
          </w:tblCellMar>
        </w:tblPrEx>
        <w:trPr>
          <w:trHeight w:val="214"/>
          <w:jc w:val="center"/>
        </w:trPr>
        <w:tc>
          <w:tcPr>
            <w:tcW w:w="455" w:type="dxa"/>
            <w:vAlign w:val="center"/>
          </w:tcPr>
          <w:p>
            <w:pPr>
              <w:pStyle w:val="NormalWeb"/>
              <w:keepNext w:val="0"/>
              <w:keepLines w:val="0"/>
              <w:suppressLineNumbers w:val="0"/>
              <w:adjustRightInd w:val="0"/>
              <w:snapToGrid w:val="0"/>
              <w:spacing w:before="0" w:beforeAutospacing="0" w:after="0" w:afterAutospacing="0"/>
              <w:ind w:left="0" w:right="0"/>
              <w:jc w:val="center"/>
              <w:rPr>
                <w:rFonts w:ascii="Times New Roman" w:hAnsi="Times New Roman" w:hint="default"/>
                <w:color w:val="auto"/>
                <w:szCs w:val="24"/>
                <w:highlight w:val="none"/>
              </w:rPr>
            </w:pPr>
            <w:r>
              <w:rPr>
                <w:rFonts w:ascii="Times New Roman" w:hAnsi="Times New Roman" w:hint="default"/>
                <w:bCs/>
                <w:color w:val="auto"/>
                <w:kern w:val="2"/>
                <w:szCs w:val="24"/>
                <w:highlight w:val="none"/>
              </w:rPr>
              <w:t>与项目有关的原有环境污染问题</w:t>
            </w:r>
          </w:p>
        </w:tc>
        <w:tc>
          <w:tcPr>
            <w:tcW w:w="8834" w:type="dxa"/>
          </w:tcPr>
          <w:p>
            <w:pPr>
              <w:pStyle w:val="Heading2"/>
              <w:suppressLineNumbers w:val="0"/>
              <w:spacing w:before="120" w:beforeAutospacing="0" w:after="120" w:afterAutospacing="0"/>
              <w:ind w:left="0" w:right="0"/>
              <w:rPr>
                <w:rFonts w:hint="default"/>
                <w:color w:val="auto"/>
                <w:highlight w:val="none"/>
              </w:rPr>
            </w:pPr>
            <w:r>
              <w:rPr>
                <w:rFonts w:hint="eastAsia"/>
                <w:color w:val="auto"/>
                <w:highlight w:val="none"/>
              </w:rPr>
              <w:t>2.3与项目有关的原有环境污染问题</w:t>
            </w:r>
          </w:p>
          <w:p>
            <w:pPr>
              <w:pStyle w:val="Heading3"/>
              <w:keepNext w:val="0"/>
              <w:keepLines w:val="0"/>
              <w:suppressLineNumbers w:val="0"/>
              <w:spacing w:before="120" w:beforeAutospacing="0" w:after="120" w:afterAutospacing="0"/>
              <w:ind w:left="0" w:right="0"/>
              <w:rPr>
                <w:rFonts w:hint="default"/>
                <w:color w:val="auto"/>
                <w:highlight w:val="none"/>
              </w:rPr>
            </w:pPr>
            <w:r>
              <w:rPr>
                <w:rFonts w:hint="default"/>
                <w:color w:val="auto"/>
                <w:highlight w:val="none"/>
              </w:rPr>
              <w:t xml:space="preserve">2.3.1 </w:t>
            </w:r>
            <w:r>
              <w:rPr>
                <w:color w:val="auto"/>
                <w:highlight w:val="none"/>
              </w:rPr>
              <w:t>现有项目环保手续履行情况</w:t>
            </w:r>
          </w:p>
          <w:p>
            <w:pPr>
              <w:keepNext w:val="0"/>
              <w:keepLines w:val="0"/>
              <w:widowControl/>
              <w:suppressLineNumbers w:val="0"/>
              <w:spacing w:before="0" w:beforeAutospacing="0" w:after="0" w:afterAutospacing="0" w:line="360" w:lineRule="auto"/>
              <w:ind w:left="0" w:right="0" w:firstLine="480" w:firstLineChars="200"/>
              <w:rPr>
                <w:rFonts w:hint="default"/>
                <w:color w:val="auto"/>
                <w:sz w:val="24"/>
                <w:szCs w:val="22"/>
                <w:highlight w:val="none"/>
              </w:rPr>
            </w:pPr>
            <w:r>
              <w:rPr>
                <w:rFonts w:hint="eastAsia"/>
                <w:color w:val="auto"/>
                <w:sz w:val="24"/>
                <w:szCs w:val="22"/>
                <w:highlight w:val="none"/>
              </w:rPr>
              <w:t>现有项目环境影响评价、竣工环境保护验收、排污许可手续等履行情况详见表2.3-1。</w:t>
            </w:r>
          </w:p>
          <w:p>
            <w:pPr>
              <w:keepNext w:val="0"/>
              <w:keepLines w:val="0"/>
              <w:suppressLineNumbers w:val="0"/>
              <w:spacing w:before="120" w:beforeLines="50" w:beforeAutospacing="0" w:after="0" w:afterAutospacing="0" w:line="360" w:lineRule="auto"/>
              <w:ind w:left="0" w:right="0" w:firstLine="480" w:firstLineChars="200"/>
              <w:jc w:val="center"/>
              <w:rPr>
                <w:rFonts w:hint="default"/>
                <w:b/>
                <w:bCs/>
                <w:color w:val="auto"/>
                <w:sz w:val="24"/>
                <w:highlight w:val="none"/>
                <w:shd w:val="clear" w:color="auto" w:fill="FFFFFF"/>
              </w:rPr>
            </w:pPr>
            <w:r>
              <w:rPr>
                <w:rFonts w:hint="eastAsia"/>
                <w:b/>
                <w:bCs/>
                <w:color w:val="auto"/>
                <w:sz w:val="24"/>
                <w:highlight w:val="none"/>
                <w:shd w:val="clear" w:color="auto" w:fill="FFFFFF"/>
              </w:rPr>
              <w:t>表2.3-1 现有项目环评、验收和排污许可手续情况一览表</w:t>
            </w:r>
          </w:p>
          <w:tbl>
            <w:tblPr>
              <w:tblStyle w:val="TableNormal"/>
              <w:tblW w:w="4998"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658"/>
              <w:gridCol w:w="2608"/>
              <w:gridCol w:w="2859"/>
              <w:gridCol w:w="1243"/>
              <w:gridCol w:w="1246"/>
            </w:tblGrid>
            <w:tr>
              <w:tblPrEx>
                <w:tblW w:w="4998"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582"/>
                <w:jc w:val="center"/>
              </w:trPr>
              <w:tc>
                <w:tcPr>
                  <w:tcW w:w="382" w:type="pct"/>
                  <w:noWrap/>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default"/>
                      <w:color w:val="auto"/>
                      <w:highlight w:val="none"/>
                    </w:rPr>
                    <w:t>序号</w:t>
                  </w:r>
                </w:p>
              </w:tc>
              <w:tc>
                <w:tcPr>
                  <w:tcW w:w="1513" w:type="pct"/>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default"/>
                      <w:color w:val="auto"/>
                      <w:highlight w:val="none"/>
                    </w:rPr>
                    <w:t>项目</w:t>
                  </w:r>
                </w:p>
              </w:tc>
              <w:tc>
                <w:tcPr>
                  <w:tcW w:w="1659" w:type="pct"/>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default"/>
                      <w:color w:val="auto"/>
                      <w:highlight w:val="none"/>
                    </w:rPr>
                    <w:t>批复情况</w:t>
                  </w:r>
                </w:p>
              </w:tc>
              <w:tc>
                <w:tcPr>
                  <w:tcW w:w="721" w:type="pct"/>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default"/>
                      <w:color w:val="auto"/>
                      <w:highlight w:val="none"/>
                    </w:rPr>
                    <w:t>验收情况</w:t>
                  </w:r>
                </w:p>
              </w:tc>
              <w:tc>
                <w:tcPr>
                  <w:tcW w:w="723" w:type="pct"/>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default"/>
                      <w:color w:val="auto"/>
                      <w:highlight w:val="none"/>
                    </w:rPr>
                    <w:t>排污许可手续</w:t>
                  </w:r>
                </w:p>
              </w:tc>
            </w:tr>
            <w:tr>
              <w:tblPrEx>
                <w:tblW w:w="4998" w:type="pct"/>
                <w:jc w:val="center"/>
                <w:tblCellMar>
                  <w:top w:w="0" w:type="dxa"/>
                  <w:left w:w="108" w:type="dxa"/>
                  <w:bottom w:w="0" w:type="dxa"/>
                  <w:right w:w="108" w:type="dxa"/>
                </w:tblCellMar>
              </w:tblPrEx>
              <w:trPr>
                <w:trHeight w:val="548"/>
                <w:jc w:val="center"/>
              </w:trPr>
              <w:tc>
                <w:tcPr>
                  <w:tcW w:w="382" w:type="pct"/>
                  <w:noWrap/>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default"/>
                      <w:color w:val="auto"/>
                      <w:highlight w:val="none"/>
                    </w:rPr>
                    <w:t>1</w:t>
                  </w:r>
                </w:p>
              </w:tc>
              <w:tc>
                <w:tcPr>
                  <w:tcW w:w="1513" w:type="pct"/>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default"/>
                      <w:color w:val="auto"/>
                      <w:highlight w:val="none"/>
                    </w:rPr>
                    <w:t>年产PAD刹车片780万片，BL刹车片420万片建设项目</w:t>
                  </w:r>
                </w:p>
              </w:tc>
              <w:tc>
                <w:tcPr>
                  <w:tcW w:w="1659" w:type="pct"/>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default"/>
                      <w:color w:val="auto"/>
                      <w:highlight w:val="none"/>
                    </w:rPr>
                    <w:t>2015年3月31日通过福清市环境保护局的审批（融环保</w:t>
                  </w:r>
                  <w:r>
                    <w:rPr>
                      <w:rFonts w:hint="eastAsia"/>
                      <w:color w:val="auto"/>
                      <w:highlight w:val="none"/>
                    </w:rPr>
                    <w:t>〔</w:t>
                  </w:r>
                  <w:r>
                    <w:rPr>
                      <w:rFonts w:hint="default"/>
                      <w:color w:val="auto"/>
                      <w:highlight w:val="none"/>
                    </w:rPr>
                    <w:t>2015</w:t>
                  </w:r>
                  <w:r>
                    <w:rPr>
                      <w:rFonts w:hint="eastAsia"/>
                      <w:color w:val="auto"/>
                      <w:highlight w:val="none"/>
                    </w:rPr>
                    <w:t>〕</w:t>
                  </w:r>
                  <w:r>
                    <w:rPr>
                      <w:rFonts w:hint="default"/>
                      <w:color w:val="auto"/>
                      <w:highlight w:val="none"/>
                    </w:rPr>
                    <w:t>89号）</w:t>
                  </w:r>
                </w:p>
              </w:tc>
              <w:tc>
                <w:tcPr>
                  <w:tcW w:w="721" w:type="pct"/>
                  <w:vMerge w:val="restart"/>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default"/>
                      <w:color w:val="auto"/>
                      <w:highlight w:val="none"/>
                    </w:rPr>
                    <w:t>20</w:t>
                  </w:r>
                  <w:r>
                    <w:rPr>
                      <w:rFonts w:hint="eastAsia"/>
                      <w:color w:val="auto"/>
                      <w:highlight w:val="none"/>
                    </w:rPr>
                    <w:t>19</w:t>
                  </w:r>
                  <w:r>
                    <w:rPr>
                      <w:rFonts w:hint="default"/>
                      <w:color w:val="auto"/>
                      <w:highlight w:val="none"/>
                    </w:rPr>
                    <w:t>年</w:t>
                  </w:r>
                  <w:r>
                    <w:rPr>
                      <w:rFonts w:hint="eastAsia"/>
                      <w:color w:val="auto"/>
                      <w:highlight w:val="none"/>
                    </w:rPr>
                    <w:t>5</w:t>
                  </w:r>
                  <w:r>
                    <w:rPr>
                      <w:rFonts w:hint="default"/>
                      <w:color w:val="auto"/>
                      <w:highlight w:val="none"/>
                    </w:rPr>
                    <w:t>月</w:t>
                  </w:r>
                  <w:r>
                    <w:rPr>
                      <w:rFonts w:hint="eastAsia"/>
                      <w:color w:val="auto"/>
                      <w:highlight w:val="none"/>
                    </w:rPr>
                    <w:t>企业进行自主验收</w:t>
                  </w:r>
                </w:p>
              </w:tc>
              <w:tc>
                <w:tcPr>
                  <w:tcW w:w="723" w:type="pct"/>
                  <w:vMerge w:val="restart"/>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default"/>
                      <w:color w:val="auto"/>
                      <w:highlight w:val="none"/>
                    </w:rPr>
                    <w:t>20</w:t>
                  </w:r>
                  <w:r>
                    <w:rPr>
                      <w:rFonts w:hint="eastAsia"/>
                      <w:color w:val="auto"/>
                      <w:highlight w:val="none"/>
                    </w:rPr>
                    <w:t>20</w:t>
                  </w:r>
                  <w:r>
                    <w:rPr>
                      <w:rFonts w:hint="default"/>
                      <w:color w:val="auto"/>
                      <w:highlight w:val="none"/>
                    </w:rPr>
                    <w:t>年</w:t>
                  </w:r>
                  <w:r>
                    <w:rPr>
                      <w:rFonts w:hint="eastAsia"/>
                      <w:color w:val="auto"/>
                      <w:highlight w:val="none"/>
                    </w:rPr>
                    <w:t>3</w:t>
                  </w:r>
                  <w:r>
                    <w:rPr>
                      <w:rFonts w:hint="default"/>
                      <w:color w:val="auto"/>
                      <w:highlight w:val="none"/>
                    </w:rPr>
                    <w:t>月</w:t>
                  </w:r>
                  <w:r>
                    <w:rPr>
                      <w:rFonts w:hint="eastAsia"/>
                      <w:color w:val="auto"/>
                      <w:highlight w:val="none"/>
                    </w:rPr>
                    <w:t>20</w:t>
                  </w:r>
                  <w:r>
                    <w:rPr>
                      <w:rFonts w:hint="default"/>
                      <w:color w:val="auto"/>
                      <w:highlight w:val="none"/>
                    </w:rPr>
                    <w:t>日取得排污许可</w:t>
                  </w:r>
                  <w:r>
                    <w:rPr>
                      <w:rFonts w:hint="eastAsia"/>
                      <w:color w:val="auto"/>
                      <w:highlight w:val="none"/>
                      <w:lang w:val="en-US" w:eastAsia="zh-CN"/>
                    </w:rPr>
                    <w:t>登记回执</w:t>
                  </w:r>
                </w:p>
              </w:tc>
            </w:tr>
            <w:tr>
              <w:tblPrEx>
                <w:tblW w:w="4998" w:type="pct"/>
                <w:jc w:val="center"/>
                <w:tblCellMar>
                  <w:top w:w="0" w:type="dxa"/>
                  <w:left w:w="108" w:type="dxa"/>
                  <w:bottom w:w="0" w:type="dxa"/>
                  <w:right w:w="108" w:type="dxa"/>
                </w:tblCellMar>
              </w:tblPrEx>
              <w:trPr>
                <w:trHeight w:val="548"/>
                <w:jc w:val="center"/>
              </w:trPr>
              <w:tc>
                <w:tcPr>
                  <w:tcW w:w="382" w:type="pct"/>
                  <w:noWrap/>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eastAsia"/>
                      <w:color w:val="auto"/>
                      <w:highlight w:val="none"/>
                    </w:rPr>
                    <w:t>2</w:t>
                  </w:r>
                </w:p>
              </w:tc>
              <w:tc>
                <w:tcPr>
                  <w:tcW w:w="1513" w:type="pct"/>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default"/>
                      <w:color w:val="auto"/>
                      <w:highlight w:val="none"/>
                    </w:rPr>
                    <w:t>年产PAD刹车片780万片，BL刹车片420万片建设项目</w:t>
                  </w:r>
                  <w:r>
                    <w:rPr>
                      <w:rFonts w:hint="default"/>
                      <w:b/>
                      <w:bCs/>
                      <w:color w:val="auto"/>
                      <w:highlight w:val="none"/>
                    </w:rPr>
                    <w:t>环评补充说明</w:t>
                  </w:r>
                </w:p>
              </w:tc>
              <w:tc>
                <w:tcPr>
                  <w:tcW w:w="1659" w:type="pct"/>
                  <w:vAlign w:val="center"/>
                </w:tcPr>
                <w:p>
                  <w:pPr>
                    <w:keepNext w:val="0"/>
                    <w:keepLines w:val="0"/>
                    <w:suppressLineNumbers w:val="0"/>
                    <w:spacing w:before="0" w:beforeAutospacing="0" w:after="0" w:afterAutospacing="0"/>
                    <w:ind w:left="0" w:right="0"/>
                    <w:jc w:val="center"/>
                    <w:rPr>
                      <w:rFonts w:hint="eastAsia"/>
                      <w:color w:val="auto"/>
                      <w:highlight w:val="none"/>
                    </w:rPr>
                  </w:pPr>
                  <w:r>
                    <w:rPr>
                      <w:rFonts w:hint="eastAsia"/>
                      <w:color w:val="auto"/>
                      <w:highlight w:val="none"/>
                    </w:rPr>
                    <w:t>无批复，完成时间为2018年12月</w:t>
                  </w:r>
                  <w:r>
                    <w:rPr>
                      <w:rFonts w:hint="eastAsia"/>
                      <w:color w:val="auto"/>
                      <w:highlight w:val="none"/>
                      <w:lang w:eastAsia="zh-CN"/>
                    </w:rPr>
                    <w:t>【</w:t>
                  </w:r>
                  <w:r>
                    <w:rPr>
                      <w:rFonts w:hint="eastAsia"/>
                      <w:color w:val="auto"/>
                      <w:highlight w:val="none"/>
                      <w:lang w:val="en-US" w:eastAsia="zh-CN"/>
                    </w:rPr>
                    <w:t>变动情况为</w:t>
                  </w:r>
                  <w:r>
                    <w:rPr>
                      <w:rFonts w:hint="eastAsia"/>
                      <w:color w:val="auto"/>
                      <w:highlight w:val="none"/>
                      <w:lang w:eastAsia="zh-CN"/>
                    </w:rPr>
                    <w:t>部分生产工序布局（新建4#车间，原1#车间混料工序移至4#车间进行）</w:t>
                  </w:r>
                  <w:r>
                    <w:rPr>
                      <w:rFonts w:hint="eastAsia"/>
                      <w:color w:val="auto"/>
                      <w:highlight w:val="none"/>
                      <w:lang w:val="en-US" w:eastAsia="zh-CN"/>
                    </w:rPr>
                    <w:t>及</w:t>
                  </w:r>
                  <w:r>
                    <w:rPr>
                      <w:rFonts w:hint="eastAsia"/>
                      <w:color w:val="auto"/>
                      <w:highlight w:val="none"/>
                      <w:lang w:eastAsia="zh-CN"/>
                    </w:rPr>
                    <w:t>生产设备（原</w:t>
                  </w:r>
                </w:p>
                <w:p>
                  <w:pPr>
                    <w:keepNext w:val="0"/>
                    <w:keepLines w:val="0"/>
                    <w:suppressLineNumbers w:val="0"/>
                    <w:spacing w:before="0" w:beforeAutospacing="0" w:after="0" w:afterAutospacing="0"/>
                    <w:ind w:left="0" w:right="0"/>
                    <w:jc w:val="center"/>
                    <w:rPr>
                      <w:rFonts w:hint="eastAsia"/>
                      <w:color w:val="auto"/>
                      <w:highlight w:val="none"/>
                    </w:rPr>
                  </w:pPr>
                  <w:r>
                    <w:rPr>
                      <w:rFonts w:hint="eastAsia"/>
                      <w:color w:val="auto"/>
                      <w:highlight w:val="none"/>
                      <w:lang w:eastAsia="zh-CN"/>
                    </w:rPr>
                    <w:t>半人工倒料混料设备替换为全自动称重混料设备）】</w:t>
                  </w:r>
                </w:p>
              </w:tc>
              <w:tc>
                <w:tcPr>
                  <w:tcW w:w="721" w:type="pct"/>
                  <w:vMerge/>
                  <w:vAlign w:val="center"/>
                </w:tcPr>
                <w:p>
                  <w:pPr>
                    <w:keepNext w:val="0"/>
                    <w:keepLines w:val="0"/>
                    <w:suppressLineNumbers w:val="0"/>
                    <w:spacing w:before="0" w:beforeAutospacing="0" w:after="0" w:afterAutospacing="0"/>
                    <w:ind w:left="0" w:right="0"/>
                    <w:jc w:val="center"/>
                    <w:rPr>
                      <w:rFonts w:hint="default"/>
                      <w:color w:val="auto"/>
                      <w:highlight w:val="none"/>
                    </w:rPr>
                  </w:pPr>
                </w:p>
              </w:tc>
              <w:tc>
                <w:tcPr>
                  <w:tcW w:w="723" w:type="pct"/>
                  <w:vMerge/>
                  <w:vAlign w:val="center"/>
                </w:tcPr>
                <w:p>
                  <w:pPr>
                    <w:keepNext w:val="0"/>
                    <w:keepLines w:val="0"/>
                    <w:suppressLineNumbers w:val="0"/>
                    <w:spacing w:before="0" w:beforeAutospacing="0" w:after="0" w:afterAutospacing="0"/>
                    <w:ind w:left="0" w:right="0"/>
                    <w:jc w:val="center"/>
                    <w:rPr>
                      <w:rFonts w:hint="default"/>
                      <w:color w:val="auto"/>
                      <w:highlight w:val="none"/>
                    </w:rPr>
                  </w:pPr>
                </w:p>
              </w:tc>
            </w:tr>
          </w:tbl>
          <w:p>
            <w:pPr>
              <w:pStyle w:val="Heading3"/>
              <w:keepNext w:val="0"/>
              <w:keepLines w:val="0"/>
              <w:suppressLineNumbers w:val="0"/>
              <w:spacing w:before="120" w:beforeAutospacing="0" w:after="120" w:afterAutospacing="0"/>
              <w:ind w:left="0" w:right="0"/>
              <w:rPr>
                <w:rFonts w:hint="default"/>
                <w:color w:val="auto"/>
                <w:highlight w:val="none"/>
              </w:rPr>
            </w:pPr>
            <w:r>
              <w:rPr>
                <w:rFonts w:hint="default"/>
                <w:color w:val="auto"/>
                <w:highlight w:val="none"/>
              </w:rPr>
              <w:t>2.</w:t>
            </w:r>
            <w:r>
              <w:rPr>
                <w:color w:val="auto"/>
                <w:highlight w:val="none"/>
              </w:rPr>
              <w:t>3.2</w:t>
            </w:r>
            <w:r>
              <w:rPr>
                <w:rFonts w:hint="default"/>
                <w:color w:val="auto"/>
                <w:highlight w:val="none"/>
              </w:rPr>
              <w:t xml:space="preserve"> </w:t>
            </w:r>
            <w:r>
              <w:rPr>
                <w:color w:val="auto"/>
                <w:highlight w:val="none"/>
              </w:rPr>
              <w:t>现有项目污染物实际排放情况</w:t>
            </w:r>
          </w:p>
        </w:tc>
      </w:tr>
    </w:tbl>
    <w:p>
      <w:pPr>
        <w:sectPr>
          <w:footerReference w:type="default" r:id="rId36"/>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19"/>
          <w:cols w:num="1" w:space="72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6"/>
        <w:gridCol w:w="8833"/>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214"/>
          <w:jc w:val="center"/>
        </w:trPr>
        <w:tc>
          <w:tcPr>
            <w:tcW w:w="455" w:type="dxa"/>
            <w:vAlign w:val="center"/>
          </w:tcPr>
          <w:p/>
        </w:tc>
        <w:tc>
          <w:tcPr>
            <w:tcW w:w="8834" w:type="dxa"/>
          </w:tcPr>
          <w:p>
            <w:pPr>
              <w:pStyle w:val="Heading4"/>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2.3.2.1废水</w:t>
            </w:r>
          </w:p>
          <w:p>
            <w:pPr>
              <w:keepNext w:val="0"/>
              <w:keepLines w:val="0"/>
              <w:suppressLineNumbers w:val="0"/>
              <w:spacing w:before="0" w:beforeAutospacing="0" w:after="0" w:afterAutospacing="0" w:line="360" w:lineRule="auto"/>
              <w:ind w:left="0" w:right="0" w:firstLine="480" w:firstLineChars="200"/>
              <w:rPr>
                <w:rFonts w:hint="default"/>
                <w:color w:val="auto"/>
                <w:sz w:val="24"/>
                <w:szCs w:val="22"/>
                <w:highlight w:val="none"/>
              </w:rPr>
            </w:pPr>
            <w:r>
              <w:rPr>
                <w:rFonts w:hint="eastAsia"/>
                <w:color w:val="auto"/>
                <w:sz w:val="24"/>
                <w:szCs w:val="22"/>
                <w:highlight w:val="none"/>
              </w:rPr>
              <w:t>本项目废水包括生产废水和生活污水。生产废水经收集后</w:t>
            </w:r>
            <w:r>
              <w:rPr>
                <w:rFonts w:hint="eastAsia"/>
                <w:color w:val="auto"/>
                <w:sz w:val="24"/>
                <w:szCs w:val="22"/>
                <w:highlight w:val="none"/>
                <w:lang w:val="en-US" w:eastAsia="zh-CN"/>
              </w:rPr>
              <w:t>经厂区污水处理站</w:t>
            </w:r>
            <w:r>
              <w:rPr>
                <w:rFonts w:hint="eastAsia"/>
                <w:color w:val="auto"/>
                <w:sz w:val="24"/>
                <w:szCs w:val="22"/>
                <w:highlight w:val="none"/>
              </w:rPr>
              <w:t>处理达标后</w:t>
            </w:r>
            <w:r>
              <w:rPr>
                <w:rFonts w:hint="eastAsia"/>
                <w:color w:val="auto"/>
                <w:sz w:val="24"/>
                <w:szCs w:val="22"/>
                <w:highlight w:val="none"/>
                <w:lang w:val="en-US" w:eastAsia="zh-CN"/>
              </w:rPr>
              <w:t>与经</w:t>
            </w:r>
            <w:r>
              <w:rPr>
                <w:rFonts w:hint="eastAsia"/>
                <w:color w:val="auto"/>
                <w:sz w:val="24"/>
                <w:szCs w:val="22"/>
                <w:highlight w:val="none"/>
              </w:rPr>
              <w:t>厂区化粪池处理达标</w:t>
            </w:r>
            <w:r>
              <w:rPr>
                <w:rFonts w:hint="eastAsia"/>
                <w:color w:val="auto"/>
                <w:sz w:val="24"/>
                <w:szCs w:val="22"/>
                <w:highlight w:val="none"/>
                <w:lang w:eastAsia="zh-CN"/>
              </w:rPr>
              <w:t>的</w:t>
            </w:r>
            <w:r>
              <w:rPr>
                <w:rFonts w:hint="eastAsia"/>
                <w:color w:val="auto"/>
                <w:sz w:val="24"/>
                <w:szCs w:val="22"/>
                <w:highlight w:val="none"/>
                <w:lang w:val="en-US" w:eastAsia="zh-CN"/>
              </w:rPr>
              <w:t>生活污水一起排</w:t>
            </w:r>
            <w:r>
              <w:rPr>
                <w:rFonts w:hint="eastAsia"/>
                <w:color w:val="auto"/>
                <w:sz w:val="24"/>
                <w:szCs w:val="22"/>
                <w:highlight w:val="none"/>
              </w:rPr>
              <w:t>入市政污水管网纳入福清市融元污水处理厂统一处理。</w:t>
            </w:r>
          </w:p>
          <w:p>
            <w:pPr>
              <w:pStyle w:val="NormalIndent"/>
              <w:keepNext w:val="0"/>
              <w:keepLines w:val="0"/>
              <w:suppressLineNumbers w:val="0"/>
              <w:spacing w:before="0" w:beforeAutospacing="0" w:after="0" w:afterAutospacing="0"/>
              <w:ind w:left="0" w:right="0" w:firstLine="0" w:firstLineChars="0"/>
              <w:jc w:val="center"/>
              <w:rPr>
                <w:rFonts w:hint="default"/>
                <w:color w:val="auto"/>
                <w:highlight w:val="none"/>
              </w:rPr>
            </w:pPr>
            <w:r>
              <w:rPr>
                <w:rFonts w:hint="default"/>
                <w:color w:val="auto"/>
                <w:highlight w:val="none"/>
              </w:rPr>
              <w:object>
                <v:shape id="_x0000_i1028" type="#_x0000_t75" style="width:405.75pt;height:68.95pt" o:ole="" coordsize="21600,21600" o:preferrelative="t" filled="f" stroked="f">
                  <v:imagedata r:id="rId37" o:title="" croptop="26874f" cropbottom="16299f"/>
                  <o:lock v:ext="edit" aspectratio="t"/>
                  <w10:anchorlock/>
                </v:shape>
                <o:OLEObject Type="Embed" ProgID="Visio.Drawing.15" ShapeID="_x0000_i1028" DrawAspect="Content" ObjectID="_1468075728" r:id="rId38"/>
              </w:object>
            </w:r>
          </w:p>
          <w:p>
            <w:pPr>
              <w:pStyle w:val="NormalIndent"/>
              <w:keepNext w:val="0"/>
              <w:keepLines w:val="0"/>
              <w:suppressLineNumbers w:val="0"/>
              <w:spacing w:before="0" w:beforeAutospacing="0" w:after="0" w:afterAutospacing="0"/>
              <w:ind w:left="0" w:right="0" w:firstLine="0" w:firstLineChars="0"/>
              <w:jc w:val="center"/>
              <w:rPr>
                <w:rFonts w:hint="default"/>
                <w:b/>
                <w:bCs/>
                <w:color w:val="auto"/>
                <w:szCs w:val="24"/>
                <w:highlight w:val="none"/>
                <w:shd w:val="clear" w:color="auto" w:fill="FFFFFF"/>
              </w:rPr>
            </w:pPr>
            <w:r>
              <w:rPr>
                <w:rFonts w:hint="eastAsia"/>
                <w:b/>
                <w:bCs/>
                <w:color w:val="auto"/>
                <w:szCs w:val="24"/>
                <w:highlight w:val="none"/>
                <w:shd w:val="clear" w:color="auto" w:fill="FFFFFF"/>
              </w:rPr>
              <w:t xml:space="preserve">图2.3-1  </w:t>
            </w:r>
            <w:r>
              <w:rPr>
                <w:rFonts w:hint="eastAsia"/>
                <w:b/>
                <w:bCs/>
                <w:color w:val="auto"/>
                <w:szCs w:val="24"/>
                <w:highlight w:val="none"/>
                <w:shd w:val="clear" w:color="auto" w:fill="FFFFFF"/>
                <w:lang w:val="en-US" w:eastAsia="zh-CN"/>
              </w:rPr>
              <w:t>现有工程</w:t>
            </w:r>
            <w:r>
              <w:rPr>
                <w:rFonts w:hint="eastAsia"/>
                <w:b/>
                <w:bCs/>
                <w:color w:val="auto"/>
                <w:szCs w:val="24"/>
                <w:highlight w:val="none"/>
                <w:shd w:val="clear" w:color="auto" w:fill="FFFFFF"/>
              </w:rPr>
              <w:t>废</w:t>
            </w:r>
            <w:r>
              <w:rPr>
                <w:rFonts w:hint="eastAsia"/>
                <w:b/>
                <w:bCs/>
                <w:color w:val="auto"/>
                <w:szCs w:val="24"/>
                <w:highlight w:val="none"/>
                <w:shd w:val="clear" w:color="auto" w:fill="FFFFFF"/>
                <w:lang w:val="en-US" w:eastAsia="zh-CN"/>
              </w:rPr>
              <w:t>水</w:t>
            </w:r>
            <w:r>
              <w:rPr>
                <w:rFonts w:hint="eastAsia"/>
                <w:b/>
                <w:bCs/>
                <w:color w:val="auto"/>
                <w:szCs w:val="24"/>
                <w:highlight w:val="none"/>
                <w:shd w:val="clear" w:color="auto" w:fill="FFFFFF"/>
              </w:rPr>
              <w:t>治理工艺流程图</w:t>
            </w:r>
          </w:p>
          <w:p>
            <w:pPr>
              <w:keepNext w:val="0"/>
              <w:keepLines w:val="0"/>
              <w:suppressLineNumbers w:val="0"/>
              <w:spacing w:before="0" w:beforeAutospacing="0" w:after="0" w:afterAutospacing="0" w:line="360" w:lineRule="auto"/>
              <w:ind w:left="0" w:right="0" w:firstLine="480" w:firstLineChars="200"/>
              <w:rPr>
                <w:rFonts w:hint="default"/>
                <w:color w:val="auto"/>
                <w:sz w:val="24"/>
                <w:szCs w:val="22"/>
                <w:highlight w:val="none"/>
              </w:rPr>
            </w:pPr>
            <w:r>
              <w:rPr>
                <w:rFonts w:hint="eastAsia"/>
                <w:color w:val="auto"/>
                <w:sz w:val="24"/>
                <w:szCs w:val="22"/>
                <w:highlight w:val="none"/>
              </w:rPr>
              <w:t>（</w:t>
            </w:r>
            <w:r>
              <w:rPr>
                <w:rFonts w:hint="default"/>
                <w:color w:val="auto"/>
                <w:sz w:val="24"/>
                <w:szCs w:val="22"/>
                <w:highlight w:val="none"/>
              </w:rPr>
              <w:t>1</w:t>
            </w:r>
            <w:r>
              <w:rPr>
                <w:rFonts w:hint="eastAsia"/>
                <w:color w:val="auto"/>
                <w:sz w:val="24"/>
                <w:szCs w:val="22"/>
                <w:highlight w:val="none"/>
              </w:rPr>
              <w:t>）生产废水</w:t>
            </w:r>
          </w:p>
          <w:p>
            <w:pPr>
              <w:keepNext w:val="0"/>
              <w:keepLines w:val="0"/>
              <w:suppressLineNumbers w:val="0"/>
              <w:spacing w:before="0" w:beforeAutospacing="0" w:after="0" w:afterAutospacing="0" w:line="360" w:lineRule="auto"/>
              <w:ind w:left="0" w:right="0" w:firstLine="480" w:firstLineChars="200"/>
              <w:rPr>
                <w:rFonts w:hint="default"/>
                <w:color w:val="auto"/>
                <w:sz w:val="24"/>
                <w:szCs w:val="22"/>
                <w:highlight w:val="none"/>
              </w:rPr>
            </w:pPr>
            <w:r>
              <w:rPr>
                <w:rFonts w:hint="eastAsia"/>
                <w:color w:val="auto"/>
                <w:sz w:val="24"/>
                <w:szCs w:val="22"/>
                <w:highlight w:val="none"/>
              </w:rPr>
              <w:t>现有项目生产废水主要包括脱脂废水、水洗废水、涂布废水、喷漆废水和地面冲洗废水，生产废水经收集后采用“水解酸化+接触氧化”处理工艺处理达标后接入至市政污水管道送往福清融元污水处理厂统一处理。</w:t>
            </w:r>
          </w:p>
          <w:p>
            <w:pPr>
              <w:keepNext w:val="0"/>
              <w:keepLines w:val="0"/>
              <w:suppressLineNumbers w:val="0"/>
              <w:spacing w:before="0" w:beforeAutospacing="0" w:after="0" w:afterAutospacing="0" w:line="360" w:lineRule="auto"/>
              <w:ind w:left="0" w:right="0" w:firstLine="480" w:firstLineChars="200"/>
              <w:rPr>
                <w:rFonts w:hint="eastAsia"/>
                <w:color w:val="auto"/>
                <w:sz w:val="24"/>
                <w:szCs w:val="22"/>
                <w:highlight w:val="none"/>
              </w:rPr>
            </w:pPr>
            <w:r>
              <w:rPr>
                <w:rFonts w:hint="eastAsia"/>
                <w:color w:val="auto"/>
                <w:sz w:val="24"/>
                <w:szCs w:val="22"/>
                <w:highlight w:val="none"/>
              </w:rPr>
              <w:t>结合企业实际运营情况及验收材料，现有项目生产废水量约为4464t/a，生产废水排放口各因子的平均排放浓度为：COD 140.5mg/L，氨氮 1.964mg/L、石油类 1.19mg/L、SS 7.5mg/L、阴离子表面活性剂 0.335mg/L，</w:t>
            </w:r>
            <w:r>
              <w:rPr>
                <w:rFonts w:hint="eastAsia"/>
                <w:color w:val="auto"/>
                <w:sz w:val="24"/>
                <w:szCs w:val="22"/>
                <w:highlight w:val="none"/>
                <w:lang w:val="en-US" w:eastAsia="zh-CN"/>
              </w:rPr>
              <w:t>则生产废水的</w:t>
            </w:r>
            <w:r>
              <w:rPr>
                <w:rFonts w:hint="eastAsia"/>
                <w:color w:val="auto"/>
                <w:sz w:val="24"/>
                <w:szCs w:val="22"/>
                <w:highlight w:val="none"/>
              </w:rPr>
              <w:t>排放浓度符合《污水综合排放标准》（GB8978-1996）表4中的三级排放标准，其中氨氮符合《污水排入城镇下水道水质标准》（GB/T31962-2015）表1中B级标准</w:t>
            </w:r>
            <w:r>
              <w:rPr>
                <w:rFonts w:hint="eastAsia"/>
                <w:color w:val="auto"/>
                <w:sz w:val="24"/>
                <w:szCs w:val="22"/>
                <w:highlight w:val="none"/>
                <w:lang w:eastAsia="zh-CN"/>
              </w:rPr>
              <w:t>。</w:t>
            </w:r>
          </w:p>
          <w:p>
            <w:pPr>
              <w:keepNext w:val="0"/>
              <w:keepLines w:val="0"/>
              <w:suppressLineNumbers w:val="0"/>
              <w:spacing w:before="0" w:beforeAutospacing="0" w:after="0" w:afterAutospacing="0" w:line="360" w:lineRule="auto"/>
              <w:ind w:left="0" w:right="0" w:firstLine="480" w:firstLineChars="200"/>
              <w:rPr>
                <w:rFonts w:hint="eastAsia"/>
                <w:color w:val="auto"/>
                <w:sz w:val="24"/>
                <w:highlight w:val="none"/>
              </w:rPr>
            </w:pPr>
            <w:r>
              <w:rPr>
                <w:rFonts w:hint="eastAsia"/>
                <w:color w:val="auto"/>
                <w:sz w:val="24"/>
                <w:szCs w:val="22"/>
                <w:highlight w:val="none"/>
                <w:lang w:val="en-US" w:eastAsia="zh-CN"/>
              </w:rPr>
              <w:t>经核算，生产废水</w:t>
            </w:r>
            <w:r>
              <w:rPr>
                <w:rFonts w:hint="eastAsia"/>
                <w:color w:val="auto"/>
                <w:sz w:val="24"/>
                <w:highlight w:val="none"/>
              </w:rPr>
              <w:t>COD的排放量为0.627t/a、氨氮的排放量为0.00877t/a、石油类的排放量为0.00532t/a、SS的排放量为0.00048t/a、阴离子表面活性剂排放量为0.0015t/a。</w:t>
            </w:r>
          </w:p>
          <w:p>
            <w:pPr>
              <w:keepNext w:val="0"/>
              <w:keepLines w:val="0"/>
              <w:suppressLineNumbers w:val="0"/>
              <w:spacing w:before="0" w:beforeAutospacing="0" w:after="0" w:afterAutospacing="0" w:line="360" w:lineRule="auto"/>
              <w:ind w:left="0" w:right="0" w:firstLine="480" w:firstLineChars="200"/>
              <w:rPr>
                <w:rFonts w:hint="default"/>
                <w:color w:val="auto"/>
                <w:sz w:val="24"/>
                <w:szCs w:val="22"/>
                <w:highlight w:val="none"/>
              </w:rPr>
            </w:pPr>
            <w:r>
              <w:rPr>
                <w:rFonts w:hint="eastAsia"/>
                <w:color w:val="auto"/>
                <w:sz w:val="24"/>
                <w:szCs w:val="22"/>
                <w:highlight w:val="none"/>
              </w:rPr>
              <w:t>（</w:t>
            </w:r>
            <w:r>
              <w:rPr>
                <w:rFonts w:hint="default"/>
                <w:color w:val="auto"/>
                <w:sz w:val="24"/>
                <w:szCs w:val="22"/>
                <w:highlight w:val="none"/>
              </w:rPr>
              <w:t>2</w:t>
            </w:r>
            <w:r>
              <w:rPr>
                <w:rFonts w:hint="eastAsia"/>
                <w:color w:val="auto"/>
                <w:sz w:val="24"/>
                <w:szCs w:val="22"/>
                <w:highlight w:val="none"/>
              </w:rPr>
              <w:t>）生活污水</w:t>
            </w:r>
          </w:p>
          <w:p>
            <w:pPr>
              <w:keepNext w:val="0"/>
              <w:keepLines w:val="0"/>
              <w:suppressLineNumbers w:val="0"/>
              <w:spacing w:before="0" w:beforeAutospacing="0" w:after="0" w:afterAutospacing="0" w:line="360" w:lineRule="auto"/>
              <w:ind w:left="0" w:right="0" w:firstLine="480" w:firstLineChars="200"/>
              <w:rPr>
                <w:rFonts w:hint="eastAsia"/>
                <w:color w:val="auto"/>
                <w:sz w:val="24"/>
                <w:szCs w:val="22"/>
                <w:highlight w:val="none"/>
              </w:rPr>
            </w:pPr>
            <w:r>
              <w:rPr>
                <w:rFonts w:hint="eastAsia"/>
                <w:color w:val="auto"/>
                <w:sz w:val="24"/>
                <w:szCs w:val="22"/>
                <w:highlight w:val="none"/>
              </w:rPr>
              <w:t>生活污水经厂区化粪池处理达标后接入市政污水管网纳入福清市融元污水处理厂统一处理。根据《</w:t>
            </w:r>
            <w:r>
              <w:rPr>
                <w:rFonts w:hint="eastAsia"/>
                <w:color w:val="auto"/>
                <w:sz w:val="24"/>
                <w:szCs w:val="22"/>
                <w:highlight w:val="none"/>
                <w:lang w:eastAsia="zh-CN"/>
              </w:rPr>
              <w:t>********</w:t>
            </w:r>
            <w:r>
              <w:rPr>
                <w:rFonts w:hint="eastAsia"/>
                <w:color w:val="auto"/>
                <w:sz w:val="24"/>
                <w:szCs w:val="22"/>
                <w:highlight w:val="none"/>
              </w:rPr>
              <w:t>制动系统有限公司年产PAD刹车片780万片，BL刹车片420万片建设项目竣工环境保护验收监测报告》，现有项目产生的生活废水量约2106t/a</w:t>
            </w:r>
            <w:r>
              <w:rPr>
                <w:rFonts w:hint="eastAsia"/>
                <w:color w:val="auto"/>
                <w:sz w:val="24"/>
                <w:szCs w:val="22"/>
                <w:highlight w:val="none"/>
                <w:lang w:eastAsia="zh-CN"/>
              </w:rPr>
              <w:t>，</w:t>
            </w:r>
            <w:r>
              <w:rPr>
                <w:rFonts w:hint="eastAsia"/>
                <w:color w:val="auto"/>
                <w:sz w:val="24"/>
                <w:szCs w:val="22"/>
                <w:highlight w:val="none"/>
                <w:lang w:val="en-US" w:eastAsia="zh-CN"/>
              </w:rPr>
              <w:t>生活污水</w:t>
            </w:r>
            <w:r>
              <w:rPr>
                <w:rFonts w:hint="eastAsia"/>
                <w:color w:val="auto"/>
                <w:sz w:val="24"/>
                <w:szCs w:val="22"/>
                <w:highlight w:val="none"/>
              </w:rPr>
              <w:t>排放口各因子的平均排放浓度为：</w:t>
            </w:r>
            <w:r>
              <w:rPr>
                <w:rFonts w:hint="eastAsia"/>
                <w:color w:val="auto"/>
                <w:sz w:val="24"/>
                <w:szCs w:val="22"/>
                <w:highlight w:val="none"/>
                <w:lang w:val="en-US" w:eastAsia="zh-CN"/>
              </w:rPr>
              <w:t>pH 7.09、</w:t>
            </w:r>
            <w:r>
              <w:rPr>
                <w:rFonts w:hint="eastAsia"/>
                <w:color w:val="auto"/>
                <w:sz w:val="24"/>
                <w:szCs w:val="22"/>
                <w:highlight w:val="none"/>
              </w:rPr>
              <w:t xml:space="preserve">COD </w:t>
            </w:r>
            <w:r>
              <w:rPr>
                <w:rFonts w:hint="eastAsia"/>
                <w:color w:val="auto"/>
                <w:sz w:val="24"/>
                <w:szCs w:val="22"/>
                <w:highlight w:val="none"/>
                <w:lang w:val="en-US" w:eastAsia="zh-CN"/>
              </w:rPr>
              <w:t>397</w:t>
            </w:r>
            <w:r>
              <w:rPr>
                <w:rFonts w:hint="eastAsia"/>
                <w:color w:val="auto"/>
                <w:sz w:val="24"/>
                <w:szCs w:val="22"/>
                <w:highlight w:val="none"/>
              </w:rPr>
              <w:t>mg/L</w:t>
            </w:r>
            <w:r>
              <w:rPr>
                <w:rFonts w:hint="eastAsia"/>
                <w:color w:val="auto"/>
                <w:sz w:val="24"/>
                <w:szCs w:val="22"/>
                <w:highlight w:val="none"/>
                <w:lang w:eastAsia="zh-CN"/>
              </w:rPr>
              <w:t>、</w:t>
            </w:r>
            <w:r>
              <w:rPr>
                <w:rFonts w:hint="eastAsia"/>
                <w:color w:val="auto"/>
                <w:sz w:val="24"/>
                <w:szCs w:val="22"/>
                <w:highlight w:val="none"/>
                <w:lang w:val="en-US" w:eastAsia="zh-CN"/>
              </w:rPr>
              <w:t>BOD</w:t>
            </w:r>
            <w:r>
              <w:rPr>
                <w:rFonts w:hint="eastAsia"/>
                <w:color w:val="auto"/>
                <w:sz w:val="24"/>
                <w:szCs w:val="22"/>
                <w:highlight w:val="none"/>
                <w:vertAlign w:val="subscript"/>
                <w:lang w:val="en-US" w:eastAsia="zh-CN"/>
              </w:rPr>
              <w:t>5</w:t>
            </w:r>
            <w:r>
              <w:rPr>
                <w:rFonts w:hint="eastAsia"/>
                <w:color w:val="auto"/>
                <w:sz w:val="24"/>
                <w:szCs w:val="22"/>
                <w:highlight w:val="none"/>
                <w:lang w:val="en-US" w:eastAsia="zh-CN"/>
              </w:rPr>
              <w:t xml:space="preserve"> 273.5</w:t>
            </w:r>
            <w:r>
              <w:rPr>
                <w:rFonts w:hint="eastAsia"/>
                <w:color w:val="auto"/>
                <w:sz w:val="24"/>
                <w:szCs w:val="22"/>
                <w:highlight w:val="none"/>
              </w:rPr>
              <w:t xml:space="preserve">mg/L、氨氮 </w:t>
            </w:r>
            <w:r>
              <w:rPr>
                <w:rFonts w:hint="eastAsia"/>
                <w:color w:val="auto"/>
                <w:sz w:val="24"/>
                <w:szCs w:val="22"/>
                <w:highlight w:val="none"/>
                <w:lang w:val="en-US" w:eastAsia="zh-CN"/>
              </w:rPr>
              <w:t>37.49</w:t>
            </w:r>
            <w:r>
              <w:rPr>
                <w:rFonts w:hint="eastAsia"/>
                <w:color w:val="auto"/>
                <w:sz w:val="24"/>
                <w:szCs w:val="22"/>
                <w:highlight w:val="none"/>
              </w:rPr>
              <w:t xml:space="preserve">mg/L、SS </w:t>
            </w:r>
            <w:r>
              <w:rPr>
                <w:rFonts w:hint="eastAsia"/>
                <w:color w:val="auto"/>
                <w:sz w:val="24"/>
                <w:szCs w:val="22"/>
                <w:highlight w:val="none"/>
                <w:lang w:val="en-US" w:eastAsia="zh-CN"/>
              </w:rPr>
              <w:t>322</w:t>
            </w:r>
            <w:r>
              <w:rPr>
                <w:rFonts w:hint="eastAsia"/>
                <w:color w:val="auto"/>
                <w:sz w:val="24"/>
                <w:szCs w:val="22"/>
                <w:highlight w:val="none"/>
              </w:rPr>
              <w:t>mg/L、阴离子表面活性剂 0.335mg/L，</w:t>
            </w:r>
            <w:r>
              <w:rPr>
                <w:rFonts w:hint="eastAsia"/>
                <w:color w:val="auto"/>
                <w:sz w:val="24"/>
                <w:szCs w:val="22"/>
                <w:highlight w:val="none"/>
                <w:lang w:val="en-US" w:eastAsia="zh-CN"/>
              </w:rPr>
              <w:t>则生活污水的的</w:t>
            </w:r>
            <w:r>
              <w:rPr>
                <w:rFonts w:hint="eastAsia"/>
                <w:color w:val="auto"/>
                <w:sz w:val="24"/>
                <w:szCs w:val="22"/>
                <w:highlight w:val="none"/>
              </w:rPr>
              <w:t>排放浓度符合《污水综合排放标准》（GB8978-1996）表4中的三级排放标准，其中氨氮符合《污水排入城镇下水道水质标准》（GB/T31962-2015）表1中B级标准</w:t>
            </w:r>
            <w:r>
              <w:rPr>
                <w:rFonts w:hint="eastAsia"/>
                <w:color w:val="auto"/>
                <w:sz w:val="24"/>
                <w:szCs w:val="22"/>
                <w:highlight w:val="none"/>
                <w:lang w:eastAsia="zh-CN"/>
              </w:rPr>
              <w:t>。</w:t>
            </w:r>
          </w:p>
        </w:tc>
      </w:tr>
    </w:tbl>
    <w:p>
      <w:pPr>
        <w:sectPr>
          <w:footerReference w:type="default" r:id="rId39"/>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20"/>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6"/>
        <w:gridCol w:w="8833"/>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214"/>
          <w:jc w:val="center"/>
        </w:trPr>
        <w:tc>
          <w:tcPr>
            <w:tcW w:w="455" w:type="dxa"/>
            <w:vAlign w:val="center"/>
          </w:tcPr>
          <w:p/>
        </w:tc>
        <w:tc>
          <w:tcPr>
            <w:tcW w:w="8834" w:type="dxa"/>
          </w:tcPr>
          <w:p>
            <w:pPr>
              <w:keepNext w:val="0"/>
              <w:keepLines w:val="0"/>
              <w:suppressLineNumbers w:val="0"/>
              <w:spacing w:before="0" w:beforeAutospacing="0" w:after="0" w:afterAutospacing="0" w:line="360" w:lineRule="auto"/>
              <w:ind w:left="0" w:right="0" w:firstLine="480" w:firstLineChars="200"/>
              <w:rPr>
                <w:rFonts w:hint="default"/>
                <w:color w:val="auto"/>
                <w:sz w:val="24"/>
                <w:szCs w:val="22"/>
                <w:highlight w:val="none"/>
              </w:rPr>
            </w:pPr>
            <w:r>
              <w:rPr>
                <w:rFonts w:hint="eastAsia"/>
                <w:color w:val="auto"/>
                <w:sz w:val="24"/>
                <w:szCs w:val="22"/>
                <w:highlight w:val="none"/>
                <w:lang w:val="en-US" w:eastAsia="zh-CN"/>
              </w:rPr>
              <w:t>经核算，生产废水</w:t>
            </w:r>
            <w:r>
              <w:rPr>
                <w:rFonts w:hint="eastAsia"/>
                <w:color w:val="auto"/>
                <w:sz w:val="24"/>
                <w:highlight w:val="none"/>
              </w:rPr>
              <w:t>COD的排放量为0.627t/a、</w:t>
            </w:r>
            <w:r>
              <w:rPr>
                <w:rFonts w:hint="eastAsia"/>
                <w:color w:val="auto"/>
                <w:sz w:val="24"/>
                <w:highlight w:val="none"/>
                <w:lang w:val="en-US" w:eastAsia="zh-CN"/>
              </w:rPr>
              <w:t>BOD</w:t>
            </w:r>
            <w:r>
              <w:rPr>
                <w:rFonts w:hint="eastAsia"/>
                <w:color w:val="auto"/>
                <w:sz w:val="24"/>
                <w:highlight w:val="none"/>
                <w:vertAlign w:val="subscript"/>
                <w:lang w:val="en-US" w:eastAsia="zh-CN"/>
              </w:rPr>
              <w:t>5</w:t>
            </w:r>
            <w:r>
              <w:rPr>
                <w:rFonts w:hint="eastAsia"/>
                <w:color w:val="auto"/>
                <w:sz w:val="24"/>
                <w:highlight w:val="none"/>
              </w:rPr>
              <w:t>的排放量为0.00532t/a、氨氮的排放量为0.00877t/a、SS的排放量为0.00048t/a。</w:t>
            </w:r>
          </w:p>
          <w:p>
            <w:pPr>
              <w:pStyle w:val="Heading4"/>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2.3.2.2废气</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现有项目废气主要包括工艺上混合工序产生的粉尘废气、预压过程产生的粉尘废气，珠击、切沟、倒角、研磨过程产生的粉尘废气；涂布烘干、热压、热处理、喷烤漆、喷印工序产生的有机废气、酚类废气、甲醛废气和氨废气。废气治理措施见废气治理工艺流程图</w:t>
            </w:r>
            <w:r>
              <w:rPr>
                <w:rFonts w:hint="eastAsia"/>
                <w:color w:val="auto"/>
                <w:highlight w:val="none"/>
                <w:lang w:val="en-US" w:eastAsia="zh-CN"/>
              </w:rPr>
              <w:t>2.3-2</w:t>
            </w:r>
            <w:r>
              <w:rPr>
                <w:rFonts w:hint="eastAsia"/>
                <w:color w:val="auto"/>
                <w:highlight w:val="none"/>
              </w:rPr>
              <w:t>。</w:t>
            </w:r>
          </w:p>
          <w:p>
            <w:pPr>
              <w:pStyle w:val="NormalIndent"/>
              <w:keepNext w:val="0"/>
              <w:keepLines w:val="0"/>
              <w:suppressLineNumbers w:val="0"/>
              <w:spacing w:before="0" w:beforeAutospacing="0" w:after="0" w:afterAutospacing="0"/>
              <w:ind w:left="0" w:right="0" w:firstLine="0" w:firstLineChars="0"/>
              <w:jc w:val="center"/>
              <w:rPr>
                <w:rFonts w:hint="default"/>
                <w:color w:val="auto"/>
                <w:highlight w:val="none"/>
              </w:rPr>
            </w:pPr>
            <w:r>
              <w:rPr>
                <w:rFonts w:hint="default"/>
                <w:color w:val="auto"/>
                <w:highlight w:val="none"/>
              </w:rPr>
              <w:drawing>
                <wp:inline distT="0" distB="0" distL="114300" distR="114300">
                  <wp:extent cx="3670300" cy="3437255"/>
                  <wp:effectExtent l="0" t="0" r="6350" b="1079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xmlns:r="http://schemas.openxmlformats.org/officeDocument/2006/relationships" r:embed="rId40"/>
                          <a:stretch>
                            <a:fillRect/>
                          </a:stretch>
                        </pic:blipFill>
                        <pic:spPr>
                          <a:xfrm>
                            <a:off x="0" y="0"/>
                            <a:ext cx="3670300" cy="3437255"/>
                          </a:xfrm>
                          <a:prstGeom prst="rect">
                            <a:avLst/>
                          </a:prstGeom>
                          <a:noFill/>
                          <a:ln>
                            <a:noFill/>
                          </a:ln>
                        </pic:spPr>
                      </pic:pic>
                    </a:graphicData>
                  </a:graphic>
                </wp:inline>
              </w:drawing>
            </w:r>
          </w:p>
          <w:p>
            <w:pPr>
              <w:pStyle w:val="NormalIndent"/>
              <w:keepNext w:val="0"/>
              <w:keepLines w:val="0"/>
              <w:suppressLineNumbers w:val="0"/>
              <w:spacing w:before="0" w:beforeAutospacing="0" w:after="0" w:afterAutospacing="0"/>
              <w:ind w:left="0" w:right="0" w:firstLine="0" w:firstLineChars="0"/>
              <w:jc w:val="center"/>
              <w:rPr>
                <w:rFonts w:hint="default"/>
                <w:b/>
                <w:bCs/>
                <w:color w:val="auto"/>
                <w:szCs w:val="24"/>
                <w:highlight w:val="none"/>
                <w:shd w:val="clear" w:color="auto" w:fill="FFFFFF"/>
              </w:rPr>
            </w:pPr>
            <w:r>
              <w:rPr>
                <w:rFonts w:hint="eastAsia"/>
                <w:b/>
                <w:bCs/>
                <w:color w:val="auto"/>
                <w:szCs w:val="24"/>
                <w:highlight w:val="none"/>
                <w:shd w:val="clear" w:color="auto" w:fill="FFFFFF"/>
              </w:rPr>
              <w:t>图2.3-</w:t>
            </w:r>
            <w:r>
              <w:rPr>
                <w:rFonts w:hint="eastAsia"/>
                <w:b/>
                <w:bCs/>
                <w:color w:val="auto"/>
                <w:szCs w:val="24"/>
                <w:highlight w:val="none"/>
                <w:shd w:val="clear" w:color="auto" w:fill="FFFFFF"/>
                <w:lang w:val="en-US" w:eastAsia="zh-CN"/>
              </w:rPr>
              <w:t>2</w:t>
            </w:r>
            <w:r>
              <w:rPr>
                <w:rFonts w:hint="eastAsia"/>
                <w:b/>
                <w:bCs/>
                <w:color w:val="auto"/>
                <w:szCs w:val="24"/>
                <w:highlight w:val="none"/>
                <w:shd w:val="clear" w:color="auto" w:fill="FFFFFF"/>
              </w:rPr>
              <w:t xml:space="preserve">  </w:t>
            </w:r>
            <w:r>
              <w:rPr>
                <w:rFonts w:hint="eastAsia"/>
                <w:b/>
                <w:bCs/>
                <w:color w:val="auto"/>
                <w:szCs w:val="24"/>
                <w:highlight w:val="none"/>
                <w:shd w:val="clear" w:color="auto" w:fill="FFFFFF"/>
                <w:lang w:val="en-US" w:eastAsia="zh-CN"/>
              </w:rPr>
              <w:t>现有工程</w:t>
            </w:r>
            <w:r>
              <w:rPr>
                <w:rFonts w:hint="eastAsia"/>
                <w:b/>
                <w:bCs/>
                <w:color w:val="auto"/>
                <w:szCs w:val="24"/>
                <w:highlight w:val="none"/>
                <w:shd w:val="clear" w:color="auto" w:fill="FFFFFF"/>
              </w:rPr>
              <w:t>废气治理工艺流程图</w:t>
            </w:r>
          </w:p>
          <w:p>
            <w:pPr>
              <w:pStyle w:val="NormalIndent"/>
              <w:keepNext w:val="0"/>
              <w:keepLines w:val="0"/>
              <w:suppressLineNumbers w:val="0"/>
              <w:spacing w:before="0" w:beforeAutospacing="0" w:after="0" w:afterAutospacing="0"/>
              <w:ind w:left="0" w:right="0" w:firstLine="480"/>
              <w:rPr>
                <w:rFonts w:eastAsia="宋体" w:hint="eastAsia"/>
                <w:color w:val="auto"/>
                <w:highlight w:val="none"/>
                <w:lang w:val="en-US" w:eastAsia="zh-CN"/>
              </w:rPr>
            </w:pPr>
            <w:r>
              <w:rPr>
                <w:rFonts w:hint="eastAsia"/>
                <w:color w:val="auto"/>
                <w:highlight w:val="none"/>
              </w:rPr>
              <w:t>摩擦材料混合产生的粉尘废气经集气罩收集后通过布袋除尘器处理达标后引至15m排气筒高空排放（G</w:t>
            </w:r>
            <w:r>
              <w:rPr>
                <w:rFonts w:hint="eastAsia"/>
                <w:color w:val="auto"/>
                <w:highlight w:val="none"/>
                <w:lang w:val="en-US" w:eastAsia="zh-CN"/>
              </w:rPr>
              <w:t>-</w:t>
            </w:r>
            <w:r>
              <w:rPr>
                <w:rFonts w:hint="eastAsia"/>
                <w:color w:val="auto"/>
                <w:highlight w:val="none"/>
              </w:rPr>
              <w:t>4#）；</w:t>
            </w:r>
            <w:r>
              <w:rPr>
                <w:rFonts w:hint="eastAsia"/>
                <w:color w:val="auto"/>
                <w:highlight w:val="none"/>
                <w:lang w:val="en-US" w:eastAsia="zh-CN"/>
              </w:rPr>
              <w:t>根据验收监测报告，</w:t>
            </w:r>
            <w:r>
              <w:rPr>
                <w:rFonts w:hint="eastAsia"/>
                <w:color w:val="auto"/>
                <w:highlight w:val="none"/>
              </w:rPr>
              <w:t>项目（G-4#）</w:t>
            </w:r>
            <w:r>
              <w:rPr>
                <w:rFonts w:hint="eastAsia"/>
                <w:color w:val="auto"/>
                <w:highlight w:val="none"/>
                <w:lang w:val="en-US" w:eastAsia="zh-CN"/>
              </w:rPr>
              <w:t>排气筒</w:t>
            </w:r>
            <w:r>
              <w:rPr>
                <w:rFonts w:hint="eastAsia"/>
                <w:color w:val="auto"/>
                <w:highlight w:val="none"/>
              </w:rPr>
              <w:t>排放的颗粒物</w:t>
            </w:r>
            <w:r>
              <w:rPr>
                <w:rFonts w:hint="eastAsia"/>
                <w:color w:val="auto"/>
                <w:highlight w:val="none"/>
                <w:lang w:val="en-US" w:eastAsia="zh-CN"/>
              </w:rPr>
              <w:t>平均</w:t>
            </w:r>
            <w:r>
              <w:rPr>
                <w:rFonts w:hint="eastAsia"/>
                <w:color w:val="auto"/>
                <w:highlight w:val="none"/>
              </w:rPr>
              <w:t>排放浓度&lt;20mg/m</w:t>
            </w:r>
            <w:r>
              <w:rPr>
                <w:rFonts w:hint="eastAsia"/>
                <w:color w:val="auto"/>
                <w:highlight w:val="none"/>
                <w:vertAlign w:val="superscript"/>
              </w:rPr>
              <w:t>3</w:t>
            </w:r>
            <w:r>
              <w:rPr>
                <w:rFonts w:hint="eastAsia"/>
                <w:color w:val="auto"/>
                <w:highlight w:val="none"/>
              </w:rPr>
              <w:t>，则颗粒物</w:t>
            </w:r>
            <w:r>
              <w:rPr>
                <w:rFonts w:hint="eastAsia"/>
                <w:color w:val="auto"/>
                <w:highlight w:val="none"/>
                <w:lang w:eastAsia="zh-CN"/>
              </w:rPr>
              <w:t>的</w:t>
            </w:r>
            <w:r>
              <w:rPr>
                <w:rFonts w:hint="eastAsia"/>
                <w:color w:val="auto"/>
                <w:highlight w:val="none"/>
                <w:lang w:val="en-US" w:eastAsia="zh-CN"/>
              </w:rPr>
              <w:t>排放浓度</w:t>
            </w:r>
            <w:r>
              <w:rPr>
                <w:rFonts w:hint="eastAsia"/>
                <w:color w:val="auto"/>
                <w:highlight w:val="none"/>
              </w:rPr>
              <w:t>可达到《大气污染物综合排放标准》（GB16297-1996)表2的二级标准限值</w:t>
            </w:r>
            <w:r>
              <w:rPr>
                <w:rFonts w:hint="eastAsia"/>
                <w:color w:val="auto"/>
                <w:highlight w:val="none"/>
                <w:lang w:eastAsia="zh-CN"/>
              </w:rPr>
              <w:t>（</w:t>
            </w:r>
            <w:r>
              <w:rPr>
                <w:rFonts w:hint="eastAsia"/>
                <w:color w:val="auto"/>
                <w:highlight w:val="none"/>
              </w:rPr>
              <w:t>颗粒物≤120mg/m</w:t>
            </w:r>
            <w:r>
              <w:rPr>
                <w:rFonts w:hint="eastAsia"/>
                <w:color w:val="auto"/>
                <w:highlight w:val="none"/>
                <w:vertAlign w:val="superscript"/>
              </w:rPr>
              <w:t>3</w:t>
            </w:r>
            <w:r>
              <w:rPr>
                <w:rFonts w:hint="eastAsia"/>
                <w:color w:val="auto"/>
                <w:highlight w:val="none"/>
                <w:lang w:eastAsia="zh-CN"/>
              </w:rPr>
              <w:t>）。</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预压/切沟/倒角/研磨工序产生的粉尘废气经集气罩收集通过布袋除尘器处理达标后引至15m高的排气筒排放</w:t>
            </w:r>
            <w:r>
              <w:rPr>
                <w:rFonts w:hint="eastAsia"/>
                <w:color w:val="auto"/>
                <w:highlight w:val="none"/>
                <w:lang w:eastAsia="zh-CN"/>
              </w:rPr>
              <w:t>（</w:t>
            </w:r>
            <w:r>
              <w:rPr>
                <w:rFonts w:hint="eastAsia"/>
                <w:color w:val="auto"/>
                <w:highlight w:val="none"/>
              </w:rPr>
              <w:t>G</w:t>
            </w:r>
            <w:r>
              <w:rPr>
                <w:rFonts w:hint="eastAsia"/>
                <w:color w:val="auto"/>
                <w:highlight w:val="none"/>
                <w:lang w:val="en-US" w:eastAsia="zh-CN"/>
              </w:rPr>
              <w:t>-</w:t>
            </w:r>
            <w:r>
              <w:rPr>
                <w:rFonts w:hint="eastAsia"/>
                <w:color w:val="auto"/>
                <w:highlight w:val="none"/>
              </w:rPr>
              <w:t>1#</w:t>
            </w:r>
            <w:r>
              <w:rPr>
                <w:rFonts w:hint="eastAsia"/>
                <w:color w:val="auto"/>
                <w:highlight w:val="none"/>
                <w:lang w:eastAsia="zh-CN"/>
              </w:rPr>
              <w:t>）</w:t>
            </w:r>
            <w:r>
              <w:rPr>
                <w:rFonts w:hint="eastAsia"/>
                <w:color w:val="auto"/>
                <w:highlight w:val="none"/>
              </w:rPr>
              <w:t>。项目热处理及铁板烧工序产生的有机废气由集气罩收集后经活性炭吸附处理达标后引至15m排气筒高空排放</w:t>
            </w:r>
            <w:r>
              <w:rPr>
                <w:rFonts w:hint="eastAsia"/>
                <w:color w:val="auto"/>
                <w:highlight w:val="none"/>
                <w:lang w:eastAsia="zh-CN"/>
              </w:rPr>
              <w:t>（</w:t>
            </w:r>
            <w:r>
              <w:rPr>
                <w:rFonts w:hint="eastAsia"/>
                <w:color w:val="auto"/>
                <w:highlight w:val="none"/>
              </w:rPr>
              <w:t>G</w:t>
            </w:r>
            <w:r>
              <w:rPr>
                <w:rFonts w:hint="eastAsia"/>
                <w:color w:val="auto"/>
                <w:highlight w:val="none"/>
                <w:lang w:val="en-US" w:eastAsia="zh-CN"/>
              </w:rPr>
              <w:t>-</w:t>
            </w:r>
            <w:r>
              <w:rPr>
                <w:rFonts w:hint="eastAsia"/>
                <w:color w:val="auto"/>
                <w:highlight w:val="none"/>
              </w:rPr>
              <w:t>1#</w:t>
            </w:r>
            <w:r>
              <w:rPr>
                <w:rFonts w:hint="eastAsia"/>
                <w:color w:val="auto"/>
                <w:highlight w:val="none"/>
                <w:lang w:eastAsia="zh-CN"/>
              </w:rPr>
              <w:t>）</w:t>
            </w:r>
            <w:r>
              <w:rPr>
                <w:rFonts w:hint="eastAsia"/>
                <w:color w:val="auto"/>
                <w:highlight w:val="none"/>
              </w:rPr>
              <w:t>；</w:t>
            </w:r>
            <w:r>
              <w:rPr>
                <w:rFonts w:hint="eastAsia"/>
                <w:color w:val="auto"/>
                <w:highlight w:val="none"/>
                <w:lang w:val="en-US" w:eastAsia="zh-CN"/>
              </w:rPr>
              <w:t>根据验收监测报告，</w:t>
            </w:r>
            <w:r>
              <w:rPr>
                <w:rFonts w:hint="eastAsia"/>
                <w:color w:val="auto"/>
                <w:highlight w:val="none"/>
              </w:rPr>
              <w:t>项目（G-1#）</w:t>
            </w:r>
            <w:r>
              <w:rPr>
                <w:rFonts w:hint="eastAsia"/>
                <w:color w:val="auto"/>
                <w:highlight w:val="none"/>
                <w:lang w:val="en-US" w:eastAsia="zh-CN"/>
              </w:rPr>
              <w:t>排气筒</w:t>
            </w:r>
            <w:r>
              <w:rPr>
                <w:rFonts w:hint="eastAsia"/>
                <w:color w:val="auto"/>
                <w:highlight w:val="none"/>
              </w:rPr>
              <w:t>排放的颗粒物</w:t>
            </w:r>
            <w:r>
              <w:rPr>
                <w:rFonts w:hint="eastAsia"/>
                <w:color w:val="auto"/>
                <w:highlight w:val="none"/>
                <w:lang w:val="en-US" w:eastAsia="zh-CN"/>
              </w:rPr>
              <w:t>平均</w:t>
            </w:r>
            <w:r>
              <w:rPr>
                <w:rFonts w:hint="eastAsia"/>
                <w:color w:val="auto"/>
                <w:highlight w:val="none"/>
              </w:rPr>
              <w:t>排放浓度&lt;20mg/m</w:t>
            </w:r>
            <w:r>
              <w:rPr>
                <w:rFonts w:hint="eastAsia"/>
                <w:color w:val="auto"/>
                <w:highlight w:val="none"/>
                <w:vertAlign w:val="superscript"/>
              </w:rPr>
              <w:t>3</w:t>
            </w:r>
            <w:r>
              <w:rPr>
                <w:rFonts w:hint="eastAsia"/>
                <w:color w:val="auto"/>
                <w:highlight w:val="none"/>
              </w:rPr>
              <w:t>、</w:t>
            </w:r>
            <w:r>
              <w:rPr>
                <w:rFonts w:hint="eastAsia"/>
                <w:color w:val="auto"/>
                <w:highlight w:val="none"/>
                <w:lang w:val="en-US" w:eastAsia="zh-CN"/>
              </w:rPr>
              <w:t>非甲烷总烃平均</w:t>
            </w:r>
            <w:r>
              <w:rPr>
                <w:rFonts w:hint="eastAsia"/>
                <w:color w:val="auto"/>
                <w:highlight w:val="none"/>
              </w:rPr>
              <w:t>排放浓度为</w:t>
            </w:r>
            <w:r>
              <w:rPr>
                <w:rFonts w:hint="eastAsia"/>
                <w:color w:val="auto"/>
                <w:highlight w:val="none"/>
                <w:lang w:val="en-US" w:eastAsia="zh-CN"/>
              </w:rPr>
              <w:t>3.035</w:t>
            </w:r>
            <w:r>
              <w:rPr>
                <w:rFonts w:hint="eastAsia"/>
                <w:color w:val="auto"/>
                <w:highlight w:val="none"/>
              </w:rPr>
              <w:t>mg/m</w:t>
            </w:r>
            <w:r>
              <w:rPr>
                <w:rFonts w:hint="eastAsia"/>
                <w:color w:val="auto"/>
                <w:highlight w:val="none"/>
                <w:vertAlign w:val="superscript"/>
              </w:rPr>
              <w:t>3</w:t>
            </w:r>
            <w:r>
              <w:rPr>
                <w:rFonts w:hint="eastAsia"/>
                <w:color w:val="auto"/>
                <w:highlight w:val="none"/>
              </w:rPr>
              <w:t>、酚类化合物</w:t>
            </w:r>
            <w:r>
              <w:rPr>
                <w:rFonts w:hint="eastAsia"/>
                <w:color w:val="auto"/>
                <w:highlight w:val="none"/>
                <w:lang w:val="en-US" w:eastAsia="zh-CN"/>
              </w:rPr>
              <w:t>平均</w:t>
            </w:r>
            <w:r>
              <w:rPr>
                <w:rFonts w:hint="eastAsia"/>
                <w:color w:val="auto"/>
                <w:highlight w:val="none"/>
              </w:rPr>
              <w:t>排放浓度为</w:t>
            </w:r>
            <w:r>
              <w:rPr>
                <w:rFonts w:hint="eastAsia"/>
                <w:color w:val="auto"/>
                <w:highlight w:val="none"/>
                <w:lang w:val="en-US" w:eastAsia="zh-CN"/>
              </w:rPr>
              <w:t>3.0</w:t>
            </w:r>
            <w:r>
              <w:rPr>
                <w:rFonts w:hint="eastAsia"/>
                <w:color w:val="auto"/>
                <w:highlight w:val="none"/>
              </w:rPr>
              <w:t>mg/m</w:t>
            </w:r>
            <w:r>
              <w:rPr>
                <w:rFonts w:hint="eastAsia"/>
                <w:color w:val="auto"/>
                <w:highlight w:val="none"/>
                <w:vertAlign w:val="superscript"/>
              </w:rPr>
              <w:t>3</w:t>
            </w:r>
            <w:r>
              <w:rPr>
                <w:rFonts w:hint="eastAsia"/>
                <w:color w:val="auto"/>
                <w:highlight w:val="none"/>
              </w:rPr>
              <w:t>、甲醛</w:t>
            </w:r>
            <w:r>
              <w:rPr>
                <w:rFonts w:hint="eastAsia"/>
                <w:color w:val="auto"/>
                <w:highlight w:val="none"/>
                <w:lang w:eastAsia="zh-CN"/>
              </w:rPr>
              <w:t>的</w:t>
            </w:r>
          </w:p>
        </w:tc>
      </w:tr>
    </w:tbl>
    <w:p>
      <w:pPr>
        <w:sectPr>
          <w:footerReference w:type="default" r:id="rId41"/>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21"/>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6"/>
        <w:gridCol w:w="8833"/>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214"/>
          <w:jc w:val="center"/>
        </w:trPr>
        <w:tc>
          <w:tcPr>
            <w:tcW w:w="455" w:type="dxa"/>
            <w:vAlign w:val="center"/>
          </w:tcPr>
          <w:p/>
        </w:tc>
        <w:tc>
          <w:tcPr>
            <w:tcW w:w="8834" w:type="dxa"/>
          </w:tcPr>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lang w:val="en-US" w:eastAsia="zh-CN"/>
              </w:rPr>
              <w:t>平均</w:t>
            </w:r>
            <w:r>
              <w:rPr>
                <w:rFonts w:hint="eastAsia"/>
                <w:color w:val="auto"/>
                <w:highlight w:val="none"/>
              </w:rPr>
              <w:t>排放浓度&lt;0.5mg/m</w:t>
            </w:r>
            <w:r>
              <w:rPr>
                <w:rFonts w:hint="eastAsia"/>
                <w:color w:val="auto"/>
                <w:highlight w:val="none"/>
                <w:vertAlign w:val="superscript"/>
              </w:rPr>
              <w:t>3</w:t>
            </w:r>
            <w:r>
              <w:rPr>
                <w:rFonts w:hint="eastAsia"/>
                <w:color w:val="auto"/>
                <w:highlight w:val="none"/>
              </w:rPr>
              <w:t>、</w:t>
            </w:r>
            <w:r>
              <w:rPr>
                <w:rFonts w:hint="eastAsia"/>
                <w:color w:val="auto"/>
                <w:highlight w:val="none"/>
                <w:lang w:val="en-US" w:eastAsia="zh-CN"/>
              </w:rPr>
              <w:t>氨的平均</w:t>
            </w:r>
            <w:r>
              <w:rPr>
                <w:rFonts w:hint="eastAsia"/>
                <w:color w:val="auto"/>
                <w:highlight w:val="none"/>
              </w:rPr>
              <w:t>排放浓度&lt;0.</w:t>
            </w:r>
            <w:r>
              <w:rPr>
                <w:rFonts w:hint="eastAsia"/>
                <w:color w:val="auto"/>
                <w:highlight w:val="none"/>
                <w:lang w:val="en-US" w:eastAsia="zh-CN"/>
              </w:rPr>
              <w:t>2</w:t>
            </w:r>
            <w:r>
              <w:rPr>
                <w:rFonts w:hint="eastAsia"/>
                <w:color w:val="auto"/>
                <w:highlight w:val="none"/>
              </w:rPr>
              <w:t>5mg/m</w:t>
            </w:r>
            <w:r>
              <w:rPr>
                <w:rFonts w:hint="eastAsia"/>
                <w:color w:val="auto"/>
                <w:highlight w:val="none"/>
                <w:vertAlign w:val="superscript"/>
              </w:rPr>
              <w:t>3</w:t>
            </w:r>
            <w:r>
              <w:rPr>
                <w:rFonts w:hint="eastAsia"/>
                <w:color w:val="auto"/>
                <w:highlight w:val="none"/>
                <w:lang w:val="en-US" w:eastAsia="zh-CN"/>
              </w:rPr>
              <w:t>，则非甲烷总烃排放浓度可达到《***涂装工序挥发性有机物排放标准》（DB35 1783-2018）中有组织废气排放浓度控制要求（非甲烷总烃≤60mg/m</w:t>
            </w:r>
            <w:r>
              <w:rPr>
                <w:rFonts w:hint="eastAsia"/>
                <w:color w:val="auto"/>
                <w:highlight w:val="none"/>
                <w:vertAlign w:val="superscript"/>
                <w:lang w:val="en-US" w:eastAsia="zh-CN"/>
              </w:rPr>
              <w:t>3</w:t>
            </w:r>
            <w:r>
              <w:rPr>
                <w:rFonts w:hint="eastAsia"/>
                <w:color w:val="auto"/>
                <w:highlight w:val="none"/>
                <w:lang w:val="en-US" w:eastAsia="zh-CN"/>
              </w:rPr>
              <w:t>）；颗粒物、酚类、甲醛污染物可达到《大气污染物综合排放标准》（GB16297-1996)表2的二级标准限值（颗粒物≤120mg/m</w:t>
            </w:r>
            <w:r>
              <w:rPr>
                <w:rFonts w:hint="eastAsia"/>
                <w:color w:val="auto"/>
                <w:highlight w:val="none"/>
                <w:vertAlign w:val="superscript"/>
                <w:lang w:val="en-US" w:eastAsia="zh-CN"/>
              </w:rPr>
              <w:t>3</w:t>
            </w:r>
            <w:r>
              <w:rPr>
                <w:rFonts w:hint="eastAsia"/>
                <w:color w:val="auto"/>
                <w:highlight w:val="none"/>
                <w:lang w:val="en-US" w:eastAsia="zh-CN"/>
              </w:rPr>
              <w:t>；酚类≤100mg/m</w:t>
            </w:r>
            <w:r>
              <w:rPr>
                <w:rFonts w:hint="eastAsia"/>
                <w:color w:val="auto"/>
                <w:highlight w:val="none"/>
                <w:vertAlign w:val="superscript"/>
                <w:lang w:val="en-US" w:eastAsia="zh-CN"/>
              </w:rPr>
              <w:t>3</w:t>
            </w:r>
            <w:r>
              <w:rPr>
                <w:rFonts w:hint="eastAsia"/>
                <w:color w:val="auto"/>
                <w:highlight w:val="none"/>
                <w:lang w:val="en-US" w:eastAsia="zh-CN"/>
              </w:rPr>
              <w:t>；甲醛≤25mg/m</w:t>
            </w:r>
            <w:r>
              <w:rPr>
                <w:rFonts w:hint="eastAsia"/>
                <w:color w:val="auto"/>
                <w:highlight w:val="none"/>
                <w:vertAlign w:val="superscript"/>
                <w:lang w:val="en-US" w:eastAsia="zh-CN"/>
              </w:rPr>
              <w:t>3</w:t>
            </w:r>
            <w:r>
              <w:rPr>
                <w:rFonts w:hint="eastAsia"/>
                <w:color w:val="auto"/>
                <w:highlight w:val="none"/>
                <w:lang w:val="en-US" w:eastAsia="zh-CN"/>
              </w:rPr>
              <w:t>）；氨可达到《恶臭污染物排放标准》（GB14554-93）中二级排放标准（氨气最大排放速率&lt;4.9kg/h）。</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涂布烘干工序废气产生的有机废气由集气罩收集后分别经2套经活性炭吸附处理达标后合并引至15m排气筒高空排放</w:t>
            </w:r>
            <w:r>
              <w:rPr>
                <w:rFonts w:hint="eastAsia"/>
                <w:color w:val="auto"/>
                <w:highlight w:val="none"/>
                <w:lang w:eastAsia="zh-CN"/>
              </w:rPr>
              <w:t>（</w:t>
            </w:r>
            <w:r>
              <w:rPr>
                <w:rFonts w:hint="eastAsia"/>
                <w:color w:val="auto"/>
                <w:highlight w:val="none"/>
              </w:rPr>
              <w:t>G</w:t>
            </w:r>
            <w:r>
              <w:rPr>
                <w:rFonts w:hint="eastAsia"/>
                <w:color w:val="auto"/>
                <w:highlight w:val="none"/>
                <w:lang w:val="en-US" w:eastAsia="zh-CN"/>
              </w:rPr>
              <w:t>-2</w:t>
            </w:r>
            <w:r>
              <w:rPr>
                <w:rFonts w:hint="eastAsia"/>
                <w:color w:val="auto"/>
                <w:highlight w:val="none"/>
              </w:rPr>
              <w:t>#</w:t>
            </w:r>
            <w:r>
              <w:rPr>
                <w:rFonts w:hint="eastAsia"/>
                <w:color w:val="auto"/>
                <w:highlight w:val="none"/>
                <w:lang w:eastAsia="zh-CN"/>
              </w:rPr>
              <w:t>）</w:t>
            </w:r>
            <w:r>
              <w:rPr>
                <w:rFonts w:hint="eastAsia"/>
                <w:color w:val="auto"/>
                <w:highlight w:val="none"/>
              </w:rPr>
              <w:t>。</w:t>
            </w:r>
            <w:r>
              <w:rPr>
                <w:rFonts w:hint="eastAsia"/>
                <w:color w:val="auto"/>
                <w:highlight w:val="none"/>
                <w:lang w:val="en-US" w:eastAsia="zh-CN"/>
              </w:rPr>
              <w:t>根据验收监测报告，</w:t>
            </w:r>
            <w:r>
              <w:rPr>
                <w:rFonts w:hint="eastAsia"/>
                <w:color w:val="auto"/>
                <w:highlight w:val="none"/>
              </w:rPr>
              <w:t>项目（G-2#）</w:t>
            </w:r>
            <w:r>
              <w:rPr>
                <w:rFonts w:hint="eastAsia"/>
                <w:color w:val="auto"/>
                <w:highlight w:val="none"/>
                <w:lang w:val="en-US" w:eastAsia="zh-CN"/>
              </w:rPr>
              <w:t>排气筒</w:t>
            </w:r>
            <w:r>
              <w:rPr>
                <w:rFonts w:hint="eastAsia"/>
                <w:color w:val="auto"/>
                <w:highlight w:val="none"/>
              </w:rPr>
              <w:t>排放的</w:t>
            </w:r>
            <w:r>
              <w:rPr>
                <w:rFonts w:hint="eastAsia"/>
                <w:color w:val="auto"/>
                <w:highlight w:val="none"/>
                <w:lang w:val="en-US" w:eastAsia="zh-CN"/>
              </w:rPr>
              <w:t>非甲烷总烃平均</w:t>
            </w:r>
            <w:r>
              <w:rPr>
                <w:rFonts w:hint="eastAsia"/>
                <w:color w:val="auto"/>
                <w:highlight w:val="none"/>
              </w:rPr>
              <w:t>排放浓度为</w:t>
            </w:r>
            <w:r>
              <w:rPr>
                <w:rFonts w:hint="eastAsia"/>
                <w:color w:val="auto"/>
                <w:highlight w:val="none"/>
                <w:lang w:val="en-US" w:eastAsia="zh-CN"/>
              </w:rPr>
              <w:t>4.8</w:t>
            </w:r>
            <w:r>
              <w:rPr>
                <w:rFonts w:hint="eastAsia"/>
                <w:color w:val="auto"/>
                <w:highlight w:val="none"/>
              </w:rPr>
              <w:t>mg/m</w:t>
            </w:r>
            <w:r>
              <w:rPr>
                <w:rFonts w:hint="eastAsia"/>
                <w:color w:val="auto"/>
                <w:highlight w:val="none"/>
                <w:vertAlign w:val="superscript"/>
              </w:rPr>
              <w:t>3</w:t>
            </w:r>
            <w:r>
              <w:rPr>
                <w:rFonts w:hint="eastAsia"/>
                <w:color w:val="auto"/>
                <w:highlight w:val="none"/>
              </w:rPr>
              <w:t>、酚类化合物</w:t>
            </w:r>
            <w:r>
              <w:rPr>
                <w:rFonts w:hint="eastAsia"/>
                <w:color w:val="auto"/>
                <w:highlight w:val="none"/>
                <w:lang w:val="en-US" w:eastAsia="zh-CN"/>
              </w:rPr>
              <w:t>平均</w:t>
            </w:r>
            <w:r>
              <w:rPr>
                <w:rFonts w:hint="eastAsia"/>
                <w:color w:val="auto"/>
                <w:highlight w:val="none"/>
              </w:rPr>
              <w:t>排放浓度为</w:t>
            </w:r>
            <w:r>
              <w:rPr>
                <w:rFonts w:hint="eastAsia"/>
                <w:color w:val="auto"/>
                <w:highlight w:val="none"/>
                <w:lang w:val="en-US" w:eastAsia="zh-CN"/>
              </w:rPr>
              <w:t>8.1</w:t>
            </w:r>
            <w:r>
              <w:rPr>
                <w:rFonts w:hint="eastAsia"/>
                <w:color w:val="auto"/>
                <w:highlight w:val="none"/>
              </w:rPr>
              <w:t>mg/m</w:t>
            </w:r>
            <w:r>
              <w:rPr>
                <w:rFonts w:hint="eastAsia"/>
                <w:color w:val="auto"/>
                <w:highlight w:val="none"/>
                <w:vertAlign w:val="superscript"/>
              </w:rPr>
              <w:t>3</w:t>
            </w:r>
            <w:r>
              <w:rPr>
                <w:rFonts w:hint="eastAsia"/>
                <w:color w:val="auto"/>
                <w:highlight w:val="none"/>
              </w:rPr>
              <w:t>、甲醛</w:t>
            </w:r>
            <w:r>
              <w:rPr>
                <w:rFonts w:hint="eastAsia"/>
                <w:color w:val="auto"/>
                <w:highlight w:val="none"/>
                <w:lang w:eastAsia="zh-CN"/>
              </w:rPr>
              <w:t>的</w:t>
            </w:r>
            <w:r>
              <w:rPr>
                <w:rFonts w:hint="eastAsia"/>
                <w:color w:val="auto"/>
                <w:highlight w:val="none"/>
                <w:lang w:val="en-US" w:eastAsia="zh-CN"/>
              </w:rPr>
              <w:t>平均</w:t>
            </w:r>
            <w:r>
              <w:rPr>
                <w:rFonts w:hint="eastAsia"/>
                <w:color w:val="auto"/>
                <w:highlight w:val="none"/>
              </w:rPr>
              <w:t>排放浓度&lt;0.5mg/m</w:t>
            </w:r>
            <w:r>
              <w:rPr>
                <w:rFonts w:hint="eastAsia"/>
                <w:color w:val="auto"/>
                <w:highlight w:val="none"/>
                <w:vertAlign w:val="superscript"/>
              </w:rPr>
              <w:t>3</w:t>
            </w:r>
            <w:r>
              <w:rPr>
                <w:rFonts w:hint="eastAsia"/>
                <w:color w:val="auto"/>
                <w:highlight w:val="none"/>
              </w:rPr>
              <w:t>、</w:t>
            </w:r>
            <w:r>
              <w:rPr>
                <w:rFonts w:hint="eastAsia"/>
                <w:color w:val="auto"/>
                <w:highlight w:val="none"/>
                <w:lang w:val="en-US" w:eastAsia="zh-CN"/>
              </w:rPr>
              <w:t>氨</w:t>
            </w:r>
            <w:r>
              <w:rPr>
                <w:rFonts w:hint="eastAsia"/>
                <w:color w:val="auto"/>
                <w:highlight w:val="none"/>
                <w:lang w:eastAsia="zh-CN"/>
              </w:rPr>
              <w:t>的</w:t>
            </w:r>
            <w:r>
              <w:rPr>
                <w:rFonts w:hint="eastAsia"/>
                <w:color w:val="auto"/>
                <w:highlight w:val="none"/>
                <w:lang w:val="en-US" w:eastAsia="zh-CN"/>
              </w:rPr>
              <w:t>平均</w:t>
            </w:r>
            <w:r>
              <w:rPr>
                <w:rFonts w:hint="eastAsia"/>
                <w:color w:val="auto"/>
                <w:highlight w:val="none"/>
              </w:rPr>
              <w:t>排放浓度&lt;0.</w:t>
            </w:r>
            <w:r>
              <w:rPr>
                <w:rFonts w:hint="eastAsia"/>
                <w:color w:val="auto"/>
                <w:highlight w:val="none"/>
                <w:lang w:val="en-US" w:eastAsia="zh-CN"/>
              </w:rPr>
              <w:t>2</w:t>
            </w:r>
            <w:r>
              <w:rPr>
                <w:rFonts w:hint="eastAsia"/>
                <w:color w:val="auto"/>
                <w:highlight w:val="none"/>
              </w:rPr>
              <w:t>5mg/m</w:t>
            </w:r>
            <w:r>
              <w:rPr>
                <w:rFonts w:hint="eastAsia"/>
                <w:color w:val="auto"/>
                <w:highlight w:val="none"/>
                <w:vertAlign w:val="superscript"/>
              </w:rPr>
              <w:t>3</w:t>
            </w:r>
            <w:r>
              <w:rPr>
                <w:rFonts w:hint="eastAsia"/>
                <w:color w:val="auto"/>
                <w:highlight w:val="none"/>
                <w:lang w:val="en-US" w:eastAsia="zh-CN"/>
              </w:rPr>
              <w:t>，则非甲烷总烃排放浓度可达到《***涂装工序挥发性有机物排放标准》（DB35 1783-2018）中有组织废气排放浓度控制要求（非甲烷总烃≤60mg/m</w:t>
            </w:r>
            <w:r>
              <w:rPr>
                <w:rFonts w:hint="eastAsia"/>
                <w:color w:val="auto"/>
                <w:highlight w:val="none"/>
                <w:vertAlign w:val="superscript"/>
                <w:lang w:val="en-US" w:eastAsia="zh-CN"/>
              </w:rPr>
              <w:t>3</w:t>
            </w:r>
            <w:r>
              <w:rPr>
                <w:rFonts w:hint="eastAsia"/>
                <w:color w:val="auto"/>
                <w:highlight w:val="none"/>
                <w:lang w:val="en-US" w:eastAsia="zh-CN"/>
              </w:rPr>
              <w:t>）；颗粒物、酚类、甲醛污染物可达到《大气污染物综合排放标准》（GB16297-1996)表2的二级标准限值（颗粒物≤120mg/m</w:t>
            </w:r>
            <w:r>
              <w:rPr>
                <w:rFonts w:hint="eastAsia"/>
                <w:color w:val="auto"/>
                <w:highlight w:val="none"/>
                <w:vertAlign w:val="superscript"/>
                <w:lang w:val="en-US" w:eastAsia="zh-CN"/>
              </w:rPr>
              <w:t>3</w:t>
            </w:r>
            <w:r>
              <w:rPr>
                <w:rFonts w:hint="eastAsia"/>
                <w:color w:val="auto"/>
                <w:highlight w:val="none"/>
                <w:lang w:val="en-US" w:eastAsia="zh-CN"/>
              </w:rPr>
              <w:t>；酚类≤100mg/m</w:t>
            </w:r>
            <w:r>
              <w:rPr>
                <w:rFonts w:hint="eastAsia"/>
                <w:color w:val="auto"/>
                <w:highlight w:val="none"/>
                <w:vertAlign w:val="superscript"/>
                <w:lang w:val="en-US" w:eastAsia="zh-CN"/>
              </w:rPr>
              <w:t>3</w:t>
            </w:r>
            <w:r>
              <w:rPr>
                <w:rFonts w:hint="eastAsia"/>
                <w:color w:val="auto"/>
                <w:highlight w:val="none"/>
                <w:lang w:val="en-US" w:eastAsia="zh-CN"/>
              </w:rPr>
              <w:t>；甲醛≤25mg/m</w:t>
            </w:r>
            <w:r>
              <w:rPr>
                <w:rFonts w:hint="eastAsia"/>
                <w:color w:val="auto"/>
                <w:highlight w:val="none"/>
                <w:vertAlign w:val="superscript"/>
                <w:lang w:val="en-US" w:eastAsia="zh-CN"/>
              </w:rPr>
              <w:t>3</w:t>
            </w:r>
            <w:r>
              <w:rPr>
                <w:rFonts w:hint="eastAsia"/>
                <w:color w:val="auto"/>
                <w:highlight w:val="none"/>
                <w:lang w:val="en-US" w:eastAsia="zh-CN"/>
              </w:rPr>
              <w:t>）；氨可达到《恶臭污染物排放标准》（GB14554-93）中二级排放标准（氨气最大排放速率&lt;4.9kg/h）。</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喷烤漆工序产生的有机废气经单独一套集气装置收集后，由车间屋面1个排气口排放，该排气口接一套小型活性炭吸附装置，废气经处理后由15m高排气筒排放</w:t>
            </w:r>
            <w:r>
              <w:rPr>
                <w:rFonts w:hint="eastAsia"/>
                <w:color w:val="auto"/>
                <w:highlight w:val="none"/>
                <w:lang w:eastAsia="zh-CN"/>
              </w:rPr>
              <w:t>（</w:t>
            </w:r>
            <w:r>
              <w:rPr>
                <w:rFonts w:hint="eastAsia"/>
                <w:color w:val="auto"/>
                <w:highlight w:val="none"/>
              </w:rPr>
              <w:t>G</w:t>
            </w:r>
            <w:r>
              <w:rPr>
                <w:rFonts w:hint="eastAsia"/>
                <w:color w:val="auto"/>
                <w:highlight w:val="none"/>
                <w:lang w:val="en-US" w:eastAsia="zh-CN"/>
              </w:rPr>
              <w:t>-3</w:t>
            </w:r>
            <w:r>
              <w:rPr>
                <w:rFonts w:hint="eastAsia"/>
                <w:color w:val="auto"/>
                <w:highlight w:val="none"/>
              </w:rPr>
              <w:t>#</w:t>
            </w:r>
            <w:r>
              <w:rPr>
                <w:rFonts w:hint="eastAsia"/>
                <w:color w:val="auto"/>
                <w:highlight w:val="none"/>
                <w:lang w:eastAsia="zh-CN"/>
              </w:rPr>
              <w:t>）</w:t>
            </w:r>
            <w:r>
              <w:rPr>
                <w:rFonts w:hint="eastAsia"/>
                <w:color w:val="auto"/>
                <w:highlight w:val="none"/>
              </w:rPr>
              <w:t>。</w:t>
            </w:r>
            <w:r>
              <w:rPr>
                <w:rFonts w:hint="eastAsia"/>
                <w:color w:val="auto"/>
                <w:highlight w:val="none"/>
                <w:lang w:val="en-US" w:eastAsia="zh-CN"/>
              </w:rPr>
              <w:t>根据验收监测报告，</w:t>
            </w:r>
            <w:r>
              <w:rPr>
                <w:rFonts w:hint="eastAsia"/>
                <w:color w:val="auto"/>
                <w:highlight w:val="none"/>
              </w:rPr>
              <w:t>项目（G-</w:t>
            </w:r>
            <w:r>
              <w:rPr>
                <w:rFonts w:hint="eastAsia"/>
                <w:color w:val="auto"/>
                <w:highlight w:val="none"/>
                <w:lang w:val="en-US" w:eastAsia="zh-CN"/>
              </w:rPr>
              <w:t>3</w:t>
            </w:r>
            <w:r>
              <w:rPr>
                <w:rFonts w:hint="eastAsia"/>
                <w:color w:val="auto"/>
                <w:highlight w:val="none"/>
              </w:rPr>
              <w:t>#）</w:t>
            </w:r>
            <w:r>
              <w:rPr>
                <w:rFonts w:hint="eastAsia"/>
                <w:color w:val="auto"/>
                <w:highlight w:val="none"/>
                <w:lang w:val="en-US" w:eastAsia="zh-CN"/>
              </w:rPr>
              <w:t>排气筒</w:t>
            </w:r>
            <w:r>
              <w:rPr>
                <w:rFonts w:hint="eastAsia"/>
                <w:color w:val="auto"/>
                <w:highlight w:val="none"/>
              </w:rPr>
              <w:t>排放的</w:t>
            </w:r>
            <w:r>
              <w:rPr>
                <w:rFonts w:hint="eastAsia"/>
                <w:color w:val="auto"/>
                <w:highlight w:val="none"/>
                <w:lang w:val="en-US" w:eastAsia="zh-CN"/>
              </w:rPr>
              <w:t>非甲烷总烃平均</w:t>
            </w:r>
            <w:r>
              <w:rPr>
                <w:rFonts w:hint="eastAsia"/>
                <w:color w:val="auto"/>
                <w:highlight w:val="none"/>
              </w:rPr>
              <w:t>排放浓度为</w:t>
            </w:r>
            <w:r>
              <w:rPr>
                <w:rFonts w:hint="eastAsia"/>
                <w:color w:val="auto"/>
                <w:highlight w:val="none"/>
                <w:lang w:val="en-US" w:eastAsia="zh-CN"/>
              </w:rPr>
              <w:t>3.785</w:t>
            </w:r>
            <w:r>
              <w:rPr>
                <w:rFonts w:hint="eastAsia"/>
                <w:color w:val="auto"/>
                <w:highlight w:val="none"/>
              </w:rPr>
              <w:t>mg/m</w:t>
            </w:r>
            <w:r>
              <w:rPr>
                <w:rFonts w:hint="eastAsia"/>
                <w:color w:val="auto"/>
                <w:highlight w:val="none"/>
                <w:vertAlign w:val="superscript"/>
              </w:rPr>
              <w:t>3</w:t>
            </w:r>
            <w:r>
              <w:rPr>
                <w:rFonts w:hint="eastAsia"/>
                <w:color w:val="auto"/>
                <w:highlight w:val="none"/>
                <w:lang w:val="en-US" w:eastAsia="zh-CN"/>
              </w:rPr>
              <w:t>，则非甲烷总烃排放浓度的可达到《***涂装工序挥发性有机物排放标准》（DB35 1783-2018）中有组织废气排放浓度控制要求（非甲烷总烃≤60mg/m</w:t>
            </w:r>
            <w:r>
              <w:rPr>
                <w:rFonts w:hint="eastAsia"/>
                <w:color w:val="auto"/>
                <w:highlight w:val="none"/>
                <w:vertAlign w:val="superscript"/>
                <w:lang w:val="en-US" w:eastAsia="zh-CN"/>
              </w:rPr>
              <w:t>3</w:t>
            </w:r>
            <w:r>
              <w:rPr>
                <w:rFonts w:hint="eastAsia"/>
                <w:color w:val="auto"/>
                <w:highlight w:val="none"/>
                <w:lang w:val="en-US" w:eastAsia="zh-CN"/>
              </w:rPr>
              <w:t>）。</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根据现有项目</w:t>
            </w:r>
            <w:r>
              <w:rPr>
                <w:rFonts w:hint="eastAsia"/>
                <w:color w:val="auto"/>
                <w:highlight w:val="none"/>
                <w:lang w:val="en-US" w:eastAsia="zh-CN"/>
              </w:rPr>
              <w:t>环境影响评价报告书污染源</w:t>
            </w:r>
            <w:r>
              <w:rPr>
                <w:rFonts w:hint="eastAsia"/>
                <w:color w:val="auto"/>
                <w:highlight w:val="none"/>
              </w:rPr>
              <w:t>核算，非甲烷总烃排放量</w:t>
            </w:r>
            <w:r>
              <w:rPr>
                <w:rFonts w:hint="eastAsia"/>
                <w:color w:val="auto"/>
                <w:highlight w:val="none"/>
                <w:lang w:val="en-US" w:eastAsia="zh-CN"/>
              </w:rPr>
              <w:t>为3.5275</w:t>
            </w:r>
            <w:r>
              <w:rPr>
                <w:rFonts w:hint="eastAsia"/>
                <w:color w:val="auto"/>
                <w:highlight w:val="none"/>
              </w:rPr>
              <w:t>t/a，</w:t>
            </w:r>
            <w:r>
              <w:rPr>
                <w:rFonts w:hint="eastAsia"/>
                <w:color w:val="auto"/>
                <w:highlight w:val="none"/>
                <w:lang w:val="en-US" w:eastAsia="zh-CN"/>
              </w:rPr>
              <w:t>颗粒物</w:t>
            </w:r>
            <w:r>
              <w:rPr>
                <w:rFonts w:hint="eastAsia"/>
                <w:color w:val="auto"/>
                <w:highlight w:val="none"/>
                <w:lang w:eastAsia="zh-CN"/>
              </w:rPr>
              <w:t>的</w:t>
            </w:r>
            <w:r>
              <w:rPr>
                <w:rFonts w:hint="eastAsia"/>
                <w:color w:val="auto"/>
                <w:highlight w:val="none"/>
              </w:rPr>
              <w:t>排放量</w:t>
            </w:r>
            <w:r>
              <w:rPr>
                <w:rFonts w:hint="eastAsia"/>
                <w:color w:val="auto"/>
                <w:highlight w:val="none"/>
                <w:lang w:val="en-US" w:eastAsia="zh-CN"/>
              </w:rPr>
              <w:t>为2.44</w:t>
            </w:r>
            <w:r>
              <w:rPr>
                <w:rFonts w:hint="eastAsia"/>
                <w:color w:val="auto"/>
                <w:highlight w:val="none"/>
              </w:rPr>
              <w:t>t/a，酚类化合物</w:t>
            </w:r>
            <w:r>
              <w:rPr>
                <w:rFonts w:hint="eastAsia"/>
                <w:color w:val="auto"/>
                <w:highlight w:val="none"/>
                <w:lang w:eastAsia="zh-CN"/>
              </w:rPr>
              <w:t>的</w:t>
            </w:r>
            <w:r>
              <w:rPr>
                <w:rFonts w:hint="eastAsia"/>
                <w:color w:val="auto"/>
                <w:highlight w:val="none"/>
              </w:rPr>
              <w:t>排放量</w:t>
            </w:r>
            <w:r>
              <w:rPr>
                <w:rFonts w:hint="eastAsia"/>
                <w:color w:val="auto"/>
                <w:highlight w:val="none"/>
                <w:lang w:val="en-US" w:eastAsia="zh-CN"/>
              </w:rPr>
              <w:t>为</w:t>
            </w:r>
            <w:r>
              <w:rPr>
                <w:rFonts w:hint="eastAsia"/>
                <w:color w:val="auto"/>
                <w:highlight w:val="none"/>
              </w:rPr>
              <w:t>0.</w:t>
            </w:r>
            <w:r>
              <w:rPr>
                <w:rFonts w:hint="eastAsia"/>
                <w:color w:val="auto"/>
                <w:highlight w:val="none"/>
                <w:lang w:val="en-US" w:eastAsia="zh-CN"/>
              </w:rPr>
              <w:t>219</w:t>
            </w:r>
            <w:r>
              <w:rPr>
                <w:rFonts w:hint="eastAsia"/>
                <w:color w:val="auto"/>
                <w:highlight w:val="none"/>
              </w:rPr>
              <w:t>t/a，</w:t>
            </w:r>
            <w:r>
              <w:rPr>
                <w:rFonts w:hint="eastAsia"/>
                <w:color w:val="auto"/>
                <w:highlight w:val="none"/>
                <w:lang w:val="en-US" w:eastAsia="zh-CN"/>
              </w:rPr>
              <w:t>甲醛</w:t>
            </w:r>
            <w:r>
              <w:rPr>
                <w:rFonts w:hint="eastAsia"/>
                <w:color w:val="auto"/>
                <w:highlight w:val="none"/>
                <w:lang w:eastAsia="zh-CN"/>
              </w:rPr>
              <w:t>的</w:t>
            </w:r>
            <w:r>
              <w:rPr>
                <w:rFonts w:hint="eastAsia"/>
                <w:color w:val="auto"/>
                <w:highlight w:val="none"/>
              </w:rPr>
              <w:t>排放量</w:t>
            </w:r>
            <w:r>
              <w:rPr>
                <w:rFonts w:hint="eastAsia"/>
                <w:color w:val="auto"/>
                <w:highlight w:val="none"/>
                <w:lang w:val="en-US" w:eastAsia="zh-CN"/>
              </w:rPr>
              <w:t>为</w:t>
            </w:r>
            <w:r>
              <w:rPr>
                <w:rFonts w:hint="eastAsia"/>
                <w:color w:val="auto"/>
                <w:highlight w:val="none"/>
              </w:rPr>
              <w:t>0.</w:t>
            </w:r>
            <w:r>
              <w:rPr>
                <w:rFonts w:hint="eastAsia"/>
                <w:color w:val="auto"/>
                <w:highlight w:val="none"/>
                <w:lang w:val="en-US" w:eastAsia="zh-CN"/>
              </w:rPr>
              <w:t>0422</w:t>
            </w:r>
            <w:r>
              <w:rPr>
                <w:rFonts w:hint="eastAsia"/>
                <w:color w:val="auto"/>
                <w:highlight w:val="none"/>
              </w:rPr>
              <w:t>t/a，</w:t>
            </w:r>
            <w:r>
              <w:rPr>
                <w:rFonts w:hint="eastAsia"/>
                <w:color w:val="auto"/>
                <w:highlight w:val="none"/>
                <w:lang w:val="en-US" w:eastAsia="zh-CN"/>
              </w:rPr>
              <w:t>氨</w:t>
            </w:r>
            <w:r>
              <w:rPr>
                <w:rFonts w:hint="eastAsia"/>
                <w:color w:val="auto"/>
                <w:highlight w:val="none"/>
                <w:lang w:eastAsia="zh-CN"/>
              </w:rPr>
              <w:t>的</w:t>
            </w:r>
            <w:r>
              <w:rPr>
                <w:rFonts w:hint="eastAsia"/>
                <w:color w:val="auto"/>
                <w:highlight w:val="none"/>
              </w:rPr>
              <w:t>排放量</w:t>
            </w:r>
            <w:r>
              <w:rPr>
                <w:rFonts w:hint="eastAsia"/>
                <w:color w:val="auto"/>
                <w:highlight w:val="none"/>
                <w:lang w:val="en-US" w:eastAsia="zh-CN"/>
              </w:rPr>
              <w:t>为0.25</w:t>
            </w:r>
            <w:r>
              <w:rPr>
                <w:rFonts w:hint="eastAsia"/>
                <w:color w:val="auto"/>
                <w:highlight w:val="none"/>
              </w:rPr>
              <w:t>t/</w:t>
            </w:r>
            <w:r>
              <w:rPr>
                <w:rFonts w:hint="eastAsia"/>
                <w:color w:val="auto"/>
                <w:highlight w:val="none"/>
                <w:lang w:val="en-US" w:eastAsia="zh-CN"/>
              </w:rPr>
              <w:t>a</w:t>
            </w:r>
            <w:r>
              <w:rPr>
                <w:rFonts w:hint="eastAsia"/>
                <w:color w:val="auto"/>
                <w:highlight w:val="none"/>
              </w:rPr>
              <w:t>。</w:t>
            </w:r>
          </w:p>
          <w:p>
            <w:pPr>
              <w:pStyle w:val="Heading4"/>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2.3.2.3固废</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根据现有项目验收监测报告表</w:t>
            </w:r>
            <w:r>
              <w:rPr>
                <w:rFonts w:hint="eastAsia"/>
                <w:color w:val="auto"/>
                <w:highlight w:val="none"/>
                <w:lang w:val="en-US" w:eastAsia="zh-CN"/>
              </w:rPr>
              <w:t>环境影响评价报告书</w:t>
            </w:r>
            <w:r>
              <w:rPr>
                <w:rFonts w:hint="eastAsia"/>
                <w:color w:val="auto"/>
                <w:highlight w:val="none"/>
              </w:rPr>
              <w:t>，现有工程固废产生情况见表2.3-2。</w:t>
            </w:r>
          </w:p>
          <w:p>
            <w:pPr>
              <w:keepNext w:val="0"/>
              <w:keepLines w:val="0"/>
              <w:suppressLineNumbers w:val="0"/>
              <w:spacing w:before="120" w:beforeLines="50" w:beforeAutospacing="0" w:after="0" w:afterAutospacing="0" w:line="360" w:lineRule="auto"/>
              <w:ind w:left="0" w:right="0" w:firstLine="480" w:firstLineChars="200"/>
              <w:jc w:val="center"/>
              <w:rPr>
                <w:rFonts w:hint="default"/>
                <w:b/>
                <w:bCs/>
                <w:color w:val="auto"/>
                <w:sz w:val="24"/>
                <w:highlight w:val="none"/>
                <w:shd w:val="clear" w:color="auto" w:fill="FFFFFF"/>
              </w:rPr>
            </w:pPr>
            <w:r>
              <w:rPr>
                <w:rFonts w:hint="eastAsia"/>
                <w:b/>
                <w:bCs/>
                <w:color w:val="auto"/>
                <w:sz w:val="24"/>
                <w:highlight w:val="none"/>
                <w:shd w:val="clear" w:color="auto" w:fill="FFFFFF"/>
              </w:rPr>
              <w:t>表2.3-2 现有工程固废产生情况及处置方式</w:t>
            </w:r>
          </w:p>
          <w:tbl>
            <w:tblPr>
              <w:tblStyle w:val="TableNormal"/>
              <w:tblW w:w="4998"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57" w:type="dxa"/>
                <w:bottom w:w="0" w:type="dxa"/>
                <w:right w:w="57" w:type="dxa"/>
              </w:tblCellMar>
            </w:tblPr>
            <w:tblGrid>
              <w:gridCol w:w="703"/>
              <w:gridCol w:w="2676"/>
              <w:gridCol w:w="1610"/>
              <w:gridCol w:w="1156"/>
              <w:gridCol w:w="2469"/>
            </w:tblGrid>
            <w:tr>
              <w:tblPrEx>
                <w:tblW w:w="4998"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57" w:type="dxa"/>
                  <w:bottom w:w="0" w:type="dxa"/>
                  <w:right w:w="57" w:type="dxa"/>
                </w:tblCellMar>
              </w:tblPrEx>
              <w:trPr>
                <w:trHeight w:val="340"/>
                <w:jc w:val="center"/>
              </w:trPr>
              <w:tc>
                <w:tcPr>
                  <w:tcW w:w="40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b/>
                      <w:bCs/>
                      <w:color w:val="auto"/>
                      <w:highlight w:val="none"/>
                    </w:rPr>
                  </w:pPr>
                  <w:r>
                    <w:rPr>
                      <w:rFonts w:hint="eastAsia"/>
                      <w:b/>
                      <w:bCs/>
                      <w:color w:val="auto"/>
                      <w:highlight w:val="none"/>
                    </w:rPr>
                    <w:t>序号</w:t>
                  </w:r>
                </w:p>
              </w:tc>
              <w:tc>
                <w:tcPr>
                  <w:tcW w:w="155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b/>
                      <w:bCs/>
                      <w:color w:val="auto"/>
                      <w:highlight w:val="none"/>
                    </w:rPr>
                  </w:pPr>
                  <w:r>
                    <w:rPr>
                      <w:rFonts w:hint="eastAsia"/>
                      <w:b/>
                      <w:bCs/>
                      <w:color w:val="auto"/>
                      <w:highlight w:val="none"/>
                    </w:rPr>
                    <w:t>固废名称</w:t>
                  </w:r>
                </w:p>
              </w:tc>
              <w:tc>
                <w:tcPr>
                  <w:tcW w:w="93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b/>
                      <w:bCs/>
                      <w:color w:val="auto"/>
                      <w:highlight w:val="none"/>
                    </w:rPr>
                  </w:pPr>
                  <w:r>
                    <w:rPr>
                      <w:rFonts w:hint="eastAsia"/>
                      <w:b/>
                      <w:bCs/>
                      <w:color w:val="auto"/>
                      <w:highlight w:val="none"/>
                    </w:rPr>
                    <w:t>产生量/（</w:t>
                  </w:r>
                  <w:r>
                    <w:rPr>
                      <w:rFonts w:hint="default"/>
                      <w:b/>
                      <w:bCs/>
                      <w:color w:val="auto"/>
                      <w:highlight w:val="none"/>
                    </w:rPr>
                    <w:t>t/a</w:t>
                  </w:r>
                  <w:r>
                    <w:rPr>
                      <w:rFonts w:hint="eastAsia"/>
                      <w:b/>
                      <w:bCs/>
                      <w:color w:val="auto"/>
                      <w:highlight w:val="none"/>
                    </w:rPr>
                    <w:t>）</w:t>
                  </w:r>
                </w:p>
              </w:tc>
              <w:tc>
                <w:tcPr>
                  <w:tcW w:w="671"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b/>
                      <w:bCs/>
                      <w:color w:val="auto"/>
                      <w:highlight w:val="none"/>
                    </w:rPr>
                  </w:pPr>
                  <w:r>
                    <w:rPr>
                      <w:rFonts w:hint="eastAsia"/>
                      <w:b/>
                      <w:bCs/>
                      <w:color w:val="auto"/>
                      <w:highlight w:val="none"/>
                    </w:rPr>
                    <w:t>储存位置</w:t>
                  </w:r>
                </w:p>
              </w:tc>
              <w:tc>
                <w:tcPr>
                  <w:tcW w:w="1432"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b/>
                      <w:bCs/>
                      <w:color w:val="auto"/>
                      <w:highlight w:val="none"/>
                    </w:rPr>
                  </w:pPr>
                  <w:r>
                    <w:rPr>
                      <w:rFonts w:hint="eastAsia"/>
                      <w:b/>
                      <w:bCs/>
                      <w:color w:val="auto"/>
                      <w:highlight w:val="none"/>
                    </w:rPr>
                    <w:t>处置方式</w:t>
                  </w:r>
                </w:p>
              </w:tc>
            </w:tr>
          </w:tbl>
          <w:p/>
        </w:tc>
      </w:tr>
    </w:tbl>
    <w:p>
      <w:pPr>
        <w:sectPr>
          <w:footerReference w:type="default" r:id="rId42"/>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22"/>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6"/>
        <w:gridCol w:w="8833"/>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214"/>
          <w:jc w:val="center"/>
        </w:trPr>
        <w:tc>
          <w:tcPr>
            <w:tcW w:w="455" w:type="dxa"/>
            <w:vAlign w:val="center"/>
          </w:tcPr>
          <w:p/>
        </w:tc>
        <w:tc>
          <w:tcPr>
            <w:tcW w:w="8834" w:type="dxa"/>
          </w:tcPr>
          <w:tbl>
            <w:tblPr>
              <w:tblStyle w:val="TableNormal"/>
              <w:tblW w:w="4998"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57" w:type="dxa"/>
                <w:bottom w:w="0" w:type="dxa"/>
                <w:right w:w="57" w:type="dxa"/>
              </w:tblCellMar>
            </w:tblPr>
            <w:tblGrid>
              <w:gridCol w:w="703"/>
              <w:gridCol w:w="2676"/>
              <w:gridCol w:w="1610"/>
              <w:gridCol w:w="1156"/>
              <w:gridCol w:w="2469"/>
            </w:tblGrid>
            <w:tr>
              <w:tblPrEx>
                <w:tblW w:w="4998"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CellMar>
                  <w:top w:w="0" w:type="dxa"/>
                  <w:left w:w="57" w:type="dxa"/>
                  <w:bottom w:w="0" w:type="dxa"/>
                  <w:right w:w="57" w:type="dxa"/>
                </w:tblCellMar>
              </w:tblPrEx>
              <w:trPr>
                <w:trHeight w:val="340"/>
                <w:jc w:val="center"/>
              </w:trPr>
              <w:tc>
                <w:tcPr>
                  <w:tcW w:w="40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default"/>
                      <w:color w:val="auto"/>
                      <w:highlight w:val="none"/>
                    </w:rPr>
                    <w:t>1</w:t>
                  </w:r>
                </w:p>
              </w:tc>
              <w:tc>
                <w:tcPr>
                  <w:tcW w:w="155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eastAsia"/>
                      <w:color w:val="auto"/>
                      <w:highlight w:val="none"/>
                    </w:rPr>
                    <w:t>生活垃圾</w:t>
                  </w:r>
                </w:p>
              </w:tc>
              <w:tc>
                <w:tcPr>
                  <w:tcW w:w="93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eastAsia"/>
                      <w:color w:val="auto"/>
                      <w:highlight w:val="none"/>
                    </w:rPr>
                    <w:t>46.85</w:t>
                  </w:r>
                </w:p>
              </w:tc>
              <w:tc>
                <w:tcPr>
                  <w:tcW w:w="671"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eastAsia"/>
                      <w:color w:val="auto"/>
                      <w:highlight w:val="none"/>
                    </w:rPr>
                    <w:t>/</w:t>
                  </w:r>
                </w:p>
              </w:tc>
              <w:tc>
                <w:tcPr>
                  <w:tcW w:w="1432"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default"/>
                      <w:color w:val="auto"/>
                      <w:highlight w:val="none"/>
                    </w:rPr>
                    <w:t>环卫部门统一清运</w:t>
                  </w:r>
                </w:p>
              </w:tc>
            </w:tr>
            <w:tr>
              <w:tblPrEx>
                <w:tblW w:w="4998" w:type="pct"/>
                <w:jc w:val="center"/>
                <w:tblCellMar>
                  <w:top w:w="0" w:type="dxa"/>
                  <w:left w:w="57" w:type="dxa"/>
                  <w:bottom w:w="0" w:type="dxa"/>
                  <w:right w:w="57" w:type="dxa"/>
                </w:tblCellMar>
              </w:tblPrEx>
              <w:trPr>
                <w:trHeight w:val="340"/>
                <w:jc w:val="center"/>
              </w:trPr>
              <w:tc>
                <w:tcPr>
                  <w:tcW w:w="40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default"/>
                      <w:color w:val="auto"/>
                      <w:highlight w:val="none"/>
                    </w:rPr>
                    <w:t>2</w:t>
                  </w:r>
                </w:p>
              </w:tc>
              <w:tc>
                <w:tcPr>
                  <w:tcW w:w="155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default"/>
                      <w:color w:val="auto"/>
                      <w:highlight w:val="none"/>
                    </w:rPr>
                    <w:t>不合格产品、布袋除尘器灰渣、铁屑等</w:t>
                  </w:r>
                </w:p>
              </w:tc>
              <w:tc>
                <w:tcPr>
                  <w:tcW w:w="93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eastAsia"/>
                      <w:color w:val="auto"/>
                      <w:highlight w:val="none"/>
                      <w:lang w:val="en-US" w:eastAsia="zh-CN"/>
                    </w:rPr>
                    <w:t>21.9</w:t>
                  </w:r>
                </w:p>
              </w:tc>
              <w:tc>
                <w:tcPr>
                  <w:tcW w:w="671"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eastAsia"/>
                      <w:color w:val="auto"/>
                      <w:highlight w:val="none"/>
                    </w:rPr>
                    <w:t>一般固废间</w:t>
                  </w:r>
                </w:p>
              </w:tc>
              <w:tc>
                <w:tcPr>
                  <w:tcW w:w="1432"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default"/>
                      <w:color w:val="auto"/>
                      <w:highlight w:val="none"/>
                    </w:rPr>
                    <w:t>分类收集后，由</w:t>
                  </w:r>
                  <w:r>
                    <w:rPr>
                      <w:rFonts w:hint="eastAsia"/>
                      <w:color w:val="auto"/>
                      <w:highlight w:val="none"/>
                    </w:rPr>
                    <w:t>外售综合利用</w:t>
                  </w:r>
                </w:p>
              </w:tc>
            </w:tr>
            <w:tr>
              <w:tblPrEx>
                <w:tblW w:w="4998" w:type="pct"/>
                <w:jc w:val="center"/>
                <w:tblCellMar>
                  <w:top w:w="0" w:type="dxa"/>
                  <w:left w:w="57" w:type="dxa"/>
                  <w:bottom w:w="0" w:type="dxa"/>
                  <w:right w:w="57" w:type="dxa"/>
                </w:tblCellMar>
              </w:tblPrEx>
              <w:trPr>
                <w:trHeight w:val="340"/>
                <w:jc w:val="center"/>
              </w:trPr>
              <w:tc>
                <w:tcPr>
                  <w:tcW w:w="40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eastAsia"/>
                      <w:color w:val="auto"/>
                      <w:highlight w:val="none"/>
                    </w:rPr>
                    <w:t>3</w:t>
                  </w:r>
                </w:p>
              </w:tc>
              <w:tc>
                <w:tcPr>
                  <w:tcW w:w="1553"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eastAsia"/>
                      <w:color w:val="auto"/>
                      <w:highlight w:val="none"/>
                    </w:rPr>
                    <w:t>废树脂、涂料废物、废活性炭及前道过滤棉、废溶剂桶、废漆桶等</w:t>
                  </w:r>
                </w:p>
              </w:tc>
              <w:tc>
                <w:tcPr>
                  <w:tcW w:w="93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eastAsia"/>
                      <w:color w:val="auto"/>
                      <w:highlight w:val="none"/>
                    </w:rPr>
                    <w:t>15.0</w:t>
                  </w:r>
                </w:p>
              </w:tc>
              <w:tc>
                <w:tcPr>
                  <w:tcW w:w="671"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eastAsia"/>
                      <w:color w:val="auto"/>
                      <w:highlight w:val="none"/>
                    </w:rPr>
                    <w:t>危险固废暂存间</w:t>
                  </w:r>
                </w:p>
              </w:tc>
              <w:tc>
                <w:tcPr>
                  <w:tcW w:w="1432"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highlight w:val="none"/>
                    </w:rPr>
                  </w:pPr>
                  <w:r>
                    <w:rPr>
                      <w:rFonts w:hint="eastAsia"/>
                      <w:color w:val="auto"/>
                      <w:highlight w:val="none"/>
                    </w:rPr>
                    <w:t>暂存于危废间，定期委托福建绿洲固体废物处置有限公司处置</w:t>
                  </w:r>
                </w:p>
              </w:tc>
            </w:tr>
          </w:tbl>
          <w:p>
            <w:pPr>
              <w:pStyle w:val="Heading3"/>
              <w:keepNext w:val="0"/>
              <w:keepLines w:val="0"/>
              <w:suppressLineNumbers w:val="0"/>
              <w:spacing w:before="120" w:beforeAutospacing="0" w:after="120" w:afterAutospacing="0"/>
              <w:ind w:left="0" w:right="0"/>
              <w:rPr>
                <w:rFonts w:hint="default"/>
                <w:color w:val="auto"/>
                <w:highlight w:val="none"/>
              </w:rPr>
            </w:pPr>
            <w:r>
              <w:rPr>
                <w:rFonts w:hint="default"/>
                <w:color w:val="auto"/>
                <w:highlight w:val="none"/>
              </w:rPr>
              <w:t>2.</w:t>
            </w:r>
            <w:r>
              <w:rPr>
                <w:color w:val="auto"/>
                <w:highlight w:val="none"/>
              </w:rPr>
              <w:t>3.3</w:t>
            </w:r>
            <w:r>
              <w:rPr>
                <w:rFonts w:hint="default"/>
                <w:color w:val="auto"/>
                <w:highlight w:val="none"/>
              </w:rPr>
              <w:t xml:space="preserve"> </w:t>
            </w:r>
            <w:r>
              <w:rPr>
                <w:color w:val="auto"/>
                <w:highlight w:val="none"/>
              </w:rPr>
              <w:t>现有项目存在主要环境问题及整改措施</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项目厂区内无与本项目有关的原有污染情况及主要环境问题。</w:t>
            </w:r>
          </w:p>
          <w:p>
            <w:pPr>
              <w:pStyle w:val="BodyTextFirstIndent2"/>
              <w:keepNext w:val="0"/>
              <w:keepLines w:val="0"/>
              <w:suppressLineNumbers w:val="0"/>
              <w:spacing w:before="0" w:beforeAutospacing="0" w:afterAutospacing="0"/>
              <w:ind w:right="0"/>
              <w:rPr>
                <w:rFonts w:hint="default"/>
                <w:color w:val="auto"/>
                <w:highlight w:val="none"/>
              </w:rPr>
            </w:pPr>
          </w:p>
          <w:p>
            <w:pPr>
              <w:pStyle w:val="NormalIndent"/>
              <w:keepNext w:val="0"/>
              <w:keepLines w:val="0"/>
              <w:suppressLineNumbers w:val="0"/>
              <w:spacing w:before="0" w:beforeAutospacing="0" w:after="0" w:afterAutospacing="0"/>
              <w:ind w:left="0" w:right="0" w:firstLine="480"/>
              <w:rPr>
                <w:rFonts w:hint="default"/>
                <w:color w:val="auto"/>
                <w:highlight w:val="none"/>
              </w:rPr>
            </w:pPr>
          </w:p>
          <w:p>
            <w:pPr>
              <w:pStyle w:val="NormalIndent"/>
              <w:keepNext w:val="0"/>
              <w:keepLines w:val="0"/>
              <w:suppressLineNumbers w:val="0"/>
              <w:spacing w:before="0" w:beforeAutospacing="0" w:after="0" w:afterAutospacing="0"/>
              <w:ind w:left="0" w:right="0" w:firstLine="480"/>
              <w:rPr>
                <w:rFonts w:hint="default"/>
                <w:color w:val="auto"/>
                <w:highlight w:val="none"/>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hint="eastAsia"/>
                <w:color w:val="auto"/>
                <w:highlight w:val="none"/>
                <w:lang w:eastAsia="zh-CN"/>
              </w:rPr>
            </w:pPr>
          </w:p>
          <w:p>
            <w:pPr>
              <w:pStyle w:val="NormalIndent"/>
              <w:keepNext w:val="0"/>
              <w:keepLines w:val="0"/>
              <w:suppressLineNumbers w:val="0"/>
              <w:spacing w:before="0" w:beforeAutospacing="0" w:after="0" w:afterAutospacing="0"/>
              <w:ind w:left="0" w:right="0" w:firstLine="480"/>
              <w:rPr>
                <w:rFonts w:eastAsia="宋体" w:hint="eastAsia"/>
                <w:color w:val="auto"/>
                <w:highlight w:val="none"/>
                <w:lang w:eastAsia="zh-CN"/>
              </w:rPr>
            </w:pPr>
          </w:p>
        </w:tc>
      </w:tr>
    </w:tbl>
    <w:p>
      <w:pPr>
        <w:sectPr>
          <w:footerReference w:type="default" r:id="rId43"/>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23"/>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6"/>
        <w:gridCol w:w="8833"/>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214"/>
          <w:jc w:val="center"/>
        </w:trPr>
        <w:tc>
          <w:tcPr>
            <w:tcW w:w="455" w:type="dxa"/>
            <w:vAlign w:val="center"/>
          </w:tcPr>
          <w:p/>
        </w:tc>
        <w:tc>
          <w:tcPr>
            <w:tcW w:w="8834" w:type="dxa"/>
          </w:tcPr>
          <w:p>
            <w:pPr>
              <w:pStyle w:val="NormalIndent"/>
              <w:keepNext w:val="0"/>
              <w:keepLines w:val="0"/>
              <w:suppressLineNumbers w:val="0"/>
              <w:spacing w:before="0" w:beforeAutospacing="0" w:after="0" w:afterAutospacing="0"/>
              <w:ind w:left="0" w:right="0" w:firstLine="480"/>
              <w:rPr>
                <w:rFonts w:hint="default"/>
                <w:color w:val="auto"/>
                <w:highlight w:val="none"/>
              </w:rPr>
            </w:pPr>
          </w:p>
        </w:tc>
      </w:tr>
    </w:tbl>
    <w:p>
      <w:pPr>
        <w:pStyle w:val="NormalWeb"/>
        <w:jc w:val="center"/>
        <w:outlineLvl w:val="0"/>
        <w:rPr>
          <w:rFonts w:ascii="Times New Roman" w:hAnsi="Times New Roman"/>
          <w:b/>
          <w:bCs/>
          <w:snapToGrid w:val="0"/>
          <w:color w:val="auto"/>
          <w:sz w:val="32"/>
          <w:szCs w:val="32"/>
          <w:highlight w:val="none"/>
        </w:rPr>
        <w:sectPr>
          <w:footerReference w:type="default" r:id="rId44"/>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24"/>
          <w:cols w:num="1" w:space="720"/>
          <w:titlePg w:val="0"/>
          <w:docGrid w:linePitch="312" w:charSpace="0"/>
        </w:sectPr>
      </w:pPr>
    </w:p>
    <w:p>
      <w:pPr>
        <w:pStyle w:val="NormalWeb"/>
        <w:jc w:val="center"/>
        <w:outlineLvl w:val="0"/>
        <w:rPr>
          <w:rFonts w:ascii="Times New Roman" w:hAnsi="Times New Roman"/>
          <w:b/>
          <w:bCs/>
          <w:snapToGrid w:val="0"/>
          <w:color w:val="auto"/>
          <w:sz w:val="32"/>
          <w:szCs w:val="32"/>
          <w:highlight w:val="none"/>
        </w:rPr>
      </w:pPr>
      <w:r>
        <w:rPr>
          <w:rFonts w:ascii="Times New Roman" w:hAnsi="Times New Roman"/>
          <w:b/>
          <w:bCs/>
          <w:snapToGrid w:val="0"/>
          <w:color w:val="auto"/>
          <w:sz w:val="32"/>
          <w:szCs w:val="32"/>
          <w:highlight w:val="none"/>
        </w:rPr>
        <w:t>三、区域环境质量现状、环境保护目标及评价标准</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678"/>
        <w:gridCol w:w="850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04"/>
          <w:jc w:val="center"/>
        </w:trPr>
        <w:tc>
          <w:tcPr>
            <w:tcW w:w="678"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区域</w:t>
            </w:r>
          </w:p>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环境</w:t>
            </w:r>
          </w:p>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质量</w:t>
            </w:r>
          </w:p>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现状</w:t>
            </w:r>
          </w:p>
        </w:tc>
        <w:tc>
          <w:tcPr>
            <w:tcW w:w="8504" w:type="dxa"/>
            <w:vAlign w:val="center"/>
          </w:tcPr>
          <w:p>
            <w:pPr>
              <w:pStyle w:val="Heading2"/>
              <w:suppressLineNumbers w:val="0"/>
              <w:spacing w:before="120" w:beforeAutospacing="0" w:after="120" w:afterAutospacing="0"/>
              <w:ind w:left="0" w:right="0"/>
              <w:rPr>
                <w:rFonts w:hint="default"/>
                <w:color w:val="auto"/>
                <w:highlight w:val="none"/>
              </w:rPr>
            </w:pPr>
            <w:r>
              <w:rPr>
                <w:rFonts w:hint="default"/>
                <w:color w:val="auto"/>
                <w:highlight w:val="none"/>
              </w:rPr>
              <w:t>3.1 区域环境质量现状</w:t>
            </w:r>
          </w:p>
          <w:p>
            <w:pPr>
              <w:pStyle w:val="Heading3"/>
              <w:keepNext w:val="0"/>
              <w:keepLines w:val="0"/>
              <w:suppressLineNumbers w:val="0"/>
              <w:spacing w:before="120" w:beforeAutospacing="0" w:after="120" w:afterAutospacing="0"/>
              <w:ind w:left="0" w:right="0"/>
              <w:rPr>
                <w:rFonts w:hint="default"/>
                <w:color w:val="auto"/>
                <w:highlight w:val="none"/>
              </w:rPr>
            </w:pPr>
            <w:r>
              <w:rPr>
                <w:rFonts w:hint="default"/>
                <w:color w:val="auto"/>
                <w:highlight w:val="none"/>
              </w:rPr>
              <w:t>3.1.1 大气环境质量现状</w:t>
            </w:r>
          </w:p>
          <w:p>
            <w:pPr>
              <w:pStyle w:val="Heading4"/>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3.1.1.1环境空气质量标准</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根据《福州市人民政府关于印发福州市环境空气质量功能区划和福州市声环境功能区划的通知》（榕政综〔2014〕30号），本项目所在地区域环境空气质量功能区属于二类区，大气环境质量执行《环境空气质量标准》（GB3095-2012）及其修改单中的二级标准；特征污染物非甲烷总烃参照执行《大气污染物综合排放标准详解》中的相关标准；甲醛、NH</w:t>
            </w:r>
            <w:r>
              <w:rPr>
                <w:rFonts w:hint="eastAsia"/>
                <w:color w:val="auto"/>
                <w:highlight w:val="none"/>
                <w:vertAlign w:val="subscript"/>
              </w:rPr>
              <w:t>3</w:t>
            </w:r>
            <w:r>
              <w:rPr>
                <w:rFonts w:hint="eastAsia"/>
                <w:color w:val="auto"/>
                <w:highlight w:val="none"/>
              </w:rPr>
              <w:t>参照执行《环境影响评价技术导则—大气环境》附录D中相关限值标准；酚类参照执行《</w:t>
            </w:r>
            <w:r>
              <w:rPr>
                <w:rFonts w:hint="eastAsia"/>
                <w:color w:val="auto"/>
                <w:highlight w:val="none"/>
                <w:lang w:eastAsia="zh-CN"/>
              </w:rPr>
              <w:t>***</w:t>
            </w:r>
            <w:r>
              <w:rPr>
                <w:rFonts w:hint="eastAsia"/>
                <w:color w:val="auto"/>
                <w:highlight w:val="none"/>
              </w:rPr>
              <w:t>企业设计卫生标准》（GBZ1-2010）中相关标准。具体标准详见表3.1-1。</w:t>
            </w:r>
          </w:p>
          <w:p>
            <w:pPr>
              <w:keepNext w:val="0"/>
              <w:keepLines w:val="0"/>
              <w:suppressLineNumbers w:val="0"/>
              <w:spacing w:before="0" w:beforeAutospacing="0" w:after="0" w:afterAutospacing="0" w:line="360" w:lineRule="auto"/>
              <w:ind w:left="0" w:right="0"/>
              <w:jc w:val="center"/>
              <w:rPr>
                <w:rFonts w:hint="default"/>
                <w:b/>
                <w:bCs/>
                <w:color w:val="auto"/>
                <w:sz w:val="24"/>
                <w:highlight w:val="none"/>
                <w:shd w:val="clear" w:color="auto" w:fill="FFFFFF"/>
              </w:rPr>
            </w:pPr>
            <w:r>
              <w:rPr>
                <w:rFonts w:hint="default"/>
                <w:b/>
                <w:bCs/>
                <w:color w:val="auto"/>
                <w:sz w:val="24"/>
                <w:highlight w:val="none"/>
                <w:shd w:val="clear" w:color="auto" w:fill="FFFFFF"/>
              </w:rPr>
              <w:t>表3.1-</w:t>
            </w:r>
            <w:r>
              <w:rPr>
                <w:rFonts w:hint="eastAsia"/>
                <w:b/>
                <w:bCs/>
                <w:color w:val="auto"/>
                <w:sz w:val="24"/>
                <w:highlight w:val="none"/>
                <w:shd w:val="clear" w:color="auto" w:fill="FFFFFF"/>
              </w:rPr>
              <w:t>1</w:t>
            </w:r>
            <w:r>
              <w:rPr>
                <w:rFonts w:hint="default"/>
                <w:b/>
                <w:bCs/>
                <w:color w:val="auto"/>
                <w:sz w:val="24"/>
                <w:highlight w:val="none"/>
                <w:shd w:val="clear" w:color="auto" w:fill="FFFFFF"/>
              </w:rPr>
              <w:t xml:space="preserve"> 环境空气污染物项目浓度限值</w:t>
            </w:r>
          </w:p>
          <w:tbl>
            <w:tblPr>
              <w:tblStyle w:val="TableNormal"/>
              <w:tblW w:w="5000" w:type="pct"/>
              <w:tblInd w:w="0" w:type="dxa"/>
              <w:tblBorders>
                <w:top w:val="single" w:sz="18" w:space="0" w:color="auto"/>
                <w:left w:val="none" w:sz="0" w:space="0" w:color="auto"/>
                <w:bottom w:val="single" w:sz="18" w:space="0" w:color="auto"/>
                <w:right w:val="none" w:sz="0" w:space="0" w:color="auto"/>
                <w:insideH w:val="single" w:sz="4" w:space="0" w:color="auto"/>
                <w:insideV w:val="single" w:sz="6" w:space="0" w:color="auto"/>
              </w:tblBorders>
              <w:tblLayout w:type="fixed"/>
              <w:tblCellMar>
                <w:top w:w="0" w:type="dxa"/>
                <w:left w:w="108" w:type="dxa"/>
                <w:bottom w:w="0" w:type="dxa"/>
                <w:right w:w="108" w:type="dxa"/>
              </w:tblCellMar>
            </w:tblPr>
            <w:tblGrid>
              <w:gridCol w:w="1388"/>
              <w:gridCol w:w="1452"/>
              <w:gridCol w:w="1273"/>
              <w:gridCol w:w="893"/>
              <w:gridCol w:w="3282"/>
            </w:tblGrid>
            <w:tr>
              <w:tblPrEx>
                <w:tblW w:w="5000" w:type="pct"/>
                <w:tblInd w:w="0" w:type="dxa"/>
                <w:tblBorders>
                  <w:top w:val="single" w:sz="18" w:space="0" w:color="auto"/>
                  <w:left w:val="none" w:sz="0" w:space="0" w:color="auto"/>
                  <w:bottom w:val="single" w:sz="18" w:space="0" w:color="auto"/>
                  <w:right w:val="none" w:sz="0" w:space="0" w:color="auto"/>
                  <w:insideH w:val="single" w:sz="4" w:space="0" w:color="auto"/>
                  <w:insideV w:val="single" w:sz="6" w:space="0" w:color="auto"/>
                </w:tblBorders>
                <w:tblLayout w:type="fixed"/>
                <w:tblCellMar>
                  <w:top w:w="0" w:type="dxa"/>
                  <w:left w:w="108" w:type="dxa"/>
                  <w:bottom w:w="0" w:type="dxa"/>
                  <w:right w:w="108" w:type="dxa"/>
                </w:tblCellMar>
              </w:tblPrEx>
              <w:trPr>
                <w:trHeight w:val="329"/>
                <w:tblHeader/>
              </w:trPr>
              <w:tc>
                <w:tcPr>
                  <w:tcW w:w="83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b/>
                      <w:color w:val="auto"/>
                      <w:kern w:val="0"/>
                      <w:szCs w:val="21"/>
                      <w:highlight w:val="none"/>
                    </w:rPr>
                  </w:pPr>
                  <w:r>
                    <w:rPr>
                      <w:rFonts w:hint="default"/>
                      <w:b/>
                      <w:color w:val="auto"/>
                      <w:kern w:val="0"/>
                      <w:szCs w:val="21"/>
                      <w:highlight w:val="none"/>
                    </w:rPr>
                    <w:t>污染物项目</w:t>
                  </w:r>
                </w:p>
              </w:tc>
              <w:tc>
                <w:tcPr>
                  <w:tcW w:w="875"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b/>
                      <w:color w:val="auto"/>
                      <w:kern w:val="0"/>
                      <w:szCs w:val="21"/>
                      <w:highlight w:val="none"/>
                    </w:rPr>
                  </w:pPr>
                  <w:r>
                    <w:rPr>
                      <w:rFonts w:hint="default"/>
                      <w:b/>
                      <w:color w:val="auto"/>
                      <w:kern w:val="0"/>
                      <w:szCs w:val="21"/>
                      <w:highlight w:val="none"/>
                    </w:rPr>
                    <w:t>平均时间</w:t>
                  </w:r>
                </w:p>
              </w:tc>
              <w:tc>
                <w:tcPr>
                  <w:tcW w:w="7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b/>
                      <w:color w:val="auto"/>
                      <w:kern w:val="0"/>
                      <w:szCs w:val="21"/>
                      <w:highlight w:val="none"/>
                    </w:rPr>
                  </w:pPr>
                  <w:r>
                    <w:rPr>
                      <w:rFonts w:hint="default"/>
                      <w:b/>
                      <w:color w:val="auto"/>
                      <w:kern w:val="0"/>
                      <w:szCs w:val="21"/>
                      <w:highlight w:val="none"/>
                    </w:rPr>
                    <w:t>浓度限值</w:t>
                  </w:r>
                </w:p>
              </w:tc>
              <w:tc>
                <w:tcPr>
                  <w:tcW w:w="539"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b/>
                      <w:color w:val="auto"/>
                      <w:kern w:val="0"/>
                      <w:szCs w:val="21"/>
                      <w:highlight w:val="none"/>
                    </w:rPr>
                  </w:pPr>
                  <w:r>
                    <w:rPr>
                      <w:rFonts w:hint="default"/>
                      <w:b/>
                      <w:color w:val="auto"/>
                      <w:kern w:val="0"/>
                      <w:szCs w:val="21"/>
                      <w:highlight w:val="none"/>
                    </w:rPr>
                    <w:t>单位</w:t>
                  </w:r>
                </w:p>
              </w:tc>
              <w:tc>
                <w:tcPr>
                  <w:tcW w:w="1978"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b/>
                      <w:color w:val="auto"/>
                      <w:kern w:val="0"/>
                      <w:szCs w:val="21"/>
                      <w:highlight w:val="none"/>
                    </w:rPr>
                  </w:pPr>
                  <w:r>
                    <w:rPr>
                      <w:rFonts w:hint="default"/>
                      <w:b/>
                      <w:color w:val="auto"/>
                      <w:kern w:val="0"/>
                      <w:szCs w:val="21"/>
                      <w:highlight w:val="none"/>
                    </w:rPr>
                    <w:t>标准来源</w:t>
                  </w:r>
                </w:p>
              </w:tc>
            </w:tr>
            <w:tr>
              <w:tblPrEx>
                <w:tblW w:w="5000" w:type="pct"/>
                <w:tblInd w:w="0" w:type="dxa"/>
                <w:tblLayout w:type="fixed"/>
                <w:tblCellMar>
                  <w:top w:w="0" w:type="dxa"/>
                  <w:left w:w="108" w:type="dxa"/>
                  <w:bottom w:w="0" w:type="dxa"/>
                  <w:right w:w="108" w:type="dxa"/>
                </w:tblCellMar>
              </w:tblPrEx>
              <w:trPr>
                <w:trHeight w:val="329"/>
              </w:trPr>
              <w:tc>
                <w:tcPr>
                  <w:tcW w:w="837"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二氧化硫（SO</w:t>
                  </w:r>
                  <w:r>
                    <w:rPr>
                      <w:rFonts w:hint="default"/>
                      <w:color w:val="auto"/>
                      <w:kern w:val="0"/>
                      <w:szCs w:val="21"/>
                      <w:highlight w:val="none"/>
                      <w:vertAlign w:val="subscript"/>
                    </w:rPr>
                    <w:t>2</w:t>
                  </w:r>
                  <w:r>
                    <w:rPr>
                      <w:rFonts w:hint="default"/>
                      <w:color w:val="auto"/>
                      <w:kern w:val="0"/>
                      <w:szCs w:val="21"/>
                      <w:highlight w:val="none"/>
                    </w:rPr>
                    <w:t>）</w:t>
                  </w:r>
                </w:p>
              </w:tc>
              <w:tc>
                <w:tcPr>
                  <w:tcW w:w="875"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年平均</w:t>
                  </w:r>
                </w:p>
              </w:tc>
              <w:tc>
                <w:tcPr>
                  <w:tcW w:w="7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60</w:t>
                  </w:r>
                </w:p>
              </w:tc>
              <w:tc>
                <w:tcPr>
                  <w:tcW w:w="539"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μg/m</w:t>
                  </w:r>
                  <w:r>
                    <w:rPr>
                      <w:rFonts w:hint="default"/>
                      <w:color w:val="auto"/>
                      <w:kern w:val="0"/>
                      <w:szCs w:val="21"/>
                      <w:highlight w:val="none"/>
                      <w:vertAlign w:val="superscript"/>
                    </w:rPr>
                    <w:t>3</w:t>
                  </w:r>
                </w:p>
              </w:tc>
              <w:tc>
                <w:tcPr>
                  <w:tcW w:w="197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《环境空气质量标准》（GB3095-2012）</w:t>
                  </w:r>
                </w:p>
              </w:tc>
            </w:tr>
            <w:tr>
              <w:tblPrEx>
                <w:tblW w:w="5000" w:type="pct"/>
                <w:tblInd w:w="0" w:type="dxa"/>
                <w:tblLayout w:type="fixed"/>
                <w:tblCellMar>
                  <w:top w:w="0" w:type="dxa"/>
                  <w:left w:w="108" w:type="dxa"/>
                  <w:bottom w:w="0" w:type="dxa"/>
                  <w:right w:w="108" w:type="dxa"/>
                </w:tblCellMar>
              </w:tblPrEx>
              <w:trPr>
                <w:trHeight w:val="329"/>
              </w:trPr>
              <w:tc>
                <w:tcPr>
                  <w:tcW w:w="837"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875"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24小时平均</w:t>
                  </w:r>
                </w:p>
              </w:tc>
              <w:tc>
                <w:tcPr>
                  <w:tcW w:w="7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150</w:t>
                  </w:r>
                </w:p>
              </w:tc>
              <w:tc>
                <w:tcPr>
                  <w:tcW w:w="539"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1978"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r>
            <w:tr>
              <w:tblPrEx>
                <w:tblW w:w="5000" w:type="pct"/>
                <w:tblInd w:w="0" w:type="dxa"/>
                <w:tblLayout w:type="fixed"/>
                <w:tblCellMar>
                  <w:top w:w="0" w:type="dxa"/>
                  <w:left w:w="108" w:type="dxa"/>
                  <w:bottom w:w="0" w:type="dxa"/>
                  <w:right w:w="108" w:type="dxa"/>
                </w:tblCellMar>
              </w:tblPrEx>
              <w:trPr>
                <w:trHeight w:val="329"/>
              </w:trPr>
              <w:tc>
                <w:tcPr>
                  <w:tcW w:w="837"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875"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1小时平均</w:t>
                  </w:r>
                </w:p>
              </w:tc>
              <w:tc>
                <w:tcPr>
                  <w:tcW w:w="7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500</w:t>
                  </w:r>
                </w:p>
              </w:tc>
              <w:tc>
                <w:tcPr>
                  <w:tcW w:w="539"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1978"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r>
            <w:tr>
              <w:tblPrEx>
                <w:tblW w:w="5000" w:type="pct"/>
                <w:tblInd w:w="0" w:type="dxa"/>
                <w:tblLayout w:type="fixed"/>
                <w:tblCellMar>
                  <w:top w:w="0" w:type="dxa"/>
                  <w:left w:w="108" w:type="dxa"/>
                  <w:bottom w:w="0" w:type="dxa"/>
                  <w:right w:w="108" w:type="dxa"/>
                </w:tblCellMar>
              </w:tblPrEx>
              <w:trPr>
                <w:trHeight w:val="329"/>
              </w:trPr>
              <w:tc>
                <w:tcPr>
                  <w:tcW w:w="837"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二氧化氮（NO</w:t>
                  </w:r>
                  <w:r>
                    <w:rPr>
                      <w:rFonts w:hint="default"/>
                      <w:color w:val="auto"/>
                      <w:kern w:val="0"/>
                      <w:szCs w:val="21"/>
                      <w:highlight w:val="none"/>
                      <w:vertAlign w:val="subscript"/>
                    </w:rPr>
                    <w:t>2</w:t>
                  </w:r>
                  <w:r>
                    <w:rPr>
                      <w:rFonts w:hint="default"/>
                      <w:color w:val="auto"/>
                      <w:kern w:val="0"/>
                      <w:szCs w:val="21"/>
                      <w:highlight w:val="none"/>
                    </w:rPr>
                    <w:t>）</w:t>
                  </w:r>
                </w:p>
              </w:tc>
              <w:tc>
                <w:tcPr>
                  <w:tcW w:w="875"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年平均</w:t>
                  </w:r>
                </w:p>
              </w:tc>
              <w:tc>
                <w:tcPr>
                  <w:tcW w:w="7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40</w:t>
                  </w:r>
                </w:p>
              </w:tc>
              <w:tc>
                <w:tcPr>
                  <w:tcW w:w="539"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1978"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r>
            <w:tr>
              <w:tblPrEx>
                <w:tblW w:w="5000" w:type="pct"/>
                <w:tblInd w:w="0" w:type="dxa"/>
                <w:tblLayout w:type="fixed"/>
                <w:tblCellMar>
                  <w:top w:w="0" w:type="dxa"/>
                  <w:left w:w="108" w:type="dxa"/>
                  <w:bottom w:w="0" w:type="dxa"/>
                  <w:right w:w="108" w:type="dxa"/>
                </w:tblCellMar>
              </w:tblPrEx>
              <w:trPr>
                <w:trHeight w:val="329"/>
              </w:trPr>
              <w:tc>
                <w:tcPr>
                  <w:tcW w:w="837"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875"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24小时平均</w:t>
                  </w:r>
                </w:p>
              </w:tc>
              <w:tc>
                <w:tcPr>
                  <w:tcW w:w="7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80</w:t>
                  </w:r>
                </w:p>
              </w:tc>
              <w:tc>
                <w:tcPr>
                  <w:tcW w:w="539"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1978"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r>
            <w:tr>
              <w:tblPrEx>
                <w:tblW w:w="5000" w:type="pct"/>
                <w:tblInd w:w="0" w:type="dxa"/>
                <w:tblLayout w:type="fixed"/>
                <w:tblCellMar>
                  <w:top w:w="0" w:type="dxa"/>
                  <w:left w:w="108" w:type="dxa"/>
                  <w:bottom w:w="0" w:type="dxa"/>
                  <w:right w:w="108" w:type="dxa"/>
                </w:tblCellMar>
              </w:tblPrEx>
              <w:trPr>
                <w:trHeight w:val="329"/>
              </w:trPr>
              <w:tc>
                <w:tcPr>
                  <w:tcW w:w="837"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875"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1小时平均</w:t>
                  </w:r>
                </w:p>
              </w:tc>
              <w:tc>
                <w:tcPr>
                  <w:tcW w:w="7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200</w:t>
                  </w:r>
                </w:p>
              </w:tc>
              <w:tc>
                <w:tcPr>
                  <w:tcW w:w="539"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1978"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r>
            <w:tr>
              <w:tblPrEx>
                <w:tblW w:w="5000" w:type="pct"/>
                <w:tblInd w:w="0" w:type="dxa"/>
                <w:tblLayout w:type="fixed"/>
                <w:tblCellMar>
                  <w:top w:w="0" w:type="dxa"/>
                  <w:left w:w="108" w:type="dxa"/>
                  <w:bottom w:w="0" w:type="dxa"/>
                  <w:right w:w="108" w:type="dxa"/>
                </w:tblCellMar>
              </w:tblPrEx>
              <w:trPr>
                <w:trHeight w:val="329"/>
              </w:trPr>
              <w:tc>
                <w:tcPr>
                  <w:tcW w:w="837"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一氧化碳（CO）</w:t>
                  </w:r>
                </w:p>
              </w:tc>
              <w:tc>
                <w:tcPr>
                  <w:tcW w:w="875"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24小时平均</w:t>
                  </w:r>
                </w:p>
              </w:tc>
              <w:tc>
                <w:tcPr>
                  <w:tcW w:w="7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4</w:t>
                  </w:r>
                </w:p>
              </w:tc>
              <w:tc>
                <w:tcPr>
                  <w:tcW w:w="539"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mg/m</w:t>
                  </w:r>
                  <w:r>
                    <w:rPr>
                      <w:rFonts w:hint="default"/>
                      <w:color w:val="auto"/>
                      <w:kern w:val="0"/>
                      <w:szCs w:val="21"/>
                      <w:highlight w:val="none"/>
                      <w:vertAlign w:val="superscript"/>
                    </w:rPr>
                    <w:t>3</w:t>
                  </w:r>
                </w:p>
              </w:tc>
              <w:tc>
                <w:tcPr>
                  <w:tcW w:w="1978"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r>
            <w:tr>
              <w:tblPrEx>
                <w:tblW w:w="5000" w:type="pct"/>
                <w:tblInd w:w="0" w:type="dxa"/>
                <w:tblLayout w:type="fixed"/>
                <w:tblCellMar>
                  <w:top w:w="0" w:type="dxa"/>
                  <w:left w:w="108" w:type="dxa"/>
                  <w:bottom w:w="0" w:type="dxa"/>
                  <w:right w:w="108" w:type="dxa"/>
                </w:tblCellMar>
              </w:tblPrEx>
              <w:trPr>
                <w:trHeight w:val="329"/>
              </w:trPr>
              <w:tc>
                <w:tcPr>
                  <w:tcW w:w="837"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875"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1小时平均</w:t>
                  </w:r>
                </w:p>
              </w:tc>
              <w:tc>
                <w:tcPr>
                  <w:tcW w:w="7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10</w:t>
                  </w:r>
                </w:p>
              </w:tc>
              <w:tc>
                <w:tcPr>
                  <w:tcW w:w="539"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1978"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r>
            <w:tr>
              <w:tblPrEx>
                <w:tblW w:w="5000" w:type="pct"/>
                <w:tblInd w:w="0" w:type="dxa"/>
                <w:tblLayout w:type="fixed"/>
                <w:tblCellMar>
                  <w:top w:w="0" w:type="dxa"/>
                  <w:left w:w="108" w:type="dxa"/>
                  <w:bottom w:w="0" w:type="dxa"/>
                  <w:right w:w="108" w:type="dxa"/>
                </w:tblCellMar>
              </w:tblPrEx>
              <w:trPr>
                <w:trHeight w:val="329"/>
              </w:trPr>
              <w:tc>
                <w:tcPr>
                  <w:tcW w:w="837"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TSP</w:t>
                  </w:r>
                </w:p>
              </w:tc>
              <w:tc>
                <w:tcPr>
                  <w:tcW w:w="875"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年平均</w:t>
                  </w:r>
                </w:p>
              </w:tc>
              <w:tc>
                <w:tcPr>
                  <w:tcW w:w="7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20</w:t>
                  </w:r>
                  <w:r>
                    <w:rPr>
                      <w:rFonts w:hint="eastAsia"/>
                      <w:color w:val="auto"/>
                      <w:kern w:val="0"/>
                      <w:szCs w:val="21"/>
                      <w:highlight w:val="none"/>
                    </w:rPr>
                    <w:t>0</w:t>
                  </w:r>
                </w:p>
              </w:tc>
              <w:tc>
                <w:tcPr>
                  <w:tcW w:w="539"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μg/m</w:t>
                  </w:r>
                  <w:r>
                    <w:rPr>
                      <w:rFonts w:hint="default"/>
                      <w:color w:val="auto"/>
                      <w:kern w:val="0"/>
                      <w:szCs w:val="21"/>
                      <w:highlight w:val="none"/>
                      <w:vertAlign w:val="superscript"/>
                    </w:rPr>
                    <w:t>3</w:t>
                  </w:r>
                </w:p>
              </w:tc>
              <w:tc>
                <w:tcPr>
                  <w:tcW w:w="1978"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r>
            <w:tr>
              <w:tblPrEx>
                <w:tblW w:w="5000" w:type="pct"/>
                <w:tblInd w:w="0" w:type="dxa"/>
                <w:tblLayout w:type="fixed"/>
                <w:tblCellMar>
                  <w:top w:w="0" w:type="dxa"/>
                  <w:left w:w="108" w:type="dxa"/>
                  <w:bottom w:w="0" w:type="dxa"/>
                  <w:right w:w="108" w:type="dxa"/>
                </w:tblCellMar>
              </w:tblPrEx>
              <w:trPr>
                <w:trHeight w:val="329"/>
              </w:trPr>
              <w:tc>
                <w:tcPr>
                  <w:tcW w:w="837"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875"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24小时平均</w:t>
                  </w:r>
                </w:p>
              </w:tc>
              <w:tc>
                <w:tcPr>
                  <w:tcW w:w="7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30</w:t>
                  </w:r>
                  <w:r>
                    <w:rPr>
                      <w:rFonts w:hint="eastAsia"/>
                      <w:color w:val="auto"/>
                      <w:kern w:val="0"/>
                      <w:szCs w:val="21"/>
                      <w:highlight w:val="none"/>
                    </w:rPr>
                    <w:t>0</w:t>
                  </w:r>
                </w:p>
              </w:tc>
              <w:tc>
                <w:tcPr>
                  <w:tcW w:w="539"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1978"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r>
            <w:tr>
              <w:tblPrEx>
                <w:tblW w:w="5000" w:type="pct"/>
                <w:tblInd w:w="0" w:type="dxa"/>
                <w:tblLayout w:type="fixed"/>
                <w:tblCellMar>
                  <w:top w:w="0" w:type="dxa"/>
                  <w:left w:w="108" w:type="dxa"/>
                  <w:bottom w:w="0" w:type="dxa"/>
                  <w:right w:w="108" w:type="dxa"/>
                </w:tblCellMar>
              </w:tblPrEx>
              <w:trPr>
                <w:trHeight w:val="329"/>
              </w:trPr>
              <w:tc>
                <w:tcPr>
                  <w:tcW w:w="837"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PM</w:t>
                  </w:r>
                  <w:r>
                    <w:rPr>
                      <w:rFonts w:hint="default"/>
                      <w:color w:val="auto"/>
                      <w:kern w:val="0"/>
                      <w:szCs w:val="21"/>
                      <w:highlight w:val="none"/>
                      <w:vertAlign w:val="subscript"/>
                    </w:rPr>
                    <w:t>10</w:t>
                  </w:r>
                </w:p>
              </w:tc>
              <w:tc>
                <w:tcPr>
                  <w:tcW w:w="875"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年平均</w:t>
                  </w:r>
                </w:p>
              </w:tc>
              <w:tc>
                <w:tcPr>
                  <w:tcW w:w="7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70</w:t>
                  </w:r>
                </w:p>
              </w:tc>
              <w:tc>
                <w:tcPr>
                  <w:tcW w:w="539"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1978"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r>
            <w:tr>
              <w:tblPrEx>
                <w:tblW w:w="5000" w:type="pct"/>
                <w:tblInd w:w="0" w:type="dxa"/>
                <w:tblLayout w:type="fixed"/>
                <w:tblCellMar>
                  <w:top w:w="0" w:type="dxa"/>
                  <w:left w:w="108" w:type="dxa"/>
                  <w:bottom w:w="0" w:type="dxa"/>
                  <w:right w:w="108" w:type="dxa"/>
                </w:tblCellMar>
              </w:tblPrEx>
              <w:trPr>
                <w:trHeight w:val="329"/>
              </w:trPr>
              <w:tc>
                <w:tcPr>
                  <w:tcW w:w="837"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875"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24小时平均</w:t>
                  </w:r>
                </w:p>
              </w:tc>
              <w:tc>
                <w:tcPr>
                  <w:tcW w:w="7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eastAsia"/>
                      <w:color w:val="auto"/>
                      <w:kern w:val="0"/>
                      <w:szCs w:val="21"/>
                      <w:highlight w:val="none"/>
                    </w:rPr>
                    <w:t>1</w:t>
                  </w:r>
                  <w:r>
                    <w:rPr>
                      <w:rFonts w:hint="default"/>
                      <w:color w:val="auto"/>
                      <w:kern w:val="0"/>
                      <w:szCs w:val="21"/>
                      <w:highlight w:val="none"/>
                    </w:rPr>
                    <w:t>50</w:t>
                  </w:r>
                </w:p>
              </w:tc>
              <w:tc>
                <w:tcPr>
                  <w:tcW w:w="539"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1978"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r>
            <w:tr>
              <w:tblPrEx>
                <w:tblW w:w="5000" w:type="pct"/>
                <w:tblInd w:w="0" w:type="dxa"/>
                <w:tblLayout w:type="fixed"/>
                <w:tblCellMar>
                  <w:top w:w="0" w:type="dxa"/>
                  <w:left w:w="108" w:type="dxa"/>
                  <w:bottom w:w="0" w:type="dxa"/>
                  <w:right w:w="108" w:type="dxa"/>
                </w:tblCellMar>
              </w:tblPrEx>
              <w:trPr>
                <w:trHeight w:val="329"/>
              </w:trPr>
              <w:tc>
                <w:tcPr>
                  <w:tcW w:w="837"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PM</w:t>
                  </w:r>
                  <w:r>
                    <w:rPr>
                      <w:rFonts w:hint="default"/>
                      <w:color w:val="auto"/>
                      <w:kern w:val="0"/>
                      <w:szCs w:val="21"/>
                      <w:highlight w:val="none"/>
                      <w:vertAlign w:val="subscript"/>
                    </w:rPr>
                    <w:t>2.5</w:t>
                  </w:r>
                </w:p>
              </w:tc>
              <w:tc>
                <w:tcPr>
                  <w:tcW w:w="875"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年平均</w:t>
                  </w:r>
                </w:p>
              </w:tc>
              <w:tc>
                <w:tcPr>
                  <w:tcW w:w="7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35</w:t>
                  </w:r>
                </w:p>
              </w:tc>
              <w:tc>
                <w:tcPr>
                  <w:tcW w:w="539"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1978"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r>
            <w:tr>
              <w:tblPrEx>
                <w:tblW w:w="5000" w:type="pct"/>
                <w:tblInd w:w="0" w:type="dxa"/>
                <w:tblLayout w:type="fixed"/>
                <w:tblCellMar>
                  <w:top w:w="0" w:type="dxa"/>
                  <w:left w:w="108" w:type="dxa"/>
                  <w:bottom w:w="0" w:type="dxa"/>
                  <w:right w:w="108" w:type="dxa"/>
                </w:tblCellMar>
              </w:tblPrEx>
              <w:trPr>
                <w:trHeight w:val="329"/>
              </w:trPr>
              <w:tc>
                <w:tcPr>
                  <w:tcW w:w="837"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875"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24小时平均</w:t>
                  </w:r>
                </w:p>
              </w:tc>
              <w:tc>
                <w:tcPr>
                  <w:tcW w:w="7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75</w:t>
                  </w:r>
                </w:p>
              </w:tc>
              <w:tc>
                <w:tcPr>
                  <w:tcW w:w="539"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1978"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r>
            <w:tr>
              <w:tblPrEx>
                <w:tblW w:w="5000" w:type="pct"/>
                <w:tblInd w:w="0" w:type="dxa"/>
                <w:tblLayout w:type="fixed"/>
                <w:tblCellMar>
                  <w:top w:w="0" w:type="dxa"/>
                  <w:left w:w="108" w:type="dxa"/>
                  <w:bottom w:w="0" w:type="dxa"/>
                  <w:right w:w="108" w:type="dxa"/>
                </w:tblCellMar>
              </w:tblPrEx>
              <w:trPr>
                <w:trHeight w:val="329"/>
              </w:trPr>
              <w:tc>
                <w:tcPr>
                  <w:tcW w:w="83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甲醛</w:t>
                  </w:r>
                </w:p>
              </w:tc>
              <w:tc>
                <w:tcPr>
                  <w:tcW w:w="875"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1小时平均</w:t>
                  </w:r>
                </w:p>
              </w:tc>
              <w:tc>
                <w:tcPr>
                  <w:tcW w:w="7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50</w:t>
                  </w:r>
                </w:p>
              </w:tc>
              <w:tc>
                <w:tcPr>
                  <w:tcW w:w="539"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197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《环境影响评价技术导则 大气环境》(HJ 2.2-2018)附录D</w:t>
                  </w:r>
                </w:p>
              </w:tc>
            </w:tr>
            <w:tr>
              <w:tblPrEx>
                <w:tblW w:w="5000" w:type="pct"/>
                <w:tblInd w:w="0" w:type="dxa"/>
                <w:tblLayout w:type="fixed"/>
                <w:tblCellMar>
                  <w:top w:w="0" w:type="dxa"/>
                  <w:left w:w="108" w:type="dxa"/>
                  <w:bottom w:w="0" w:type="dxa"/>
                  <w:right w:w="108" w:type="dxa"/>
                </w:tblCellMar>
              </w:tblPrEx>
              <w:trPr>
                <w:trHeight w:val="329"/>
              </w:trPr>
              <w:tc>
                <w:tcPr>
                  <w:tcW w:w="83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NH</w:t>
                  </w:r>
                  <w:r>
                    <w:rPr>
                      <w:rFonts w:hint="default"/>
                      <w:color w:val="auto"/>
                      <w:kern w:val="0"/>
                      <w:szCs w:val="21"/>
                      <w:highlight w:val="none"/>
                      <w:vertAlign w:val="subscript"/>
                    </w:rPr>
                    <w:t>3</w:t>
                  </w:r>
                </w:p>
              </w:tc>
              <w:tc>
                <w:tcPr>
                  <w:tcW w:w="875"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1小时平均</w:t>
                  </w:r>
                </w:p>
              </w:tc>
              <w:tc>
                <w:tcPr>
                  <w:tcW w:w="7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200</w:t>
                  </w:r>
                </w:p>
              </w:tc>
              <w:tc>
                <w:tcPr>
                  <w:tcW w:w="539" w:type="pct"/>
                  <w:vMerg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rPr>
                      <w:rFonts w:hint="default"/>
                      <w:color w:val="auto"/>
                      <w:kern w:val="0"/>
                      <w:szCs w:val="21"/>
                      <w:highlight w:val="none"/>
                    </w:rPr>
                  </w:pPr>
                </w:p>
              </w:tc>
              <w:tc>
                <w:tcPr>
                  <w:tcW w:w="1978" w:type="pct"/>
                  <w:vMerg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p>
              </w:tc>
            </w:tr>
            <w:tr>
              <w:tblPrEx>
                <w:tblW w:w="5000" w:type="pct"/>
                <w:tblInd w:w="0" w:type="dxa"/>
                <w:tblLayout w:type="fixed"/>
                <w:tblCellMar>
                  <w:top w:w="0" w:type="dxa"/>
                  <w:left w:w="108" w:type="dxa"/>
                  <w:bottom w:w="0" w:type="dxa"/>
                  <w:right w:w="108" w:type="dxa"/>
                </w:tblCellMar>
              </w:tblPrEx>
              <w:trPr>
                <w:trHeight w:val="329"/>
              </w:trPr>
              <w:tc>
                <w:tcPr>
                  <w:tcW w:w="83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硫化氢</w:t>
                  </w:r>
                </w:p>
              </w:tc>
              <w:tc>
                <w:tcPr>
                  <w:tcW w:w="875"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1小时平均</w:t>
                  </w:r>
                </w:p>
              </w:tc>
              <w:tc>
                <w:tcPr>
                  <w:tcW w:w="76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200</w:t>
                  </w:r>
                </w:p>
              </w:tc>
              <w:tc>
                <w:tcPr>
                  <w:tcW w:w="539" w:type="pct"/>
                  <w:vMerg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p>
              </w:tc>
              <w:tc>
                <w:tcPr>
                  <w:tcW w:w="1978" w:type="pct"/>
                  <w:vMerg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p>
              </w:tc>
            </w:tr>
            <w:tr>
              <w:tblPrEx>
                <w:tblW w:w="5000" w:type="pct"/>
                <w:tblInd w:w="0" w:type="dxa"/>
                <w:tblLayout w:type="fixed"/>
                <w:tblCellMar>
                  <w:top w:w="0" w:type="dxa"/>
                  <w:left w:w="108" w:type="dxa"/>
                  <w:bottom w:w="0" w:type="dxa"/>
                  <w:right w:w="108" w:type="dxa"/>
                </w:tblCellMar>
              </w:tblPrEx>
              <w:trPr>
                <w:trHeight w:val="329"/>
              </w:trPr>
              <w:tc>
                <w:tcPr>
                  <w:tcW w:w="83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非甲烷总烃</w:t>
                  </w:r>
                </w:p>
              </w:tc>
              <w:tc>
                <w:tcPr>
                  <w:tcW w:w="875"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1小时平均</w:t>
                  </w:r>
                </w:p>
              </w:tc>
              <w:tc>
                <w:tcPr>
                  <w:tcW w:w="7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2.0</w:t>
                  </w:r>
                </w:p>
              </w:tc>
              <w:tc>
                <w:tcPr>
                  <w:tcW w:w="539"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mg/m</w:t>
                  </w:r>
                  <w:r>
                    <w:rPr>
                      <w:rFonts w:hint="default"/>
                      <w:color w:val="auto"/>
                      <w:kern w:val="0"/>
                      <w:szCs w:val="21"/>
                      <w:highlight w:val="none"/>
                      <w:vertAlign w:val="superscript"/>
                    </w:rPr>
                    <w:t>3</w:t>
                  </w:r>
                </w:p>
              </w:tc>
              <w:tc>
                <w:tcPr>
                  <w:tcW w:w="1978"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《大气污染物综合排放标准详解》</w:t>
                  </w:r>
                </w:p>
              </w:tc>
            </w:tr>
            <w:tr>
              <w:tblPrEx>
                <w:tblW w:w="5000" w:type="pct"/>
                <w:tblInd w:w="0" w:type="dxa"/>
                <w:tblLayout w:type="fixed"/>
                <w:tblCellMar>
                  <w:top w:w="0" w:type="dxa"/>
                  <w:left w:w="108" w:type="dxa"/>
                  <w:bottom w:w="0" w:type="dxa"/>
                  <w:right w:w="108" w:type="dxa"/>
                </w:tblCellMar>
              </w:tblPrEx>
              <w:trPr>
                <w:trHeight w:val="329"/>
              </w:trPr>
              <w:tc>
                <w:tcPr>
                  <w:tcW w:w="837"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酚类</w:t>
                  </w:r>
                </w:p>
              </w:tc>
              <w:tc>
                <w:tcPr>
                  <w:tcW w:w="875" w:type="pct"/>
                  <w:tcBorders>
                    <w:tl2br w:val="nil"/>
                    <w:tr2bl w:val="nil"/>
                  </w:tcBorders>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一次值</w:t>
                  </w:r>
                </w:p>
              </w:tc>
              <w:tc>
                <w:tcPr>
                  <w:tcW w:w="767" w:type="pct"/>
                  <w:tcBorders>
                    <w:tl2br w:val="nil"/>
                    <w:tr2bl w:val="nil"/>
                  </w:tcBorders>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0.05</w:t>
                  </w:r>
                </w:p>
              </w:tc>
              <w:tc>
                <w:tcPr>
                  <w:tcW w:w="539" w:type="pct"/>
                  <w:vMerg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p>
              </w:tc>
              <w:tc>
                <w:tcPr>
                  <w:tcW w:w="197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szCs w:val="21"/>
                      <w:highlight w:val="none"/>
                    </w:rPr>
                    <w:t>《</w:t>
                  </w:r>
                  <w:r>
                    <w:rPr>
                      <w:rFonts w:hint="eastAsia"/>
                      <w:color w:val="auto"/>
                      <w:szCs w:val="21"/>
                      <w:highlight w:val="none"/>
                      <w:lang w:eastAsia="zh-CN"/>
                    </w:rPr>
                    <w:t>***</w:t>
                  </w:r>
                  <w:r>
                    <w:rPr>
                      <w:rFonts w:hint="default"/>
                      <w:color w:val="auto"/>
                      <w:szCs w:val="21"/>
                      <w:highlight w:val="none"/>
                    </w:rPr>
                    <w:t>企业设计卫生标准》（GBZ1-2010）</w:t>
                  </w:r>
                </w:p>
              </w:tc>
            </w:tr>
            <w:tr>
              <w:tblPrEx>
                <w:tblW w:w="5000" w:type="pct"/>
                <w:tblInd w:w="0" w:type="dxa"/>
                <w:tblLayout w:type="fixed"/>
                <w:tblCellMar>
                  <w:top w:w="0" w:type="dxa"/>
                  <w:left w:w="108" w:type="dxa"/>
                  <w:bottom w:w="0" w:type="dxa"/>
                  <w:right w:w="108" w:type="dxa"/>
                </w:tblCellMar>
              </w:tblPrEx>
              <w:trPr>
                <w:trHeight w:val="329"/>
              </w:trPr>
              <w:tc>
                <w:tcPr>
                  <w:tcW w:w="837" w:type="pct"/>
                  <w:vMerge/>
                  <w:tcBorders>
                    <w:tl2br w:val="nil"/>
                    <w:tr2bl w:val="nil"/>
                  </w:tcBorders>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p>
              </w:tc>
              <w:tc>
                <w:tcPr>
                  <w:tcW w:w="875" w:type="pct"/>
                  <w:tcBorders>
                    <w:tl2br w:val="nil"/>
                    <w:tr2bl w:val="nil"/>
                  </w:tcBorders>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24小时平均</w:t>
                  </w:r>
                </w:p>
              </w:tc>
              <w:tc>
                <w:tcPr>
                  <w:tcW w:w="767" w:type="pct"/>
                  <w:tcBorders>
                    <w:tl2br w:val="nil"/>
                    <w:tr2bl w:val="nil"/>
                  </w:tcBorders>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0.015</w:t>
                  </w:r>
                </w:p>
              </w:tc>
              <w:tc>
                <w:tcPr>
                  <w:tcW w:w="539" w:type="pct"/>
                  <w:vMerge/>
                  <w:tcBorders>
                    <w:tl2br w:val="nil"/>
                    <w:tr2bl w:val="nil"/>
                  </w:tcBorders>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p>
              </w:tc>
              <w:tc>
                <w:tcPr>
                  <w:tcW w:w="1978" w:type="pct"/>
                  <w:vMerge/>
                  <w:tcBorders>
                    <w:tl2br w:val="nil"/>
                    <w:tr2bl w:val="nil"/>
                  </w:tcBorders>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p>
              </w:tc>
            </w:tr>
          </w:tbl>
          <w:p/>
        </w:tc>
      </w:tr>
    </w:tbl>
    <w:p>
      <w:pPr>
        <w:sectPr>
          <w:footerReference w:type="default" r:id="rId45"/>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25"/>
          <w:cols w:num="1" w:space="72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678"/>
        <w:gridCol w:w="850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04"/>
          <w:jc w:val="center"/>
        </w:trPr>
        <w:tc>
          <w:tcPr>
            <w:tcW w:w="678" w:type="dxa"/>
            <w:vAlign w:val="center"/>
          </w:tcPr>
          <w:p/>
        </w:tc>
        <w:tc>
          <w:tcPr>
            <w:tcW w:w="8504" w:type="dxa"/>
            <w:vAlign w:val="center"/>
          </w:tcPr>
          <w:p>
            <w:pPr>
              <w:pStyle w:val="Heading4"/>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3.1.1.2环境空气质量达标区判定</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本项目位于福建省福州市福清市阳下街道</w:t>
            </w:r>
            <w:r>
              <w:rPr>
                <w:rFonts w:hint="eastAsia"/>
                <w:color w:val="auto"/>
                <w:highlight w:val="none"/>
                <w:lang w:eastAsia="zh-CN"/>
              </w:rPr>
              <w:t>******</w:t>
            </w:r>
            <w:r>
              <w:rPr>
                <w:rFonts w:hint="eastAsia"/>
                <w:color w:val="auto"/>
                <w:highlight w:val="none"/>
              </w:rPr>
              <w:t>村，以本次扩建生产车间为厂界，周边敏感点为西南侧隔约448m的溪西村</w:t>
            </w:r>
            <w:r>
              <w:rPr>
                <w:rFonts w:hint="eastAsia"/>
                <w:color w:val="auto"/>
                <w:highlight w:val="none"/>
                <w:lang w:eastAsia="zh-CN"/>
              </w:rPr>
              <w:t>、</w:t>
            </w:r>
            <w:r>
              <w:rPr>
                <w:rFonts w:hint="eastAsia"/>
                <w:color w:val="auto"/>
                <w:highlight w:val="none"/>
                <w:lang w:val="en-US" w:eastAsia="zh-CN"/>
              </w:rPr>
              <w:t>东北侧隔约474m的洋中村</w:t>
            </w:r>
            <w:r>
              <w:rPr>
                <w:rFonts w:hint="eastAsia"/>
                <w:color w:val="auto"/>
                <w:highlight w:val="none"/>
              </w:rPr>
              <w:t>和东北侧隔约270m的安镜桥村。为了解本项目所在区域环境空气质量情况，引用福清市人民政府网发布的2022年1月-2022年12月份环境空气质量月报，</w:t>
            </w:r>
            <w:r>
              <w:rPr>
                <w:rFonts w:hint="eastAsia"/>
                <w:color w:val="auto"/>
                <w:kern w:val="0"/>
                <w:highlight w:val="none"/>
              </w:rPr>
              <w:t>2022</w:t>
            </w:r>
            <w:r>
              <w:rPr>
                <w:rFonts w:hint="default"/>
                <w:color w:val="auto"/>
                <w:kern w:val="0"/>
                <w:highlight w:val="none"/>
              </w:rPr>
              <w:t>年连续1年的大气常规因子环境空气质量监测数据如下</w:t>
            </w:r>
            <w:r>
              <w:rPr>
                <w:rFonts w:hint="eastAsia"/>
                <w:color w:val="auto"/>
                <w:kern w:val="0"/>
                <w:highlight w:val="none"/>
              </w:rPr>
              <w:t>表3.1-2所示</w:t>
            </w:r>
            <w:r>
              <w:rPr>
                <w:rFonts w:hint="default"/>
                <w:color w:val="auto"/>
                <w:kern w:val="0"/>
                <w:highlight w:val="none"/>
              </w:rPr>
              <w:t>。</w:t>
            </w:r>
          </w:p>
          <w:p>
            <w:pPr>
              <w:keepNext w:val="0"/>
              <w:keepLines w:val="0"/>
              <w:suppressLineNumbers w:val="0"/>
              <w:spacing w:before="0" w:beforeAutospacing="0" w:after="0" w:afterAutospacing="0" w:line="360" w:lineRule="auto"/>
              <w:ind w:left="0" w:right="0"/>
              <w:jc w:val="center"/>
              <w:rPr>
                <w:rFonts w:hint="default"/>
                <w:b/>
                <w:bCs/>
                <w:color w:val="auto"/>
                <w:sz w:val="24"/>
                <w:highlight w:val="none"/>
                <w:shd w:val="clear" w:color="auto" w:fill="FFFFFF"/>
              </w:rPr>
            </w:pPr>
            <w:r>
              <w:rPr>
                <w:rFonts w:hint="default"/>
                <w:b/>
                <w:bCs/>
                <w:color w:val="auto"/>
                <w:sz w:val="24"/>
                <w:highlight w:val="none"/>
                <w:shd w:val="clear" w:color="auto" w:fill="FFFFFF"/>
              </w:rPr>
              <w:t>表3.</w:t>
            </w:r>
            <w:r>
              <w:rPr>
                <w:rFonts w:hint="eastAsia"/>
                <w:b/>
                <w:bCs/>
                <w:color w:val="auto"/>
                <w:sz w:val="24"/>
                <w:highlight w:val="none"/>
                <w:shd w:val="clear" w:color="auto" w:fill="FFFFFF"/>
              </w:rPr>
              <w:t>1</w:t>
            </w:r>
            <w:r>
              <w:rPr>
                <w:rFonts w:hint="default"/>
                <w:b/>
                <w:bCs/>
                <w:color w:val="auto"/>
                <w:sz w:val="24"/>
                <w:highlight w:val="none"/>
                <w:shd w:val="clear" w:color="auto" w:fill="FFFFFF"/>
              </w:rPr>
              <w:t>-</w:t>
            </w:r>
            <w:r>
              <w:rPr>
                <w:rFonts w:hint="eastAsia"/>
                <w:b/>
                <w:bCs/>
                <w:color w:val="auto"/>
                <w:sz w:val="24"/>
                <w:highlight w:val="none"/>
                <w:shd w:val="clear" w:color="auto" w:fill="FFFFFF"/>
              </w:rPr>
              <w:t>2</w:t>
            </w:r>
            <w:r>
              <w:rPr>
                <w:rFonts w:hint="default"/>
                <w:b/>
                <w:bCs/>
                <w:color w:val="auto"/>
                <w:sz w:val="24"/>
                <w:highlight w:val="none"/>
                <w:shd w:val="clear" w:color="auto" w:fill="FFFFFF"/>
              </w:rPr>
              <w:t xml:space="preserve">  福清市2022年1月份~2022年12月份环境空气质量统计</w:t>
            </w:r>
          </w:p>
          <w:tbl>
            <w:tblPr>
              <w:tblStyle w:val="TableNormal"/>
              <w:tblW w:w="5000"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Layout w:type="fixed"/>
              <w:tblCellMar>
                <w:top w:w="0" w:type="dxa"/>
                <w:left w:w="57" w:type="dxa"/>
                <w:bottom w:w="0" w:type="dxa"/>
                <w:right w:w="57" w:type="dxa"/>
              </w:tblCellMar>
            </w:tblPr>
            <w:tblGrid>
              <w:gridCol w:w="1586"/>
              <w:gridCol w:w="1028"/>
              <w:gridCol w:w="1101"/>
              <w:gridCol w:w="1101"/>
              <w:gridCol w:w="1112"/>
              <w:gridCol w:w="1220"/>
              <w:gridCol w:w="1140"/>
            </w:tblGrid>
            <w:tr>
              <w:tblPrEx>
                <w:tblW w:w="5000"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Layout w:type="fixed"/>
                <w:tblCellMar>
                  <w:top w:w="0" w:type="dxa"/>
                  <w:left w:w="57" w:type="dxa"/>
                  <w:bottom w:w="0" w:type="dxa"/>
                  <w:right w:w="57" w:type="dxa"/>
                </w:tblCellMar>
              </w:tblPrEx>
              <w:trPr>
                <w:trHeight w:val="340"/>
                <w:jc w:val="center"/>
              </w:trPr>
              <w:tc>
                <w:tcPr>
                  <w:tcW w:w="9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时间</w:t>
                  </w:r>
                </w:p>
              </w:tc>
              <w:tc>
                <w:tcPr>
                  <w:tcW w:w="620"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SO</w:t>
                  </w:r>
                  <w:r>
                    <w:rPr>
                      <w:rFonts w:hint="default"/>
                      <w:color w:val="auto"/>
                      <w:szCs w:val="21"/>
                      <w:highlight w:val="none"/>
                      <w:vertAlign w:val="subscript"/>
                    </w:rPr>
                    <w:t>2</w:t>
                  </w:r>
                </w:p>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mg/m³</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NO</w:t>
                  </w:r>
                  <w:r>
                    <w:rPr>
                      <w:rFonts w:hint="default"/>
                      <w:color w:val="auto"/>
                      <w:szCs w:val="21"/>
                      <w:highlight w:val="none"/>
                      <w:vertAlign w:val="subscript"/>
                    </w:rPr>
                    <w:t>2</w:t>
                  </w:r>
                </w:p>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mg/m³</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PM</w:t>
                  </w:r>
                  <w:r>
                    <w:rPr>
                      <w:rFonts w:hint="default"/>
                      <w:color w:val="auto"/>
                      <w:szCs w:val="21"/>
                      <w:highlight w:val="none"/>
                      <w:vertAlign w:val="subscript"/>
                    </w:rPr>
                    <w:t>10</w:t>
                  </w:r>
                </w:p>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mg/m³</w:t>
                  </w:r>
                </w:p>
              </w:tc>
              <w:tc>
                <w:tcPr>
                  <w:tcW w:w="671"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PM</w:t>
                  </w:r>
                  <w:r>
                    <w:rPr>
                      <w:rFonts w:hint="default"/>
                      <w:color w:val="auto"/>
                      <w:szCs w:val="21"/>
                      <w:highlight w:val="none"/>
                      <w:vertAlign w:val="subscript"/>
                    </w:rPr>
                    <w:t>2.5</w:t>
                  </w:r>
                </w:p>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mg/m³</w:t>
                  </w:r>
                </w:p>
              </w:tc>
              <w:tc>
                <w:tcPr>
                  <w:tcW w:w="736"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CO</w:t>
                  </w:r>
                </w:p>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mg/m³</w:t>
                  </w:r>
                </w:p>
              </w:tc>
              <w:tc>
                <w:tcPr>
                  <w:tcW w:w="68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O</w:t>
                  </w:r>
                  <w:r>
                    <w:rPr>
                      <w:rFonts w:hint="default"/>
                      <w:color w:val="auto"/>
                      <w:szCs w:val="21"/>
                      <w:highlight w:val="none"/>
                      <w:vertAlign w:val="subscript"/>
                    </w:rPr>
                    <w:t>3</w:t>
                  </w:r>
                </w:p>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mg/m³</w:t>
                  </w:r>
                </w:p>
              </w:tc>
            </w:tr>
            <w:tr>
              <w:tblPrEx>
                <w:tblW w:w="5000" w:type="pct"/>
                <w:jc w:val="center"/>
                <w:tblLayout w:type="fixed"/>
                <w:tblCellMar>
                  <w:top w:w="0" w:type="dxa"/>
                  <w:left w:w="57" w:type="dxa"/>
                  <w:bottom w:w="0" w:type="dxa"/>
                  <w:right w:w="57" w:type="dxa"/>
                </w:tblCellMar>
              </w:tblPrEx>
              <w:trPr>
                <w:trHeight w:val="340"/>
                <w:jc w:val="center"/>
              </w:trPr>
              <w:tc>
                <w:tcPr>
                  <w:tcW w:w="9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2022年1月</w:t>
                  </w:r>
                </w:p>
              </w:tc>
              <w:tc>
                <w:tcPr>
                  <w:tcW w:w="620"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0.006</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0.028</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0.057</w:t>
                  </w:r>
                </w:p>
              </w:tc>
              <w:tc>
                <w:tcPr>
                  <w:tcW w:w="671"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0.022</w:t>
                  </w:r>
                </w:p>
              </w:tc>
              <w:tc>
                <w:tcPr>
                  <w:tcW w:w="736"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0.8</w:t>
                  </w:r>
                </w:p>
              </w:tc>
              <w:tc>
                <w:tcPr>
                  <w:tcW w:w="68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0.094</w:t>
                  </w:r>
                </w:p>
              </w:tc>
            </w:tr>
            <w:tr>
              <w:tblPrEx>
                <w:tblW w:w="5000" w:type="pct"/>
                <w:jc w:val="center"/>
                <w:tblLayout w:type="fixed"/>
                <w:tblCellMar>
                  <w:top w:w="0" w:type="dxa"/>
                  <w:left w:w="57" w:type="dxa"/>
                  <w:bottom w:w="0" w:type="dxa"/>
                  <w:right w:w="57" w:type="dxa"/>
                </w:tblCellMar>
              </w:tblPrEx>
              <w:trPr>
                <w:trHeight w:val="340"/>
                <w:jc w:val="center"/>
              </w:trPr>
              <w:tc>
                <w:tcPr>
                  <w:tcW w:w="9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2022年2月</w:t>
                  </w:r>
                </w:p>
              </w:tc>
              <w:tc>
                <w:tcPr>
                  <w:tcW w:w="620"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0.004</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0.017</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0.045</w:t>
                  </w:r>
                </w:p>
              </w:tc>
              <w:tc>
                <w:tcPr>
                  <w:tcW w:w="671"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0.022</w:t>
                  </w:r>
                </w:p>
              </w:tc>
              <w:tc>
                <w:tcPr>
                  <w:tcW w:w="736"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0.8</w:t>
                  </w:r>
                </w:p>
              </w:tc>
              <w:tc>
                <w:tcPr>
                  <w:tcW w:w="68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0.118</w:t>
                  </w:r>
                </w:p>
              </w:tc>
            </w:tr>
            <w:tr>
              <w:tblPrEx>
                <w:tblW w:w="5000" w:type="pct"/>
                <w:jc w:val="center"/>
                <w:tblLayout w:type="fixed"/>
                <w:tblCellMar>
                  <w:top w:w="0" w:type="dxa"/>
                  <w:left w:w="57" w:type="dxa"/>
                  <w:bottom w:w="0" w:type="dxa"/>
                  <w:right w:w="57" w:type="dxa"/>
                </w:tblCellMar>
              </w:tblPrEx>
              <w:trPr>
                <w:trHeight w:val="340"/>
                <w:jc w:val="center"/>
              </w:trPr>
              <w:tc>
                <w:tcPr>
                  <w:tcW w:w="9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2022年3月</w:t>
                  </w:r>
                </w:p>
              </w:tc>
              <w:tc>
                <w:tcPr>
                  <w:tcW w:w="620"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0.003</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0.024</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0.047</w:t>
                  </w:r>
                </w:p>
              </w:tc>
              <w:tc>
                <w:tcPr>
                  <w:tcW w:w="671"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0.022</w:t>
                  </w:r>
                </w:p>
              </w:tc>
              <w:tc>
                <w:tcPr>
                  <w:tcW w:w="736"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0.8</w:t>
                  </w:r>
                </w:p>
              </w:tc>
              <w:tc>
                <w:tcPr>
                  <w:tcW w:w="68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0.124</w:t>
                  </w:r>
                </w:p>
              </w:tc>
            </w:tr>
            <w:tr>
              <w:tblPrEx>
                <w:tblW w:w="5000" w:type="pct"/>
                <w:jc w:val="center"/>
                <w:tblLayout w:type="fixed"/>
                <w:tblCellMar>
                  <w:top w:w="0" w:type="dxa"/>
                  <w:left w:w="57" w:type="dxa"/>
                  <w:bottom w:w="0" w:type="dxa"/>
                  <w:right w:w="57" w:type="dxa"/>
                </w:tblCellMar>
              </w:tblPrEx>
              <w:trPr>
                <w:trHeight w:val="340"/>
                <w:jc w:val="center"/>
              </w:trPr>
              <w:tc>
                <w:tcPr>
                  <w:tcW w:w="9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2022年4月</w:t>
                  </w:r>
                </w:p>
              </w:tc>
              <w:tc>
                <w:tcPr>
                  <w:tcW w:w="620"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0.003</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0.018</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0.041</w:t>
                  </w:r>
                </w:p>
              </w:tc>
              <w:tc>
                <w:tcPr>
                  <w:tcW w:w="671"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0.018</w:t>
                  </w:r>
                </w:p>
              </w:tc>
              <w:tc>
                <w:tcPr>
                  <w:tcW w:w="736"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0.8</w:t>
                  </w:r>
                </w:p>
              </w:tc>
              <w:tc>
                <w:tcPr>
                  <w:tcW w:w="68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0.128</w:t>
                  </w:r>
                </w:p>
              </w:tc>
            </w:tr>
            <w:tr>
              <w:tblPrEx>
                <w:tblW w:w="5000" w:type="pct"/>
                <w:jc w:val="center"/>
                <w:tblLayout w:type="fixed"/>
                <w:tblCellMar>
                  <w:top w:w="0" w:type="dxa"/>
                  <w:left w:w="57" w:type="dxa"/>
                  <w:bottom w:w="0" w:type="dxa"/>
                  <w:right w:w="57" w:type="dxa"/>
                </w:tblCellMar>
              </w:tblPrEx>
              <w:trPr>
                <w:trHeight w:val="340"/>
                <w:jc w:val="center"/>
              </w:trPr>
              <w:tc>
                <w:tcPr>
                  <w:tcW w:w="9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2022年5月</w:t>
                  </w:r>
                </w:p>
              </w:tc>
              <w:tc>
                <w:tcPr>
                  <w:tcW w:w="620"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0.002</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0.021</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0.037</w:t>
                  </w:r>
                </w:p>
              </w:tc>
              <w:tc>
                <w:tcPr>
                  <w:tcW w:w="671"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0.016</w:t>
                  </w:r>
                </w:p>
              </w:tc>
              <w:tc>
                <w:tcPr>
                  <w:tcW w:w="736"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0.8</w:t>
                  </w:r>
                </w:p>
              </w:tc>
              <w:tc>
                <w:tcPr>
                  <w:tcW w:w="68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0.140</w:t>
                  </w:r>
                </w:p>
              </w:tc>
            </w:tr>
            <w:tr>
              <w:tblPrEx>
                <w:tblW w:w="5000" w:type="pct"/>
                <w:jc w:val="center"/>
                <w:tblLayout w:type="fixed"/>
                <w:tblCellMar>
                  <w:top w:w="0" w:type="dxa"/>
                  <w:left w:w="57" w:type="dxa"/>
                  <w:bottom w:w="0" w:type="dxa"/>
                  <w:right w:w="57" w:type="dxa"/>
                </w:tblCellMar>
              </w:tblPrEx>
              <w:trPr>
                <w:trHeight w:val="340"/>
                <w:jc w:val="center"/>
              </w:trPr>
              <w:tc>
                <w:tcPr>
                  <w:tcW w:w="9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2022年6月</w:t>
                  </w:r>
                </w:p>
              </w:tc>
              <w:tc>
                <w:tcPr>
                  <w:tcW w:w="620"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0.002</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0.016</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0.032</w:t>
                  </w:r>
                </w:p>
              </w:tc>
              <w:tc>
                <w:tcPr>
                  <w:tcW w:w="671"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0.013</w:t>
                  </w:r>
                </w:p>
              </w:tc>
              <w:tc>
                <w:tcPr>
                  <w:tcW w:w="736"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0.7</w:t>
                  </w:r>
                </w:p>
              </w:tc>
              <w:tc>
                <w:tcPr>
                  <w:tcW w:w="68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0.118</w:t>
                  </w:r>
                </w:p>
              </w:tc>
            </w:tr>
            <w:tr>
              <w:tblPrEx>
                <w:tblW w:w="5000" w:type="pct"/>
                <w:jc w:val="center"/>
                <w:tblLayout w:type="fixed"/>
                <w:tblCellMar>
                  <w:top w:w="0" w:type="dxa"/>
                  <w:left w:w="57" w:type="dxa"/>
                  <w:bottom w:w="0" w:type="dxa"/>
                  <w:right w:w="57" w:type="dxa"/>
                </w:tblCellMar>
              </w:tblPrEx>
              <w:trPr>
                <w:trHeight w:val="340"/>
                <w:jc w:val="center"/>
              </w:trPr>
              <w:tc>
                <w:tcPr>
                  <w:tcW w:w="9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2022年7月</w:t>
                  </w:r>
                </w:p>
              </w:tc>
              <w:tc>
                <w:tcPr>
                  <w:tcW w:w="620"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0.003</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0.010</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0.025</w:t>
                  </w:r>
                </w:p>
              </w:tc>
              <w:tc>
                <w:tcPr>
                  <w:tcW w:w="671"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0.011</w:t>
                  </w:r>
                </w:p>
              </w:tc>
              <w:tc>
                <w:tcPr>
                  <w:tcW w:w="736"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0.6</w:t>
                  </w:r>
                </w:p>
              </w:tc>
              <w:tc>
                <w:tcPr>
                  <w:tcW w:w="68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0.118</w:t>
                  </w:r>
                </w:p>
              </w:tc>
            </w:tr>
            <w:tr>
              <w:tblPrEx>
                <w:tblW w:w="5000" w:type="pct"/>
                <w:jc w:val="center"/>
                <w:tblLayout w:type="fixed"/>
                <w:tblCellMar>
                  <w:top w:w="0" w:type="dxa"/>
                  <w:left w:w="57" w:type="dxa"/>
                  <w:bottom w:w="0" w:type="dxa"/>
                  <w:right w:w="57" w:type="dxa"/>
                </w:tblCellMar>
              </w:tblPrEx>
              <w:trPr>
                <w:trHeight w:val="340"/>
                <w:jc w:val="center"/>
              </w:trPr>
              <w:tc>
                <w:tcPr>
                  <w:tcW w:w="9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2022年8月</w:t>
                  </w:r>
                </w:p>
              </w:tc>
              <w:tc>
                <w:tcPr>
                  <w:tcW w:w="620"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0.002</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0.014</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0.022</w:t>
                  </w:r>
                </w:p>
              </w:tc>
              <w:tc>
                <w:tcPr>
                  <w:tcW w:w="671"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0.010</w:t>
                  </w:r>
                </w:p>
              </w:tc>
              <w:tc>
                <w:tcPr>
                  <w:tcW w:w="736"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0.6</w:t>
                  </w:r>
                </w:p>
              </w:tc>
              <w:tc>
                <w:tcPr>
                  <w:tcW w:w="68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0.092</w:t>
                  </w:r>
                </w:p>
              </w:tc>
            </w:tr>
            <w:tr>
              <w:tblPrEx>
                <w:tblW w:w="5000" w:type="pct"/>
                <w:jc w:val="center"/>
                <w:tblLayout w:type="fixed"/>
                <w:tblCellMar>
                  <w:top w:w="0" w:type="dxa"/>
                  <w:left w:w="57" w:type="dxa"/>
                  <w:bottom w:w="0" w:type="dxa"/>
                  <w:right w:w="57" w:type="dxa"/>
                </w:tblCellMar>
              </w:tblPrEx>
              <w:trPr>
                <w:trHeight w:val="340"/>
                <w:jc w:val="center"/>
              </w:trPr>
              <w:tc>
                <w:tcPr>
                  <w:tcW w:w="9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2022年9月</w:t>
                  </w:r>
                </w:p>
              </w:tc>
              <w:tc>
                <w:tcPr>
                  <w:tcW w:w="620"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0.003</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0.013</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0.026</w:t>
                  </w:r>
                </w:p>
              </w:tc>
              <w:tc>
                <w:tcPr>
                  <w:tcW w:w="671"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0.012</w:t>
                  </w:r>
                </w:p>
              </w:tc>
              <w:tc>
                <w:tcPr>
                  <w:tcW w:w="736"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0.6</w:t>
                  </w:r>
                </w:p>
              </w:tc>
              <w:tc>
                <w:tcPr>
                  <w:tcW w:w="68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0.119</w:t>
                  </w:r>
                </w:p>
              </w:tc>
            </w:tr>
            <w:tr>
              <w:tblPrEx>
                <w:tblW w:w="5000" w:type="pct"/>
                <w:jc w:val="center"/>
                <w:tblLayout w:type="fixed"/>
                <w:tblCellMar>
                  <w:top w:w="0" w:type="dxa"/>
                  <w:left w:w="57" w:type="dxa"/>
                  <w:bottom w:w="0" w:type="dxa"/>
                  <w:right w:w="57" w:type="dxa"/>
                </w:tblCellMar>
              </w:tblPrEx>
              <w:trPr>
                <w:trHeight w:val="340"/>
                <w:jc w:val="center"/>
              </w:trPr>
              <w:tc>
                <w:tcPr>
                  <w:tcW w:w="9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2022年10月</w:t>
                  </w:r>
                </w:p>
              </w:tc>
              <w:tc>
                <w:tcPr>
                  <w:tcW w:w="620"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0.003</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0.010</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0.027</w:t>
                  </w:r>
                </w:p>
              </w:tc>
              <w:tc>
                <w:tcPr>
                  <w:tcW w:w="671"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0.011</w:t>
                  </w:r>
                </w:p>
              </w:tc>
              <w:tc>
                <w:tcPr>
                  <w:tcW w:w="736"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0.6</w:t>
                  </w:r>
                </w:p>
              </w:tc>
              <w:tc>
                <w:tcPr>
                  <w:tcW w:w="68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0.107</w:t>
                  </w:r>
                </w:p>
              </w:tc>
            </w:tr>
            <w:tr>
              <w:tblPrEx>
                <w:tblW w:w="5000" w:type="pct"/>
                <w:jc w:val="center"/>
                <w:tblLayout w:type="fixed"/>
                <w:tblCellMar>
                  <w:top w:w="0" w:type="dxa"/>
                  <w:left w:w="57" w:type="dxa"/>
                  <w:bottom w:w="0" w:type="dxa"/>
                  <w:right w:w="57" w:type="dxa"/>
                </w:tblCellMar>
              </w:tblPrEx>
              <w:trPr>
                <w:trHeight w:val="340"/>
                <w:jc w:val="center"/>
              </w:trPr>
              <w:tc>
                <w:tcPr>
                  <w:tcW w:w="9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2022年11月</w:t>
                  </w:r>
                </w:p>
              </w:tc>
              <w:tc>
                <w:tcPr>
                  <w:tcW w:w="620"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0.004</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0.019</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0.036</w:t>
                  </w:r>
                </w:p>
              </w:tc>
              <w:tc>
                <w:tcPr>
                  <w:tcW w:w="671"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0.015</w:t>
                  </w:r>
                </w:p>
              </w:tc>
              <w:tc>
                <w:tcPr>
                  <w:tcW w:w="736"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0.6</w:t>
                  </w:r>
                </w:p>
              </w:tc>
              <w:tc>
                <w:tcPr>
                  <w:tcW w:w="68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0.104</w:t>
                  </w:r>
                </w:p>
              </w:tc>
            </w:tr>
            <w:tr>
              <w:tblPrEx>
                <w:tblW w:w="5000" w:type="pct"/>
                <w:jc w:val="center"/>
                <w:tblLayout w:type="fixed"/>
                <w:tblCellMar>
                  <w:top w:w="0" w:type="dxa"/>
                  <w:left w:w="57" w:type="dxa"/>
                  <w:bottom w:w="0" w:type="dxa"/>
                  <w:right w:w="57" w:type="dxa"/>
                </w:tblCellMar>
              </w:tblPrEx>
              <w:trPr>
                <w:trHeight w:val="340"/>
                <w:jc w:val="center"/>
              </w:trPr>
              <w:tc>
                <w:tcPr>
                  <w:tcW w:w="9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2022年12月</w:t>
                  </w:r>
                </w:p>
              </w:tc>
              <w:tc>
                <w:tcPr>
                  <w:tcW w:w="620"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0.003</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0.023</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0.042</w:t>
                  </w:r>
                </w:p>
              </w:tc>
              <w:tc>
                <w:tcPr>
                  <w:tcW w:w="671"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0.020</w:t>
                  </w:r>
                </w:p>
              </w:tc>
              <w:tc>
                <w:tcPr>
                  <w:tcW w:w="736"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0.8</w:t>
                  </w:r>
                </w:p>
              </w:tc>
              <w:tc>
                <w:tcPr>
                  <w:tcW w:w="68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0.104</w:t>
                  </w:r>
                </w:p>
              </w:tc>
            </w:tr>
            <w:tr>
              <w:tblPrEx>
                <w:tblW w:w="5000" w:type="pct"/>
                <w:jc w:val="center"/>
                <w:tblLayout w:type="fixed"/>
                <w:tblCellMar>
                  <w:top w:w="0" w:type="dxa"/>
                  <w:left w:w="57" w:type="dxa"/>
                  <w:bottom w:w="0" w:type="dxa"/>
                  <w:right w:w="57" w:type="dxa"/>
                </w:tblCellMar>
              </w:tblPrEx>
              <w:trPr>
                <w:trHeight w:val="340"/>
                <w:jc w:val="center"/>
              </w:trPr>
              <w:tc>
                <w:tcPr>
                  <w:tcW w:w="9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国家二级标准</w:t>
                  </w:r>
                </w:p>
              </w:tc>
              <w:tc>
                <w:tcPr>
                  <w:tcW w:w="620"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0.06</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0.04</w:t>
                  </w:r>
                </w:p>
              </w:tc>
              <w:tc>
                <w:tcPr>
                  <w:tcW w:w="6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0.07</w:t>
                  </w:r>
                </w:p>
              </w:tc>
              <w:tc>
                <w:tcPr>
                  <w:tcW w:w="671"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0.035</w:t>
                  </w:r>
                </w:p>
              </w:tc>
              <w:tc>
                <w:tcPr>
                  <w:tcW w:w="736"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4</w:t>
                  </w:r>
                </w:p>
              </w:tc>
              <w:tc>
                <w:tcPr>
                  <w:tcW w:w="68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0.16</w:t>
                  </w:r>
                </w:p>
              </w:tc>
            </w:tr>
            <w:tr>
              <w:tblPrEx>
                <w:tblW w:w="5000" w:type="pct"/>
                <w:jc w:val="center"/>
                <w:tblLayout w:type="fixed"/>
                <w:tblCellMar>
                  <w:top w:w="0" w:type="dxa"/>
                  <w:left w:w="57" w:type="dxa"/>
                  <w:bottom w:w="0" w:type="dxa"/>
                  <w:right w:w="57" w:type="dxa"/>
                </w:tblCellMar>
              </w:tblPrEx>
              <w:trPr>
                <w:trHeight w:val="340"/>
                <w:jc w:val="center"/>
              </w:trPr>
              <w:tc>
                <w:tcPr>
                  <w:tcW w:w="95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达标情况</w:t>
                  </w:r>
                </w:p>
              </w:tc>
              <w:tc>
                <w:tcPr>
                  <w:tcW w:w="4043" w:type="pct"/>
                  <w:gridSpan w:val="6"/>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达标</w:t>
                  </w:r>
                </w:p>
              </w:tc>
            </w:tr>
            <w:tr>
              <w:tblPrEx>
                <w:tblW w:w="5000" w:type="pct"/>
                <w:jc w:val="center"/>
                <w:tblLayout w:type="fixed"/>
                <w:tblCellMar>
                  <w:top w:w="0" w:type="dxa"/>
                  <w:left w:w="57" w:type="dxa"/>
                  <w:bottom w:w="0" w:type="dxa"/>
                  <w:right w:w="57" w:type="dxa"/>
                </w:tblCellMar>
              </w:tblPrEx>
              <w:trPr>
                <w:trHeight w:val="340"/>
                <w:jc w:val="center"/>
              </w:trPr>
              <w:tc>
                <w:tcPr>
                  <w:tcW w:w="5000" w:type="pct"/>
                  <w:gridSpan w:val="7"/>
                  <w:tcBorders>
                    <w:tl2br w:val="nil"/>
                    <w:tr2bl w:val="nil"/>
                  </w:tcBorders>
                  <w:vAlign w:val="center"/>
                </w:tcPr>
                <w:p>
                  <w:pPr>
                    <w:keepNext w:val="0"/>
                    <w:keepLines w:val="0"/>
                    <w:suppressLineNumbers w:val="0"/>
                    <w:spacing w:before="0" w:beforeAutospacing="0" w:after="0" w:afterAutospacing="0"/>
                    <w:ind w:left="0" w:right="0"/>
                    <w:rPr>
                      <w:rFonts w:hint="default"/>
                      <w:color w:val="auto"/>
                      <w:szCs w:val="21"/>
                      <w:highlight w:val="none"/>
                    </w:rPr>
                  </w:pPr>
                  <w:r>
                    <w:rPr>
                      <w:rFonts w:hint="default"/>
                      <w:color w:val="auto"/>
                      <w:szCs w:val="21"/>
                      <w:highlight w:val="none"/>
                    </w:rPr>
                    <w:t>注：CO为日均值第95百分位数，O</w:t>
                  </w:r>
                  <w:r>
                    <w:rPr>
                      <w:rFonts w:hint="default"/>
                      <w:color w:val="auto"/>
                      <w:szCs w:val="21"/>
                      <w:highlight w:val="none"/>
                      <w:vertAlign w:val="subscript"/>
                    </w:rPr>
                    <w:t>3</w:t>
                  </w:r>
                  <w:r>
                    <w:rPr>
                      <w:rFonts w:hint="default"/>
                      <w:color w:val="auto"/>
                      <w:szCs w:val="21"/>
                      <w:highlight w:val="none"/>
                    </w:rPr>
                    <w:t>为日最大8小时值第90百分位数。</w:t>
                  </w:r>
                </w:p>
              </w:tc>
            </w:tr>
          </w:tbl>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综上，福清市2022年1月~2022年12月份，环境空气中的SO</w:t>
            </w:r>
            <w:r>
              <w:rPr>
                <w:rFonts w:hint="eastAsia"/>
                <w:color w:val="auto"/>
                <w:highlight w:val="none"/>
                <w:vertAlign w:val="subscript"/>
              </w:rPr>
              <w:t>2</w:t>
            </w:r>
            <w:r>
              <w:rPr>
                <w:rFonts w:hint="eastAsia"/>
                <w:color w:val="auto"/>
                <w:highlight w:val="none"/>
              </w:rPr>
              <w:t>、NO</w:t>
            </w:r>
            <w:r>
              <w:rPr>
                <w:rFonts w:hint="eastAsia"/>
                <w:color w:val="auto"/>
                <w:highlight w:val="none"/>
                <w:vertAlign w:val="subscript"/>
              </w:rPr>
              <w:t>2</w:t>
            </w:r>
            <w:r>
              <w:rPr>
                <w:rFonts w:hint="eastAsia"/>
                <w:color w:val="auto"/>
                <w:highlight w:val="none"/>
              </w:rPr>
              <w:t>、PM</w:t>
            </w:r>
            <w:r>
              <w:rPr>
                <w:rFonts w:hint="eastAsia"/>
                <w:color w:val="auto"/>
                <w:highlight w:val="none"/>
                <w:vertAlign w:val="subscript"/>
              </w:rPr>
              <w:t>10</w:t>
            </w:r>
            <w:r>
              <w:rPr>
                <w:rFonts w:hint="eastAsia"/>
                <w:color w:val="auto"/>
                <w:highlight w:val="none"/>
              </w:rPr>
              <w:t>和PM</w:t>
            </w:r>
            <w:r>
              <w:rPr>
                <w:rFonts w:hint="eastAsia"/>
                <w:color w:val="auto"/>
                <w:highlight w:val="none"/>
                <w:vertAlign w:val="subscript"/>
              </w:rPr>
              <w:t>2.5</w:t>
            </w:r>
            <w:r>
              <w:rPr>
                <w:rFonts w:hint="eastAsia"/>
                <w:color w:val="auto"/>
                <w:highlight w:val="none"/>
              </w:rPr>
              <w:t>均未超过国家二级标准，CO日均值第95百分数和O</w:t>
            </w:r>
            <w:r>
              <w:rPr>
                <w:rFonts w:hint="eastAsia"/>
                <w:color w:val="auto"/>
                <w:highlight w:val="none"/>
                <w:vertAlign w:val="subscript"/>
              </w:rPr>
              <w:t>3</w:t>
            </w:r>
            <w:r>
              <w:rPr>
                <w:rFonts w:hint="eastAsia"/>
                <w:color w:val="auto"/>
                <w:highlight w:val="none"/>
              </w:rPr>
              <w:t>最大8小时值第90百分数符合国家二级标准。</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因此项目所在区域环境空气质量现状良好，属于达标区。</w:t>
            </w:r>
          </w:p>
          <w:p>
            <w:pPr>
              <w:pStyle w:val="Heading4"/>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3.1.1.3补充监测</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为了解区域大气环境质量现状，环评单位委托</w:t>
            </w:r>
            <w:r>
              <w:rPr>
                <w:rFonts w:ascii="宋体" w:hAnsi="宋体" w:hint="eastAsia"/>
                <w:color w:val="auto"/>
                <w:szCs w:val="24"/>
                <w:highlight w:val="none"/>
              </w:rPr>
              <w:t>福建创投环境检测有限公司</w:t>
            </w:r>
            <w:r>
              <w:rPr>
                <w:rFonts w:hint="eastAsia"/>
                <w:color w:val="auto"/>
                <w:highlight w:val="none"/>
              </w:rPr>
              <w:t>（CMA：22131205A006；报告编号：CTHJ（2023）111702）在项目下风向布设1个环境空气质量现状监测点对项目所在区域特征污染物（TSP、非甲烷总烃、甲醛、氨气、酚类、硫化氢）进行检测。补充监测点位基本信息详</w:t>
            </w:r>
            <w:r>
              <w:rPr>
                <w:rFonts w:hint="default"/>
                <w:color w:val="auto"/>
                <w:highlight w:val="none"/>
              </w:rPr>
              <w:t>见</w:t>
            </w:r>
            <w:r>
              <w:rPr>
                <w:rFonts w:hint="eastAsia"/>
                <w:color w:val="auto"/>
                <w:highlight w:val="none"/>
              </w:rPr>
              <w:t>表3.1-3</w:t>
            </w:r>
            <w:r>
              <w:rPr>
                <w:rFonts w:hint="default"/>
                <w:b/>
                <w:bCs/>
                <w:color w:val="auto"/>
                <w:highlight w:val="none"/>
              </w:rPr>
              <w:t>和</w:t>
            </w:r>
            <w:r>
              <w:rPr>
                <w:rFonts w:hint="eastAsia"/>
                <w:b/>
                <w:bCs/>
                <w:color w:val="auto"/>
                <w:highlight w:val="none"/>
              </w:rPr>
              <w:t>附图</w:t>
            </w:r>
            <w:r>
              <w:rPr>
                <w:rFonts w:hint="eastAsia"/>
                <w:b/>
                <w:bCs/>
                <w:color w:val="auto"/>
                <w:highlight w:val="none"/>
                <w:lang w:val="en-US" w:eastAsia="zh-CN"/>
              </w:rPr>
              <w:t>2</w:t>
            </w:r>
            <w:r>
              <w:rPr>
                <w:rFonts w:hint="eastAsia"/>
                <w:color w:val="auto"/>
                <w:highlight w:val="none"/>
              </w:rPr>
              <w:t>，监测数据和评价详见表3.1-4。</w:t>
            </w:r>
          </w:p>
        </w:tc>
      </w:tr>
    </w:tbl>
    <w:p>
      <w:pPr>
        <w:sectPr>
          <w:footerReference w:type="default" r:id="rId46"/>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26"/>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678"/>
        <w:gridCol w:w="850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04"/>
          <w:jc w:val="center"/>
        </w:trPr>
        <w:tc>
          <w:tcPr>
            <w:tcW w:w="678" w:type="dxa"/>
            <w:vAlign w:val="center"/>
          </w:tcPr>
          <w:p/>
        </w:tc>
        <w:tc>
          <w:tcPr>
            <w:tcW w:w="8504" w:type="dxa"/>
            <w:vAlign w:val="center"/>
          </w:tcPr>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根据《环境影响评价技术导则 大气环境》（HJ2.2-2018）中6.2.2.2评价范围内没有环境空气质量监测网数据或公开发布的环境空气质量现状数据的，可收集评价范围内近3年与项目排放的其他污染物有关的历史监测资料。本监测数据符合近3年的监测资料的要求。</w:t>
            </w:r>
          </w:p>
          <w:p>
            <w:pPr>
              <w:keepNext w:val="0"/>
              <w:keepLines w:val="0"/>
              <w:suppressLineNumbers w:val="0"/>
              <w:spacing w:before="0" w:beforeAutospacing="0" w:after="0" w:afterAutospacing="0" w:line="360" w:lineRule="auto"/>
              <w:ind w:left="0" w:right="0"/>
              <w:jc w:val="center"/>
              <w:rPr>
                <w:rFonts w:hint="default"/>
                <w:b/>
                <w:bCs/>
                <w:color w:val="auto"/>
                <w:sz w:val="24"/>
                <w:highlight w:val="none"/>
                <w:shd w:val="clear" w:color="auto" w:fill="FFFFFF"/>
              </w:rPr>
            </w:pPr>
            <w:r>
              <w:rPr>
                <w:rFonts w:hint="eastAsia"/>
                <w:b/>
                <w:bCs/>
                <w:color w:val="auto"/>
                <w:sz w:val="24"/>
                <w:highlight w:val="none"/>
                <w:shd w:val="clear" w:color="auto" w:fill="FFFFFF"/>
              </w:rPr>
              <w:t>表3.1-3 补充监测点位基本信息</w:t>
            </w:r>
          </w:p>
          <w:tbl>
            <w:tblPr>
              <w:tblStyle w:val="TableNormal"/>
              <w:tblW w:w="8197" w:type="dxa"/>
              <w:tblInd w:w="0" w:type="dxa"/>
              <w:tblBorders>
                <w:top w:val="single" w:sz="18" w:space="0" w:color="000000"/>
                <w:left w:val="none" w:sz="0" w:space="0" w:color="auto"/>
                <w:bottom w:val="single" w:sz="18" w:space="0" w:color="000000"/>
                <w:right w:val="none" w:sz="0" w:space="0" w:color="auto"/>
                <w:insideH w:val="single" w:sz="4" w:space="0" w:color="000000"/>
                <w:insideV w:val="single" w:sz="4" w:space="0" w:color="000000"/>
              </w:tblBorders>
              <w:tblLayout w:type="fixed"/>
              <w:tblCellMar>
                <w:top w:w="0" w:type="dxa"/>
                <w:left w:w="28" w:type="dxa"/>
                <w:bottom w:w="0" w:type="dxa"/>
                <w:right w:w="28" w:type="dxa"/>
              </w:tblCellMar>
            </w:tblPr>
            <w:tblGrid>
              <w:gridCol w:w="1109"/>
              <w:gridCol w:w="1471"/>
              <w:gridCol w:w="1298"/>
              <w:gridCol w:w="1910"/>
              <w:gridCol w:w="2409"/>
            </w:tblGrid>
            <w:tr>
              <w:tblPrEx>
                <w:tblW w:w="8197" w:type="dxa"/>
                <w:tblInd w:w="0" w:type="dxa"/>
                <w:tblBorders>
                  <w:top w:val="single" w:sz="18" w:space="0" w:color="000000"/>
                  <w:left w:val="none" w:sz="0" w:space="0" w:color="auto"/>
                  <w:bottom w:val="single" w:sz="18" w:space="0" w:color="000000"/>
                  <w:right w:val="none" w:sz="0" w:space="0" w:color="auto"/>
                  <w:insideH w:val="single" w:sz="4" w:space="0" w:color="000000"/>
                  <w:insideV w:val="single" w:sz="4" w:space="0" w:color="000000"/>
                </w:tblBorders>
                <w:tblLayout w:type="fixed"/>
                <w:tblCellMar>
                  <w:top w:w="0" w:type="dxa"/>
                  <w:left w:w="28" w:type="dxa"/>
                  <w:bottom w:w="0" w:type="dxa"/>
                  <w:right w:w="28" w:type="dxa"/>
                </w:tblCellMar>
              </w:tblPrEx>
              <w:trPr>
                <w:trHeight w:val="340"/>
              </w:trPr>
              <w:tc>
                <w:tcPr>
                  <w:tcW w:w="1109" w:type="dxa"/>
                  <w:tcBorders>
                    <w:top w:val="single" w:sz="18" w:space="0" w:color="000000"/>
                    <w:left w:val="nil"/>
                    <w:bottom w:val="single" w:sz="4" w:space="0" w:color="000000"/>
                    <w:right w:val="single" w:sz="4" w:space="0" w:color="00000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b/>
                      <w:bCs/>
                      <w:color w:val="auto"/>
                      <w:kern w:val="0"/>
                      <w:szCs w:val="21"/>
                      <w:highlight w:val="none"/>
                    </w:rPr>
                  </w:pPr>
                  <w:r>
                    <w:rPr>
                      <w:rFonts w:hint="default"/>
                      <w:b/>
                      <w:bCs/>
                      <w:color w:val="auto"/>
                      <w:kern w:val="0"/>
                      <w:szCs w:val="21"/>
                      <w:highlight w:val="none"/>
                    </w:rPr>
                    <w:t>监测点位</w:t>
                  </w:r>
                </w:p>
              </w:tc>
              <w:tc>
                <w:tcPr>
                  <w:tcW w:w="1471" w:type="dxa"/>
                  <w:tcBorders>
                    <w:top w:val="single" w:sz="18"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b/>
                      <w:bCs/>
                      <w:color w:val="auto"/>
                      <w:kern w:val="0"/>
                      <w:szCs w:val="21"/>
                      <w:highlight w:val="none"/>
                    </w:rPr>
                  </w:pPr>
                  <w:r>
                    <w:rPr>
                      <w:rFonts w:hint="default"/>
                      <w:b/>
                      <w:bCs/>
                      <w:color w:val="auto"/>
                      <w:kern w:val="0"/>
                      <w:szCs w:val="21"/>
                      <w:highlight w:val="none"/>
                    </w:rPr>
                    <w:t>相对厂址方位</w:t>
                  </w:r>
                </w:p>
              </w:tc>
              <w:tc>
                <w:tcPr>
                  <w:tcW w:w="1298" w:type="dxa"/>
                  <w:tcBorders>
                    <w:top w:val="single" w:sz="18"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b/>
                      <w:bCs/>
                      <w:color w:val="auto"/>
                      <w:kern w:val="0"/>
                      <w:szCs w:val="21"/>
                      <w:highlight w:val="none"/>
                    </w:rPr>
                  </w:pPr>
                  <w:r>
                    <w:rPr>
                      <w:rFonts w:hint="default"/>
                      <w:b/>
                      <w:bCs/>
                      <w:color w:val="auto"/>
                      <w:kern w:val="0"/>
                      <w:szCs w:val="21"/>
                      <w:highlight w:val="none"/>
                    </w:rPr>
                    <w:t>相对厂区距离</w:t>
                  </w:r>
                </w:p>
              </w:tc>
              <w:tc>
                <w:tcPr>
                  <w:tcW w:w="1910" w:type="dxa"/>
                  <w:tcBorders>
                    <w:top w:val="single" w:sz="18"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b/>
                      <w:bCs/>
                      <w:color w:val="auto"/>
                      <w:kern w:val="0"/>
                      <w:szCs w:val="21"/>
                      <w:highlight w:val="none"/>
                    </w:rPr>
                  </w:pPr>
                  <w:r>
                    <w:rPr>
                      <w:rFonts w:hint="default"/>
                      <w:b/>
                      <w:bCs/>
                      <w:color w:val="auto"/>
                      <w:kern w:val="0"/>
                      <w:szCs w:val="21"/>
                      <w:highlight w:val="none"/>
                    </w:rPr>
                    <w:t>监测因子</w:t>
                  </w:r>
                </w:p>
              </w:tc>
              <w:tc>
                <w:tcPr>
                  <w:tcW w:w="2409" w:type="dxa"/>
                  <w:tcBorders>
                    <w:top w:val="single" w:sz="18" w:space="0" w:color="000000"/>
                    <w:left w:val="single" w:sz="4" w:space="0" w:color="000000"/>
                    <w:bottom w:val="single" w:sz="4" w:space="0" w:color="000000"/>
                    <w:right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b/>
                      <w:bCs/>
                      <w:color w:val="auto"/>
                      <w:kern w:val="0"/>
                      <w:szCs w:val="21"/>
                      <w:highlight w:val="none"/>
                    </w:rPr>
                  </w:pPr>
                  <w:r>
                    <w:rPr>
                      <w:rFonts w:hint="default"/>
                      <w:b/>
                      <w:bCs/>
                      <w:color w:val="auto"/>
                      <w:kern w:val="0"/>
                      <w:szCs w:val="21"/>
                      <w:highlight w:val="none"/>
                    </w:rPr>
                    <w:t>检测时段</w:t>
                  </w:r>
                </w:p>
              </w:tc>
            </w:tr>
            <w:tr>
              <w:tblPrEx>
                <w:tblW w:w="8197" w:type="dxa"/>
                <w:tblInd w:w="0" w:type="dxa"/>
                <w:tblLayout w:type="fixed"/>
                <w:tblCellMar>
                  <w:top w:w="0" w:type="dxa"/>
                  <w:left w:w="28" w:type="dxa"/>
                  <w:bottom w:w="0" w:type="dxa"/>
                  <w:right w:w="28" w:type="dxa"/>
                </w:tblCellMar>
              </w:tblPrEx>
              <w:trPr>
                <w:trHeight w:val="340"/>
              </w:trPr>
              <w:tc>
                <w:tcPr>
                  <w:tcW w:w="1109" w:type="dxa"/>
                  <w:vMerge w:val="restart"/>
                  <w:tcBorders>
                    <w:top w:val="single" w:sz="4" w:space="0" w:color="000000"/>
                    <w:left w:val="nil"/>
                    <w:right w:val="single" w:sz="4" w:space="0" w:color="00000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G1项目下风向</w:t>
                  </w:r>
                </w:p>
              </w:tc>
              <w:tc>
                <w:tcPr>
                  <w:tcW w:w="1471" w:type="dxa"/>
                  <w:vMerge w:val="restart"/>
                  <w:tcBorders>
                    <w:top w:val="single" w:sz="4" w:space="0" w:color="000000"/>
                    <w:left w:val="single" w:sz="4" w:space="0" w:color="000000"/>
                    <w:right w:val="single" w:sz="4" w:space="0" w:color="00000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highlight w:val="none"/>
                    </w:rPr>
                  </w:pPr>
                  <w:r>
                    <w:rPr>
                      <w:rFonts w:hint="eastAsia"/>
                      <w:color w:val="auto"/>
                      <w:kern w:val="0"/>
                      <w:highlight w:val="none"/>
                      <w:lang w:val="en-US" w:eastAsia="zh-CN"/>
                    </w:rPr>
                    <w:t>*****</w:t>
                  </w:r>
                </w:p>
              </w:tc>
              <w:tc>
                <w:tcPr>
                  <w:tcW w:w="1298" w:type="dxa"/>
                  <w:vMerge w:val="restart"/>
                  <w:tcBorders>
                    <w:top w:val="single" w:sz="4" w:space="0" w:color="000000"/>
                    <w:left w:val="single" w:sz="4" w:space="0" w:color="000000"/>
                    <w:right w:val="single" w:sz="4" w:space="0" w:color="00000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highlight w:val="none"/>
                    </w:rPr>
                  </w:pPr>
                  <w:r>
                    <w:rPr>
                      <w:rFonts w:hint="eastAsia"/>
                      <w:color w:val="auto"/>
                      <w:kern w:val="0"/>
                      <w:highlight w:val="none"/>
                      <w:lang w:val="en-US" w:eastAsia="zh-CN"/>
                    </w:rPr>
                    <w:t>*****</w:t>
                  </w:r>
                </w:p>
              </w:tc>
              <w:tc>
                <w:tcPr>
                  <w:tcW w:w="19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highlight w:val="none"/>
                      <w:lang w:val="en-US" w:eastAsia="zh-CN"/>
                    </w:rPr>
                    <w:t>*****</w:t>
                  </w:r>
                </w:p>
              </w:tc>
              <w:tc>
                <w:tcPr>
                  <w:tcW w:w="2409" w:type="dxa"/>
                  <w:tcBorders>
                    <w:top w:val="single" w:sz="4" w:space="0" w:color="000000"/>
                    <w:left w:val="single" w:sz="4" w:space="0" w:color="000000"/>
                    <w:bottom w:val="single" w:sz="4" w:space="0" w:color="000000"/>
                    <w:right w:val="nil"/>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highlight w:val="none"/>
                      <w:lang w:val="en-US" w:eastAsia="zh-CN"/>
                    </w:rPr>
                    <w:t>*****</w:t>
                  </w:r>
                </w:p>
              </w:tc>
            </w:tr>
            <w:tr>
              <w:tblPrEx>
                <w:tblW w:w="8197" w:type="dxa"/>
                <w:tblInd w:w="0" w:type="dxa"/>
                <w:tblLayout w:type="fixed"/>
                <w:tblCellMar>
                  <w:top w:w="0" w:type="dxa"/>
                  <w:left w:w="28" w:type="dxa"/>
                  <w:bottom w:w="0" w:type="dxa"/>
                  <w:right w:w="28" w:type="dxa"/>
                </w:tblCellMar>
              </w:tblPrEx>
              <w:trPr>
                <w:trHeight w:val="340"/>
              </w:trPr>
              <w:tc>
                <w:tcPr>
                  <w:tcW w:w="1109" w:type="dxa"/>
                  <w:vMerge/>
                  <w:tcBorders>
                    <w:left w:val="nil"/>
                    <w:bottom w:val="single" w:sz="18" w:space="0" w:color="000000"/>
                    <w:right w:val="single" w:sz="4" w:space="0" w:color="00000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p>
              </w:tc>
              <w:tc>
                <w:tcPr>
                  <w:tcW w:w="1471" w:type="dxa"/>
                  <w:vMerge/>
                  <w:tcBorders>
                    <w:left w:val="single" w:sz="4" w:space="0" w:color="000000"/>
                    <w:bottom w:val="single" w:sz="18" w:space="0" w:color="000000"/>
                    <w:right w:val="single" w:sz="4" w:space="0" w:color="00000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p>
              </w:tc>
              <w:tc>
                <w:tcPr>
                  <w:tcW w:w="1298" w:type="dxa"/>
                  <w:vMerge/>
                  <w:tcBorders>
                    <w:left w:val="single" w:sz="4" w:space="0" w:color="000000"/>
                    <w:bottom w:val="single" w:sz="18" w:space="0" w:color="000000"/>
                    <w:right w:val="single" w:sz="4" w:space="0" w:color="00000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p>
              </w:tc>
              <w:tc>
                <w:tcPr>
                  <w:tcW w:w="1910" w:type="dxa"/>
                  <w:tcBorders>
                    <w:top w:val="single" w:sz="4" w:space="0" w:color="000000"/>
                    <w:left w:val="single" w:sz="4" w:space="0" w:color="000000"/>
                    <w:bottom w:val="single" w:sz="18" w:space="0" w:color="000000"/>
                    <w:right w:val="single" w:sz="4" w:space="0" w:color="00000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highlight w:val="none"/>
                      <w:lang w:val="en-US" w:eastAsia="zh-CN"/>
                    </w:rPr>
                    <w:t>*****</w:t>
                  </w:r>
                </w:p>
              </w:tc>
              <w:tc>
                <w:tcPr>
                  <w:tcW w:w="2409" w:type="dxa"/>
                  <w:tcBorders>
                    <w:top w:val="single" w:sz="4" w:space="0" w:color="000000"/>
                    <w:left w:val="single" w:sz="4" w:space="0" w:color="000000"/>
                    <w:bottom w:val="single" w:sz="18" w:space="0" w:color="000000"/>
                    <w:right w:val="nil"/>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highlight w:val="none"/>
                      <w:lang w:val="en-US" w:eastAsia="zh-CN"/>
                    </w:rPr>
                    <w:t>*****</w:t>
                  </w:r>
                </w:p>
              </w:tc>
            </w:tr>
          </w:tbl>
          <w:p>
            <w:pPr>
              <w:keepNext w:val="0"/>
              <w:keepLines w:val="0"/>
              <w:suppressLineNumbers w:val="0"/>
              <w:spacing w:before="0" w:beforeAutospacing="0" w:after="0" w:afterAutospacing="0"/>
              <w:ind w:left="0" w:right="0" w:firstLine="420"/>
              <w:jc w:val="center"/>
              <w:rPr>
                <w:rFonts w:hint="default"/>
                <w:color w:val="auto"/>
                <w:kern w:val="0"/>
                <w:szCs w:val="21"/>
                <w:highlight w:val="none"/>
              </w:rPr>
            </w:pPr>
            <w:r>
              <w:rPr>
                <w:rFonts w:hint="default"/>
                <w:color w:val="auto"/>
                <w:kern w:val="0"/>
                <w:szCs w:val="21"/>
                <w:highlight w:val="none"/>
              </w:rPr>
              <w:t xml:space="preserve"> </w:t>
            </w:r>
          </w:p>
          <w:p>
            <w:pPr>
              <w:keepNext w:val="0"/>
              <w:keepLines w:val="0"/>
              <w:suppressLineNumbers w:val="0"/>
              <w:spacing w:before="0" w:beforeAutospacing="0" w:after="0" w:afterAutospacing="0" w:line="360" w:lineRule="auto"/>
              <w:ind w:left="0" w:right="0"/>
              <w:jc w:val="center"/>
              <w:outlineLvl w:val="4"/>
              <w:rPr>
                <w:rFonts w:hint="default"/>
                <w:b/>
                <w:color w:val="auto"/>
                <w:kern w:val="0"/>
                <w:sz w:val="24"/>
                <w:highlight w:val="none"/>
              </w:rPr>
            </w:pPr>
            <w:r>
              <w:rPr>
                <w:rFonts w:hint="default"/>
                <w:b/>
                <w:color w:val="auto"/>
                <w:kern w:val="0"/>
                <w:sz w:val="24"/>
                <w:highlight w:val="none"/>
              </w:rPr>
              <w:t>表3.1-</w:t>
            </w:r>
            <w:r>
              <w:rPr>
                <w:rFonts w:hint="eastAsia"/>
                <w:b/>
                <w:color w:val="auto"/>
                <w:kern w:val="0"/>
                <w:sz w:val="24"/>
                <w:highlight w:val="none"/>
              </w:rPr>
              <w:t>4</w:t>
            </w:r>
            <w:r>
              <w:rPr>
                <w:rFonts w:hint="default"/>
                <w:b/>
                <w:color w:val="auto"/>
                <w:kern w:val="0"/>
                <w:sz w:val="24"/>
                <w:highlight w:val="none"/>
              </w:rPr>
              <w:t xml:space="preserve"> 补充监测数据和评价表</w:t>
            </w:r>
          </w:p>
          <w:tbl>
            <w:tblPr>
              <w:tblStyle w:val="TableNormal"/>
              <w:tblW w:w="5000" w:type="pct"/>
              <w:jc w:val="center"/>
              <w:tblBorders>
                <w:top w:val="single" w:sz="18" w:space="0" w:color="000000"/>
                <w:left w:val="none" w:sz="0" w:space="0" w:color="auto"/>
                <w:bottom w:val="single" w:sz="18" w:space="0" w:color="000000"/>
                <w:right w:val="none" w:sz="0" w:space="0" w:color="auto"/>
                <w:insideH w:val="single" w:sz="4" w:space="0" w:color="000000"/>
                <w:insideV w:val="single" w:sz="4" w:space="0" w:color="000000"/>
              </w:tblBorders>
              <w:tblLayout w:type="fixed"/>
              <w:tblCellMar>
                <w:top w:w="0" w:type="dxa"/>
                <w:left w:w="28" w:type="dxa"/>
                <w:bottom w:w="0" w:type="dxa"/>
                <w:right w:w="28" w:type="dxa"/>
              </w:tblCellMar>
            </w:tblPr>
            <w:tblGrid>
              <w:gridCol w:w="632"/>
              <w:gridCol w:w="1382"/>
              <w:gridCol w:w="1026"/>
              <w:gridCol w:w="1107"/>
              <w:gridCol w:w="1384"/>
              <w:gridCol w:w="1248"/>
              <w:gridCol w:w="824"/>
              <w:gridCol w:w="685"/>
            </w:tblGrid>
            <w:tr>
              <w:tblPrEx>
                <w:tblW w:w="5000" w:type="pct"/>
                <w:jc w:val="center"/>
                <w:tblBorders>
                  <w:top w:val="single" w:sz="18" w:space="0" w:color="000000"/>
                  <w:left w:val="none" w:sz="0" w:space="0" w:color="auto"/>
                  <w:bottom w:val="single" w:sz="18" w:space="0" w:color="000000"/>
                  <w:right w:val="none" w:sz="0" w:space="0" w:color="auto"/>
                  <w:insideH w:val="single" w:sz="4" w:space="0" w:color="000000"/>
                  <w:insideV w:val="single" w:sz="4" w:space="0" w:color="000000"/>
                </w:tblBorders>
                <w:tblLayout w:type="fixed"/>
                <w:tblCellMar>
                  <w:top w:w="0" w:type="dxa"/>
                  <w:left w:w="28" w:type="dxa"/>
                  <w:bottom w:w="0" w:type="dxa"/>
                  <w:right w:w="28" w:type="dxa"/>
                </w:tblCellMar>
              </w:tblPrEx>
              <w:trPr>
                <w:trHeight w:val="340"/>
                <w:jc w:val="center"/>
              </w:trPr>
              <w:tc>
                <w:tcPr>
                  <w:tcW w:w="381"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b/>
                      <w:bCs/>
                      <w:color w:val="auto"/>
                      <w:kern w:val="0"/>
                      <w:szCs w:val="21"/>
                      <w:highlight w:val="none"/>
                    </w:rPr>
                  </w:pPr>
                  <w:r>
                    <w:rPr>
                      <w:rFonts w:ascii="宋体" w:hAnsi="宋体" w:hint="eastAsia"/>
                      <w:b/>
                      <w:bCs/>
                      <w:color w:val="auto"/>
                      <w:kern w:val="0"/>
                      <w:szCs w:val="21"/>
                      <w:highlight w:val="none"/>
                    </w:rPr>
                    <w:t>监测点位</w:t>
                  </w:r>
                </w:p>
              </w:tc>
              <w:tc>
                <w:tcPr>
                  <w:tcW w:w="833"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b/>
                      <w:bCs/>
                      <w:color w:val="auto"/>
                      <w:kern w:val="0"/>
                      <w:szCs w:val="21"/>
                      <w:highlight w:val="none"/>
                    </w:rPr>
                  </w:pPr>
                  <w:r>
                    <w:rPr>
                      <w:rFonts w:ascii="宋体" w:hAnsi="宋体" w:hint="eastAsia"/>
                      <w:b/>
                      <w:bCs/>
                      <w:color w:val="auto"/>
                      <w:kern w:val="0"/>
                      <w:szCs w:val="21"/>
                      <w:highlight w:val="none"/>
                    </w:rPr>
                    <w:t>污染物</w:t>
                  </w:r>
                </w:p>
              </w:tc>
              <w:tc>
                <w:tcPr>
                  <w:tcW w:w="618"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b/>
                      <w:bCs/>
                      <w:color w:val="auto"/>
                      <w:kern w:val="0"/>
                      <w:szCs w:val="21"/>
                      <w:highlight w:val="none"/>
                    </w:rPr>
                  </w:pPr>
                  <w:r>
                    <w:rPr>
                      <w:rFonts w:ascii="宋体" w:hAnsi="宋体" w:hint="eastAsia"/>
                      <w:b/>
                      <w:bCs/>
                      <w:color w:val="auto"/>
                      <w:kern w:val="0"/>
                      <w:szCs w:val="21"/>
                      <w:highlight w:val="none"/>
                    </w:rPr>
                    <w:t>平均时间</w:t>
                  </w:r>
                </w:p>
              </w:tc>
              <w:tc>
                <w:tcPr>
                  <w:tcW w:w="667"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b/>
                      <w:bCs/>
                      <w:color w:val="auto"/>
                      <w:kern w:val="0"/>
                      <w:szCs w:val="21"/>
                      <w:highlight w:val="none"/>
                    </w:rPr>
                  </w:pPr>
                  <w:r>
                    <w:rPr>
                      <w:rFonts w:ascii="宋体" w:hAnsi="宋体" w:hint="eastAsia"/>
                      <w:b/>
                      <w:bCs/>
                      <w:color w:val="auto"/>
                      <w:kern w:val="0"/>
                      <w:szCs w:val="21"/>
                      <w:highlight w:val="none"/>
                    </w:rPr>
                    <w:t>评价标准（</w:t>
                  </w:r>
                  <w:r>
                    <w:rPr>
                      <w:rFonts w:hint="default"/>
                      <w:b/>
                      <w:bCs/>
                      <w:color w:val="auto"/>
                      <w:kern w:val="0"/>
                      <w:szCs w:val="21"/>
                      <w:highlight w:val="none"/>
                    </w:rPr>
                    <w:t>mg/m</w:t>
                  </w:r>
                  <w:r>
                    <w:rPr>
                      <w:rFonts w:hint="default"/>
                      <w:b/>
                      <w:bCs/>
                      <w:color w:val="auto"/>
                      <w:kern w:val="0"/>
                      <w:szCs w:val="21"/>
                      <w:highlight w:val="none"/>
                      <w:vertAlign w:val="superscript"/>
                    </w:rPr>
                    <w:t>3</w:t>
                  </w:r>
                  <w:r>
                    <w:rPr>
                      <w:rFonts w:ascii="宋体" w:hAnsi="宋体" w:hint="eastAsia"/>
                      <w:b/>
                      <w:bCs/>
                      <w:color w:val="auto"/>
                      <w:kern w:val="0"/>
                      <w:szCs w:val="21"/>
                      <w:highlight w:val="none"/>
                    </w:rPr>
                    <w:t>）</w:t>
                  </w:r>
                </w:p>
              </w:tc>
              <w:tc>
                <w:tcPr>
                  <w:tcW w:w="834"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b/>
                      <w:bCs/>
                      <w:color w:val="auto"/>
                      <w:kern w:val="0"/>
                      <w:szCs w:val="21"/>
                      <w:highlight w:val="none"/>
                    </w:rPr>
                  </w:pPr>
                  <w:r>
                    <w:rPr>
                      <w:rFonts w:ascii="宋体" w:hAnsi="宋体" w:hint="eastAsia"/>
                      <w:b/>
                      <w:bCs/>
                      <w:color w:val="auto"/>
                      <w:kern w:val="0"/>
                      <w:szCs w:val="21"/>
                      <w:highlight w:val="none"/>
                    </w:rPr>
                    <w:t>监测浓度范围（</w:t>
                  </w:r>
                  <w:r>
                    <w:rPr>
                      <w:rFonts w:hint="default"/>
                      <w:b/>
                      <w:bCs/>
                      <w:color w:val="auto"/>
                      <w:kern w:val="0"/>
                      <w:szCs w:val="21"/>
                      <w:highlight w:val="none"/>
                    </w:rPr>
                    <w:t>mg/m</w:t>
                  </w:r>
                  <w:r>
                    <w:rPr>
                      <w:rFonts w:hint="default"/>
                      <w:b/>
                      <w:bCs/>
                      <w:color w:val="auto"/>
                      <w:kern w:val="0"/>
                      <w:szCs w:val="21"/>
                      <w:highlight w:val="none"/>
                      <w:vertAlign w:val="superscript"/>
                    </w:rPr>
                    <w:t>3</w:t>
                  </w:r>
                  <w:r>
                    <w:rPr>
                      <w:rFonts w:ascii="宋体" w:hAnsi="宋体" w:hint="eastAsia"/>
                      <w:b/>
                      <w:bCs/>
                      <w:color w:val="auto"/>
                      <w:kern w:val="0"/>
                      <w:szCs w:val="21"/>
                      <w:highlight w:val="none"/>
                    </w:rPr>
                    <w:t>）</w:t>
                  </w:r>
                </w:p>
              </w:tc>
              <w:tc>
                <w:tcPr>
                  <w:tcW w:w="752"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b/>
                      <w:bCs/>
                      <w:color w:val="auto"/>
                      <w:kern w:val="0"/>
                      <w:szCs w:val="21"/>
                      <w:highlight w:val="none"/>
                    </w:rPr>
                  </w:pPr>
                  <w:r>
                    <w:rPr>
                      <w:rFonts w:ascii="宋体" w:hAnsi="宋体" w:hint="eastAsia"/>
                      <w:b/>
                      <w:bCs/>
                      <w:color w:val="auto"/>
                      <w:kern w:val="0"/>
                      <w:szCs w:val="21"/>
                      <w:highlight w:val="none"/>
                    </w:rPr>
                    <w:t>最大浓度占标率（</w:t>
                  </w:r>
                  <w:r>
                    <w:rPr>
                      <w:rFonts w:hint="default"/>
                      <w:b/>
                      <w:bCs/>
                      <w:color w:val="auto"/>
                      <w:kern w:val="0"/>
                      <w:szCs w:val="21"/>
                      <w:highlight w:val="none"/>
                    </w:rPr>
                    <w:t>%</w:t>
                  </w:r>
                  <w:r>
                    <w:rPr>
                      <w:rFonts w:ascii="宋体" w:hAnsi="宋体" w:hint="eastAsia"/>
                      <w:b/>
                      <w:bCs/>
                      <w:color w:val="auto"/>
                      <w:kern w:val="0"/>
                      <w:szCs w:val="21"/>
                      <w:highlight w:val="none"/>
                    </w:rPr>
                    <w:t>）</w:t>
                  </w:r>
                </w:p>
              </w:tc>
              <w:tc>
                <w:tcPr>
                  <w:tcW w:w="497"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b/>
                      <w:bCs/>
                      <w:color w:val="auto"/>
                      <w:kern w:val="0"/>
                      <w:szCs w:val="21"/>
                      <w:highlight w:val="none"/>
                    </w:rPr>
                  </w:pPr>
                  <w:r>
                    <w:rPr>
                      <w:rFonts w:ascii="宋体" w:hAnsi="宋体" w:hint="eastAsia"/>
                      <w:b/>
                      <w:bCs/>
                      <w:color w:val="auto"/>
                      <w:kern w:val="0"/>
                      <w:szCs w:val="21"/>
                      <w:highlight w:val="none"/>
                    </w:rPr>
                    <w:t>超标率（</w:t>
                  </w:r>
                  <w:r>
                    <w:rPr>
                      <w:rFonts w:hint="default"/>
                      <w:b/>
                      <w:bCs/>
                      <w:color w:val="auto"/>
                      <w:kern w:val="0"/>
                      <w:szCs w:val="21"/>
                      <w:highlight w:val="none"/>
                    </w:rPr>
                    <w:t>%</w:t>
                  </w:r>
                  <w:r>
                    <w:rPr>
                      <w:rFonts w:ascii="宋体" w:hAnsi="宋体" w:hint="eastAsia"/>
                      <w:b/>
                      <w:bCs/>
                      <w:color w:val="auto"/>
                      <w:kern w:val="0"/>
                      <w:szCs w:val="21"/>
                      <w:highlight w:val="none"/>
                    </w:rPr>
                    <w:t>）</w:t>
                  </w:r>
                </w:p>
              </w:tc>
              <w:tc>
                <w:tcPr>
                  <w:tcW w:w="413"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b/>
                      <w:bCs/>
                      <w:color w:val="auto"/>
                      <w:kern w:val="0"/>
                      <w:szCs w:val="21"/>
                      <w:highlight w:val="none"/>
                    </w:rPr>
                  </w:pPr>
                  <w:r>
                    <w:rPr>
                      <w:rFonts w:ascii="宋体" w:hAnsi="宋体" w:hint="eastAsia"/>
                      <w:b/>
                      <w:bCs/>
                      <w:color w:val="auto"/>
                      <w:kern w:val="0"/>
                      <w:szCs w:val="21"/>
                      <w:highlight w:val="none"/>
                    </w:rPr>
                    <w:t>达标情况</w:t>
                  </w:r>
                </w:p>
              </w:tc>
            </w:tr>
            <w:tr>
              <w:tblPrEx>
                <w:tblW w:w="5000" w:type="pct"/>
                <w:jc w:val="center"/>
                <w:tblLayout w:type="fixed"/>
                <w:tblCellMar>
                  <w:top w:w="0" w:type="dxa"/>
                  <w:left w:w="28" w:type="dxa"/>
                  <w:bottom w:w="0" w:type="dxa"/>
                  <w:right w:w="28" w:type="dxa"/>
                </w:tblCellMar>
              </w:tblPrEx>
              <w:trPr>
                <w:trHeight w:val="340"/>
                <w:jc w:val="center"/>
              </w:trPr>
              <w:tc>
                <w:tcPr>
                  <w:tcW w:w="381" w:type="pct"/>
                  <w:vMerge w:val="restar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szCs w:val="21"/>
                      <w:highlight w:val="none"/>
                    </w:rPr>
                    <w:t>G1项目下风向</w:t>
                  </w:r>
                </w:p>
              </w:tc>
              <w:tc>
                <w:tcPr>
                  <w:tcW w:w="833" w:type="pct"/>
                  <w:noWrap/>
                  <w:tcMar>
                    <w:top w:w="15" w:type="dxa"/>
                    <w:left w:w="15" w:type="dxa"/>
                    <w:bottom w:w="0" w:type="dxa"/>
                    <w:right w:w="15" w:type="dxa"/>
                  </w:tcMar>
                  <w:vAlign w:val="center"/>
                </w:tcPr>
                <w:p>
                  <w:pPr>
                    <w:pStyle w:val="a10"/>
                    <w:keepNext w:val="0"/>
                    <w:keepLines w:val="0"/>
                    <w:suppressLineNumbers w:val="0"/>
                    <w:spacing w:before="0" w:beforeAutospacing="0" w:after="0" w:afterAutospacing="0"/>
                    <w:ind w:left="0" w:right="0"/>
                    <w:rPr>
                      <w:rFonts w:hint="default"/>
                      <w:color w:val="auto"/>
                      <w:kern w:val="0"/>
                      <w:highlight w:val="none"/>
                    </w:rPr>
                  </w:pPr>
                  <w:r>
                    <w:rPr>
                      <w:rFonts w:hint="default"/>
                      <w:color w:val="auto"/>
                      <w:highlight w:val="none"/>
                    </w:rPr>
                    <w:t>非甲烷总烃</w:t>
                  </w:r>
                </w:p>
              </w:tc>
              <w:tc>
                <w:tcPr>
                  <w:tcW w:w="618"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szCs w:val="21"/>
                      <w:highlight w:val="none"/>
                    </w:rPr>
                    <w:t>小时值</w:t>
                  </w:r>
                </w:p>
              </w:tc>
              <w:tc>
                <w:tcPr>
                  <w:tcW w:w="667" w:type="pct"/>
                  <w:noWrap/>
                  <w:tcMar>
                    <w:top w:w="15" w:type="dxa"/>
                    <w:left w:w="15" w:type="dxa"/>
                    <w:bottom w:w="0" w:type="dxa"/>
                    <w:right w:w="15" w:type="dxa"/>
                  </w:tcMar>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2</w:t>
                  </w:r>
                </w:p>
              </w:tc>
              <w:tc>
                <w:tcPr>
                  <w:tcW w:w="834"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color w:val="auto"/>
                      <w:kern w:val="0"/>
                      <w:highlight w:val="none"/>
                    </w:rPr>
                  </w:pPr>
                  <w:r>
                    <w:rPr>
                      <w:rFonts w:hint="eastAsia"/>
                      <w:color w:val="auto"/>
                      <w:kern w:val="0"/>
                      <w:highlight w:val="none"/>
                      <w:lang w:val="en-US" w:eastAsia="zh-CN"/>
                    </w:rPr>
                    <w:t>*****</w:t>
                  </w:r>
                </w:p>
              </w:tc>
              <w:tc>
                <w:tcPr>
                  <w:tcW w:w="752"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highlight w:val="none"/>
                      <w:lang w:val="en-US" w:eastAsia="zh-CN"/>
                    </w:rPr>
                    <w:t>*****</w:t>
                  </w:r>
                </w:p>
              </w:tc>
              <w:tc>
                <w:tcPr>
                  <w:tcW w:w="497" w:type="pct"/>
                  <w:noWrap/>
                  <w:tcMar>
                    <w:top w:w="15" w:type="dxa"/>
                    <w:left w:w="15" w:type="dxa"/>
                    <w:bottom w:w="0" w:type="dxa"/>
                    <w:right w:w="15" w:type="dxa"/>
                  </w:tcMa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highlight w:val="none"/>
                      <w:lang w:val="en-US" w:eastAsia="zh-CN"/>
                    </w:rPr>
                    <w:t>*****</w:t>
                  </w:r>
                </w:p>
              </w:tc>
              <w:tc>
                <w:tcPr>
                  <w:tcW w:w="413" w:type="pct"/>
                  <w:noWrap/>
                  <w:tcMar>
                    <w:top w:w="15" w:type="dxa"/>
                    <w:left w:w="15" w:type="dxa"/>
                    <w:bottom w:w="0" w:type="dxa"/>
                    <w:right w:w="15" w:type="dxa"/>
                  </w:tcMa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ascii="宋体" w:hAnsi="宋体" w:hint="eastAsia"/>
                      <w:color w:val="auto"/>
                      <w:kern w:val="0"/>
                      <w:szCs w:val="21"/>
                      <w:highlight w:val="none"/>
                    </w:rPr>
                    <w:t>达标</w:t>
                  </w:r>
                </w:p>
              </w:tc>
            </w:tr>
            <w:tr>
              <w:tblPrEx>
                <w:tblW w:w="5000" w:type="pct"/>
                <w:jc w:val="center"/>
                <w:tblLayout w:type="fixed"/>
                <w:tblCellMar>
                  <w:top w:w="0" w:type="dxa"/>
                  <w:left w:w="28" w:type="dxa"/>
                  <w:bottom w:w="0" w:type="dxa"/>
                  <w:right w:w="28" w:type="dxa"/>
                </w:tblCellMar>
              </w:tblPrEx>
              <w:trPr>
                <w:trHeight w:val="340"/>
                <w:jc w:val="center"/>
              </w:trPr>
              <w:tc>
                <w:tcPr>
                  <w:tcW w:w="381" w:type="pct"/>
                  <w:vMerge/>
                  <w:vAlign w:val="center"/>
                </w:tcPr>
                <w:p>
                  <w:pPr>
                    <w:keepNext w:val="0"/>
                    <w:keepLines w:val="0"/>
                    <w:widowControl/>
                    <w:suppressLineNumbers w:val="0"/>
                    <w:spacing w:before="0" w:beforeAutospacing="0" w:after="0" w:afterAutospacing="0"/>
                    <w:ind w:left="0" w:right="0"/>
                    <w:jc w:val="left"/>
                    <w:rPr>
                      <w:rFonts w:hint="default"/>
                      <w:color w:val="auto"/>
                      <w:kern w:val="0"/>
                      <w:szCs w:val="21"/>
                      <w:highlight w:val="none"/>
                    </w:rPr>
                  </w:pPr>
                </w:p>
              </w:tc>
              <w:tc>
                <w:tcPr>
                  <w:tcW w:w="833" w:type="pct"/>
                  <w:noWrap/>
                  <w:tcMar>
                    <w:top w:w="15" w:type="dxa"/>
                    <w:left w:w="15" w:type="dxa"/>
                    <w:bottom w:w="0" w:type="dxa"/>
                    <w:right w:w="15" w:type="dxa"/>
                  </w:tcMar>
                  <w:vAlign w:val="center"/>
                </w:tcPr>
                <w:p>
                  <w:pPr>
                    <w:pStyle w:val="a10"/>
                    <w:keepNext w:val="0"/>
                    <w:keepLines w:val="0"/>
                    <w:suppressLineNumbers w:val="0"/>
                    <w:spacing w:before="0" w:beforeAutospacing="0" w:after="0" w:afterAutospacing="0"/>
                    <w:ind w:left="0" w:right="0"/>
                    <w:rPr>
                      <w:rFonts w:hint="default"/>
                      <w:color w:val="auto"/>
                      <w:kern w:val="0"/>
                      <w:highlight w:val="none"/>
                    </w:rPr>
                  </w:pPr>
                  <w:r>
                    <w:rPr>
                      <w:rFonts w:hint="eastAsia"/>
                      <w:color w:val="auto"/>
                      <w:highlight w:val="none"/>
                    </w:rPr>
                    <w:t>甲醛</w:t>
                  </w:r>
                </w:p>
              </w:tc>
              <w:tc>
                <w:tcPr>
                  <w:tcW w:w="618"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szCs w:val="21"/>
                      <w:highlight w:val="none"/>
                    </w:rPr>
                    <w:t>小时值</w:t>
                  </w:r>
                </w:p>
              </w:tc>
              <w:tc>
                <w:tcPr>
                  <w:tcW w:w="667" w:type="pct"/>
                  <w:noWrap/>
                  <w:tcMar>
                    <w:top w:w="15" w:type="dxa"/>
                    <w:left w:w="15" w:type="dxa"/>
                    <w:bottom w:w="0" w:type="dxa"/>
                    <w:right w:w="15" w:type="dxa"/>
                  </w:tcMar>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0.05</w:t>
                  </w:r>
                </w:p>
              </w:tc>
              <w:tc>
                <w:tcPr>
                  <w:tcW w:w="834"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color w:val="auto"/>
                      <w:kern w:val="0"/>
                      <w:highlight w:val="none"/>
                    </w:rPr>
                  </w:pPr>
                  <w:r>
                    <w:rPr>
                      <w:rFonts w:hint="eastAsia"/>
                      <w:color w:val="auto"/>
                      <w:kern w:val="0"/>
                      <w:highlight w:val="none"/>
                      <w:lang w:val="en-US" w:eastAsia="zh-CN"/>
                    </w:rPr>
                    <w:t>*****</w:t>
                  </w:r>
                </w:p>
              </w:tc>
              <w:tc>
                <w:tcPr>
                  <w:tcW w:w="752"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highlight w:val="none"/>
                      <w:lang w:val="en-US" w:eastAsia="zh-CN"/>
                    </w:rPr>
                    <w:t>*****</w:t>
                  </w:r>
                </w:p>
              </w:tc>
              <w:tc>
                <w:tcPr>
                  <w:tcW w:w="497"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highlight w:val="none"/>
                      <w:lang w:val="en-US" w:eastAsia="zh-CN"/>
                    </w:rPr>
                    <w:t>*****</w:t>
                  </w:r>
                </w:p>
              </w:tc>
              <w:tc>
                <w:tcPr>
                  <w:tcW w:w="413"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ascii="宋体" w:hAnsi="宋体" w:hint="eastAsia"/>
                      <w:color w:val="auto"/>
                      <w:kern w:val="0"/>
                      <w:szCs w:val="21"/>
                      <w:highlight w:val="none"/>
                    </w:rPr>
                    <w:t>达标</w:t>
                  </w:r>
                </w:p>
              </w:tc>
            </w:tr>
            <w:tr>
              <w:tblPrEx>
                <w:tblW w:w="5000" w:type="pct"/>
                <w:jc w:val="center"/>
                <w:tblLayout w:type="fixed"/>
                <w:tblCellMar>
                  <w:top w:w="0" w:type="dxa"/>
                  <w:left w:w="28" w:type="dxa"/>
                  <w:bottom w:w="0" w:type="dxa"/>
                  <w:right w:w="28" w:type="dxa"/>
                </w:tblCellMar>
              </w:tblPrEx>
              <w:trPr>
                <w:trHeight w:val="340"/>
                <w:jc w:val="center"/>
              </w:trPr>
              <w:tc>
                <w:tcPr>
                  <w:tcW w:w="381" w:type="pct"/>
                  <w:vMerge/>
                  <w:vAlign w:val="center"/>
                </w:tcPr>
                <w:p>
                  <w:pPr>
                    <w:keepNext w:val="0"/>
                    <w:keepLines w:val="0"/>
                    <w:widowControl/>
                    <w:suppressLineNumbers w:val="0"/>
                    <w:spacing w:before="0" w:beforeAutospacing="0" w:after="0" w:afterAutospacing="0"/>
                    <w:ind w:left="0" w:right="0"/>
                    <w:jc w:val="left"/>
                    <w:rPr>
                      <w:rFonts w:hint="default"/>
                      <w:color w:val="auto"/>
                      <w:kern w:val="0"/>
                      <w:szCs w:val="21"/>
                      <w:highlight w:val="none"/>
                    </w:rPr>
                  </w:pPr>
                </w:p>
              </w:tc>
              <w:tc>
                <w:tcPr>
                  <w:tcW w:w="833" w:type="pct"/>
                  <w:noWrap/>
                  <w:tcMar>
                    <w:top w:w="15" w:type="dxa"/>
                    <w:left w:w="15" w:type="dxa"/>
                    <w:bottom w:w="0" w:type="dxa"/>
                    <w:right w:w="15" w:type="dxa"/>
                  </w:tcMar>
                  <w:vAlign w:val="center"/>
                </w:tcPr>
                <w:p>
                  <w:pPr>
                    <w:pStyle w:val="a10"/>
                    <w:keepNext w:val="0"/>
                    <w:keepLines w:val="0"/>
                    <w:suppressLineNumbers w:val="0"/>
                    <w:spacing w:before="0" w:beforeAutospacing="0" w:after="0" w:afterAutospacing="0"/>
                    <w:ind w:left="0" w:right="0"/>
                    <w:rPr>
                      <w:rFonts w:hint="default"/>
                      <w:color w:val="auto"/>
                      <w:kern w:val="0"/>
                      <w:highlight w:val="none"/>
                    </w:rPr>
                  </w:pPr>
                  <w:r>
                    <w:rPr>
                      <w:rFonts w:hint="eastAsia"/>
                      <w:color w:val="auto"/>
                      <w:highlight w:val="none"/>
                    </w:rPr>
                    <w:t>酚类</w:t>
                  </w:r>
                </w:p>
              </w:tc>
              <w:tc>
                <w:tcPr>
                  <w:tcW w:w="618"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ascii="宋体" w:hAnsi="宋体" w:hint="default"/>
                      <w:color w:val="auto"/>
                      <w:kern w:val="0"/>
                      <w:szCs w:val="21"/>
                      <w:highlight w:val="none"/>
                    </w:rPr>
                  </w:pPr>
                  <w:r>
                    <w:rPr>
                      <w:rFonts w:hint="eastAsia"/>
                      <w:color w:val="auto"/>
                      <w:kern w:val="0"/>
                      <w:szCs w:val="21"/>
                      <w:highlight w:val="none"/>
                    </w:rPr>
                    <w:t>小时值</w:t>
                  </w:r>
                </w:p>
              </w:tc>
              <w:tc>
                <w:tcPr>
                  <w:tcW w:w="667" w:type="pct"/>
                  <w:noWrap/>
                  <w:tcMar>
                    <w:top w:w="15" w:type="dxa"/>
                    <w:left w:w="15" w:type="dxa"/>
                    <w:bottom w:w="0" w:type="dxa"/>
                    <w:right w:w="15" w:type="dxa"/>
                  </w:tcMar>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0.05</w:t>
                  </w:r>
                </w:p>
              </w:tc>
              <w:tc>
                <w:tcPr>
                  <w:tcW w:w="834"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color w:val="auto"/>
                      <w:kern w:val="0"/>
                      <w:highlight w:val="none"/>
                    </w:rPr>
                  </w:pPr>
                  <w:r>
                    <w:rPr>
                      <w:rFonts w:hint="eastAsia"/>
                      <w:color w:val="auto"/>
                      <w:kern w:val="0"/>
                      <w:highlight w:val="none"/>
                      <w:lang w:val="en-US" w:eastAsia="zh-CN"/>
                    </w:rPr>
                    <w:t>*****</w:t>
                  </w:r>
                </w:p>
              </w:tc>
              <w:tc>
                <w:tcPr>
                  <w:tcW w:w="752"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highlight w:val="none"/>
                      <w:lang w:val="en-US" w:eastAsia="zh-CN"/>
                    </w:rPr>
                    <w:t>*****</w:t>
                  </w:r>
                </w:p>
              </w:tc>
              <w:tc>
                <w:tcPr>
                  <w:tcW w:w="497"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highlight w:val="none"/>
                      <w:lang w:val="en-US" w:eastAsia="zh-CN"/>
                    </w:rPr>
                    <w:t>*****</w:t>
                  </w:r>
                </w:p>
              </w:tc>
              <w:tc>
                <w:tcPr>
                  <w:tcW w:w="413"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ascii="宋体" w:hAnsi="宋体" w:hint="default"/>
                      <w:color w:val="auto"/>
                      <w:kern w:val="0"/>
                      <w:szCs w:val="21"/>
                      <w:highlight w:val="none"/>
                    </w:rPr>
                  </w:pPr>
                  <w:r>
                    <w:rPr>
                      <w:rFonts w:ascii="宋体" w:hAnsi="宋体" w:hint="eastAsia"/>
                      <w:color w:val="auto"/>
                      <w:kern w:val="0"/>
                      <w:szCs w:val="21"/>
                      <w:highlight w:val="none"/>
                    </w:rPr>
                    <w:t>达标</w:t>
                  </w:r>
                </w:p>
              </w:tc>
            </w:tr>
            <w:tr>
              <w:tblPrEx>
                <w:tblW w:w="5000" w:type="pct"/>
                <w:jc w:val="center"/>
                <w:tblLayout w:type="fixed"/>
                <w:tblCellMar>
                  <w:top w:w="0" w:type="dxa"/>
                  <w:left w:w="28" w:type="dxa"/>
                  <w:bottom w:w="0" w:type="dxa"/>
                  <w:right w:w="28" w:type="dxa"/>
                </w:tblCellMar>
              </w:tblPrEx>
              <w:trPr>
                <w:trHeight w:val="320"/>
                <w:jc w:val="center"/>
              </w:trPr>
              <w:tc>
                <w:tcPr>
                  <w:tcW w:w="381" w:type="pct"/>
                  <w:vMerge/>
                  <w:vAlign w:val="center"/>
                </w:tcPr>
                <w:p>
                  <w:pPr>
                    <w:keepNext w:val="0"/>
                    <w:keepLines w:val="0"/>
                    <w:widowControl/>
                    <w:suppressLineNumbers w:val="0"/>
                    <w:spacing w:before="0" w:beforeAutospacing="0" w:after="0" w:afterAutospacing="0"/>
                    <w:ind w:left="0" w:right="0"/>
                    <w:jc w:val="left"/>
                    <w:rPr>
                      <w:rFonts w:hint="default"/>
                      <w:color w:val="auto"/>
                      <w:kern w:val="0"/>
                      <w:szCs w:val="21"/>
                      <w:highlight w:val="none"/>
                    </w:rPr>
                  </w:pPr>
                </w:p>
              </w:tc>
              <w:tc>
                <w:tcPr>
                  <w:tcW w:w="833" w:type="pct"/>
                  <w:noWrap/>
                  <w:tcMar>
                    <w:top w:w="15" w:type="dxa"/>
                    <w:left w:w="15" w:type="dxa"/>
                    <w:bottom w:w="0" w:type="dxa"/>
                    <w:right w:w="15" w:type="dxa"/>
                  </w:tcMar>
                  <w:vAlign w:val="center"/>
                </w:tcPr>
                <w:p>
                  <w:pPr>
                    <w:pStyle w:val="a10"/>
                    <w:keepNext w:val="0"/>
                    <w:keepLines w:val="0"/>
                    <w:suppressLineNumbers w:val="0"/>
                    <w:spacing w:before="0" w:beforeAutospacing="0" w:after="0" w:afterAutospacing="0"/>
                    <w:ind w:left="0" w:right="0"/>
                    <w:rPr>
                      <w:rFonts w:eastAsia="宋体" w:hint="eastAsia"/>
                      <w:color w:val="auto"/>
                      <w:kern w:val="0"/>
                      <w:highlight w:val="none"/>
                      <w:lang w:val="en-US" w:eastAsia="zh-CN"/>
                    </w:rPr>
                  </w:pPr>
                  <w:r>
                    <w:rPr>
                      <w:rFonts w:hint="eastAsia"/>
                      <w:color w:val="auto"/>
                      <w:highlight w:val="none"/>
                      <w:lang w:val="en-US" w:eastAsia="zh-CN"/>
                    </w:rPr>
                    <w:t>氨</w:t>
                  </w:r>
                </w:p>
              </w:tc>
              <w:tc>
                <w:tcPr>
                  <w:tcW w:w="618"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ascii="宋体" w:hAnsi="宋体" w:hint="default"/>
                      <w:color w:val="auto"/>
                      <w:kern w:val="0"/>
                      <w:szCs w:val="21"/>
                      <w:highlight w:val="none"/>
                    </w:rPr>
                  </w:pPr>
                  <w:r>
                    <w:rPr>
                      <w:rFonts w:hint="eastAsia"/>
                      <w:color w:val="auto"/>
                      <w:kern w:val="0"/>
                      <w:szCs w:val="21"/>
                      <w:highlight w:val="none"/>
                    </w:rPr>
                    <w:t>小时值</w:t>
                  </w:r>
                </w:p>
              </w:tc>
              <w:tc>
                <w:tcPr>
                  <w:tcW w:w="667" w:type="pct"/>
                  <w:noWrap/>
                  <w:tcMar>
                    <w:top w:w="15" w:type="dxa"/>
                    <w:left w:w="15" w:type="dxa"/>
                    <w:bottom w:w="0" w:type="dxa"/>
                    <w:right w:w="15" w:type="dxa"/>
                  </w:tcMar>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0.2</w:t>
                  </w:r>
                </w:p>
              </w:tc>
              <w:tc>
                <w:tcPr>
                  <w:tcW w:w="834"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color w:val="auto"/>
                      <w:kern w:val="0"/>
                      <w:highlight w:val="none"/>
                    </w:rPr>
                  </w:pPr>
                  <w:r>
                    <w:rPr>
                      <w:rFonts w:hint="eastAsia"/>
                      <w:color w:val="auto"/>
                      <w:kern w:val="0"/>
                      <w:highlight w:val="none"/>
                      <w:lang w:val="en-US" w:eastAsia="zh-CN"/>
                    </w:rPr>
                    <w:t>*****</w:t>
                  </w:r>
                </w:p>
              </w:tc>
              <w:tc>
                <w:tcPr>
                  <w:tcW w:w="752"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highlight w:val="none"/>
                      <w:lang w:val="en-US" w:eastAsia="zh-CN"/>
                    </w:rPr>
                    <w:t>*****</w:t>
                  </w:r>
                </w:p>
              </w:tc>
              <w:tc>
                <w:tcPr>
                  <w:tcW w:w="497"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highlight w:val="none"/>
                      <w:lang w:val="en-US" w:eastAsia="zh-CN"/>
                    </w:rPr>
                    <w:t>*****</w:t>
                  </w:r>
                </w:p>
              </w:tc>
              <w:tc>
                <w:tcPr>
                  <w:tcW w:w="413"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ascii="宋体" w:hAnsi="宋体" w:hint="default"/>
                      <w:color w:val="auto"/>
                      <w:kern w:val="0"/>
                      <w:szCs w:val="21"/>
                      <w:highlight w:val="none"/>
                    </w:rPr>
                  </w:pPr>
                  <w:r>
                    <w:rPr>
                      <w:rFonts w:ascii="宋体" w:hAnsi="宋体" w:hint="eastAsia"/>
                      <w:color w:val="auto"/>
                      <w:kern w:val="0"/>
                      <w:szCs w:val="21"/>
                      <w:highlight w:val="none"/>
                    </w:rPr>
                    <w:t>达标</w:t>
                  </w:r>
                </w:p>
              </w:tc>
            </w:tr>
            <w:tr>
              <w:tblPrEx>
                <w:tblW w:w="5000" w:type="pct"/>
                <w:jc w:val="center"/>
                <w:tblLayout w:type="fixed"/>
                <w:tblCellMar>
                  <w:top w:w="0" w:type="dxa"/>
                  <w:left w:w="28" w:type="dxa"/>
                  <w:bottom w:w="0" w:type="dxa"/>
                  <w:right w:w="28" w:type="dxa"/>
                </w:tblCellMar>
              </w:tblPrEx>
              <w:trPr>
                <w:trHeight w:val="340"/>
                <w:jc w:val="center"/>
              </w:trPr>
              <w:tc>
                <w:tcPr>
                  <w:tcW w:w="381" w:type="pct"/>
                  <w:vMerge/>
                  <w:vAlign w:val="center"/>
                </w:tcPr>
                <w:p>
                  <w:pPr>
                    <w:keepNext w:val="0"/>
                    <w:keepLines w:val="0"/>
                    <w:widowControl/>
                    <w:suppressLineNumbers w:val="0"/>
                    <w:spacing w:before="0" w:beforeAutospacing="0" w:after="0" w:afterAutospacing="0"/>
                    <w:ind w:left="0" w:right="0"/>
                    <w:jc w:val="left"/>
                    <w:rPr>
                      <w:rFonts w:hint="default"/>
                      <w:color w:val="auto"/>
                      <w:kern w:val="0"/>
                      <w:szCs w:val="21"/>
                      <w:highlight w:val="none"/>
                    </w:rPr>
                  </w:pPr>
                </w:p>
              </w:tc>
              <w:tc>
                <w:tcPr>
                  <w:tcW w:w="833" w:type="pct"/>
                  <w:noWrap/>
                  <w:tcMar>
                    <w:top w:w="15" w:type="dxa"/>
                    <w:left w:w="15" w:type="dxa"/>
                    <w:bottom w:w="0" w:type="dxa"/>
                    <w:right w:w="15" w:type="dxa"/>
                  </w:tcMar>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硫化氢</w:t>
                  </w:r>
                </w:p>
              </w:tc>
              <w:tc>
                <w:tcPr>
                  <w:tcW w:w="618"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szCs w:val="21"/>
                      <w:highlight w:val="none"/>
                    </w:rPr>
                    <w:t>小时值</w:t>
                  </w:r>
                </w:p>
              </w:tc>
              <w:tc>
                <w:tcPr>
                  <w:tcW w:w="667" w:type="pct"/>
                  <w:noWrap/>
                  <w:tcMar>
                    <w:top w:w="15" w:type="dxa"/>
                    <w:left w:w="15" w:type="dxa"/>
                    <w:bottom w:w="0" w:type="dxa"/>
                    <w:right w:w="15" w:type="dxa"/>
                  </w:tcMar>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0.2</w:t>
                  </w:r>
                </w:p>
              </w:tc>
              <w:tc>
                <w:tcPr>
                  <w:tcW w:w="834"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color w:val="auto"/>
                      <w:highlight w:val="none"/>
                    </w:rPr>
                  </w:pPr>
                  <w:r>
                    <w:rPr>
                      <w:rFonts w:hint="eastAsia"/>
                      <w:color w:val="auto"/>
                      <w:kern w:val="0"/>
                      <w:highlight w:val="none"/>
                      <w:lang w:val="en-US" w:eastAsia="zh-CN"/>
                    </w:rPr>
                    <w:t>*****</w:t>
                  </w:r>
                </w:p>
              </w:tc>
              <w:tc>
                <w:tcPr>
                  <w:tcW w:w="752"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highlight w:val="none"/>
                      <w:lang w:val="en-US" w:eastAsia="zh-CN"/>
                    </w:rPr>
                    <w:t>*****</w:t>
                  </w:r>
                </w:p>
              </w:tc>
              <w:tc>
                <w:tcPr>
                  <w:tcW w:w="497"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highlight w:val="none"/>
                      <w:lang w:val="en-US" w:eastAsia="zh-CN"/>
                    </w:rPr>
                    <w:t>*****</w:t>
                  </w:r>
                </w:p>
              </w:tc>
              <w:tc>
                <w:tcPr>
                  <w:tcW w:w="413"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ascii="宋体" w:hAnsi="宋体" w:hint="default"/>
                      <w:color w:val="auto"/>
                      <w:kern w:val="0"/>
                      <w:szCs w:val="21"/>
                      <w:highlight w:val="none"/>
                    </w:rPr>
                  </w:pPr>
                  <w:r>
                    <w:rPr>
                      <w:rFonts w:ascii="宋体" w:hAnsi="宋体" w:hint="eastAsia"/>
                      <w:color w:val="auto"/>
                      <w:kern w:val="0"/>
                      <w:szCs w:val="21"/>
                      <w:highlight w:val="none"/>
                    </w:rPr>
                    <w:t>达标</w:t>
                  </w:r>
                </w:p>
              </w:tc>
            </w:tr>
            <w:tr>
              <w:tblPrEx>
                <w:tblW w:w="5000" w:type="pct"/>
                <w:jc w:val="center"/>
                <w:tblLayout w:type="fixed"/>
                <w:tblCellMar>
                  <w:top w:w="0" w:type="dxa"/>
                  <w:left w:w="28" w:type="dxa"/>
                  <w:bottom w:w="0" w:type="dxa"/>
                  <w:right w:w="28" w:type="dxa"/>
                </w:tblCellMar>
              </w:tblPrEx>
              <w:trPr>
                <w:trHeight w:val="340"/>
                <w:jc w:val="center"/>
              </w:trPr>
              <w:tc>
                <w:tcPr>
                  <w:tcW w:w="381" w:type="pct"/>
                  <w:vMerge/>
                  <w:vAlign w:val="center"/>
                </w:tcPr>
                <w:p>
                  <w:pPr>
                    <w:keepNext w:val="0"/>
                    <w:keepLines w:val="0"/>
                    <w:widowControl/>
                    <w:suppressLineNumbers w:val="0"/>
                    <w:spacing w:before="0" w:beforeAutospacing="0" w:after="0" w:afterAutospacing="0"/>
                    <w:ind w:left="0" w:right="0"/>
                    <w:jc w:val="left"/>
                    <w:rPr>
                      <w:rFonts w:hint="default"/>
                      <w:color w:val="auto"/>
                      <w:kern w:val="0"/>
                      <w:szCs w:val="21"/>
                      <w:highlight w:val="none"/>
                    </w:rPr>
                  </w:pPr>
                </w:p>
              </w:tc>
              <w:tc>
                <w:tcPr>
                  <w:tcW w:w="833" w:type="pct"/>
                  <w:noWrap/>
                  <w:tcMar>
                    <w:top w:w="15" w:type="dxa"/>
                    <w:left w:w="15" w:type="dxa"/>
                    <w:bottom w:w="0" w:type="dxa"/>
                    <w:right w:w="15" w:type="dxa"/>
                  </w:tcMar>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TSP</w:t>
                  </w:r>
                </w:p>
              </w:tc>
              <w:tc>
                <w:tcPr>
                  <w:tcW w:w="618"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szCs w:val="21"/>
                      <w:highlight w:val="none"/>
                    </w:rPr>
                    <w:t>日均值</w:t>
                  </w:r>
                </w:p>
              </w:tc>
              <w:tc>
                <w:tcPr>
                  <w:tcW w:w="667" w:type="pct"/>
                  <w:noWrap/>
                  <w:tcMar>
                    <w:top w:w="15" w:type="dxa"/>
                    <w:left w:w="15" w:type="dxa"/>
                    <w:bottom w:w="0" w:type="dxa"/>
                    <w:right w:w="15" w:type="dxa"/>
                  </w:tcMar>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0.3</w:t>
                  </w:r>
                </w:p>
              </w:tc>
              <w:tc>
                <w:tcPr>
                  <w:tcW w:w="834"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color w:val="auto"/>
                      <w:highlight w:val="none"/>
                    </w:rPr>
                  </w:pPr>
                  <w:r>
                    <w:rPr>
                      <w:rFonts w:hint="eastAsia"/>
                      <w:color w:val="auto"/>
                      <w:kern w:val="0"/>
                      <w:highlight w:val="none"/>
                      <w:lang w:val="en-US" w:eastAsia="zh-CN"/>
                    </w:rPr>
                    <w:t>*****</w:t>
                  </w:r>
                </w:p>
              </w:tc>
              <w:tc>
                <w:tcPr>
                  <w:tcW w:w="752"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highlight w:val="none"/>
                      <w:lang w:val="en-US" w:eastAsia="zh-CN"/>
                    </w:rPr>
                    <w:t>*****</w:t>
                  </w:r>
                </w:p>
              </w:tc>
              <w:tc>
                <w:tcPr>
                  <w:tcW w:w="497"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color w:val="auto"/>
                      <w:kern w:val="0"/>
                      <w:szCs w:val="21"/>
                      <w:highlight w:val="none"/>
                    </w:rPr>
                  </w:pPr>
                  <w:r>
                    <w:rPr>
                      <w:rFonts w:hint="eastAsia"/>
                      <w:color w:val="auto"/>
                      <w:kern w:val="0"/>
                      <w:highlight w:val="none"/>
                      <w:lang w:val="en-US" w:eastAsia="zh-CN"/>
                    </w:rPr>
                    <w:t>*****</w:t>
                  </w:r>
                </w:p>
              </w:tc>
              <w:tc>
                <w:tcPr>
                  <w:tcW w:w="413" w:type="pct"/>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ascii="宋体" w:hAnsi="宋体" w:hint="default"/>
                      <w:color w:val="auto"/>
                      <w:kern w:val="0"/>
                      <w:szCs w:val="21"/>
                      <w:highlight w:val="none"/>
                    </w:rPr>
                  </w:pPr>
                  <w:r>
                    <w:rPr>
                      <w:rFonts w:ascii="宋体" w:hAnsi="宋体" w:hint="eastAsia"/>
                      <w:color w:val="auto"/>
                      <w:kern w:val="0"/>
                      <w:szCs w:val="21"/>
                      <w:highlight w:val="none"/>
                    </w:rPr>
                    <w:t>达标</w:t>
                  </w:r>
                </w:p>
              </w:tc>
            </w:tr>
          </w:tbl>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综上，依据福清市人民政府网发布的2022年1月-2022年12月份环境空气质量月报数据，项目区域为空气质量达标区，</w:t>
            </w:r>
            <w:r>
              <w:rPr>
                <w:rFonts w:hint="default"/>
                <w:color w:val="auto"/>
                <w:highlight w:val="none"/>
              </w:rPr>
              <w:t>PM</w:t>
            </w:r>
            <w:r>
              <w:rPr>
                <w:rFonts w:hint="default"/>
                <w:color w:val="auto"/>
                <w:highlight w:val="none"/>
                <w:vertAlign w:val="subscript"/>
              </w:rPr>
              <w:t>10</w:t>
            </w:r>
            <w:r>
              <w:rPr>
                <w:rFonts w:hint="eastAsia"/>
                <w:color w:val="auto"/>
                <w:highlight w:val="none"/>
              </w:rPr>
              <w:t>、</w:t>
            </w:r>
            <w:r>
              <w:rPr>
                <w:rFonts w:hint="default"/>
                <w:color w:val="auto"/>
                <w:highlight w:val="none"/>
              </w:rPr>
              <w:t>SO</w:t>
            </w:r>
            <w:r>
              <w:rPr>
                <w:rFonts w:hint="default"/>
                <w:color w:val="auto"/>
                <w:highlight w:val="none"/>
                <w:vertAlign w:val="subscript"/>
              </w:rPr>
              <w:t>2</w:t>
            </w:r>
            <w:r>
              <w:rPr>
                <w:rFonts w:hint="eastAsia"/>
                <w:color w:val="auto"/>
                <w:highlight w:val="none"/>
              </w:rPr>
              <w:t>、</w:t>
            </w:r>
            <w:r>
              <w:rPr>
                <w:rFonts w:hint="default"/>
                <w:color w:val="auto"/>
                <w:highlight w:val="none"/>
              </w:rPr>
              <w:t>NO</w:t>
            </w:r>
            <w:r>
              <w:rPr>
                <w:rFonts w:hint="default"/>
                <w:color w:val="auto"/>
                <w:highlight w:val="none"/>
                <w:vertAlign w:val="subscript"/>
              </w:rPr>
              <w:t>2</w:t>
            </w:r>
            <w:r>
              <w:rPr>
                <w:rFonts w:hint="eastAsia"/>
                <w:color w:val="auto"/>
                <w:highlight w:val="none"/>
              </w:rPr>
              <w:t>、</w:t>
            </w:r>
            <w:r>
              <w:rPr>
                <w:rFonts w:hint="default"/>
                <w:color w:val="auto"/>
                <w:highlight w:val="none"/>
              </w:rPr>
              <w:t>PM</w:t>
            </w:r>
            <w:r>
              <w:rPr>
                <w:rFonts w:hint="default"/>
                <w:color w:val="auto"/>
                <w:highlight w:val="none"/>
                <w:vertAlign w:val="subscript"/>
              </w:rPr>
              <w:t>2.5</w:t>
            </w:r>
            <w:r>
              <w:rPr>
                <w:rFonts w:hint="eastAsia"/>
                <w:color w:val="auto"/>
                <w:highlight w:val="none"/>
              </w:rPr>
              <w:t>、</w:t>
            </w:r>
            <w:r>
              <w:rPr>
                <w:rFonts w:hint="default"/>
                <w:color w:val="auto"/>
                <w:highlight w:val="none"/>
              </w:rPr>
              <w:t>CO</w:t>
            </w:r>
            <w:r>
              <w:rPr>
                <w:rFonts w:hint="eastAsia"/>
                <w:color w:val="auto"/>
                <w:highlight w:val="none"/>
              </w:rPr>
              <w:t>、</w:t>
            </w:r>
            <w:r>
              <w:rPr>
                <w:rFonts w:hint="default"/>
                <w:color w:val="auto"/>
                <w:highlight w:val="none"/>
              </w:rPr>
              <w:t>O</w:t>
            </w:r>
            <w:r>
              <w:rPr>
                <w:rFonts w:hint="default"/>
                <w:color w:val="auto"/>
                <w:highlight w:val="none"/>
                <w:vertAlign w:val="subscript"/>
              </w:rPr>
              <w:t>3</w:t>
            </w:r>
            <w:r>
              <w:rPr>
                <w:rFonts w:hint="eastAsia"/>
                <w:color w:val="auto"/>
                <w:highlight w:val="none"/>
              </w:rPr>
              <w:t>均可达到《环境空气质量标准》（</w:t>
            </w:r>
            <w:r>
              <w:rPr>
                <w:rFonts w:hint="default"/>
                <w:color w:val="auto"/>
                <w:highlight w:val="none"/>
              </w:rPr>
              <w:t>GB3095-2012</w:t>
            </w:r>
            <w:r>
              <w:rPr>
                <w:rFonts w:hint="eastAsia"/>
                <w:color w:val="auto"/>
                <w:highlight w:val="none"/>
              </w:rPr>
              <w:t>）及其修改单二级标准要求。依据福建创投环境检测有限公司监测数据，</w:t>
            </w:r>
            <w:r>
              <w:rPr>
                <w:rFonts w:hint="eastAsia"/>
                <w:b/>
                <w:bCs/>
                <w:color w:val="auto"/>
                <w:highlight w:val="none"/>
              </w:rPr>
              <w:t>项目所在区域</w:t>
            </w:r>
            <w:r>
              <w:rPr>
                <w:rFonts w:hint="eastAsia"/>
                <w:color w:val="auto"/>
                <w:highlight w:val="none"/>
              </w:rPr>
              <w:t>非甲烷总烃满足《大气污染物综合排放标准详解》中非甲烷总烃的限值要求；甲醛、</w:t>
            </w:r>
            <w:r>
              <w:rPr>
                <w:rFonts w:hint="eastAsia"/>
                <w:color w:val="auto"/>
                <w:highlight w:val="none"/>
                <w:lang w:val="en-US" w:eastAsia="zh-CN"/>
              </w:rPr>
              <w:t>氨</w:t>
            </w:r>
            <w:r>
              <w:rPr>
                <w:rFonts w:hint="eastAsia"/>
                <w:color w:val="auto"/>
                <w:highlight w:val="none"/>
              </w:rPr>
              <w:t>、硫化氢满足《环境影响评价技术导则-大气环境》附录D中的限值要求；酚类满足《</w:t>
            </w:r>
            <w:r>
              <w:rPr>
                <w:rFonts w:hint="eastAsia"/>
                <w:color w:val="auto"/>
                <w:highlight w:val="none"/>
                <w:lang w:eastAsia="zh-CN"/>
              </w:rPr>
              <w:t>***</w:t>
            </w:r>
            <w:r>
              <w:rPr>
                <w:rFonts w:hint="eastAsia"/>
                <w:color w:val="auto"/>
                <w:highlight w:val="none"/>
              </w:rPr>
              <w:t>企业设计卫生标准》（</w:t>
            </w:r>
            <w:r>
              <w:rPr>
                <w:rFonts w:hint="default"/>
                <w:color w:val="auto"/>
                <w:highlight w:val="none"/>
              </w:rPr>
              <w:t>GBZ1-2010</w:t>
            </w:r>
            <w:r>
              <w:rPr>
                <w:rFonts w:hint="eastAsia"/>
                <w:color w:val="auto"/>
                <w:highlight w:val="none"/>
              </w:rPr>
              <w:t>）中的限值要求，TSP满足</w:t>
            </w:r>
            <w:r>
              <w:rPr>
                <w:rFonts w:ascii="宋体" w:hAnsi="宋体" w:hint="default"/>
                <w:color w:val="auto"/>
                <w:kern w:val="0"/>
                <w:szCs w:val="21"/>
                <w:highlight w:val="none"/>
              </w:rPr>
              <w:t>《环境空气质量标准》（</w:t>
            </w:r>
            <w:r>
              <w:rPr>
                <w:rFonts w:hint="default"/>
                <w:color w:val="auto"/>
                <w:kern w:val="0"/>
                <w:szCs w:val="21"/>
                <w:highlight w:val="none"/>
              </w:rPr>
              <w:t>GB3095-2012</w:t>
            </w:r>
            <w:r>
              <w:rPr>
                <w:rFonts w:ascii="宋体" w:hAnsi="宋体" w:hint="default"/>
                <w:color w:val="auto"/>
                <w:kern w:val="0"/>
                <w:szCs w:val="21"/>
                <w:highlight w:val="none"/>
              </w:rPr>
              <w:t>）</w:t>
            </w:r>
            <w:r>
              <w:rPr>
                <w:rFonts w:hint="eastAsia"/>
                <w:color w:val="auto"/>
                <w:highlight w:val="none"/>
              </w:rPr>
              <w:t>及其修改单二级标准要求。</w:t>
            </w:r>
          </w:p>
          <w:p>
            <w:pPr>
              <w:pStyle w:val="Heading3"/>
              <w:keepNext w:val="0"/>
              <w:keepLines w:val="0"/>
              <w:suppressLineNumbers w:val="0"/>
              <w:spacing w:before="120" w:beforeAutospacing="0" w:after="120" w:afterAutospacing="0"/>
              <w:ind w:left="0" w:right="0"/>
              <w:rPr>
                <w:rFonts w:hint="default"/>
                <w:color w:val="auto"/>
                <w:highlight w:val="none"/>
              </w:rPr>
            </w:pPr>
            <w:r>
              <w:rPr>
                <w:rFonts w:hint="default"/>
                <w:color w:val="auto"/>
                <w:highlight w:val="none"/>
              </w:rPr>
              <w:t>3.1.2 地表水环境质量现状</w:t>
            </w:r>
          </w:p>
          <w:p>
            <w:pPr>
              <w:keepNext w:val="0"/>
              <w:keepLines w:val="0"/>
              <w:suppressLineNumbers w:val="0"/>
              <w:spacing w:before="0" w:beforeAutospacing="0" w:after="0" w:afterAutospacing="0" w:line="360" w:lineRule="auto"/>
              <w:ind w:left="0" w:right="0" w:firstLine="482"/>
              <w:rPr>
                <w:rFonts w:hint="default"/>
                <w:color w:val="auto"/>
                <w:sz w:val="24"/>
                <w:szCs w:val="20"/>
                <w:highlight w:val="none"/>
              </w:rPr>
            </w:pPr>
            <w:r>
              <w:rPr>
                <w:rFonts w:hint="default"/>
                <w:color w:val="auto"/>
                <w:sz w:val="24"/>
                <w:szCs w:val="20"/>
                <w:highlight w:val="none"/>
              </w:rPr>
              <w:t>（</w:t>
            </w:r>
            <w:r>
              <w:rPr>
                <w:rFonts w:hint="eastAsia"/>
                <w:color w:val="auto"/>
                <w:sz w:val="24"/>
                <w:szCs w:val="20"/>
                <w:highlight w:val="none"/>
              </w:rPr>
              <w:t>1</w:t>
            </w:r>
            <w:r>
              <w:rPr>
                <w:rFonts w:hint="default"/>
                <w:color w:val="auto"/>
                <w:sz w:val="24"/>
                <w:szCs w:val="20"/>
                <w:highlight w:val="none"/>
              </w:rPr>
              <w:t>）</w:t>
            </w:r>
            <w:r>
              <w:rPr>
                <w:rFonts w:hint="eastAsia"/>
                <w:color w:val="auto"/>
                <w:sz w:val="24"/>
                <w:szCs w:val="20"/>
                <w:highlight w:val="none"/>
              </w:rPr>
              <w:t>地表水环境质量标准</w:t>
            </w:r>
          </w:p>
          <w:p>
            <w:pPr>
              <w:keepNext w:val="0"/>
              <w:keepLines w:val="0"/>
              <w:suppressLineNumbers w:val="0"/>
              <w:spacing w:before="0" w:beforeAutospacing="0" w:after="0" w:afterAutospacing="0" w:line="360" w:lineRule="auto"/>
              <w:ind w:left="0" w:right="0" w:firstLine="482"/>
              <w:rPr>
                <w:rFonts w:hint="default"/>
                <w:color w:val="auto"/>
                <w:sz w:val="24"/>
                <w:szCs w:val="20"/>
                <w:highlight w:val="none"/>
              </w:rPr>
            </w:pPr>
            <w:r>
              <w:rPr>
                <w:rFonts w:hint="default"/>
                <w:color w:val="auto"/>
                <w:sz w:val="24"/>
                <w:szCs w:val="20"/>
                <w:highlight w:val="none"/>
              </w:rPr>
              <w:t>本项目</w:t>
            </w:r>
            <w:r>
              <w:rPr>
                <w:rFonts w:hint="eastAsia"/>
                <w:color w:val="auto"/>
                <w:sz w:val="24"/>
                <w:szCs w:val="20"/>
                <w:highlight w:val="none"/>
              </w:rPr>
              <w:t>生活</w:t>
            </w:r>
            <w:r>
              <w:rPr>
                <w:rFonts w:hint="default"/>
                <w:color w:val="auto"/>
                <w:sz w:val="24"/>
                <w:szCs w:val="20"/>
                <w:highlight w:val="none"/>
              </w:rPr>
              <w:t>污水</w:t>
            </w:r>
            <w:r>
              <w:rPr>
                <w:rFonts w:hint="eastAsia"/>
                <w:color w:val="auto"/>
                <w:sz w:val="24"/>
                <w:szCs w:val="20"/>
                <w:highlight w:val="none"/>
              </w:rPr>
              <w:t>及生产废水经</w:t>
            </w:r>
            <w:r>
              <w:rPr>
                <w:rFonts w:hint="default"/>
                <w:color w:val="auto"/>
                <w:sz w:val="24"/>
                <w:szCs w:val="20"/>
                <w:highlight w:val="none"/>
              </w:rPr>
              <w:t>预处理</w:t>
            </w:r>
            <w:r>
              <w:rPr>
                <w:rFonts w:hint="eastAsia"/>
                <w:color w:val="auto"/>
                <w:sz w:val="24"/>
                <w:szCs w:val="20"/>
                <w:highlight w:val="none"/>
              </w:rPr>
              <w:t>达标</w:t>
            </w:r>
            <w:r>
              <w:rPr>
                <w:rFonts w:hint="default"/>
                <w:color w:val="auto"/>
                <w:sz w:val="24"/>
                <w:szCs w:val="20"/>
                <w:highlight w:val="none"/>
              </w:rPr>
              <w:t>后排入市政污水管网，送往福清市融元污水处理厂进行处理，污水厂尾水排入</w:t>
            </w:r>
            <w:r>
              <w:rPr>
                <w:rFonts w:hint="eastAsia"/>
                <w:color w:val="auto"/>
                <w:sz w:val="24"/>
                <w:szCs w:val="20"/>
                <w:highlight w:val="none"/>
              </w:rPr>
              <w:t>龙江，</w:t>
            </w:r>
            <w:r>
              <w:rPr>
                <w:rFonts w:hint="default"/>
                <w:color w:val="auto"/>
                <w:sz w:val="24"/>
                <w:szCs w:val="20"/>
                <w:highlight w:val="none"/>
              </w:rPr>
              <w:t>所处龙江</w:t>
            </w:r>
            <w:r>
              <w:rPr>
                <w:rFonts w:hint="eastAsia"/>
                <w:color w:val="auto"/>
                <w:sz w:val="24"/>
                <w:szCs w:val="20"/>
                <w:highlight w:val="none"/>
              </w:rPr>
              <w:t>“</w:t>
            </w:r>
            <w:r>
              <w:rPr>
                <w:rFonts w:hint="default"/>
                <w:color w:val="auto"/>
                <w:sz w:val="24"/>
                <w:szCs w:val="20"/>
                <w:highlight w:val="none"/>
              </w:rPr>
              <w:t>南门桥水闸至龙江入海口</w:t>
            </w:r>
            <w:r>
              <w:rPr>
                <w:rFonts w:hint="eastAsia"/>
                <w:color w:val="auto"/>
                <w:sz w:val="24"/>
                <w:szCs w:val="20"/>
                <w:highlight w:val="none"/>
              </w:rPr>
              <w:t>”</w:t>
            </w:r>
            <w:r>
              <w:rPr>
                <w:rFonts w:hint="default"/>
                <w:color w:val="auto"/>
                <w:sz w:val="24"/>
                <w:szCs w:val="20"/>
                <w:highlight w:val="none"/>
              </w:rPr>
              <w:t>断面；根据福州市水功能区划批复（榕政综</w:t>
            </w:r>
            <w:r>
              <w:rPr>
                <w:rFonts w:hint="eastAsia"/>
                <w:color w:val="auto"/>
                <w:sz w:val="24"/>
                <w:szCs w:val="20"/>
                <w:highlight w:val="none"/>
              </w:rPr>
              <w:t>〔</w:t>
            </w:r>
            <w:r>
              <w:rPr>
                <w:rFonts w:hint="default"/>
                <w:color w:val="auto"/>
                <w:sz w:val="24"/>
                <w:szCs w:val="20"/>
                <w:highlight w:val="none"/>
              </w:rPr>
              <w:t>2019</w:t>
            </w:r>
            <w:r>
              <w:rPr>
                <w:rFonts w:hint="eastAsia"/>
                <w:color w:val="auto"/>
                <w:sz w:val="24"/>
                <w:szCs w:val="20"/>
                <w:highlight w:val="none"/>
              </w:rPr>
              <w:t>〕</w:t>
            </w:r>
            <w:r>
              <w:rPr>
                <w:rFonts w:hint="default"/>
                <w:color w:val="auto"/>
                <w:sz w:val="24"/>
                <w:szCs w:val="20"/>
                <w:highlight w:val="none"/>
              </w:rPr>
              <w:t>316号）批准</w:t>
            </w:r>
            <w:r>
              <w:rPr>
                <w:rFonts w:hint="eastAsia"/>
                <w:color w:val="auto"/>
                <w:sz w:val="24"/>
                <w:szCs w:val="20"/>
                <w:highlight w:val="none"/>
              </w:rPr>
              <w:t>的</w:t>
            </w:r>
            <w:r>
              <w:rPr>
                <w:rFonts w:hint="default"/>
                <w:color w:val="auto"/>
                <w:sz w:val="24"/>
                <w:szCs w:val="20"/>
                <w:highlight w:val="none"/>
              </w:rPr>
              <w:t>《福州市水功能区划》，龙江</w:t>
            </w:r>
            <w:r>
              <w:rPr>
                <w:rFonts w:hint="eastAsia"/>
                <w:color w:val="auto"/>
                <w:sz w:val="24"/>
                <w:szCs w:val="20"/>
                <w:highlight w:val="none"/>
              </w:rPr>
              <w:t>“</w:t>
            </w:r>
            <w:r>
              <w:rPr>
                <w:rFonts w:hint="default"/>
                <w:color w:val="auto"/>
                <w:sz w:val="24"/>
                <w:szCs w:val="20"/>
                <w:highlight w:val="none"/>
              </w:rPr>
              <w:t>南门桥水闸至龙江入海口</w:t>
            </w:r>
            <w:r>
              <w:rPr>
                <w:rFonts w:hint="eastAsia"/>
                <w:color w:val="auto"/>
                <w:sz w:val="24"/>
                <w:szCs w:val="20"/>
                <w:highlight w:val="none"/>
              </w:rPr>
              <w:t>”</w:t>
            </w:r>
          </w:p>
        </w:tc>
      </w:tr>
    </w:tbl>
    <w:p>
      <w:pPr>
        <w:sectPr>
          <w:footerReference w:type="default" r:id="rId47"/>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27"/>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678"/>
        <w:gridCol w:w="850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04"/>
          <w:jc w:val="center"/>
        </w:trPr>
        <w:tc>
          <w:tcPr>
            <w:tcW w:w="678" w:type="dxa"/>
            <w:vAlign w:val="center"/>
          </w:tcPr>
          <w:p/>
        </w:tc>
        <w:tc>
          <w:tcPr>
            <w:tcW w:w="8504" w:type="dxa"/>
            <w:vAlign w:val="center"/>
          </w:tcPr>
          <w:p>
            <w:pPr>
              <w:keepNext w:val="0"/>
              <w:keepLines w:val="0"/>
              <w:suppressLineNumbers w:val="0"/>
              <w:spacing w:before="0" w:beforeAutospacing="0" w:after="0" w:afterAutospacing="0" w:line="360" w:lineRule="auto"/>
              <w:ind w:left="0" w:right="0" w:firstLine="482"/>
              <w:rPr>
                <w:rFonts w:hint="default"/>
                <w:color w:val="auto"/>
                <w:sz w:val="24"/>
                <w:szCs w:val="20"/>
                <w:highlight w:val="none"/>
              </w:rPr>
            </w:pPr>
            <w:r>
              <w:rPr>
                <w:rFonts w:hint="default"/>
                <w:color w:val="auto"/>
                <w:sz w:val="24"/>
                <w:szCs w:val="20"/>
                <w:highlight w:val="none"/>
              </w:rPr>
              <w:t>断面主要功能为该断面水体主要功能为</w:t>
            </w:r>
            <w:r>
              <w:rPr>
                <w:rFonts w:hint="eastAsia"/>
                <w:color w:val="auto"/>
                <w:sz w:val="24"/>
                <w:szCs w:val="20"/>
                <w:highlight w:val="none"/>
              </w:rPr>
              <w:t>农业、</w:t>
            </w:r>
            <w:r>
              <w:rPr>
                <w:rFonts w:hint="eastAsia"/>
                <w:color w:val="auto"/>
                <w:sz w:val="24"/>
                <w:szCs w:val="20"/>
                <w:highlight w:val="none"/>
                <w:lang w:eastAsia="zh-CN"/>
              </w:rPr>
              <w:t>***</w:t>
            </w:r>
            <w:r>
              <w:rPr>
                <w:rFonts w:hint="eastAsia"/>
                <w:color w:val="auto"/>
                <w:sz w:val="24"/>
                <w:szCs w:val="20"/>
                <w:highlight w:val="none"/>
              </w:rPr>
              <w:t>、景观</w:t>
            </w:r>
            <w:r>
              <w:rPr>
                <w:rFonts w:hint="default"/>
                <w:color w:val="auto"/>
                <w:sz w:val="24"/>
                <w:szCs w:val="20"/>
                <w:highlight w:val="none"/>
              </w:rPr>
              <w:t>用水，环境功能类别为Ⅴ类，水质执行《地表水环境质量标准》</w:t>
            </w:r>
            <w:r>
              <w:rPr>
                <w:rFonts w:hint="eastAsia"/>
                <w:color w:val="auto"/>
                <w:sz w:val="24"/>
                <w:szCs w:val="20"/>
                <w:highlight w:val="none"/>
              </w:rPr>
              <w:t>（</w:t>
            </w:r>
            <w:r>
              <w:rPr>
                <w:rFonts w:hint="default"/>
                <w:color w:val="auto"/>
                <w:sz w:val="24"/>
                <w:szCs w:val="20"/>
                <w:highlight w:val="none"/>
              </w:rPr>
              <w:t>GB3838-2002</w:t>
            </w:r>
            <w:r>
              <w:rPr>
                <w:rFonts w:hint="eastAsia"/>
                <w:color w:val="auto"/>
                <w:sz w:val="24"/>
                <w:szCs w:val="20"/>
                <w:highlight w:val="none"/>
              </w:rPr>
              <w:t>）</w:t>
            </w:r>
            <w:r>
              <w:rPr>
                <w:rFonts w:hint="default"/>
                <w:color w:val="auto"/>
                <w:sz w:val="24"/>
                <w:szCs w:val="20"/>
                <w:highlight w:val="none"/>
              </w:rPr>
              <w:t>中Ⅴ类水质标准</w:t>
            </w:r>
            <w:r>
              <w:rPr>
                <w:rFonts w:hint="eastAsia"/>
                <w:color w:val="auto"/>
                <w:sz w:val="24"/>
                <w:szCs w:val="20"/>
                <w:highlight w:val="none"/>
              </w:rPr>
              <w:t>；</w:t>
            </w:r>
          </w:p>
          <w:p>
            <w:pPr>
              <w:keepNext w:val="0"/>
              <w:keepLines w:val="0"/>
              <w:suppressLineNumbers w:val="0"/>
              <w:spacing w:before="0" w:beforeAutospacing="0" w:after="0" w:afterAutospacing="0" w:line="360" w:lineRule="auto"/>
              <w:ind w:left="0" w:right="0" w:firstLine="482"/>
              <w:rPr>
                <w:rFonts w:hint="default"/>
                <w:color w:val="auto"/>
                <w:sz w:val="24"/>
                <w:szCs w:val="20"/>
                <w:highlight w:val="none"/>
              </w:rPr>
            </w:pPr>
            <w:r>
              <w:rPr>
                <w:rFonts w:hint="eastAsia"/>
                <w:color w:val="auto"/>
                <w:sz w:val="24"/>
                <w:szCs w:val="20"/>
                <w:highlight w:val="none"/>
              </w:rPr>
              <w:t>项目周边水域大北溪所在“</w:t>
            </w:r>
            <w:r>
              <w:rPr>
                <w:rFonts w:hint="default"/>
                <w:color w:val="auto"/>
                <w:sz w:val="24"/>
                <w:szCs w:val="20"/>
                <w:highlight w:val="none"/>
              </w:rPr>
              <w:t>铁路桥至大北溪口</w:t>
            </w:r>
            <w:r>
              <w:rPr>
                <w:rFonts w:hint="eastAsia"/>
                <w:color w:val="auto"/>
                <w:sz w:val="24"/>
                <w:szCs w:val="20"/>
                <w:highlight w:val="none"/>
              </w:rPr>
              <w:t>”</w:t>
            </w:r>
            <w:r>
              <w:rPr>
                <w:rFonts w:hint="default"/>
                <w:color w:val="auto"/>
                <w:sz w:val="24"/>
                <w:szCs w:val="20"/>
                <w:highlight w:val="none"/>
              </w:rPr>
              <w:t>断面</w:t>
            </w:r>
            <w:r>
              <w:rPr>
                <w:rFonts w:hint="eastAsia"/>
                <w:color w:val="auto"/>
                <w:sz w:val="24"/>
                <w:szCs w:val="20"/>
                <w:highlight w:val="none"/>
              </w:rPr>
              <w:t>水体主要功能为景观、</w:t>
            </w:r>
            <w:r>
              <w:rPr>
                <w:rFonts w:hint="eastAsia"/>
                <w:color w:val="auto"/>
                <w:sz w:val="24"/>
                <w:szCs w:val="20"/>
                <w:highlight w:val="none"/>
                <w:lang w:eastAsia="zh-CN"/>
              </w:rPr>
              <w:t>***</w:t>
            </w:r>
            <w:r>
              <w:rPr>
                <w:rFonts w:hint="eastAsia"/>
                <w:color w:val="auto"/>
                <w:sz w:val="24"/>
                <w:szCs w:val="20"/>
                <w:highlight w:val="none"/>
              </w:rPr>
              <w:t>用水，</w:t>
            </w:r>
            <w:r>
              <w:rPr>
                <w:rFonts w:hint="default"/>
                <w:color w:val="auto"/>
                <w:sz w:val="24"/>
                <w:szCs w:val="20"/>
                <w:highlight w:val="none"/>
              </w:rPr>
              <w:t>环境功能类别为Ⅳ类，水质执行《地表水环境质量标准》</w:t>
            </w:r>
            <w:r>
              <w:rPr>
                <w:rFonts w:hint="eastAsia"/>
                <w:color w:val="auto"/>
                <w:sz w:val="24"/>
                <w:szCs w:val="20"/>
                <w:highlight w:val="none"/>
              </w:rPr>
              <w:t>（</w:t>
            </w:r>
            <w:r>
              <w:rPr>
                <w:rFonts w:hint="default"/>
                <w:color w:val="auto"/>
                <w:sz w:val="24"/>
                <w:szCs w:val="20"/>
                <w:highlight w:val="none"/>
              </w:rPr>
              <w:t>GB3838-2002</w:t>
            </w:r>
            <w:r>
              <w:rPr>
                <w:rFonts w:hint="eastAsia"/>
                <w:color w:val="auto"/>
                <w:sz w:val="24"/>
                <w:szCs w:val="20"/>
                <w:highlight w:val="none"/>
              </w:rPr>
              <w:t>）</w:t>
            </w:r>
            <w:r>
              <w:rPr>
                <w:rFonts w:hint="default"/>
                <w:color w:val="auto"/>
                <w:sz w:val="24"/>
                <w:szCs w:val="20"/>
                <w:highlight w:val="none"/>
              </w:rPr>
              <w:t>中Ⅳ类水质标准</w:t>
            </w:r>
            <w:r>
              <w:rPr>
                <w:rFonts w:hint="eastAsia"/>
                <w:color w:val="auto"/>
                <w:sz w:val="24"/>
                <w:szCs w:val="20"/>
                <w:highlight w:val="none"/>
              </w:rPr>
              <w:t>；</w:t>
            </w:r>
          </w:p>
          <w:p>
            <w:pPr>
              <w:keepNext w:val="0"/>
              <w:keepLines w:val="0"/>
              <w:suppressLineNumbers w:val="0"/>
              <w:spacing w:before="0" w:beforeAutospacing="0" w:after="0" w:afterAutospacing="0" w:line="360" w:lineRule="auto"/>
              <w:ind w:left="0" w:right="0" w:firstLine="482"/>
              <w:rPr>
                <w:rFonts w:hint="default"/>
                <w:color w:val="auto"/>
                <w:sz w:val="24"/>
                <w:szCs w:val="20"/>
                <w:highlight w:val="none"/>
              </w:rPr>
            </w:pPr>
            <w:r>
              <w:rPr>
                <w:rFonts w:hint="eastAsia"/>
                <w:color w:val="auto"/>
                <w:sz w:val="24"/>
                <w:szCs w:val="20"/>
                <w:highlight w:val="none"/>
              </w:rPr>
              <w:t>扩建项目西北侧约16</w:t>
            </w:r>
            <w:r>
              <w:rPr>
                <w:rFonts w:ascii="Times New Roman" w:hAnsi="Times New Roman" w:cs="Times New Roman" w:hint="default"/>
                <w:color w:val="auto"/>
                <w:sz w:val="24"/>
                <w:szCs w:val="20"/>
                <w:highlight w:val="none"/>
              </w:rPr>
              <w:t>0m处为新局调节库水源保护区，根据福州市水功能区划批复（榕政综〔2019〕316号）批准的《福州市水功能区划》及规划环评，新局调节库水源保护区环境功能类别为Ⅱ类，水质执行《地表水环境质量标准》（GB3838-2002）中Ⅱ类水质标准；根据具体详见表3.1-5。</w:t>
            </w:r>
          </w:p>
          <w:p>
            <w:pPr>
              <w:keepNext w:val="0"/>
              <w:keepLines w:val="0"/>
              <w:suppressLineNumbers w:val="0"/>
              <w:spacing w:before="0" w:beforeAutospacing="0" w:after="0" w:afterAutospacing="0" w:line="360" w:lineRule="auto"/>
              <w:ind w:left="0" w:right="0"/>
              <w:jc w:val="center"/>
              <w:rPr>
                <w:rFonts w:hint="default"/>
                <w:b/>
                <w:bCs/>
                <w:color w:val="auto"/>
                <w:sz w:val="24"/>
                <w:highlight w:val="none"/>
                <w:shd w:val="clear" w:color="auto" w:fill="FFFFFF"/>
              </w:rPr>
            </w:pPr>
            <w:r>
              <w:rPr>
                <w:rFonts w:hint="default"/>
                <w:b/>
                <w:bCs/>
                <w:color w:val="auto"/>
                <w:sz w:val="24"/>
                <w:highlight w:val="none"/>
                <w:shd w:val="clear" w:color="auto" w:fill="FFFFFF"/>
              </w:rPr>
              <w:t>表3.</w:t>
            </w:r>
            <w:r>
              <w:rPr>
                <w:rFonts w:hint="eastAsia"/>
                <w:b/>
                <w:bCs/>
                <w:color w:val="auto"/>
                <w:sz w:val="24"/>
                <w:highlight w:val="none"/>
                <w:shd w:val="clear" w:color="auto" w:fill="FFFFFF"/>
              </w:rPr>
              <w:t>1</w:t>
            </w:r>
            <w:r>
              <w:rPr>
                <w:rFonts w:hint="default"/>
                <w:b/>
                <w:bCs/>
                <w:color w:val="auto"/>
                <w:sz w:val="24"/>
                <w:highlight w:val="none"/>
                <w:shd w:val="clear" w:color="auto" w:fill="FFFFFF"/>
              </w:rPr>
              <w:t>-</w:t>
            </w:r>
            <w:r>
              <w:rPr>
                <w:rFonts w:hint="eastAsia"/>
                <w:b/>
                <w:bCs/>
                <w:color w:val="auto"/>
                <w:sz w:val="24"/>
                <w:highlight w:val="none"/>
                <w:shd w:val="clear" w:color="auto" w:fill="FFFFFF"/>
              </w:rPr>
              <w:t>5</w:t>
            </w:r>
            <w:r>
              <w:rPr>
                <w:rFonts w:hint="default"/>
                <w:b/>
                <w:bCs/>
                <w:color w:val="auto"/>
                <w:sz w:val="24"/>
                <w:highlight w:val="none"/>
                <w:shd w:val="clear" w:color="auto" w:fill="FFFFFF"/>
              </w:rPr>
              <w:t xml:space="preserve">  地表水环境质量标准(GB3838-2002)(摘录)   单位：mg/L</w:t>
            </w:r>
          </w:p>
          <w:tbl>
            <w:tblPr>
              <w:tblStyle w:val="TableNormal"/>
              <w:tblW w:w="4996" w:type="pct"/>
              <w:jc w:val="center"/>
              <w:tblBorders>
                <w:top w:val="single" w:sz="18" w:space="0" w:color="auto"/>
                <w:left w:val="none" w:sz="0" w:space="0" w:color="auto"/>
                <w:bottom w:val="single" w:sz="18" w:space="0" w:color="auto"/>
                <w:right w:val="none" w:sz="0" w:space="0" w:color="auto"/>
                <w:insideH w:val="single" w:sz="2" w:space="0" w:color="auto"/>
                <w:insideV w:val="single" w:sz="2" w:space="0" w:color="auto"/>
              </w:tblBorders>
              <w:tblLayout w:type="fixed"/>
              <w:tblCellMar>
                <w:top w:w="0" w:type="dxa"/>
                <w:left w:w="28" w:type="dxa"/>
                <w:bottom w:w="0" w:type="dxa"/>
                <w:right w:w="28" w:type="dxa"/>
              </w:tblCellMar>
            </w:tblPr>
            <w:tblGrid>
              <w:gridCol w:w="851"/>
              <w:gridCol w:w="2591"/>
              <w:gridCol w:w="1144"/>
              <w:gridCol w:w="1363"/>
              <w:gridCol w:w="1131"/>
              <w:gridCol w:w="1201"/>
            </w:tblGrid>
            <w:tr>
              <w:tblPrEx>
                <w:tblW w:w="4996" w:type="pct"/>
                <w:jc w:val="center"/>
                <w:tblBorders>
                  <w:top w:val="single" w:sz="18" w:space="0" w:color="auto"/>
                  <w:left w:val="none" w:sz="0" w:space="0" w:color="auto"/>
                  <w:bottom w:val="single" w:sz="18" w:space="0" w:color="auto"/>
                  <w:right w:val="none" w:sz="0" w:space="0" w:color="auto"/>
                  <w:insideH w:val="single" w:sz="2" w:space="0" w:color="auto"/>
                  <w:insideV w:val="single" w:sz="2" w:space="0" w:color="auto"/>
                </w:tblBorders>
                <w:tblLayout w:type="fixed"/>
                <w:tblCellMar>
                  <w:top w:w="0" w:type="dxa"/>
                  <w:left w:w="28" w:type="dxa"/>
                  <w:bottom w:w="0" w:type="dxa"/>
                  <w:right w:w="28" w:type="dxa"/>
                </w:tblCellMar>
              </w:tblPrEx>
              <w:trPr>
                <w:cantSplit/>
                <w:trHeight w:hRule="exact" w:val="340"/>
                <w:jc w:val="center"/>
              </w:trPr>
              <w:tc>
                <w:tcPr>
                  <w:tcW w:w="51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序号</w:t>
                  </w:r>
                </w:p>
              </w:tc>
              <w:tc>
                <w:tcPr>
                  <w:tcW w:w="156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项目</w:t>
                  </w:r>
                </w:p>
              </w:tc>
              <w:tc>
                <w:tcPr>
                  <w:tcW w:w="691" w:type="pct"/>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Ⅱ类</w:t>
                  </w:r>
                </w:p>
              </w:tc>
              <w:tc>
                <w:tcPr>
                  <w:tcW w:w="82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Ⅲ类</w:t>
                  </w:r>
                </w:p>
              </w:tc>
              <w:tc>
                <w:tcPr>
                  <w:tcW w:w="683" w:type="pct"/>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Ⅳ类</w:t>
                  </w:r>
                </w:p>
              </w:tc>
              <w:tc>
                <w:tcPr>
                  <w:tcW w:w="724" w:type="pct"/>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Ⅴ类</w:t>
                  </w:r>
                </w:p>
              </w:tc>
            </w:tr>
            <w:tr>
              <w:tblPrEx>
                <w:tblW w:w="4996" w:type="pct"/>
                <w:jc w:val="center"/>
                <w:tblLayout w:type="fixed"/>
                <w:tblCellMar>
                  <w:top w:w="0" w:type="dxa"/>
                  <w:left w:w="28" w:type="dxa"/>
                  <w:bottom w:w="0" w:type="dxa"/>
                  <w:right w:w="28" w:type="dxa"/>
                </w:tblCellMar>
              </w:tblPrEx>
              <w:trPr>
                <w:cantSplit/>
                <w:trHeight w:hRule="exact" w:val="340"/>
                <w:jc w:val="center"/>
              </w:trPr>
              <w:tc>
                <w:tcPr>
                  <w:tcW w:w="51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1</w:t>
                  </w:r>
                </w:p>
              </w:tc>
              <w:tc>
                <w:tcPr>
                  <w:tcW w:w="156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pH(无量纲)</w:t>
                  </w:r>
                </w:p>
              </w:tc>
              <w:tc>
                <w:tcPr>
                  <w:tcW w:w="2922" w:type="pct"/>
                  <w:gridSpan w:val="4"/>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6～9</w:t>
                  </w:r>
                </w:p>
              </w:tc>
            </w:tr>
            <w:tr>
              <w:tblPrEx>
                <w:tblW w:w="4996" w:type="pct"/>
                <w:jc w:val="center"/>
                <w:tblLayout w:type="fixed"/>
                <w:tblCellMar>
                  <w:top w:w="0" w:type="dxa"/>
                  <w:left w:w="28" w:type="dxa"/>
                  <w:bottom w:w="0" w:type="dxa"/>
                  <w:right w:w="28" w:type="dxa"/>
                </w:tblCellMar>
              </w:tblPrEx>
              <w:trPr>
                <w:cantSplit/>
                <w:trHeight w:hRule="exact" w:val="340"/>
                <w:jc w:val="center"/>
              </w:trPr>
              <w:tc>
                <w:tcPr>
                  <w:tcW w:w="51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2</w:t>
                  </w:r>
                </w:p>
              </w:tc>
              <w:tc>
                <w:tcPr>
                  <w:tcW w:w="156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snapToGrid w:val="0"/>
                      <w:color w:val="auto"/>
                      <w:kern w:val="18"/>
                      <w:szCs w:val="21"/>
                      <w:highlight w:val="none"/>
                    </w:rPr>
                    <w:t>溶解氧≥</w:t>
                  </w:r>
                </w:p>
              </w:tc>
              <w:tc>
                <w:tcPr>
                  <w:tcW w:w="691" w:type="pct"/>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6</w:t>
                  </w:r>
                </w:p>
              </w:tc>
              <w:tc>
                <w:tcPr>
                  <w:tcW w:w="82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5</w:t>
                  </w:r>
                </w:p>
              </w:tc>
              <w:tc>
                <w:tcPr>
                  <w:tcW w:w="683" w:type="pct"/>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3</w:t>
                  </w:r>
                </w:p>
              </w:tc>
              <w:tc>
                <w:tcPr>
                  <w:tcW w:w="724" w:type="pct"/>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2</w:t>
                  </w:r>
                </w:p>
              </w:tc>
            </w:tr>
            <w:tr>
              <w:tblPrEx>
                <w:tblW w:w="4996" w:type="pct"/>
                <w:jc w:val="center"/>
                <w:tblLayout w:type="fixed"/>
                <w:tblCellMar>
                  <w:top w:w="0" w:type="dxa"/>
                  <w:left w:w="28" w:type="dxa"/>
                  <w:bottom w:w="0" w:type="dxa"/>
                  <w:right w:w="28" w:type="dxa"/>
                </w:tblCellMar>
              </w:tblPrEx>
              <w:trPr>
                <w:cantSplit/>
                <w:trHeight w:hRule="exact" w:val="340"/>
                <w:jc w:val="center"/>
              </w:trPr>
              <w:tc>
                <w:tcPr>
                  <w:tcW w:w="51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3</w:t>
                  </w:r>
                </w:p>
              </w:tc>
              <w:tc>
                <w:tcPr>
                  <w:tcW w:w="156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snapToGrid w:val="0"/>
                      <w:color w:val="auto"/>
                      <w:kern w:val="18"/>
                      <w:szCs w:val="21"/>
                      <w:highlight w:val="none"/>
                    </w:rPr>
                    <w:t>高锰酸盐指数</w:t>
                  </w:r>
                  <w:r>
                    <w:rPr>
                      <w:rFonts w:hint="default"/>
                      <w:color w:val="auto"/>
                      <w:szCs w:val="21"/>
                      <w:highlight w:val="none"/>
                    </w:rPr>
                    <w:t>≤</w:t>
                  </w:r>
                </w:p>
              </w:tc>
              <w:tc>
                <w:tcPr>
                  <w:tcW w:w="691" w:type="pct"/>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4</w:t>
                  </w:r>
                </w:p>
              </w:tc>
              <w:tc>
                <w:tcPr>
                  <w:tcW w:w="82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6</w:t>
                  </w:r>
                </w:p>
              </w:tc>
              <w:tc>
                <w:tcPr>
                  <w:tcW w:w="683" w:type="pct"/>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10</w:t>
                  </w:r>
                </w:p>
              </w:tc>
              <w:tc>
                <w:tcPr>
                  <w:tcW w:w="724" w:type="pct"/>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15</w:t>
                  </w:r>
                </w:p>
              </w:tc>
            </w:tr>
            <w:tr>
              <w:tblPrEx>
                <w:tblW w:w="4996" w:type="pct"/>
                <w:jc w:val="center"/>
                <w:tblLayout w:type="fixed"/>
                <w:tblCellMar>
                  <w:top w:w="0" w:type="dxa"/>
                  <w:left w:w="28" w:type="dxa"/>
                  <w:bottom w:w="0" w:type="dxa"/>
                  <w:right w:w="28" w:type="dxa"/>
                </w:tblCellMar>
              </w:tblPrEx>
              <w:trPr>
                <w:cantSplit/>
                <w:trHeight w:hRule="exact" w:val="340"/>
                <w:jc w:val="center"/>
              </w:trPr>
              <w:tc>
                <w:tcPr>
                  <w:tcW w:w="51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4</w:t>
                  </w:r>
                </w:p>
              </w:tc>
              <w:tc>
                <w:tcPr>
                  <w:tcW w:w="156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snapToGrid w:val="0"/>
                      <w:color w:val="auto"/>
                      <w:kern w:val="18"/>
                      <w:szCs w:val="21"/>
                      <w:highlight w:val="none"/>
                    </w:rPr>
                    <w:t>化学需氧量(COD)</w:t>
                  </w:r>
                  <w:r>
                    <w:rPr>
                      <w:rFonts w:hint="default"/>
                      <w:color w:val="auto"/>
                      <w:szCs w:val="21"/>
                      <w:highlight w:val="none"/>
                    </w:rPr>
                    <w:t>≤</w:t>
                  </w:r>
                </w:p>
              </w:tc>
              <w:tc>
                <w:tcPr>
                  <w:tcW w:w="691" w:type="pct"/>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15</w:t>
                  </w:r>
                </w:p>
              </w:tc>
              <w:tc>
                <w:tcPr>
                  <w:tcW w:w="82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20</w:t>
                  </w:r>
                </w:p>
              </w:tc>
              <w:tc>
                <w:tcPr>
                  <w:tcW w:w="683" w:type="pct"/>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30</w:t>
                  </w:r>
                </w:p>
              </w:tc>
              <w:tc>
                <w:tcPr>
                  <w:tcW w:w="724" w:type="pct"/>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40</w:t>
                  </w:r>
                </w:p>
              </w:tc>
            </w:tr>
            <w:tr>
              <w:tblPrEx>
                <w:tblW w:w="4996" w:type="pct"/>
                <w:jc w:val="center"/>
                <w:tblLayout w:type="fixed"/>
                <w:tblCellMar>
                  <w:top w:w="0" w:type="dxa"/>
                  <w:left w:w="28" w:type="dxa"/>
                  <w:bottom w:w="0" w:type="dxa"/>
                  <w:right w:w="28" w:type="dxa"/>
                </w:tblCellMar>
              </w:tblPrEx>
              <w:trPr>
                <w:cantSplit/>
                <w:trHeight w:hRule="exact" w:val="340"/>
                <w:jc w:val="center"/>
              </w:trPr>
              <w:tc>
                <w:tcPr>
                  <w:tcW w:w="51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5</w:t>
                  </w:r>
                </w:p>
              </w:tc>
              <w:tc>
                <w:tcPr>
                  <w:tcW w:w="156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snapToGrid w:val="0"/>
                      <w:color w:val="auto"/>
                      <w:kern w:val="18"/>
                      <w:szCs w:val="21"/>
                      <w:highlight w:val="none"/>
                    </w:rPr>
                  </w:pPr>
                  <w:r>
                    <w:rPr>
                      <w:rFonts w:hint="default"/>
                      <w:snapToGrid w:val="0"/>
                      <w:color w:val="auto"/>
                      <w:kern w:val="18"/>
                      <w:szCs w:val="21"/>
                      <w:highlight w:val="none"/>
                    </w:rPr>
                    <w:t>氨氮(NH</w:t>
                  </w:r>
                  <w:r>
                    <w:rPr>
                      <w:rFonts w:hint="default"/>
                      <w:snapToGrid w:val="0"/>
                      <w:color w:val="auto"/>
                      <w:kern w:val="18"/>
                      <w:szCs w:val="21"/>
                      <w:highlight w:val="none"/>
                      <w:vertAlign w:val="subscript"/>
                    </w:rPr>
                    <w:t>3</w:t>
                  </w:r>
                  <w:r>
                    <w:rPr>
                      <w:rFonts w:hint="default"/>
                      <w:snapToGrid w:val="0"/>
                      <w:color w:val="auto"/>
                      <w:kern w:val="18"/>
                      <w:szCs w:val="21"/>
                      <w:highlight w:val="none"/>
                    </w:rPr>
                    <w:t>-N)</w:t>
                  </w:r>
                  <w:r>
                    <w:rPr>
                      <w:rFonts w:hint="default"/>
                      <w:color w:val="auto"/>
                      <w:szCs w:val="21"/>
                      <w:highlight w:val="none"/>
                    </w:rPr>
                    <w:t>≤</w:t>
                  </w:r>
                </w:p>
              </w:tc>
              <w:tc>
                <w:tcPr>
                  <w:tcW w:w="691" w:type="pct"/>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0.5</w:t>
                  </w:r>
                </w:p>
              </w:tc>
              <w:tc>
                <w:tcPr>
                  <w:tcW w:w="82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1.0</w:t>
                  </w:r>
                </w:p>
              </w:tc>
              <w:tc>
                <w:tcPr>
                  <w:tcW w:w="683" w:type="pct"/>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1.5</w:t>
                  </w:r>
                </w:p>
              </w:tc>
              <w:tc>
                <w:tcPr>
                  <w:tcW w:w="724" w:type="pct"/>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2.0</w:t>
                  </w:r>
                </w:p>
              </w:tc>
            </w:tr>
            <w:tr>
              <w:tblPrEx>
                <w:tblW w:w="4996" w:type="pct"/>
                <w:jc w:val="center"/>
                <w:tblLayout w:type="fixed"/>
                <w:tblCellMar>
                  <w:top w:w="0" w:type="dxa"/>
                  <w:left w:w="28" w:type="dxa"/>
                  <w:bottom w:w="0" w:type="dxa"/>
                  <w:right w:w="28" w:type="dxa"/>
                </w:tblCellMar>
              </w:tblPrEx>
              <w:trPr>
                <w:cantSplit/>
                <w:trHeight w:hRule="exact" w:val="340"/>
                <w:jc w:val="center"/>
              </w:trPr>
              <w:tc>
                <w:tcPr>
                  <w:tcW w:w="51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6</w:t>
                  </w:r>
                </w:p>
              </w:tc>
              <w:tc>
                <w:tcPr>
                  <w:tcW w:w="156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snapToGrid w:val="0"/>
                      <w:color w:val="auto"/>
                      <w:kern w:val="18"/>
                      <w:szCs w:val="21"/>
                      <w:highlight w:val="none"/>
                    </w:rPr>
                  </w:pPr>
                  <w:r>
                    <w:rPr>
                      <w:rFonts w:hint="default"/>
                      <w:snapToGrid w:val="0"/>
                      <w:color w:val="auto"/>
                      <w:kern w:val="18"/>
                      <w:szCs w:val="21"/>
                      <w:highlight w:val="none"/>
                    </w:rPr>
                    <w:t>五日生化需氧量(BOD</w:t>
                  </w:r>
                  <w:r>
                    <w:rPr>
                      <w:rFonts w:hint="default"/>
                      <w:snapToGrid w:val="0"/>
                      <w:color w:val="auto"/>
                      <w:kern w:val="18"/>
                      <w:szCs w:val="21"/>
                      <w:highlight w:val="none"/>
                      <w:vertAlign w:val="subscript"/>
                    </w:rPr>
                    <w:t>5</w:t>
                  </w:r>
                  <w:r>
                    <w:rPr>
                      <w:rFonts w:hint="default"/>
                      <w:snapToGrid w:val="0"/>
                      <w:color w:val="auto"/>
                      <w:kern w:val="18"/>
                      <w:szCs w:val="21"/>
                      <w:highlight w:val="none"/>
                    </w:rPr>
                    <w:t>)</w:t>
                  </w:r>
                  <w:r>
                    <w:rPr>
                      <w:rFonts w:hint="default"/>
                      <w:color w:val="auto"/>
                      <w:szCs w:val="21"/>
                      <w:highlight w:val="none"/>
                    </w:rPr>
                    <w:t>≤</w:t>
                  </w:r>
                </w:p>
              </w:tc>
              <w:tc>
                <w:tcPr>
                  <w:tcW w:w="691" w:type="pct"/>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3</w:t>
                  </w:r>
                </w:p>
              </w:tc>
              <w:tc>
                <w:tcPr>
                  <w:tcW w:w="823" w:type="pct"/>
                  <w:tcBorders>
                    <w:tl2br w:val="nil"/>
                    <w:tr2bl w:val="nil"/>
                  </w:tcBorders>
                  <w:shd w:val="clear" w:color="auto" w:fill="auto"/>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4</w:t>
                  </w:r>
                </w:p>
              </w:tc>
              <w:tc>
                <w:tcPr>
                  <w:tcW w:w="683" w:type="pct"/>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6</w:t>
                  </w:r>
                </w:p>
              </w:tc>
              <w:tc>
                <w:tcPr>
                  <w:tcW w:w="724" w:type="pct"/>
                  <w:tcBorders>
                    <w:tl2br w:val="nil"/>
                    <w:tr2bl w:val="nil"/>
                  </w:tcBorders>
                  <w:shd w:val="clear" w:color="auto" w:fill="EEECE1"/>
                  <w:vAlign w:val="center"/>
                </w:tcPr>
                <w:p>
                  <w:pPr>
                    <w:keepNext w:val="0"/>
                    <w:keepLines w:val="0"/>
                    <w:suppressLineNumbers w:val="0"/>
                    <w:spacing w:before="0" w:beforeAutospacing="0" w:after="0" w:afterAutospacing="0" w:line="340" w:lineRule="exact"/>
                    <w:ind w:left="0" w:right="0"/>
                    <w:jc w:val="center"/>
                    <w:rPr>
                      <w:rFonts w:hint="default"/>
                      <w:color w:val="auto"/>
                      <w:szCs w:val="21"/>
                      <w:highlight w:val="none"/>
                    </w:rPr>
                  </w:pPr>
                  <w:r>
                    <w:rPr>
                      <w:rFonts w:hint="default"/>
                      <w:color w:val="auto"/>
                      <w:szCs w:val="21"/>
                      <w:highlight w:val="none"/>
                    </w:rPr>
                    <w:t>10</w:t>
                  </w:r>
                </w:p>
              </w:tc>
            </w:tr>
          </w:tbl>
          <w:p>
            <w:pPr>
              <w:keepNext w:val="0"/>
              <w:keepLines w:val="0"/>
              <w:suppressLineNumbers w:val="0"/>
              <w:spacing w:before="0" w:beforeAutospacing="0" w:after="0" w:afterAutospacing="0" w:line="360" w:lineRule="auto"/>
              <w:ind w:left="0" w:right="0" w:firstLine="482"/>
              <w:rPr>
                <w:rFonts w:hint="default"/>
                <w:color w:val="auto"/>
                <w:sz w:val="24"/>
                <w:szCs w:val="20"/>
                <w:highlight w:val="none"/>
              </w:rPr>
            </w:pPr>
            <w:r>
              <w:rPr>
                <w:rFonts w:hint="default"/>
                <w:color w:val="auto"/>
                <w:sz w:val="24"/>
                <w:szCs w:val="20"/>
                <w:highlight w:val="none"/>
              </w:rPr>
              <w:t>（</w:t>
            </w:r>
            <w:r>
              <w:rPr>
                <w:rFonts w:hint="eastAsia"/>
                <w:color w:val="auto"/>
                <w:sz w:val="24"/>
                <w:szCs w:val="20"/>
                <w:highlight w:val="none"/>
              </w:rPr>
              <w:t>2</w:t>
            </w:r>
            <w:r>
              <w:rPr>
                <w:rFonts w:hint="default"/>
                <w:color w:val="auto"/>
                <w:sz w:val="24"/>
                <w:szCs w:val="20"/>
                <w:highlight w:val="none"/>
              </w:rPr>
              <w:t>）</w:t>
            </w:r>
            <w:r>
              <w:rPr>
                <w:rFonts w:hint="eastAsia"/>
                <w:color w:val="auto"/>
                <w:sz w:val="24"/>
                <w:szCs w:val="20"/>
                <w:highlight w:val="none"/>
              </w:rPr>
              <w:t>区域</w:t>
            </w:r>
            <w:r>
              <w:rPr>
                <w:rFonts w:hint="default"/>
                <w:color w:val="auto"/>
                <w:sz w:val="24"/>
                <w:szCs w:val="20"/>
                <w:highlight w:val="none"/>
              </w:rPr>
              <w:t>水环境质量现状</w:t>
            </w:r>
          </w:p>
          <w:p>
            <w:pPr>
              <w:pStyle w:val="a9"/>
              <w:keepNext w:val="0"/>
              <w:keepLines w:val="0"/>
              <w:suppressLineNumbers w:val="0"/>
              <w:spacing w:before="0" w:beforeAutospacing="0" w:after="0" w:afterAutospacing="0"/>
              <w:ind w:left="0" w:right="0" w:firstLine="480"/>
              <w:rPr>
                <w:rFonts w:hint="default"/>
                <w:color w:val="auto"/>
                <w:highlight w:val="none"/>
              </w:rPr>
            </w:pPr>
            <w:r>
              <w:rPr>
                <w:rFonts w:hint="default"/>
                <w:color w:val="auto"/>
                <w:szCs w:val="22"/>
                <w:highlight w:val="none"/>
              </w:rPr>
              <w:t>为了解项目地表水水质环境质量现状，收集福建省生态环境厅网站发布的福建省主要流域水环境质量状况（2022年1-12月），福建省主要流域总体水质为优。监测的375个断面中，Ⅰ～Ⅲ类水质比例98.7</w:t>
            </w:r>
            <w:r>
              <w:rPr>
                <w:rFonts w:hint="eastAsia"/>
                <w:color w:val="auto"/>
                <w:szCs w:val="22"/>
                <w:highlight w:val="none"/>
              </w:rPr>
              <w:t>%</w:t>
            </w:r>
            <w:r>
              <w:rPr>
                <w:rFonts w:hint="default"/>
                <w:color w:val="auto"/>
                <w:szCs w:val="22"/>
                <w:highlight w:val="none"/>
              </w:rPr>
              <w:t>，其中Ⅰ～Ⅱ类水质比例55.5</w:t>
            </w:r>
            <w:r>
              <w:rPr>
                <w:rFonts w:hint="eastAsia"/>
                <w:color w:val="auto"/>
                <w:szCs w:val="22"/>
                <w:highlight w:val="none"/>
              </w:rPr>
              <w:t>%</w:t>
            </w:r>
            <w:r>
              <w:rPr>
                <w:rFonts w:hint="default"/>
                <w:color w:val="auto"/>
                <w:szCs w:val="22"/>
                <w:highlight w:val="none"/>
              </w:rPr>
              <w:t>。各类水质比例如下：Ⅰ类占1.1%，Ⅱ类占54.4%，Ⅲ类占43.2%，Ⅳ类占1.3%，无Ⅴ类和劣Ⅴ类水</w:t>
            </w:r>
            <w:r>
              <w:rPr>
                <w:rFonts w:hint="default"/>
                <w:color w:val="auto"/>
                <w:highlight w:val="none"/>
              </w:rPr>
              <w:t>。</w:t>
            </w:r>
          </w:p>
          <w:p>
            <w:pPr>
              <w:pStyle w:val="a9"/>
              <w:keepNext w:val="0"/>
              <w:keepLines w:val="0"/>
              <w:suppressLineNumbers w:val="0"/>
              <w:spacing w:before="0" w:beforeAutospacing="0" w:after="0" w:afterAutospacing="0"/>
              <w:ind w:left="0" w:right="0" w:firstLine="480"/>
              <w:rPr>
                <w:rFonts w:hint="default"/>
                <w:color w:val="auto"/>
                <w:highlight w:val="none"/>
              </w:rPr>
            </w:pPr>
            <w:r>
              <w:rPr>
                <w:rFonts w:hint="default"/>
                <w:color w:val="auto"/>
                <w:szCs w:val="22"/>
                <w:highlight w:val="none"/>
              </w:rPr>
              <w:t>2022年1-12月，福建省主要流域总体水质从相对较好开始排名，具体为：闽江、交溪、霍童溪、晋江、汀江（韩江）、木兰溪、敖江、萩芦溪、九龙江、诏安东溪、东西溪、漳江、龙江、鹿溪</w:t>
            </w:r>
            <w:r>
              <w:rPr>
                <w:rFonts w:hint="default"/>
                <w:color w:val="auto"/>
                <w:highlight w:val="none"/>
              </w:rPr>
              <w:t>。由此可知龙江水质可达到《地表水环境质量标准》</w:t>
            </w:r>
            <w:r>
              <w:rPr>
                <w:rFonts w:hint="eastAsia"/>
                <w:color w:val="auto"/>
                <w:highlight w:val="none"/>
              </w:rPr>
              <w:t>（</w:t>
            </w:r>
            <w:r>
              <w:rPr>
                <w:rFonts w:hint="default"/>
                <w:color w:val="auto"/>
                <w:highlight w:val="none"/>
              </w:rPr>
              <w:t>GB3838-2002</w:t>
            </w:r>
            <w:r>
              <w:rPr>
                <w:rFonts w:hint="eastAsia"/>
                <w:color w:val="auto"/>
                <w:highlight w:val="none"/>
              </w:rPr>
              <w:t>）</w:t>
            </w:r>
            <w:r>
              <w:rPr>
                <w:rFonts w:hint="default"/>
                <w:color w:val="auto"/>
                <w:highlight w:val="none"/>
              </w:rPr>
              <w:t>Ⅴ类水标准。</w:t>
            </w:r>
          </w:p>
          <w:p>
            <w:pPr>
              <w:pStyle w:val="a9"/>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（3）</w:t>
            </w:r>
            <w:r>
              <w:rPr>
                <w:rFonts w:hint="default"/>
                <w:color w:val="auto"/>
                <w:highlight w:val="none"/>
              </w:rPr>
              <w:t>引用资料的有效性分析</w:t>
            </w:r>
          </w:p>
          <w:p>
            <w:pPr>
              <w:pStyle w:val="a9"/>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根据《建设项目环境影响报告表编制技术指南</w:t>
            </w:r>
            <w:r>
              <w:rPr>
                <w:rFonts w:hint="eastAsia"/>
                <w:color w:val="auto"/>
                <w:highlight w:val="none"/>
              </w:rPr>
              <w:t>（</w:t>
            </w:r>
            <w:r>
              <w:rPr>
                <w:rFonts w:hint="default"/>
                <w:color w:val="auto"/>
                <w:highlight w:val="none"/>
              </w:rPr>
              <w:t>污染影响类</w:t>
            </w:r>
            <w:r>
              <w:rPr>
                <w:rFonts w:hint="eastAsia"/>
                <w:color w:val="auto"/>
                <w:highlight w:val="none"/>
              </w:rPr>
              <w:t>）（</w:t>
            </w:r>
            <w:r>
              <w:rPr>
                <w:rFonts w:hint="default"/>
                <w:color w:val="auto"/>
                <w:highlight w:val="none"/>
              </w:rPr>
              <w:t>试行</w:t>
            </w:r>
            <w:r>
              <w:rPr>
                <w:rFonts w:hint="eastAsia"/>
                <w:color w:val="auto"/>
                <w:highlight w:val="none"/>
              </w:rPr>
              <w:t>）</w:t>
            </w:r>
            <w:r>
              <w:rPr>
                <w:rFonts w:hint="default"/>
                <w:color w:val="auto"/>
                <w:highlight w:val="none"/>
              </w:rPr>
              <w:t>》</w:t>
            </w:r>
            <w:r>
              <w:rPr>
                <w:rFonts w:hint="eastAsia"/>
                <w:color w:val="auto"/>
                <w:highlight w:val="none"/>
              </w:rPr>
              <w:t>（</w:t>
            </w:r>
            <w:r>
              <w:rPr>
                <w:rFonts w:hint="default"/>
                <w:color w:val="auto"/>
                <w:highlight w:val="none"/>
              </w:rPr>
              <w:t>环办环评〔2020〕33号</w:t>
            </w:r>
            <w:r>
              <w:rPr>
                <w:rFonts w:hint="eastAsia"/>
                <w:color w:val="auto"/>
                <w:highlight w:val="none"/>
              </w:rPr>
              <w:t>）</w:t>
            </w:r>
            <w:r>
              <w:rPr>
                <w:rFonts w:hint="default"/>
                <w:color w:val="auto"/>
                <w:highlight w:val="none"/>
              </w:rPr>
              <w:t>的要求：</w:t>
            </w:r>
            <w:r>
              <w:rPr>
                <w:rFonts w:hint="eastAsia"/>
                <w:color w:val="auto"/>
                <w:highlight w:val="none"/>
              </w:rPr>
              <w:t>“</w:t>
            </w:r>
          </w:p>
        </w:tc>
      </w:tr>
    </w:tbl>
    <w:p>
      <w:pPr>
        <w:sectPr>
          <w:footerReference w:type="default" r:id="rId48"/>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28"/>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678"/>
        <w:gridCol w:w="850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04"/>
          <w:jc w:val="center"/>
        </w:trPr>
        <w:tc>
          <w:tcPr>
            <w:tcW w:w="678" w:type="dxa"/>
            <w:vAlign w:val="center"/>
          </w:tcPr>
          <w:p/>
        </w:tc>
        <w:tc>
          <w:tcPr>
            <w:tcW w:w="8504" w:type="dxa"/>
            <w:vAlign w:val="center"/>
          </w:tcPr>
          <w:p>
            <w:pPr>
              <w:pStyle w:val="a9"/>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地表水环境区域环境质量现状引用与建设项目距离近的有效数据，包括近3年的规划环境影响评价的监测数据，所在流域控制单元内国家、地方控制断面监测数据，生态环境主管部门发布的水环境质量数据或地表水达标情况的结论</w:t>
            </w:r>
            <w:r>
              <w:rPr>
                <w:rFonts w:hint="eastAsia"/>
                <w:color w:val="auto"/>
                <w:highlight w:val="none"/>
              </w:rPr>
              <w:t>”</w:t>
            </w:r>
            <w:r>
              <w:rPr>
                <w:rFonts w:hint="default"/>
                <w:color w:val="auto"/>
                <w:highlight w:val="none"/>
              </w:rPr>
              <w:t>，本此评价选取福建省生态环境厅网站发布水环境状况信息，符合《建设项目环境影响报告表编制技术指南</w:t>
            </w:r>
            <w:r>
              <w:rPr>
                <w:rFonts w:hint="eastAsia"/>
                <w:color w:val="auto"/>
                <w:highlight w:val="none"/>
              </w:rPr>
              <w:t>（</w:t>
            </w:r>
            <w:r>
              <w:rPr>
                <w:rFonts w:hint="default"/>
                <w:color w:val="auto"/>
                <w:highlight w:val="none"/>
              </w:rPr>
              <w:t>污染影响类</w:t>
            </w:r>
            <w:r>
              <w:rPr>
                <w:rFonts w:hint="eastAsia"/>
                <w:color w:val="auto"/>
                <w:highlight w:val="none"/>
              </w:rPr>
              <w:t>）（</w:t>
            </w:r>
            <w:r>
              <w:rPr>
                <w:rFonts w:hint="default"/>
                <w:color w:val="auto"/>
                <w:highlight w:val="none"/>
              </w:rPr>
              <w:t>试行</w:t>
            </w:r>
            <w:r>
              <w:rPr>
                <w:rFonts w:hint="eastAsia"/>
                <w:color w:val="auto"/>
                <w:highlight w:val="none"/>
              </w:rPr>
              <w:t>）</w:t>
            </w:r>
            <w:r>
              <w:rPr>
                <w:rFonts w:hint="default"/>
                <w:color w:val="auto"/>
                <w:highlight w:val="none"/>
              </w:rPr>
              <w:t>》</w:t>
            </w:r>
            <w:r>
              <w:rPr>
                <w:rFonts w:hint="eastAsia"/>
                <w:color w:val="auto"/>
                <w:highlight w:val="none"/>
              </w:rPr>
              <w:t>（</w:t>
            </w:r>
            <w:r>
              <w:rPr>
                <w:rFonts w:hint="default"/>
                <w:color w:val="auto"/>
                <w:highlight w:val="none"/>
              </w:rPr>
              <w:t>环办环评〔2020〕33号</w:t>
            </w:r>
            <w:r>
              <w:rPr>
                <w:rFonts w:hint="eastAsia"/>
                <w:color w:val="auto"/>
                <w:highlight w:val="none"/>
              </w:rPr>
              <w:t>）</w:t>
            </w:r>
            <w:r>
              <w:rPr>
                <w:rFonts w:hint="default"/>
                <w:color w:val="auto"/>
                <w:highlight w:val="none"/>
              </w:rPr>
              <w:t>的要求。</w:t>
            </w:r>
          </w:p>
          <w:p>
            <w:pPr>
              <w:pStyle w:val="Heading3"/>
              <w:keepNext w:val="0"/>
              <w:keepLines w:val="0"/>
              <w:suppressLineNumbers w:val="0"/>
              <w:spacing w:before="120" w:beforeAutospacing="0" w:after="120" w:afterAutospacing="0"/>
              <w:ind w:left="0" w:right="0"/>
              <w:rPr>
                <w:rFonts w:hint="default"/>
                <w:color w:val="auto"/>
                <w:highlight w:val="none"/>
              </w:rPr>
            </w:pPr>
            <w:r>
              <w:rPr>
                <w:rFonts w:hint="default"/>
                <w:color w:val="auto"/>
                <w:highlight w:val="none"/>
              </w:rPr>
              <w:t>3.1.3 声环境质量现状</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依据《建设项目环境影响评价报告表编制技术指南（污染影响类）（试行）》</w:t>
            </w:r>
            <w:r>
              <w:rPr>
                <w:rFonts w:hint="eastAsia"/>
                <w:color w:val="auto"/>
                <w:highlight w:val="none"/>
              </w:rPr>
              <w:t>（</w:t>
            </w:r>
            <w:r>
              <w:rPr>
                <w:rFonts w:hint="default"/>
                <w:color w:val="auto"/>
                <w:highlight w:val="none"/>
              </w:rPr>
              <w:t>环办环评〔2020〕33号</w:t>
            </w:r>
            <w:r>
              <w:rPr>
                <w:rFonts w:hint="eastAsia"/>
                <w:color w:val="auto"/>
                <w:highlight w:val="none"/>
              </w:rPr>
              <w:t>）：厂界外周边50米范围内存在声环境保护目标的建设项目，应监测保护目标声环境质量现状并评价达标情况。本项目厂界外50米范围内无声环境保护目标，因此无需进行监测。</w:t>
            </w:r>
          </w:p>
          <w:p>
            <w:pPr>
              <w:pStyle w:val="Heading3"/>
              <w:keepNext w:val="0"/>
              <w:keepLines w:val="0"/>
              <w:suppressLineNumbers w:val="0"/>
              <w:spacing w:before="120" w:beforeAutospacing="0" w:after="120" w:afterAutospacing="0"/>
              <w:ind w:left="0" w:right="0"/>
              <w:rPr>
                <w:rFonts w:hint="default"/>
                <w:color w:val="auto"/>
                <w:highlight w:val="none"/>
              </w:rPr>
            </w:pPr>
            <w:r>
              <w:rPr>
                <w:rFonts w:hint="default"/>
                <w:color w:val="auto"/>
                <w:highlight w:val="none"/>
              </w:rPr>
              <w:t>3.1.4 生态环境质量现状</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依据《建设项目环境影响评价报告表编制技术指南（污染影响类）（试行）》</w:t>
            </w:r>
            <w:r>
              <w:rPr>
                <w:rFonts w:hint="eastAsia"/>
                <w:color w:val="auto"/>
                <w:highlight w:val="none"/>
              </w:rPr>
              <w:t>（</w:t>
            </w:r>
            <w:r>
              <w:rPr>
                <w:rFonts w:hint="default"/>
                <w:color w:val="auto"/>
                <w:highlight w:val="none"/>
              </w:rPr>
              <w:t>环办环评〔2020〕33号</w:t>
            </w:r>
            <w:r>
              <w:rPr>
                <w:rFonts w:hint="eastAsia"/>
                <w:color w:val="auto"/>
                <w:highlight w:val="none"/>
              </w:rPr>
              <w:t>）：产业园区外建设项目新增用地且用地范围内含有生态环境保护目标时，应进行生态现状调查</w:t>
            </w:r>
            <w:r>
              <w:rPr>
                <w:rFonts w:hint="default"/>
                <w:color w:val="auto"/>
                <w:highlight w:val="none"/>
              </w:rPr>
              <w:t>，本项目位于福建省福州市福清市阳下街道</w:t>
            </w:r>
            <w:r>
              <w:rPr>
                <w:rFonts w:hint="eastAsia"/>
                <w:color w:val="auto"/>
                <w:highlight w:val="none"/>
                <w:lang w:eastAsia="zh-CN"/>
              </w:rPr>
              <w:t>******</w:t>
            </w:r>
            <w:r>
              <w:rPr>
                <w:rFonts w:hint="default"/>
                <w:color w:val="auto"/>
                <w:highlight w:val="none"/>
              </w:rPr>
              <w:t>村，租赁</w:t>
            </w:r>
            <w:r>
              <w:rPr>
                <w:rFonts w:hint="eastAsia"/>
                <w:color w:val="auto"/>
                <w:highlight w:val="none"/>
                <w:lang w:eastAsia="zh-CN"/>
              </w:rPr>
              <w:t>********</w:t>
            </w:r>
            <w:r>
              <w:rPr>
                <w:rFonts w:hint="default"/>
                <w:color w:val="auto"/>
                <w:highlight w:val="none"/>
              </w:rPr>
              <w:t>印刷制品有限公司1#厂房进行生产活动，不新增用地，故本项目不需要开展生态环境质量现状调查。</w:t>
            </w:r>
          </w:p>
          <w:p>
            <w:pPr>
              <w:pStyle w:val="Heading3"/>
              <w:keepNext w:val="0"/>
              <w:keepLines w:val="0"/>
              <w:suppressLineNumbers w:val="0"/>
              <w:spacing w:before="120" w:beforeAutospacing="0" w:after="120" w:afterAutospacing="0"/>
              <w:ind w:left="0" w:right="0"/>
              <w:rPr>
                <w:rFonts w:hint="default"/>
                <w:color w:val="auto"/>
                <w:highlight w:val="none"/>
              </w:rPr>
            </w:pPr>
            <w:r>
              <w:rPr>
                <w:rFonts w:hint="default"/>
                <w:color w:val="auto"/>
                <w:highlight w:val="none"/>
              </w:rPr>
              <w:t>3.1.5 电磁辐射质量现状</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本项目未涉及电磁辐射，故不需要开展电磁辐射现状调查。</w:t>
            </w:r>
          </w:p>
          <w:p>
            <w:pPr>
              <w:pStyle w:val="Heading3"/>
              <w:keepNext w:val="0"/>
              <w:keepLines w:val="0"/>
              <w:suppressLineNumbers w:val="0"/>
              <w:spacing w:before="120" w:beforeAutospacing="0" w:after="120" w:afterAutospacing="0"/>
              <w:ind w:left="0" w:right="0"/>
              <w:rPr>
                <w:rFonts w:hint="default"/>
                <w:color w:val="auto"/>
                <w:highlight w:val="none"/>
              </w:rPr>
            </w:pPr>
            <w:r>
              <w:rPr>
                <w:rFonts w:hint="default"/>
                <w:color w:val="auto"/>
                <w:highlight w:val="none"/>
              </w:rPr>
              <w:t>3.1.6 地下水、土壤环境质量现状</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根据《建设项目环境影响评价报告表编制技术指南（污染影响类）（试行）》</w:t>
            </w:r>
            <w:r>
              <w:rPr>
                <w:rFonts w:hint="eastAsia"/>
                <w:color w:val="auto"/>
                <w:highlight w:val="none"/>
              </w:rPr>
              <w:t>（</w:t>
            </w:r>
            <w:r>
              <w:rPr>
                <w:rFonts w:hint="default"/>
                <w:color w:val="auto"/>
                <w:highlight w:val="none"/>
              </w:rPr>
              <w:t>环办环评〔2020〕33号</w:t>
            </w:r>
            <w:r>
              <w:rPr>
                <w:rFonts w:hint="eastAsia"/>
                <w:color w:val="auto"/>
                <w:highlight w:val="none"/>
              </w:rPr>
              <w:t>）：</w:t>
            </w:r>
            <w:r>
              <w:rPr>
                <w:rFonts w:hint="default"/>
                <w:color w:val="auto"/>
                <w:highlight w:val="none"/>
              </w:rPr>
              <w:t>原则上不开展环境质量现状调查。建设项目存在土壤、地下水环境污染途径的，应结合污染源、保护目标分布情况开展现状调查以留作背景值。本项目位于福建省福州市福清市阳下街道</w:t>
            </w:r>
            <w:r>
              <w:rPr>
                <w:rFonts w:hint="eastAsia"/>
                <w:color w:val="auto"/>
                <w:highlight w:val="none"/>
                <w:lang w:eastAsia="zh-CN"/>
              </w:rPr>
              <w:t>******</w:t>
            </w:r>
            <w:r>
              <w:rPr>
                <w:rFonts w:hint="default"/>
                <w:color w:val="auto"/>
                <w:highlight w:val="none"/>
              </w:rPr>
              <w:t>村，租赁</w:t>
            </w:r>
            <w:r>
              <w:rPr>
                <w:rFonts w:hint="eastAsia"/>
                <w:color w:val="auto"/>
                <w:highlight w:val="none"/>
                <w:lang w:eastAsia="zh-CN"/>
              </w:rPr>
              <w:t>********</w:t>
            </w:r>
            <w:r>
              <w:rPr>
                <w:rFonts w:hint="default"/>
                <w:color w:val="auto"/>
                <w:highlight w:val="none"/>
              </w:rPr>
              <w:t>印刷制品有限公司1#厂房进行生产活动，</w:t>
            </w:r>
            <w:r>
              <w:rPr>
                <w:rFonts w:hint="eastAsia"/>
                <w:color w:val="auto"/>
                <w:highlight w:val="none"/>
              </w:rPr>
              <w:t>厂区地面均已进行硬化处理，同时重点防渗区做好防渗措施，对地下水、土壤环境影响较小</w:t>
            </w:r>
            <w:r>
              <w:rPr>
                <w:rFonts w:hint="default"/>
                <w:color w:val="auto"/>
                <w:highlight w:val="none"/>
              </w:rPr>
              <w:t>，</w:t>
            </w:r>
            <w:r>
              <w:rPr>
                <w:rFonts w:hint="eastAsia"/>
                <w:color w:val="auto"/>
                <w:highlight w:val="none"/>
              </w:rPr>
              <w:t>因此</w:t>
            </w:r>
            <w:r>
              <w:rPr>
                <w:rFonts w:hint="default"/>
                <w:color w:val="auto"/>
                <w:highlight w:val="none"/>
              </w:rPr>
              <w:t>本评价不对项目地下水、土壤环境质量进行补充监测。</w:t>
            </w:r>
          </w:p>
          <w:p>
            <w:pPr>
              <w:pStyle w:val="EnvelopeReturn"/>
              <w:keepNext w:val="0"/>
              <w:keepLines w:val="0"/>
              <w:suppressLineNumbers w:val="0"/>
              <w:spacing w:before="0" w:beforeAutospacing="0" w:after="0" w:afterAutospacing="0"/>
              <w:ind w:left="0" w:right="0"/>
              <w:rPr>
                <w:rFonts w:ascii="Times New Roman" w:hAnsi="Times New Roman" w:hint="default"/>
                <w:color w:val="auto"/>
                <w:kern w:val="0"/>
                <w:szCs w:val="21"/>
                <w:highlight w:val="none"/>
              </w:rPr>
            </w:pPr>
          </w:p>
        </w:tc>
      </w:tr>
      <w:tr>
        <w:tblPrEx>
          <w:tblW w:w="0" w:type="auto"/>
          <w:jc w:val="center"/>
          <w:tblLayout w:type="fixed"/>
          <w:tblCellMar>
            <w:top w:w="0" w:type="dxa"/>
            <w:left w:w="108" w:type="dxa"/>
            <w:bottom w:w="0" w:type="dxa"/>
            <w:right w:w="108" w:type="dxa"/>
          </w:tblCellMar>
        </w:tblPrEx>
        <w:trPr>
          <w:trHeight w:val="915"/>
          <w:jc w:val="center"/>
        </w:trPr>
        <w:tc>
          <w:tcPr>
            <w:tcW w:w="678"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环境</w:t>
            </w:r>
          </w:p>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保护</w:t>
            </w:r>
          </w:p>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目标</w:t>
            </w:r>
          </w:p>
        </w:tc>
        <w:tc>
          <w:tcPr>
            <w:tcW w:w="8504" w:type="dxa"/>
            <w:vAlign w:val="center"/>
          </w:tcPr>
          <w:p>
            <w:pPr>
              <w:pStyle w:val="Heading2"/>
              <w:suppressLineNumbers w:val="0"/>
              <w:spacing w:before="120" w:beforeAutospacing="0" w:after="120" w:afterAutospacing="0"/>
              <w:ind w:left="0" w:right="0"/>
              <w:rPr>
                <w:rFonts w:hint="default"/>
                <w:color w:val="auto"/>
                <w:kern w:val="2"/>
                <w:highlight w:val="none"/>
              </w:rPr>
            </w:pPr>
            <w:r>
              <w:rPr>
                <w:rFonts w:hint="default"/>
                <w:color w:val="auto"/>
                <w:kern w:val="2"/>
                <w:highlight w:val="none"/>
              </w:rPr>
              <w:t>3.2 环境保护目标</w:t>
            </w:r>
          </w:p>
        </w:tc>
      </w:tr>
    </w:tbl>
    <w:p>
      <w:pPr>
        <w:sectPr>
          <w:footerReference w:type="default" r:id="rId49"/>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29"/>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678"/>
        <w:gridCol w:w="850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915"/>
          <w:jc w:val="center"/>
        </w:trPr>
        <w:tc>
          <w:tcPr>
            <w:tcW w:w="678" w:type="dxa"/>
            <w:vAlign w:val="center"/>
          </w:tcPr>
          <w:p/>
        </w:tc>
        <w:tc>
          <w:tcPr>
            <w:tcW w:w="8504" w:type="dxa"/>
            <w:vAlign w:val="center"/>
          </w:tcPr>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项目选址周边无文物古迹、风景名胜区，不在水源地保护区、自然保护区等敏感区域内。本项目的周边环境敏感目标详见表3.2-1，</w:t>
            </w:r>
            <w:r>
              <w:rPr>
                <w:rFonts w:hint="eastAsia"/>
                <w:color w:val="auto"/>
                <w:highlight w:val="none"/>
                <w:lang w:val="en-US" w:eastAsia="zh-CN"/>
              </w:rPr>
              <w:t>本次扩建</w:t>
            </w:r>
            <w:r>
              <w:rPr>
                <w:rFonts w:hint="default"/>
                <w:color w:val="auto"/>
                <w:highlight w:val="none"/>
              </w:rPr>
              <w:t>项目周边环境敏感目标分布图见</w:t>
            </w:r>
            <w:r>
              <w:rPr>
                <w:rFonts w:hint="default"/>
                <w:b/>
                <w:bCs/>
                <w:color w:val="auto"/>
                <w:highlight w:val="none"/>
              </w:rPr>
              <w:t>附图5</w:t>
            </w:r>
            <w:r>
              <w:rPr>
                <w:rFonts w:hint="default"/>
                <w:color w:val="auto"/>
                <w:highlight w:val="none"/>
              </w:rPr>
              <w:t>。</w:t>
            </w:r>
          </w:p>
          <w:p>
            <w:pPr>
              <w:keepNext/>
              <w:keepLines w:val="0"/>
              <w:suppressLineNumbers w:val="0"/>
              <w:spacing w:before="0" w:beforeAutospacing="0" w:after="0" w:afterAutospacing="0" w:line="360" w:lineRule="auto"/>
              <w:ind w:left="0" w:right="0"/>
              <w:jc w:val="center"/>
              <w:rPr>
                <w:rFonts w:hint="default"/>
                <w:b/>
                <w:bCs/>
                <w:color w:val="auto"/>
                <w:sz w:val="24"/>
                <w:highlight w:val="none"/>
                <w:shd w:val="clear" w:color="auto" w:fill="FFFFFF"/>
              </w:rPr>
            </w:pPr>
            <w:r>
              <w:rPr>
                <w:rFonts w:hint="eastAsia"/>
                <w:b/>
                <w:bCs/>
                <w:color w:val="auto"/>
                <w:sz w:val="24"/>
                <w:highlight w:val="none"/>
                <w:shd w:val="clear" w:color="auto" w:fill="FFFFFF"/>
              </w:rPr>
              <w:t xml:space="preserve">表3.2-1 </w:t>
            </w:r>
            <w:r>
              <w:rPr>
                <w:rFonts w:hint="eastAsia"/>
                <w:b/>
                <w:bCs/>
                <w:color w:val="auto"/>
                <w:sz w:val="24"/>
                <w:highlight w:val="none"/>
                <w:shd w:val="clear" w:color="auto" w:fill="FFFFFF"/>
                <w:lang w:val="en-US" w:eastAsia="zh-CN"/>
              </w:rPr>
              <w:t>本次扩建</w:t>
            </w:r>
            <w:r>
              <w:rPr>
                <w:rFonts w:hint="eastAsia"/>
                <w:b/>
                <w:bCs/>
                <w:color w:val="auto"/>
                <w:sz w:val="24"/>
                <w:highlight w:val="none"/>
                <w:shd w:val="clear" w:color="auto" w:fill="FFFFFF"/>
              </w:rPr>
              <w:t>项目周边环境敏感目标</w:t>
            </w:r>
          </w:p>
          <w:tbl>
            <w:tblPr>
              <w:tblStyle w:val="TableNormal"/>
              <w:tblW w:w="4998"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101"/>
              <w:gridCol w:w="1597"/>
              <w:gridCol w:w="1049"/>
              <w:gridCol w:w="1693"/>
              <w:gridCol w:w="2845"/>
            </w:tblGrid>
            <w:tr>
              <w:tblPrEx>
                <w:tblW w:w="4998" w:type="pct"/>
                <w:jc w:val="center"/>
                <w:tblBorders>
                  <w:top w:val="single" w:sz="18" w:space="0" w:color="auto"/>
                  <w:left w:val="none" w:sz="0" w:space="0" w:color="auto"/>
                  <w:bottom w:val="single" w:sz="18"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664"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环境要素</w:t>
                  </w:r>
                </w:p>
              </w:tc>
              <w:tc>
                <w:tcPr>
                  <w:tcW w:w="964"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环境敏感目标</w:t>
                  </w:r>
                </w:p>
              </w:tc>
              <w:tc>
                <w:tcPr>
                  <w:tcW w:w="633"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方位</w:t>
                  </w:r>
                </w:p>
              </w:tc>
              <w:tc>
                <w:tcPr>
                  <w:tcW w:w="1021"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与</w:t>
                  </w:r>
                  <w:r>
                    <w:rPr>
                      <w:rFonts w:hint="eastAsia"/>
                      <w:color w:val="auto"/>
                      <w:szCs w:val="21"/>
                      <w:highlight w:val="none"/>
                    </w:rPr>
                    <w:t>扩建车间</w:t>
                  </w:r>
                  <w:r>
                    <w:rPr>
                      <w:rFonts w:hint="default"/>
                      <w:color w:val="auto"/>
                      <w:szCs w:val="21"/>
                      <w:highlight w:val="none"/>
                    </w:rPr>
                    <w:t>厂界距离(m)</w:t>
                  </w:r>
                </w:p>
              </w:tc>
              <w:tc>
                <w:tcPr>
                  <w:tcW w:w="1717"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保护要求</w:t>
                  </w:r>
                </w:p>
              </w:tc>
            </w:tr>
            <w:tr>
              <w:tblPrEx>
                <w:tblW w:w="4998" w:type="pct"/>
                <w:jc w:val="center"/>
                <w:tblLayout w:type="fixed"/>
                <w:tblCellMar>
                  <w:top w:w="0" w:type="dxa"/>
                  <w:left w:w="108" w:type="dxa"/>
                  <w:bottom w:w="0" w:type="dxa"/>
                  <w:right w:w="108" w:type="dxa"/>
                </w:tblCellMar>
              </w:tblPrEx>
              <w:trPr>
                <w:trHeight w:val="340"/>
                <w:jc w:val="center"/>
              </w:trPr>
              <w:tc>
                <w:tcPr>
                  <w:tcW w:w="664" w:type="pct"/>
                  <w:vMerge w:val="restar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大气环境</w:t>
                  </w:r>
                </w:p>
              </w:tc>
              <w:tc>
                <w:tcPr>
                  <w:tcW w:w="964" w:type="pct"/>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溪西村</w:t>
                  </w:r>
                </w:p>
              </w:tc>
              <w:tc>
                <w:tcPr>
                  <w:tcW w:w="633" w:type="pct"/>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西南侧</w:t>
                  </w:r>
                </w:p>
              </w:tc>
              <w:tc>
                <w:tcPr>
                  <w:tcW w:w="1693" w:type="dxa"/>
                  <w:vAlign w:val="center"/>
                </w:tcPr>
                <w:p>
                  <w:pPr>
                    <w:pStyle w:val="a10"/>
                    <w:keepNext w:val="0"/>
                    <w:keepLines w:val="0"/>
                    <w:suppressLineNumbers w:val="0"/>
                    <w:spacing w:before="0" w:beforeAutospacing="0" w:after="0" w:afterAutospacing="0"/>
                    <w:ind w:left="0" w:right="0" w:leftChars="0" w:rightChars="0"/>
                    <w:rPr>
                      <w:rFonts w:hint="default"/>
                      <w:color w:val="auto"/>
                      <w:highlight w:val="none"/>
                    </w:rPr>
                  </w:pPr>
                  <w:r>
                    <w:rPr>
                      <w:rFonts w:hint="eastAsia"/>
                      <w:color w:val="auto"/>
                      <w:highlight w:val="none"/>
                      <w:lang w:val="en-US" w:eastAsia="zh-CN"/>
                    </w:rPr>
                    <w:t>485</w:t>
                  </w:r>
                </w:p>
              </w:tc>
              <w:tc>
                <w:tcPr>
                  <w:tcW w:w="1717" w:type="pct"/>
                  <w:vMerge w:val="restar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《环境空气质量标准》(GB3095-2012)及其修改单二级标准</w:t>
                  </w:r>
                </w:p>
              </w:tc>
            </w:tr>
            <w:tr>
              <w:tblPrEx>
                <w:tblW w:w="4998" w:type="pct"/>
                <w:jc w:val="center"/>
                <w:tblLayout w:type="fixed"/>
                <w:tblCellMar>
                  <w:top w:w="0" w:type="dxa"/>
                  <w:left w:w="108" w:type="dxa"/>
                  <w:bottom w:w="0" w:type="dxa"/>
                  <w:right w:w="108" w:type="dxa"/>
                </w:tblCellMar>
              </w:tblPrEx>
              <w:trPr>
                <w:trHeight w:val="340"/>
                <w:jc w:val="center"/>
              </w:trPr>
              <w:tc>
                <w:tcPr>
                  <w:tcW w:w="664" w:type="pct"/>
                  <w:vMerge/>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p>
              </w:tc>
              <w:tc>
                <w:tcPr>
                  <w:tcW w:w="964" w:type="pct"/>
                  <w:vAlign w:val="center"/>
                </w:tcPr>
                <w:p>
                  <w:pPr>
                    <w:pStyle w:val="a10"/>
                    <w:keepNext w:val="0"/>
                    <w:keepLines w:val="0"/>
                    <w:suppressLineNumbers w:val="0"/>
                    <w:spacing w:before="0" w:beforeAutospacing="0" w:after="0" w:afterAutospacing="0"/>
                    <w:ind w:left="0" w:right="0"/>
                    <w:rPr>
                      <w:rFonts w:eastAsia="宋体" w:hint="eastAsia"/>
                      <w:color w:val="auto"/>
                      <w:highlight w:val="none"/>
                      <w:lang w:val="en-US" w:eastAsia="zh-CN"/>
                    </w:rPr>
                  </w:pPr>
                  <w:r>
                    <w:rPr>
                      <w:rFonts w:hint="eastAsia"/>
                      <w:color w:val="auto"/>
                      <w:highlight w:val="none"/>
                    </w:rPr>
                    <w:t>安镜桥</w:t>
                  </w:r>
                  <w:r>
                    <w:rPr>
                      <w:rFonts w:hint="eastAsia"/>
                      <w:color w:val="auto"/>
                      <w:highlight w:val="none"/>
                      <w:lang w:val="en-US" w:eastAsia="zh-CN"/>
                    </w:rPr>
                    <w:t>村</w:t>
                  </w:r>
                </w:p>
              </w:tc>
              <w:tc>
                <w:tcPr>
                  <w:tcW w:w="633" w:type="pct"/>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东北侧</w:t>
                  </w:r>
                </w:p>
              </w:tc>
              <w:tc>
                <w:tcPr>
                  <w:tcW w:w="1693" w:type="dxa"/>
                  <w:vAlign w:val="center"/>
                </w:tcPr>
                <w:p>
                  <w:pPr>
                    <w:pStyle w:val="a10"/>
                    <w:keepNext w:val="0"/>
                    <w:keepLines w:val="0"/>
                    <w:suppressLineNumbers w:val="0"/>
                    <w:spacing w:before="0" w:beforeAutospacing="0" w:after="0" w:afterAutospacing="0"/>
                    <w:ind w:left="0" w:right="0" w:leftChars="0" w:rightChars="0"/>
                    <w:rPr>
                      <w:rFonts w:hint="default"/>
                      <w:color w:val="auto"/>
                      <w:highlight w:val="none"/>
                    </w:rPr>
                  </w:pPr>
                  <w:r>
                    <w:rPr>
                      <w:rFonts w:hint="eastAsia"/>
                      <w:color w:val="auto"/>
                      <w:highlight w:val="none"/>
                    </w:rPr>
                    <w:t>270</w:t>
                  </w:r>
                </w:p>
              </w:tc>
              <w:tc>
                <w:tcPr>
                  <w:tcW w:w="1717" w:type="pct"/>
                  <w:vMerge/>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p>
              </w:tc>
            </w:tr>
            <w:tr>
              <w:tblPrEx>
                <w:tblW w:w="4998" w:type="pct"/>
                <w:jc w:val="center"/>
                <w:tblLayout w:type="fixed"/>
                <w:tblCellMar>
                  <w:top w:w="0" w:type="dxa"/>
                  <w:left w:w="108" w:type="dxa"/>
                  <w:bottom w:w="0" w:type="dxa"/>
                  <w:right w:w="108" w:type="dxa"/>
                </w:tblCellMar>
              </w:tblPrEx>
              <w:trPr>
                <w:trHeight w:val="340"/>
                <w:jc w:val="center"/>
              </w:trPr>
              <w:tc>
                <w:tcPr>
                  <w:tcW w:w="664" w:type="pct"/>
                  <w:vMerge/>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p>
              </w:tc>
              <w:tc>
                <w:tcPr>
                  <w:tcW w:w="964" w:type="pct"/>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溪东村</w:t>
                  </w:r>
                </w:p>
              </w:tc>
              <w:tc>
                <w:tcPr>
                  <w:tcW w:w="633" w:type="pct"/>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东南侧</w:t>
                  </w:r>
                </w:p>
              </w:tc>
              <w:tc>
                <w:tcPr>
                  <w:tcW w:w="1693" w:type="dxa"/>
                  <w:vAlign w:val="center"/>
                </w:tcPr>
                <w:p>
                  <w:pPr>
                    <w:pStyle w:val="a10"/>
                    <w:keepNext w:val="0"/>
                    <w:keepLines w:val="0"/>
                    <w:suppressLineNumbers w:val="0"/>
                    <w:spacing w:before="0" w:beforeAutospacing="0" w:after="0" w:afterAutospacing="0"/>
                    <w:ind w:left="0" w:right="0" w:leftChars="0" w:rightChars="0"/>
                    <w:rPr>
                      <w:rFonts w:hint="default"/>
                      <w:color w:val="auto"/>
                      <w:highlight w:val="none"/>
                    </w:rPr>
                  </w:pPr>
                  <w:r>
                    <w:rPr>
                      <w:rFonts w:hint="eastAsia"/>
                      <w:color w:val="auto"/>
                      <w:highlight w:val="none"/>
                    </w:rPr>
                    <w:t>5</w:t>
                  </w:r>
                  <w:r>
                    <w:rPr>
                      <w:rFonts w:hint="default"/>
                      <w:color w:val="auto"/>
                      <w:highlight w:val="none"/>
                    </w:rPr>
                    <w:t>20</w:t>
                  </w:r>
                </w:p>
              </w:tc>
              <w:tc>
                <w:tcPr>
                  <w:tcW w:w="1717" w:type="pct"/>
                  <w:vMerge/>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p>
              </w:tc>
            </w:tr>
            <w:tr>
              <w:tblPrEx>
                <w:tblW w:w="4998" w:type="pct"/>
                <w:jc w:val="center"/>
                <w:tblLayout w:type="fixed"/>
                <w:tblCellMar>
                  <w:top w:w="0" w:type="dxa"/>
                  <w:left w:w="108" w:type="dxa"/>
                  <w:bottom w:w="0" w:type="dxa"/>
                  <w:right w:w="108" w:type="dxa"/>
                </w:tblCellMar>
              </w:tblPrEx>
              <w:trPr>
                <w:trHeight w:val="340"/>
                <w:jc w:val="center"/>
              </w:trPr>
              <w:tc>
                <w:tcPr>
                  <w:tcW w:w="664" w:type="pct"/>
                  <w:vMerge/>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p>
              </w:tc>
              <w:tc>
                <w:tcPr>
                  <w:tcW w:w="964" w:type="pct"/>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洋中村</w:t>
                  </w:r>
                </w:p>
              </w:tc>
              <w:tc>
                <w:tcPr>
                  <w:tcW w:w="633" w:type="pct"/>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东北侧</w:t>
                  </w:r>
                </w:p>
              </w:tc>
              <w:tc>
                <w:tcPr>
                  <w:tcW w:w="1693" w:type="dxa"/>
                  <w:vAlign w:val="center"/>
                </w:tcPr>
                <w:p>
                  <w:pPr>
                    <w:pStyle w:val="a10"/>
                    <w:keepNext w:val="0"/>
                    <w:keepLines w:val="0"/>
                    <w:suppressLineNumbers w:val="0"/>
                    <w:spacing w:before="0" w:beforeAutospacing="0" w:after="0" w:afterAutospacing="0"/>
                    <w:ind w:left="0" w:right="0" w:leftChars="0" w:rightChars="0"/>
                    <w:rPr>
                      <w:rFonts w:hint="default"/>
                      <w:color w:val="auto"/>
                      <w:highlight w:val="none"/>
                    </w:rPr>
                  </w:pPr>
                  <w:r>
                    <w:rPr>
                      <w:rFonts w:hint="eastAsia"/>
                      <w:color w:val="auto"/>
                      <w:highlight w:val="none"/>
                    </w:rPr>
                    <w:t>4</w:t>
                  </w:r>
                  <w:r>
                    <w:rPr>
                      <w:rFonts w:hint="default"/>
                      <w:color w:val="auto"/>
                      <w:highlight w:val="none"/>
                    </w:rPr>
                    <w:t>74</w:t>
                  </w:r>
                </w:p>
              </w:tc>
              <w:tc>
                <w:tcPr>
                  <w:tcW w:w="1717" w:type="pct"/>
                  <w:vMerge/>
                  <w:vAlign w:val="center"/>
                </w:tcPr>
                <w:p>
                  <w:pPr>
                    <w:pStyle w:val="a10"/>
                    <w:keepNext w:val="0"/>
                    <w:keepLines w:val="0"/>
                    <w:suppressLineNumbers w:val="0"/>
                    <w:spacing w:before="0" w:beforeAutospacing="0" w:after="0" w:afterAutospacing="0"/>
                    <w:ind w:left="0" w:right="0"/>
                    <w:rPr>
                      <w:rFonts w:hint="default"/>
                      <w:color w:val="auto"/>
                      <w:highlight w:val="none"/>
                    </w:rPr>
                  </w:pPr>
                </w:p>
              </w:tc>
            </w:tr>
            <w:tr>
              <w:tblPrEx>
                <w:tblW w:w="4998" w:type="pct"/>
                <w:jc w:val="center"/>
                <w:tblLayout w:type="fixed"/>
                <w:tblCellMar>
                  <w:top w:w="0" w:type="dxa"/>
                  <w:left w:w="108" w:type="dxa"/>
                  <w:bottom w:w="0" w:type="dxa"/>
                  <w:right w:w="108" w:type="dxa"/>
                </w:tblCellMar>
              </w:tblPrEx>
              <w:trPr>
                <w:trHeight w:val="340"/>
                <w:jc w:val="center"/>
              </w:trPr>
              <w:tc>
                <w:tcPr>
                  <w:tcW w:w="664" w:type="pct"/>
                  <w:vMerge w:val="restar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地表水环境</w:t>
                  </w:r>
                </w:p>
              </w:tc>
              <w:tc>
                <w:tcPr>
                  <w:tcW w:w="964" w:type="pct"/>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龙江</w:t>
                  </w:r>
                </w:p>
              </w:tc>
              <w:tc>
                <w:tcPr>
                  <w:tcW w:w="633" w:type="pct"/>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南侧</w:t>
                  </w:r>
                </w:p>
              </w:tc>
              <w:tc>
                <w:tcPr>
                  <w:tcW w:w="1693" w:type="dxa"/>
                  <w:vAlign w:val="center"/>
                </w:tcPr>
                <w:p>
                  <w:pPr>
                    <w:pStyle w:val="a10"/>
                    <w:keepNext w:val="0"/>
                    <w:keepLines w:val="0"/>
                    <w:suppressLineNumbers w:val="0"/>
                    <w:spacing w:before="0" w:beforeAutospacing="0" w:after="0" w:afterAutospacing="0"/>
                    <w:ind w:left="0" w:right="0" w:leftChars="0" w:rightChars="0"/>
                    <w:rPr>
                      <w:rFonts w:hint="default"/>
                      <w:color w:val="auto"/>
                      <w:highlight w:val="none"/>
                    </w:rPr>
                  </w:pPr>
                  <w:r>
                    <w:rPr>
                      <w:rFonts w:hint="eastAsia"/>
                      <w:color w:val="auto"/>
                      <w:highlight w:val="none"/>
                    </w:rPr>
                    <w:t>6810</w:t>
                  </w:r>
                </w:p>
              </w:tc>
              <w:tc>
                <w:tcPr>
                  <w:tcW w:w="1717" w:type="pct"/>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《地表水环境质量标准》（GB3838-2002）中Ⅴ类标准</w:t>
                  </w:r>
                </w:p>
              </w:tc>
            </w:tr>
            <w:tr>
              <w:tblPrEx>
                <w:tblW w:w="4998" w:type="pct"/>
                <w:jc w:val="center"/>
                <w:tblLayout w:type="fixed"/>
                <w:tblCellMar>
                  <w:top w:w="0" w:type="dxa"/>
                  <w:left w:w="108" w:type="dxa"/>
                  <w:bottom w:w="0" w:type="dxa"/>
                  <w:right w:w="108" w:type="dxa"/>
                </w:tblCellMar>
              </w:tblPrEx>
              <w:trPr>
                <w:trHeight w:val="340"/>
                <w:jc w:val="center"/>
              </w:trPr>
              <w:tc>
                <w:tcPr>
                  <w:tcW w:w="664" w:type="pct"/>
                  <w:vMerge/>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p>
              </w:tc>
              <w:tc>
                <w:tcPr>
                  <w:tcW w:w="964" w:type="pct"/>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大北溪</w:t>
                  </w:r>
                </w:p>
              </w:tc>
              <w:tc>
                <w:tcPr>
                  <w:tcW w:w="633" w:type="pct"/>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东南侧</w:t>
                  </w:r>
                </w:p>
              </w:tc>
              <w:tc>
                <w:tcPr>
                  <w:tcW w:w="1693" w:type="dxa"/>
                  <w:vAlign w:val="center"/>
                </w:tcPr>
                <w:p>
                  <w:pPr>
                    <w:pStyle w:val="a10"/>
                    <w:keepNext w:val="0"/>
                    <w:keepLines w:val="0"/>
                    <w:suppressLineNumbers w:val="0"/>
                    <w:spacing w:before="0" w:beforeAutospacing="0" w:after="0" w:afterAutospacing="0"/>
                    <w:ind w:left="0" w:right="0" w:leftChars="0" w:rightChars="0"/>
                    <w:rPr>
                      <w:rFonts w:hint="default"/>
                      <w:color w:val="auto"/>
                      <w:highlight w:val="none"/>
                    </w:rPr>
                  </w:pPr>
                  <w:r>
                    <w:rPr>
                      <w:rFonts w:hint="eastAsia"/>
                      <w:color w:val="auto"/>
                      <w:highlight w:val="none"/>
                    </w:rPr>
                    <w:t>1225</w:t>
                  </w:r>
                </w:p>
              </w:tc>
              <w:tc>
                <w:tcPr>
                  <w:tcW w:w="1717" w:type="pct"/>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《地表水环境质量标准》（GB3838-2002）中Ⅳ类标准</w:t>
                  </w:r>
                </w:p>
              </w:tc>
            </w:tr>
            <w:tr>
              <w:tblPrEx>
                <w:tblW w:w="4998" w:type="pct"/>
                <w:jc w:val="center"/>
                <w:tblLayout w:type="fixed"/>
                <w:tblCellMar>
                  <w:top w:w="0" w:type="dxa"/>
                  <w:left w:w="108" w:type="dxa"/>
                  <w:bottom w:w="0" w:type="dxa"/>
                  <w:right w:w="108" w:type="dxa"/>
                </w:tblCellMar>
              </w:tblPrEx>
              <w:trPr>
                <w:trHeight w:val="340"/>
                <w:jc w:val="center"/>
              </w:trPr>
              <w:tc>
                <w:tcPr>
                  <w:tcW w:w="664" w:type="pct"/>
                  <w:vMerge/>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p>
              </w:tc>
              <w:tc>
                <w:tcPr>
                  <w:tcW w:w="964" w:type="pct"/>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新局调节库水源保护区</w:t>
                  </w:r>
                </w:p>
              </w:tc>
              <w:tc>
                <w:tcPr>
                  <w:tcW w:w="633" w:type="pct"/>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西南侧</w:t>
                  </w:r>
                </w:p>
              </w:tc>
              <w:tc>
                <w:tcPr>
                  <w:tcW w:w="1693" w:type="dxa"/>
                  <w:vAlign w:val="center"/>
                </w:tcPr>
                <w:p>
                  <w:pPr>
                    <w:pStyle w:val="a10"/>
                    <w:keepNext w:val="0"/>
                    <w:keepLines w:val="0"/>
                    <w:suppressLineNumbers w:val="0"/>
                    <w:spacing w:before="0" w:beforeAutospacing="0" w:after="0" w:afterAutospacing="0"/>
                    <w:ind w:left="0" w:right="0" w:leftChars="0" w:rightChars="0"/>
                    <w:rPr>
                      <w:rFonts w:hint="default"/>
                      <w:color w:val="auto"/>
                      <w:highlight w:val="none"/>
                    </w:rPr>
                  </w:pPr>
                  <w:r>
                    <w:rPr>
                      <w:rFonts w:hint="eastAsia"/>
                      <w:color w:val="auto"/>
                      <w:highlight w:val="none"/>
                      <w:lang w:val="en-US" w:eastAsia="zh-CN"/>
                    </w:rPr>
                    <w:t>201</w:t>
                  </w:r>
                </w:p>
              </w:tc>
              <w:tc>
                <w:tcPr>
                  <w:tcW w:w="1717" w:type="pct"/>
                  <w:vAlign w:val="center"/>
                </w:tcPr>
                <w:p>
                  <w:pPr>
                    <w:pStyle w:val="a10"/>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《地表水环境质量标准》（GB3838-2002）中Ⅱ类标准</w:t>
                  </w:r>
                </w:p>
              </w:tc>
            </w:tr>
            <w:tr>
              <w:tblPrEx>
                <w:tblW w:w="4998" w:type="pct"/>
                <w:jc w:val="center"/>
                <w:tblLayout w:type="fixed"/>
                <w:tblCellMar>
                  <w:top w:w="0" w:type="dxa"/>
                  <w:left w:w="108" w:type="dxa"/>
                  <w:bottom w:w="0" w:type="dxa"/>
                  <w:right w:w="108" w:type="dxa"/>
                </w:tblCellMar>
              </w:tblPrEx>
              <w:trPr>
                <w:trHeight w:val="340"/>
                <w:jc w:val="center"/>
              </w:trPr>
              <w:tc>
                <w:tcPr>
                  <w:tcW w:w="664"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声环境</w:t>
                  </w:r>
                </w:p>
              </w:tc>
              <w:tc>
                <w:tcPr>
                  <w:tcW w:w="2619" w:type="pct"/>
                  <w:gridSpan w:val="3"/>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highlight w:val="none"/>
                    </w:rPr>
                    <w:t>厂界外50m范围内无声环境保护目标</w:t>
                  </w:r>
                </w:p>
              </w:tc>
              <w:tc>
                <w:tcPr>
                  <w:tcW w:w="1717"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w:t>
                  </w:r>
                </w:p>
              </w:tc>
            </w:tr>
            <w:tr>
              <w:tblPrEx>
                <w:tblW w:w="4998" w:type="pct"/>
                <w:jc w:val="center"/>
                <w:tblLayout w:type="fixed"/>
                <w:tblCellMar>
                  <w:top w:w="0" w:type="dxa"/>
                  <w:left w:w="108" w:type="dxa"/>
                  <w:bottom w:w="0" w:type="dxa"/>
                  <w:right w:w="108" w:type="dxa"/>
                </w:tblCellMar>
              </w:tblPrEx>
              <w:trPr>
                <w:trHeight w:val="340"/>
                <w:jc w:val="center"/>
              </w:trPr>
              <w:tc>
                <w:tcPr>
                  <w:tcW w:w="664"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地下水环境</w:t>
                  </w:r>
                </w:p>
              </w:tc>
              <w:tc>
                <w:tcPr>
                  <w:tcW w:w="2619" w:type="pct"/>
                  <w:gridSpan w:val="3"/>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厂界外</w:t>
                  </w:r>
                  <w:r>
                    <w:rPr>
                      <w:rFonts w:hint="eastAsia"/>
                      <w:color w:val="auto"/>
                      <w:szCs w:val="21"/>
                      <w:highlight w:val="none"/>
                    </w:rPr>
                    <w:t>500m范围内</w:t>
                  </w:r>
                  <w:r>
                    <w:rPr>
                      <w:rFonts w:hint="default"/>
                      <w:color w:val="auto"/>
                      <w:szCs w:val="21"/>
                      <w:highlight w:val="none"/>
                    </w:rPr>
                    <w:t>无地下水环境保护目标</w:t>
                  </w:r>
                </w:p>
              </w:tc>
              <w:tc>
                <w:tcPr>
                  <w:tcW w:w="1717"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w:t>
                  </w:r>
                </w:p>
              </w:tc>
            </w:tr>
            <w:tr>
              <w:tblPrEx>
                <w:tblW w:w="4998" w:type="pct"/>
                <w:jc w:val="center"/>
                <w:tblLayout w:type="fixed"/>
                <w:tblCellMar>
                  <w:top w:w="0" w:type="dxa"/>
                  <w:left w:w="108" w:type="dxa"/>
                  <w:bottom w:w="0" w:type="dxa"/>
                  <w:right w:w="108" w:type="dxa"/>
                </w:tblCellMar>
              </w:tblPrEx>
              <w:trPr>
                <w:trHeight w:val="340"/>
                <w:jc w:val="center"/>
              </w:trPr>
              <w:tc>
                <w:tcPr>
                  <w:tcW w:w="664"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生态环境</w:t>
                  </w:r>
                </w:p>
              </w:tc>
              <w:tc>
                <w:tcPr>
                  <w:tcW w:w="2619" w:type="pct"/>
                  <w:gridSpan w:val="3"/>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本项目位于</w:t>
                  </w:r>
                  <w:r>
                    <w:rPr>
                      <w:rFonts w:hint="eastAsia"/>
                      <w:color w:val="auto"/>
                      <w:highlight w:val="none"/>
                    </w:rPr>
                    <w:t>福建省福州市福清市阳下街道</w:t>
                  </w:r>
                  <w:r>
                    <w:rPr>
                      <w:rFonts w:hint="eastAsia"/>
                      <w:color w:val="auto"/>
                      <w:highlight w:val="none"/>
                      <w:lang w:eastAsia="zh-CN"/>
                    </w:rPr>
                    <w:t>******</w:t>
                  </w:r>
                  <w:r>
                    <w:rPr>
                      <w:rFonts w:hint="eastAsia"/>
                      <w:color w:val="auto"/>
                      <w:highlight w:val="none"/>
                    </w:rPr>
                    <w:t>村</w:t>
                  </w:r>
                  <w:r>
                    <w:rPr>
                      <w:rFonts w:hint="eastAsia"/>
                      <w:color w:val="auto"/>
                      <w:szCs w:val="21"/>
                      <w:highlight w:val="none"/>
                    </w:rPr>
                    <w:t>，租用</w:t>
                  </w:r>
                  <w:r>
                    <w:rPr>
                      <w:rFonts w:hint="eastAsia"/>
                      <w:color w:val="auto"/>
                      <w:szCs w:val="21"/>
                      <w:highlight w:val="none"/>
                      <w:lang w:eastAsia="zh-CN"/>
                    </w:rPr>
                    <w:t>********</w:t>
                  </w:r>
                  <w:r>
                    <w:rPr>
                      <w:rFonts w:hint="eastAsia"/>
                      <w:color w:val="auto"/>
                      <w:szCs w:val="21"/>
                      <w:highlight w:val="none"/>
                    </w:rPr>
                    <w:t>印刷制品有限公司1#厂房进行生产活动</w:t>
                  </w:r>
                  <w:r>
                    <w:rPr>
                      <w:rFonts w:hint="default"/>
                      <w:color w:val="auto"/>
                      <w:szCs w:val="21"/>
                      <w:highlight w:val="none"/>
                    </w:rPr>
                    <w:t>，不新增用地，无生态环境保护目标</w:t>
                  </w:r>
                </w:p>
              </w:tc>
              <w:tc>
                <w:tcPr>
                  <w:tcW w:w="1717" w:type="pct"/>
                  <w:vAlign w:val="center"/>
                </w:tcPr>
                <w:p>
                  <w:pPr>
                    <w:pStyle w:val="H"/>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w:t>
                  </w:r>
                </w:p>
              </w:tc>
            </w:tr>
          </w:tbl>
          <w:p>
            <w:pPr>
              <w:keepNext/>
              <w:keepLines w:val="0"/>
              <w:suppressLineNumbers w:val="0"/>
              <w:spacing w:before="0" w:beforeAutospacing="0" w:after="0" w:afterAutospacing="0" w:line="360" w:lineRule="auto"/>
              <w:ind w:left="0" w:right="0"/>
              <w:jc w:val="center"/>
              <w:rPr>
                <w:rFonts w:hint="default"/>
                <w:b/>
                <w:bCs/>
                <w:color w:val="auto"/>
                <w:sz w:val="24"/>
                <w:highlight w:val="none"/>
                <w:shd w:val="clear" w:color="auto" w:fill="FFFFFF"/>
              </w:rPr>
            </w:pPr>
          </w:p>
          <w:p>
            <w:pPr>
              <w:pStyle w:val="NormalIndent"/>
              <w:keepNext w:val="0"/>
              <w:keepLines w:val="0"/>
              <w:suppressLineNumbers w:val="0"/>
              <w:spacing w:before="0" w:beforeAutospacing="0" w:after="0" w:afterAutospacing="0"/>
              <w:ind w:left="0" w:right="0" w:firstLine="0" w:firstLineChars="0"/>
              <w:rPr>
                <w:rFonts w:hint="default"/>
                <w:color w:val="auto"/>
                <w:kern w:val="0"/>
                <w:szCs w:val="21"/>
                <w:highlight w:val="none"/>
              </w:rPr>
            </w:pPr>
          </w:p>
        </w:tc>
      </w:tr>
      <w:tr>
        <w:tblPrEx>
          <w:tblW w:w="0" w:type="auto"/>
          <w:jc w:val="center"/>
          <w:tblLayout w:type="fixed"/>
          <w:tblCellMar>
            <w:top w:w="0" w:type="dxa"/>
            <w:left w:w="108" w:type="dxa"/>
            <w:bottom w:w="0" w:type="dxa"/>
            <w:right w:w="108" w:type="dxa"/>
          </w:tblCellMar>
        </w:tblPrEx>
        <w:trPr>
          <w:trHeight w:val="934"/>
          <w:jc w:val="center"/>
        </w:trPr>
        <w:tc>
          <w:tcPr>
            <w:tcW w:w="678" w:type="dxa"/>
            <w:tcMar>
              <w:left w:w="28" w:type="dxa"/>
              <w:right w:w="28" w:type="dxa"/>
            </w:tcMar>
            <w:vAlign w:val="center"/>
          </w:tcPr>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污染</w:t>
            </w:r>
          </w:p>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物排</w:t>
            </w:r>
          </w:p>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放控</w:t>
            </w:r>
          </w:p>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制标</w:t>
            </w:r>
          </w:p>
          <w:p>
            <w:pPr>
              <w:keepNext w:val="0"/>
              <w:keepLines w:val="0"/>
              <w:suppressLineNumbers w:val="0"/>
              <w:adjustRightInd w:val="0"/>
              <w:snapToGrid w:val="0"/>
              <w:spacing w:before="0" w:beforeAutospacing="0" w:after="0" w:afterAutospacing="0"/>
              <w:ind w:left="0" w:right="0"/>
              <w:jc w:val="center"/>
              <w:rPr>
                <w:rFonts w:hint="default"/>
                <w:color w:val="auto"/>
                <w:kern w:val="0"/>
                <w:szCs w:val="21"/>
                <w:highlight w:val="none"/>
              </w:rPr>
            </w:pPr>
            <w:r>
              <w:rPr>
                <w:rFonts w:hint="default"/>
                <w:color w:val="auto"/>
                <w:kern w:val="0"/>
                <w:szCs w:val="21"/>
                <w:highlight w:val="none"/>
              </w:rPr>
              <w:t>准</w:t>
            </w:r>
          </w:p>
        </w:tc>
        <w:tc>
          <w:tcPr>
            <w:tcW w:w="8504" w:type="dxa"/>
            <w:vAlign w:val="center"/>
          </w:tcPr>
          <w:p>
            <w:pPr>
              <w:pStyle w:val="Heading2"/>
              <w:suppressLineNumbers w:val="0"/>
              <w:spacing w:before="120" w:beforeAutospacing="0" w:after="120" w:afterAutospacing="0"/>
              <w:ind w:left="0" w:right="0"/>
              <w:rPr>
                <w:rFonts w:hint="default"/>
                <w:color w:val="auto"/>
                <w:kern w:val="2"/>
                <w:highlight w:val="none"/>
              </w:rPr>
            </w:pPr>
            <w:r>
              <w:rPr>
                <w:rFonts w:hint="default"/>
                <w:color w:val="auto"/>
                <w:kern w:val="2"/>
                <w:highlight w:val="none"/>
              </w:rPr>
              <w:t>3.3 污染物排放标准</w:t>
            </w:r>
          </w:p>
          <w:p>
            <w:pPr>
              <w:pStyle w:val="Heading3"/>
              <w:keepNext w:val="0"/>
              <w:keepLines w:val="0"/>
              <w:suppressLineNumbers w:val="0"/>
              <w:spacing w:before="120" w:beforeAutospacing="0" w:after="120" w:afterAutospacing="0"/>
              <w:ind w:left="0" w:right="0"/>
              <w:rPr>
                <w:rFonts w:hint="default"/>
                <w:color w:val="auto"/>
                <w:highlight w:val="none"/>
              </w:rPr>
            </w:pPr>
            <w:r>
              <w:rPr>
                <w:rFonts w:hint="default"/>
                <w:color w:val="auto"/>
                <w:highlight w:val="none"/>
              </w:rPr>
              <w:t>3.3.1 水污染物排放标准</w:t>
            </w:r>
          </w:p>
          <w:p>
            <w:pPr>
              <w:pStyle w:val="a5"/>
              <w:keepNext w:val="0"/>
              <w:keepLines w:val="0"/>
              <w:suppressLineNumbers w:val="0"/>
              <w:spacing w:before="0" w:beforeAutospacing="0" w:after="0" w:afterAutospacing="0"/>
              <w:ind w:left="0" w:right="0"/>
              <w:rPr>
                <w:rFonts w:cs="Times New Roman" w:hint="default"/>
                <w:color w:val="auto"/>
                <w:highlight w:val="none"/>
              </w:rPr>
            </w:pPr>
            <w:r>
              <w:rPr>
                <w:rFonts w:cs="Times New Roman" w:hint="default"/>
                <w:color w:val="auto"/>
                <w:highlight w:val="none"/>
              </w:rPr>
              <w:t>（1）项目水污染物排放标准</w:t>
            </w:r>
          </w:p>
          <w:p>
            <w:pPr>
              <w:pStyle w:val="NormalIndent"/>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扩建后</w:t>
            </w:r>
            <w:r>
              <w:rPr>
                <w:rFonts w:hint="default"/>
                <w:color w:val="auto"/>
                <w:highlight w:val="none"/>
              </w:rPr>
              <w:t>项目</w:t>
            </w:r>
            <w:r>
              <w:rPr>
                <w:rFonts w:hint="eastAsia"/>
                <w:color w:val="auto"/>
                <w:highlight w:val="none"/>
              </w:rPr>
              <w:t>的生产废水经“调节池+高效气浮系统+水解酸化池+接触氧化池+竖流沉淀池”（处理规模为6m</w:t>
            </w:r>
            <w:r>
              <w:rPr>
                <w:rFonts w:hint="eastAsia"/>
                <w:color w:val="auto"/>
                <w:highlight w:val="none"/>
                <w:vertAlign w:val="superscript"/>
              </w:rPr>
              <w:t>3</w:t>
            </w:r>
            <w:r>
              <w:rPr>
                <w:rFonts w:hint="eastAsia"/>
                <w:color w:val="auto"/>
                <w:highlight w:val="none"/>
              </w:rPr>
              <w:t>/d）处理达标后与经化粪池处理达标的职工生活污水排入市政污水管网，纳入福清融元污水处理厂集中处理，处理后的生产废水和生活污水可达到《污水综合排放标准》（GB8978-1996）表4三级标准，其中氨氮执行《污水排入城镇下水道水质标准》（GB/T 31962-2015）表1中B级标准。</w:t>
            </w:r>
          </w:p>
          <w:p>
            <w:pPr>
              <w:pStyle w:val="NormalIndent"/>
              <w:keepNext w:val="0"/>
              <w:keepLines w:val="0"/>
              <w:suppressLineNumbers w:val="0"/>
              <w:spacing w:before="0" w:beforeAutospacing="0" w:after="0" w:afterAutospacing="0"/>
              <w:ind w:left="0" w:right="0" w:firstLine="480"/>
              <w:rPr>
                <w:rFonts w:hint="default"/>
                <w:color w:val="auto"/>
                <w:highlight w:val="none"/>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https://d.book118.com/167023010053006053</w:t>
        </w:r>
      </w:hyperlink>
    </w:p>
    <w:p/>
    <w:sectPr>
      <w:footerReference w:type="default" r:id="rId51"/>
      <w:type w:val="nextPage"/>
      <w:pgSz w:w="11907" w:h="16840"/>
      <w:pgMar w:top="1417" w:right="1417" w:bottom="1417" w:left="1417" w:header="992" w:footer="992" w:gutter="0"/>
      <w:pgBorders>
        <w:top w:val="none" w:sz="0" w:space="0" w:color="auto"/>
        <w:left w:val="none" w:sz="0" w:space="0" w:color="auto"/>
        <w:bottom w:val="none" w:sz="0" w:space="0" w:color="auto"/>
        <w:right w:val="none" w:sz="0" w:space="0" w:color="auto"/>
      </w:pgBorders>
      <w:pgNumType w:start="30"/>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4" name="文本框 20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6"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88157250" name="文本框 20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6"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6213078" name="文本框 20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6"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15395846" name="文本框 20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5</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6"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04200737" name="文本框 20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5</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6"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83541820" name="文本框 20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6</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6"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19722857" name="文本框 20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6"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95558175" name="文本框 20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6"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881737489" name="文本框 20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6"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5830782" name="文本框 20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6"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943797655" name="文本框 20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6</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6"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89158344" name="文本框 20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6</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6"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7</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07817844"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9</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1719683"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9</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2958961"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10</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1884694"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6550157"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12</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4402921"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718102132"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740415"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15</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731750844"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16</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4573920"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18</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9814374"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18</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65"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19</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v:textbox style="mso-fit-shape-to-text:t" inset="0,0,0,0">
                <w:txbxContent>
                  <w:p>
                    <w:pPr>
                      <w:pStyle w:val="Footer"/>
                    </w:pPr>
                    <w:r>
                      <w:fldChar w:fldCharType="begin"/>
                    </w:r>
                    <w:r>
                      <w:instrText xml:space="preserve"> PAGE  \* MERGEFORMAT </w:instrText>
                    </w:r>
                    <w:r>
                      <w:fldChar w:fldCharType="separate"/>
                    </w:r>
                    <w:r>
                      <w:t>19</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8626541"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20</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v:textbox style="mso-fit-shape-to-text:t" inset="0,0,0,0">
                <w:txbxContent>
                  <w:p>
                    <w:pPr>
                      <w:pStyle w:val="Footer"/>
                    </w:pPr>
                    <w:r>
                      <w:fldChar w:fldCharType="begin"/>
                    </w:r>
                    <w:r>
                      <w:instrText xml:space="preserve"> PAGE  \* MERGEFORMAT </w:instrText>
                    </w:r>
                    <w:r>
                      <w:fldChar w:fldCharType="separate"/>
                    </w:r>
                    <w:r>
                      <w:t>20</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2653452"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1466232"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23</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v:textbox style="mso-fit-shape-to-text:t" inset="0,0,0,0">
                <w:txbxContent>
                  <w:p>
                    <w:pPr>
                      <w:pStyle w:val="Footer"/>
                    </w:pPr>
                    <w:r>
                      <w:fldChar w:fldCharType="begin"/>
                    </w:r>
                    <w:r>
                      <w:instrText xml:space="preserve"> PAGE  \* MERGEFORMAT </w:instrText>
                    </w:r>
                    <w:r>
                      <w:fldChar w:fldCharType="separate"/>
                    </w:r>
                    <w:r>
                      <w:t>23</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3269907"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23</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v:textbox style="mso-fit-shape-to-text:t" inset="0,0,0,0">
                <w:txbxContent>
                  <w:p>
                    <w:pPr>
                      <w:pStyle w:val="Footer"/>
                    </w:pPr>
                    <w:r>
                      <w:fldChar w:fldCharType="begin"/>
                    </w:r>
                    <w:r>
                      <w:instrText xml:space="preserve"> PAGE  \* MERGEFORMAT </w:instrText>
                    </w:r>
                    <w:r>
                      <w:fldChar w:fldCharType="separate"/>
                    </w:r>
                    <w:r>
                      <w:t>23</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52722546"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36174789"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25</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v:textbox style="mso-fit-shape-to-text:t" inset="0,0,0,0">
                <w:txbxContent>
                  <w:p>
                    <w:pPr>
                      <w:pStyle w:val="Footer"/>
                    </w:pPr>
                    <w:r>
                      <w:fldChar w:fldCharType="begin"/>
                    </w:r>
                    <w:r>
                      <w:instrText xml:space="preserve"> PAGE  \* MERGEFORMAT </w:instrText>
                    </w:r>
                    <w:r>
                      <w:fldChar w:fldCharType="separate"/>
                    </w:r>
                    <w:r>
                      <w:t>25</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49750902"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26</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v:textbox style="mso-fit-shape-to-text:t" inset="0,0,0,0">
                <w:txbxContent>
                  <w:p>
                    <w:pPr>
                      <w:pStyle w:val="Footer"/>
                    </w:pPr>
                    <w:r>
                      <w:fldChar w:fldCharType="begin"/>
                    </w:r>
                    <w:r>
                      <w:instrText xml:space="preserve"> PAGE  \* MERGEFORMAT </w:instrText>
                    </w:r>
                    <w:r>
                      <w:fldChar w:fldCharType="separate"/>
                    </w:r>
                    <w:r>
                      <w:t>26</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26772256"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27</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v:textbox style="mso-fit-shape-to-text:t" inset="0,0,0,0">
                <w:txbxContent>
                  <w:p>
                    <w:pPr>
                      <w:pStyle w:val="Footer"/>
                    </w:pPr>
                    <w:r>
                      <w:fldChar w:fldCharType="begin"/>
                    </w:r>
                    <w:r>
                      <w:instrText xml:space="preserve"> PAGE  \* MERGEFORMAT </w:instrText>
                    </w:r>
                    <w:r>
                      <w:fldChar w:fldCharType="separate"/>
                    </w:r>
                    <w:r>
                      <w:t>27</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6932479"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28</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v:textbox style="mso-fit-shape-to-text:t" inset="0,0,0,0">
                <w:txbxContent>
                  <w:p>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1879375"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30</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v:textbox style="mso-fit-shape-to-text:t" inset="0,0,0,0">
                <w:txbxContent>
                  <w:p>
                    <w:pPr>
                      <w:pStyle w:val="Footer"/>
                    </w:pPr>
                    <w:r>
                      <w:fldChar w:fldCharType="begin"/>
                    </w:r>
                    <w:r>
                      <w:instrText xml:space="preserve"> PAGE  \* MERGEFORMAT </w:instrText>
                    </w:r>
                    <w:r>
                      <w:fldChar w:fldCharType="separate"/>
                    </w:r>
                    <w:r>
                      <w:t>30</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p>
    <w:pPr>
      <w:pStyle w:val="Footer"/>
      <w:ind w:right="360" w:firstLine="360"/>
      <w:jc w:val="center"/>
    </w:pPr>
    <w: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862346229" name="文本框 20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31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57"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729920" filled="f" fillcolor="this" stroked="f">
              <v:textbox style="mso-fit-shape-to-text:t" inset="0,0,0,0">
                <w:txbxContent>
                  <w:p>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49EAC10"/>
    <w:multiLevelType w:val="singleLevel"/>
    <w:tmpl w:val="849EAC10"/>
    <w:lvl w:ilvl="0">
      <w:start w:val="1"/>
      <w:numFmt w:val="decimal"/>
      <w:suff w:val="nothing"/>
      <w:lvlText w:val="（%1）"/>
      <w:lvlJc w:val="left"/>
    </w:lvl>
  </w:abstractNum>
  <w:abstractNum w:abstractNumId="1">
    <w:nsid w:val="A2FDD880"/>
    <w:multiLevelType w:val="singleLevel"/>
    <w:tmpl w:val="A2FDD880"/>
    <w:lvl w:ilvl="0">
      <w:start w:val="3"/>
      <w:numFmt w:val="decimal"/>
      <w:suff w:val="nothing"/>
      <w:lvlText w:val="（%1）"/>
      <w:lvlJc w:val="left"/>
    </w:lvl>
  </w:abstractNum>
  <w:abstractNum w:abstractNumId="2">
    <w:nsid w:val="ED3BE0E5"/>
    <w:multiLevelType w:val="singleLevel"/>
    <w:tmpl w:val="ED3BE0E5"/>
    <w:lvl w:ilvl="0">
      <w:start w:val="1"/>
      <w:numFmt w:val="decimal"/>
      <w:suff w:val="nothing"/>
      <w:lvlText w:val="（%1）"/>
      <w:lvlJc w:val="left"/>
    </w:lvl>
  </w:abstractNum>
  <w:abstractNum w:abstractNumId="3">
    <w:nsid w:val="333DDE09"/>
    <w:multiLevelType w:val="singleLevel"/>
    <w:tmpl w:val="333DDE09"/>
    <w:lvl w:ilvl="0">
      <w:start w:val="2"/>
      <w:numFmt w:val="decimal"/>
      <w:pStyle w:val="a15"/>
      <w:lvlText w:val="(%1)"/>
      <w:lvlJc w:val="left"/>
      <w:pPr>
        <w:tabs>
          <w:tab w:val="left" w:pos="312"/>
        </w:tabs>
      </w:pPr>
    </w:lvl>
  </w:abstractNum>
  <w:abstractNum w:abstractNumId="4">
    <w:nsid w:val="37847B83"/>
    <w:multiLevelType w:val="singleLevel"/>
    <w:tmpl w:val="ED3BE0E5"/>
    <w:lvl w:ilvl="0">
      <w:start w:val="1"/>
      <w:numFmt w:val="decimal"/>
      <w:suff w:val="nothing"/>
      <w:lvlText w:val="（%1）"/>
      <w:lvlJc w:val="left"/>
    </w:lvl>
  </w:abstractNum>
  <w:abstractNum w:abstractNumId="5">
    <w:nsid w:val="5F2B18C3"/>
    <w:multiLevelType w:val="singleLevel"/>
    <w:tmpl w:val="ED3BE0E5"/>
    <w:lvl w:ilvl="0">
      <w:start w:val="1"/>
      <w:numFmt w:val="decimal"/>
      <w:suff w:val="nothing"/>
      <w:lvlText w:val="（%1）"/>
      <w:lvlJc w:val="left"/>
    </w:lvl>
  </w:abstractNum>
  <w:abstractNum w:abstractNumId="6">
    <w:nsid w:val="6B4A2BB0"/>
    <w:multiLevelType w:val="multilevel"/>
    <w:tmpl w:val="6B4A2BB0"/>
    <w:lvl w:ilvl="0">
      <w:start w:val="1"/>
      <w:numFmt w:val="decimal"/>
      <w:isLgl/>
      <w:suff w:val="space"/>
      <w:lvlText w:val="%1"/>
      <w:lvlJc w:val="left"/>
      <w:pPr>
        <w:ind w:left="0" w:firstLine="0"/>
      </w:pPr>
      <w:rPr>
        <w:rFonts w:hint="eastAsia"/>
      </w:rPr>
    </w:lvl>
    <w:lvl w:ilvl="1">
      <w:start w:val="1"/>
      <w:numFmt w:val="decimal"/>
      <w:isLgl/>
      <w:suff w:val="space"/>
      <w:lvlText w:val="%1.%2"/>
      <w:lvlJc w:val="left"/>
      <w:pPr>
        <w:ind w:left="0" w:firstLine="0"/>
      </w:pPr>
      <w:rPr>
        <w:rFonts w:hint="eastAsia"/>
      </w:rPr>
    </w:lvl>
    <w:lvl w:ilvl="2">
      <w:start w:val="1"/>
      <w:numFmt w:val="decimal"/>
      <w:isLgl/>
      <w:suff w:val="space"/>
      <w:lvlText w:val="%1.%2.%3"/>
      <w:lvlJc w:val="left"/>
      <w:pPr>
        <w:ind w:left="0" w:firstLine="0"/>
      </w:pPr>
      <w:rPr>
        <w:rFonts w:hint="eastAsia"/>
      </w:rPr>
    </w:lvl>
    <w:lvl w:ilvl="3">
      <w:start w:val="1"/>
      <w:numFmt w:val="decimal"/>
      <w:isLgl/>
      <w:suff w:val="space"/>
      <w:lvlText w:val="%1.%2.%3.%4"/>
      <w:lvlJc w:val="left"/>
      <w:pPr>
        <w:ind w:left="0" w:firstLine="0"/>
      </w:pPr>
      <w:rPr>
        <w:rFonts w:hint="eastAsia"/>
      </w:rPr>
    </w:lvl>
    <w:lvl w:ilvl="4">
      <w:start w:val="1"/>
      <w:numFmt w:val="decimal"/>
      <w:pStyle w:val="Heading5"/>
      <w:isLgl/>
      <w:suff w:val="space"/>
      <w:lvlText w:val="表%1.%2-%5"/>
      <w:lvlJc w:val="center"/>
      <w:pPr>
        <w:ind w:left="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0"/>
        <w:szCs w:val="0"/>
        <w:u w:val="none" w:color="000000"/>
        <w:shd w:val="clear" w:color="000000" w:fill="000000"/>
        <w:vertAlign w:val="baseline"/>
        <w:lang w:val="zh-CN" w:eastAsia="zh-CN" w:bidi="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legacyObliqueTopLeft"/>
          <w14:lightRig w14:rig="threePt" w14:dir="t">
            <w14:rot w14:lat="0" w14:lon="0" w14:rev="0"/>
          </w14:lightRig>
        </w14:scene3d>
        <w14:props3d/>
        <w14:ligatures w14:val="none"/>
        <w14:numForm w14:val="default"/>
        <w14:numSpacing w14:val="default"/>
      </w:rPr>
    </w:lvl>
    <w:lvl w:ilvl="5">
      <w:start w:val="1"/>
      <w:numFmt w:val="decimal"/>
      <w:isLgl/>
      <w:suff w:val="space"/>
      <w:lvlText w:val="图%1.%2-%6"/>
      <w:lvlJc w:val="center"/>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
    <w:nsid w:val="7258993C"/>
    <w:multiLevelType w:val="singleLevel"/>
    <w:tmpl w:val="ED3BE0E5"/>
    <w:lvl w:ilvl="0">
      <w:start w:val="1"/>
      <w:numFmt w:val="decimal"/>
      <w:suff w:val="nothing"/>
      <w:lvlText w:val="（%1）"/>
      <w:lvlJc w:val="left"/>
    </w:lvl>
  </w:abstractNum>
  <w:abstractNum w:abstractNumId="8">
    <w:nsid w:val="76020B75"/>
    <w:multiLevelType w:val="singleLevel"/>
    <w:tmpl w:val="ED3BE0E5"/>
    <w:lvl w:ilvl="0">
      <w:start w:val="1"/>
      <w:numFmt w:val="decimal"/>
      <w:suff w:val="nothing"/>
      <w:lvlText w:val="（%1）"/>
      <w:lvlJc w:val="left"/>
    </w:lvl>
  </w:abstractNum>
  <w:num w:numId="1">
    <w:abstractNumId w:val="6"/>
  </w:num>
  <w:num w:numId="2">
    <w:abstractNumId w:val="3"/>
  </w:num>
  <w:num w:numId="3">
    <w:abstractNumId w:val="2"/>
  </w:num>
  <w:num w:numId="4">
    <w:abstractNumId w:val="1"/>
  </w:num>
  <w:num w:numId="5">
    <w:abstractNumId w:val="0"/>
  </w:num>
  <w:num w:numId="6">
    <w:abstractNumId w:val="5"/>
  </w:num>
  <w:num w:numId="7">
    <w:abstractNumId w:val="4"/>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40"/>
  <w:displayBackgroundShape/>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cumentProtection w:edit="trackedChanges" w:enforcement="0"/>
  <w:defaultTabStop w:val="420"/>
  <w:doNotHyphenateCaps/>
  <w:drawingGridHorizontalSpacing w:val="105"/>
  <w:drawingGridVerticalSpacing w:val="163"/>
  <w:noPunctuationKerning/>
  <w:characterSpacingControl w:val="compressPunctuation"/>
  <w:noLineBreaksAfter w:lang="zh-CN" w:val="([{·‘“〈《「『【〔〖（．［｛￡￥"/>
  <w:noLineBreaksBefore w:lang="zh-CN" w:val="!),.:;?]}¨·ˇˉ―‖’”…∶、。〃々〉》」』】〕〗！＂＇），．：；？］｀｜｝～￠"/>
  <w:doNotEmbedSmartTags/>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60B3"/>
    <w:rsid w:val="00017FBD"/>
    <w:rsid w:val="00021FF8"/>
    <w:rsid w:val="0004364B"/>
    <w:rsid w:val="00061B1F"/>
    <w:rsid w:val="000733C4"/>
    <w:rsid w:val="00074783"/>
    <w:rsid w:val="0008070B"/>
    <w:rsid w:val="000810AC"/>
    <w:rsid w:val="00081A02"/>
    <w:rsid w:val="00082231"/>
    <w:rsid w:val="00092D38"/>
    <w:rsid w:val="0009377B"/>
    <w:rsid w:val="00096D97"/>
    <w:rsid w:val="000A20C9"/>
    <w:rsid w:val="000B058F"/>
    <w:rsid w:val="000B4467"/>
    <w:rsid w:val="000B4DB9"/>
    <w:rsid w:val="000C09AC"/>
    <w:rsid w:val="000C767F"/>
    <w:rsid w:val="000D5A44"/>
    <w:rsid w:val="000E2200"/>
    <w:rsid w:val="000E2E1E"/>
    <w:rsid w:val="000E3ED2"/>
    <w:rsid w:val="001151F1"/>
    <w:rsid w:val="00123EE3"/>
    <w:rsid w:val="00131F42"/>
    <w:rsid w:val="001357F1"/>
    <w:rsid w:val="00140FA8"/>
    <w:rsid w:val="00142506"/>
    <w:rsid w:val="00142FEB"/>
    <w:rsid w:val="00143A2D"/>
    <w:rsid w:val="00145A41"/>
    <w:rsid w:val="00151675"/>
    <w:rsid w:val="00157435"/>
    <w:rsid w:val="00170345"/>
    <w:rsid w:val="00172A27"/>
    <w:rsid w:val="0017504D"/>
    <w:rsid w:val="0017671A"/>
    <w:rsid w:val="00177422"/>
    <w:rsid w:val="00184590"/>
    <w:rsid w:val="001870D1"/>
    <w:rsid w:val="0018781E"/>
    <w:rsid w:val="00191E27"/>
    <w:rsid w:val="0019262D"/>
    <w:rsid w:val="001954D3"/>
    <w:rsid w:val="001A1B35"/>
    <w:rsid w:val="001A48A2"/>
    <w:rsid w:val="001A6F61"/>
    <w:rsid w:val="001B1A39"/>
    <w:rsid w:val="001B72B8"/>
    <w:rsid w:val="001C69B3"/>
    <w:rsid w:val="001D375A"/>
    <w:rsid w:val="001D5595"/>
    <w:rsid w:val="001D7874"/>
    <w:rsid w:val="001D7F22"/>
    <w:rsid w:val="001F0F17"/>
    <w:rsid w:val="001F3347"/>
    <w:rsid w:val="001F69E4"/>
    <w:rsid w:val="00206963"/>
    <w:rsid w:val="002125B4"/>
    <w:rsid w:val="002155B8"/>
    <w:rsid w:val="00224839"/>
    <w:rsid w:val="002249B2"/>
    <w:rsid w:val="00226574"/>
    <w:rsid w:val="002278EC"/>
    <w:rsid w:val="0023280E"/>
    <w:rsid w:val="002377D1"/>
    <w:rsid w:val="0024145F"/>
    <w:rsid w:val="002506BC"/>
    <w:rsid w:val="0025148B"/>
    <w:rsid w:val="00254345"/>
    <w:rsid w:val="0025574F"/>
    <w:rsid w:val="00264557"/>
    <w:rsid w:val="00276BF2"/>
    <w:rsid w:val="002805AB"/>
    <w:rsid w:val="00284204"/>
    <w:rsid w:val="00286C18"/>
    <w:rsid w:val="00291773"/>
    <w:rsid w:val="002A168C"/>
    <w:rsid w:val="002A3DC7"/>
    <w:rsid w:val="002B49E2"/>
    <w:rsid w:val="002B7B00"/>
    <w:rsid w:val="002B7C44"/>
    <w:rsid w:val="002C2B17"/>
    <w:rsid w:val="002C6951"/>
    <w:rsid w:val="002D14B1"/>
    <w:rsid w:val="002D3DD0"/>
    <w:rsid w:val="002D63D6"/>
    <w:rsid w:val="002E1F3A"/>
    <w:rsid w:val="002E298A"/>
    <w:rsid w:val="00301978"/>
    <w:rsid w:val="0030332C"/>
    <w:rsid w:val="003051C2"/>
    <w:rsid w:val="00311F03"/>
    <w:rsid w:val="00312296"/>
    <w:rsid w:val="00314F0E"/>
    <w:rsid w:val="00321D8E"/>
    <w:rsid w:val="00325928"/>
    <w:rsid w:val="00331E77"/>
    <w:rsid w:val="00332863"/>
    <w:rsid w:val="0033684D"/>
    <w:rsid w:val="00337B42"/>
    <w:rsid w:val="00341B42"/>
    <w:rsid w:val="0034348F"/>
    <w:rsid w:val="00356653"/>
    <w:rsid w:val="0035743F"/>
    <w:rsid w:val="00357BE2"/>
    <w:rsid w:val="0036170C"/>
    <w:rsid w:val="00366500"/>
    <w:rsid w:val="00366E0F"/>
    <w:rsid w:val="00372996"/>
    <w:rsid w:val="00381A72"/>
    <w:rsid w:val="00384676"/>
    <w:rsid w:val="00390857"/>
    <w:rsid w:val="00396FA9"/>
    <w:rsid w:val="003A0E2A"/>
    <w:rsid w:val="003A4BF3"/>
    <w:rsid w:val="003B420D"/>
    <w:rsid w:val="003B7FB4"/>
    <w:rsid w:val="003C14D4"/>
    <w:rsid w:val="003C6C16"/>
    <w:rsid w:val="003D0351"/>
    <w:rsid w:val="003D0DAA"/>
    <w:rsid w:val="003D3520"/>
    <w:rsid w:val="003D4DA7"/>
    <w:rsid w:val="003D794D"/>
    <w:rsid w:val="003E3058"/>
    <w:rsid w:val="003E76A9"/>
    <w:rsid w:val="003F0809"/>
    <w:rsid w:val="003F6A8C"/>
    <w:rsid w:val="003F755C"/>
    <w:rsid w:val="00406844"/>
    <w:rsid w:val="00406F01"/>
    <w:rsid w:val="00416D50"/>
    <w:rsid w:val="00416FD5"/>
    <w:rsid w:val="00417772"/>
    <w:rsid w:val="004205AA"/>
    <w:rsid w:val="00420E6A"/>
    <w:rsid w:val="00425A9E"/>
    <w:rsid w:val="00426D6B"/>
    <w:rsid w:val="00431E6C"/>
    <w:rsid w:val="00433CE7"/>
    <w:rsid w:val="00434A89"/>
    <w:rsid w:val="00452738"/>
    <w:rsid w:val="00456091"/>
    <w:rsid w:val="00466321"/>
    <w:rsid w:val="00474C94"/>
    <w:rsid w:val="00484B9B"/>
    <w:rsid w:val="004855F6"/>
    <w:rsid w:val="0048661E"/>
    <w:rsid w:val="00494670"/>
    <w:rsid w:val="004A3823"/>
    <w:rsid w:val="004E6946"/>
    <w:rsid w:val="004F1AD8"/>
    <w:rsid w:val="004F6778"/>
    <w:rsid w:val="00503421"/>
    <w:rsid w:val="005039CB"/>
    <w:rsid w:val="0050558F"/>
    <w:rsid w:val="00506286"/>
    <w:rsid w:val="00510813"/>
    <w:rsid w:val="00511990"/>
    <w:rsid w:val="00511DE0"/>
    <w:rsid w:val="00514870"/>
    <w:rsid w:val="00514B9B"/>
    <w:rsid w:val="00517F02"/>
    <w:rsid w:val="00524303"/>
    <w:rsid w:val="005258A2"/>
    <w:rsid w:val="005401AE"/>
    <w:rsid w:val="00541B16"/>
    <w:rsid w:val="00542E07"/>
    <w:rsid w:val="005436C3"/>
    <w:rsid w:val="00545424"/>
    <w:rsid w:val="00554A7B"/>
    <w:rsid w:val="0055572C"/>
    <w:rsid w:val="0056106A"/>
    <w:rsid w:val="005720AE"/>
    <w:rsid w:val="00577094"/>
    <w:rsid w:val="005908E9"/>
    <w:rsid w:val="00594D77"/>
    <w:rsid w:val="005969E4"/>
    <w:rsid w:val="005A06B7"/>
    <w:rsid w:val="005A1759"/>
    <w:rsid w:val="005A68A7"/>
    <w:rsid w:val="005A75BB"/>
    <w:rsid w:val="005C6A9B"/>
    <w:rsid w:val="005D0F47"/>
    <w:rsid w:val="005D36AB"/>
    <w:rsid w:val="005D6015"/>
    <w:rsid w:val="005D7776"/>
    <w:rsid w:val="005F55B5"/>
    <w:rsid w:val="00617CC3"/>
    <w:rsid w:val="00630FBD"/>
    <w:rsid w:val="006377A6"/>
    <w:rsid w:val="00637A3D"/>
    <w:rsid w:val="006411EF"/>
    <w:rsid w:val="00654B03"/>
    <w:rsid w:val="00662F8B"/>
    <w:rsid w:val="00663AB0"/>
    <w:rsid w:val="006748B8"/>
    <w:rsid w:val="006775C3"/>
    <w:rsid w:val="0069290A"/>
    <w:rsid w:val="0069775A"/>
    <w:rsid w:val="00697813"/>
    <w:rsid w:val="006A3EE8"/>
    <w:rsid w:val="006A4970"/>
    <w:rsid w:val="006A565E"/>
    <w:rsid w:val="006A72BF"/>
    <w:rsid w:val="006B03F2"/>
    <w:rsid w:val="006B37DC"/>
    <w:rsid w:val="006B3FFD"/>
    <w:rsid w:val="006B4F68"/>
    <w:rsid w:val="006C0592"/>
    <w:rsid w:val="006C272E"/>
    <w:rsid w:val="006C5479"/>
    <w:rsid w:val="006C7C06"/>
    <w:rsid w:val="006D13B5"/>
    <w:rsid w:val="006D40A0"/>
    <w:rsid w:val="006E12FF"/>
    <w:rsid w:val="006E607E"/>
    <w:rsid w:val="006F1811"/>
    <w:rsid w:val="006F7283"/>
    <w:rsid w:val="00705538"/>
    <w:rsid w:val="00706C5D"/>
    <w:rsid w:val="00732922"/>
    <w:rsid w:val="00732BE7"/>
    <w:rsid w:val="00733C20"/>
    <w:rsid w:val="007353B9"/>
    <w:rsid w:val="0075162E"/>
    <w:rsid w:val="00754034"/>
    <w:rsid w:val="00755BBF"/>
    <w:rsid w:val="00756074"/>
    <w:rsid w:val="00756556"/>
    <w:rsid w:val="00761532"/>
    <w:rsid w:val="007618C4"/>
    <w:rsid w:val="00764117"/>
    <w:rsid w:val="00767980"/>
    <w:rsid w:val="00770B19"/>
    <w:rsid w:val="0077463F"/>
    <w:rsid w:val="00775B17"/>
    <w:rsid w:val="007836EA"/>
    <w:rsid w:val="00784CDA"/>
    <w:rsid w:val="007906C4"/>
    <w:rsid w:val="007940EA"/>
    <w:rsid w:val="007967E8"/>
    <w:rsid w:val="007A2170"/>
    <w:rsid w:val="007A22BF"/>
    <w:rsid w:val="007A3323"/>
    <w:rsid w:val="007B72B8"/>
    <w:rsid w:val="007B7A58"/>
    <w:rsid w:val="007C21B5"/>
    <w:rsid w:val="007E33F7"/>
    <w:rsid w:val="007E4BD2"/>
    <w:rsid w:val="007F5D35"/>
    <w:rsid w:val="00801393"/>
    <w:rsid w:val="00802F88"/>
    <w:rsid w:val="0081293E"/>
    <w:rsid w:val="00815465"/>
    <w:rsid w:val="00817E9A"/>
    <w:rsid w:val="008306BD"/>
    <w:rsid w:val="00831A80"/>
    <w:rsid w:val="00833743"/>
    <w:rsid w:val="008340A4"/>
    <w:rsid w:val="00853190"/>
    <w:rsid w:val="0087135F"/>
    <w:rsid w:val="00872D94"/>
    <w:rsid w:val="00880364"/>
    <w:rsid w:val="0088106B"/>
    <w:rsid w:val="00891592"/>
    <w:rsid w:val="00891E9E"/>
    <w:rsid w:val="008A2F68"/>
    <w:rsid w:val="008A3562"/>
    <w:rsid w:val="008B4FA6"/>
    <w:rsid w:val="008B5282"/>
    <w:rsid w:val="008B57F9"/>
    <w:rsid w:val="008B7C17"/>
    <w:rsid w:val="008C2D01"/>
    <w:rsid w:val="008C40E6"/>
    <w:rsid w:val="008D0F7A"/>
    <w:rsid w:val="008D68E4"/>
    <w:rsid w:val="008E0506"/>
    <w:rsid w:val="008E0CFF"/>
    <w:rsid w:val="008E1307"/>
    <w:rsid w:val="008E294F"/>
    <w:rsid w:val="008E5D6B"/>
    <w:rsid w:val="008E76F0"/>
    <w:rsid w:val="008F15FE"/>
    <w:rsid w:val="008F2D29"/>
    <w:rsid w:val="008F5187"/>
    <w:rsid w:val="008F60D8"/>
    <w:rsid w:val="00902727"/>
    <w:rsid w:val="0090312B"/>
    <w:rsid w:val="00910ACC"/>
    <w:rsid w:val="00913260"/>
    <w:rsid w:val="0091736D"/>
    <w:rsid w:val="0093037A"/>
    <w:rsid w:val="0094154D"/>
    <w:rsid w:val="0095155F"/>
    <w:rsid w:val="00954429"/>
    <w:rsid w:val="009563CE"/>
    <w:rsid w:val="00960CD4"/>
    <w:rsid w:val="00976328"/>
    <w:rsid w:val="0097680D"/>
    <w:rsid w:val="009775ED"/>
    <w:rsid w:val="00982438"/>
    <w:rsid w:val="0098404C"/>
    <w:rsid w:val="00985283"/>
    <w:rsid w:val="00985A5D"/>
    <w:rsid w:val="00995992"/>
    <w:rsid w:val="009A03E5"/>
    <w:rsid w:val="009A0F3B"/>
    <w:rsid w:val="009A1BB4"/>
    <w:rsid w:val="009A2628"/>
    <w:rsid w:val="009A3200"/>
    <w:rsid w:val="009B0897"/>
    <w:rsid w:val="009B5DD0"/>
    <w:rsid w:val="009B7BD9"/>
    <w:rsid w:val="009C7DD5"/>
    <w:rsid w:val="009E227D"/>
    <w:rsid w:val="009E22FD"/>
    <w:rsid w:val="009E4D8F"/>
    <w:rsid w:val="009E5019"/>
    <w:rsid w:val="00A04F1B"/>
    <w:rsid w:val="00A0501B"/>
    <w:rsid w:val="00A14947"/>
    <w:rsid w:val="00A32A83"/>
    <w:rsid w:val="00A33D78"/>
    <w:rsid w:val="00A368DB"/>
    <w:rsid w:val="00A423AA"/>
    <w:rsid w:val="00A42542"/>
    <w:rsid w:val="00A53EC6"/>
    <w:rsid w:val="00A54FC4"/>
    <w:rsid w:val="00A55C0F"/>
    <w:rsid w:val="00A75489"/>
    <w:rsid w:val="00A84FA0"/>
    <w:rsid w:val="00A8713F"/>
    <w:rsid w:val="00A90BA1"/>
    <w:rsid w:val="00A97A9A"/>
    <w:rsid w:val="00AA0671"/>
    <w:rsid w:val="00AA2531"/>
    <w:rsid w:val="00AA5118"/>
    <w:rsid w:val="00AB1E09"/>
    <w:rsid w:val="00AB469C"/>
    <w:rsid w:val="00AB5330"/>
    <w:rsid w:val="00AB7747"/>
    <w:rsid w:val="00AC14CE"/>
    <w:rsid w:val="00AC2A56"/>
    <w:rsid w:val="00AD055E"/>
    <w:rsid w:val="00AD47A7"/>
    <w:rsid w:val="00AF0CBF"/>
    <w:rsid w:val="00AF257F"/>
    <w:rsid w:val="00AF33CF"/>
    <w:rsid w:val="00AF4D50"/>
    <w:rsid w:val="00AF6179"/>
    <w:rsid w:val="00B00749"/>
    <w:rsid w:val="00B01D97"/>
    <w:rsid w:val="00B1295A"/>
    <w:rsid w:val="00B20A45"/>
    <w:rsid w:val="00B22C5C"/>
    <w:rsid w:val="00B24F30"/>
    <w:rsid w:val="00B31ABF"/>
    <w:rsid w:val="00B33BE3"/>
    <w:rsid w:val="00B37F15"/>
    <w:rsid w:val="00B46186"/>
    <w:rsid w:val="00B472E4"/>
    <w:rsid w:val="00B53B5D"/>
    <w:rsid w:val="00B5595F"/>
    <w:rsid w:val="00B6055E"/>
    <w:rsid w:val="00B6317D"/>
    <w:rsid w:val="00B7723F"/>
    <w:rsid w:val="00B80534"/>
    <w:rsid w:val="00B8433C"/>
    <w:rsid w:val="00B84762"/>
    <w:rsid w:val="00B86FDD"/>
    <w:rsid w:val="00B87491"/>
    <w:rsid w:val="00BA29E9"/>
    <w:rsid w:val="00BA7142"/>
    <w:rsid w:val="00BA7A26"/>
    <w:rsid w:val="00BB237C"/>
    <w:rsid w:val="00BB41A3"/>
    <w:rsid w:val="00BC32DC"/>
    <w:rsid w:val="00BC35B6"/>
    <w:rsid w:val="00BD1B51"/>
    <w:rsid w:val="00BD4596"/>
    <w:rsid w:val="00BD6840"/>
    <w:rsid w:val="00BE1405"/>
    <w:rsid w:val="00BE312D"/>
    <w:rsid w:val="00BF1C20"/>
    <w:rsid w:val="00C06D46"/>
    <w:rsid w:val="00C10578"/>
    <w:rsid w:val="00C135BC"/>
    <w:rsid w:val="00C15C95"/>
    <w:rsid w:val="00C2596A"/>
    <w:rsid w:val="00C27537"/>
    <w:rsid w:val="00C328FE"/>
    <w:rsid w:val="00C32A26"/>
    <w:rsid w:val="00C33507"/>
    <w:rsid w:val="00C37E72"/>
    <w:rsid w:val="00C4409D"/>
    <w:rsid w:val="00C44E72"/>
    <w:rsid w:val="00C45A06"/>
    <w:rsid w:val="00C47E5B"/>
    <w:rsid w:val="00C50F0B"/>
    <w:rsid w:val="00C5424A"/>
    <w:rsid w:val="00C61E4B"/>
    <w:rsid w:val="00C64BFF"/>
    <w:rsid w:val="00C704E9"/>
    <w:rsid w:val="00C761A0"/>
    <w:rsid w:val="00C763C9"/>
    <w:rsid w:val="00C80057"/>
    <w:rsid w:val="00C82232"/>
    <w:rsid w:val="00C82913"/>
    <w:rsid w:val="00C830D1"/>
    <w:rsid w:val="00C86878"/>
    <w:rsid w:val="00C972B1"/>
    <w:rsid w:val="00CA26CB"/>
    <w:rsid w:val="00CA2CCE"/>
    <w:rsid w:val="00CA3F23"/>
    <w:rsid w:val="00CA43FD"/>
    <w:rsid w:val="00CA7EF8"/>
    <w:rsid w:val="00CB178E"/>
    <w:rsid w:val="00CB414A"/>
    <w:rsid w:val="00CC0115"/>
    <w:rsid w:val="00CC489B"/>
    <w:rsid w:val="00CC4974"/>
    <w:rsid w:val="00CD1314"/>
    <w:rsid w:val="00CD2BCD"/>
    <w:rsid w:val="00CD3A4C"/>
    <w:rsid w:val="00CD465A"/>
    <w:rsid w:val="00CE10E9"/>
    <w:rsid w:val="00CE2910"/>
    <w:rsid w:val="00CE5393"/>
    <w:rsid w:val="00CF368A"/>
    <w:rsid w:val="00CF36BE"/>
    <w:rsid w:val="00CF6000"/>
    <w:rsid w:val="00D003F3"/>
    <w:rsid w:val="00D0364F"/>
    <w:rsid w:val="00D04708"/>
    <w:rsid w:val="00D04DD0"/>
    <w:rsid w:val="00D06834"/>
    <w:rsid w:val="00D10BD7"/>
    <w:rsid w:val="00D20E5A"/>
    <w:rsid w:val="00D308ED"/>
    <w:rsid w:val="00D32CDE"/>
    <w:rsid w:val="00D36D86"/>
    <w:rsid w:val="00D428AA"/>
    <w:rsid w:val="00D5041D"/>
    <w:rsid w:val="00D50A34"/>
    <w:rsid w:val="00D53EFA"/>
    <w:rsid w:val="00D5758B"/>
    <w:rsid w:val="00D77FFE"/>
    <w:rsid w:val="00D90764"/>
    <w:rsid w:val="00D94A7C"/>
    <w:rsid w:val="00D95896"/>
    <w:rsid w:val="00DA16DF"/>
    <w:rsid w:val="00DB2983"/>
    <w:rsid w:val="00DB5B1A"/>
    <w:rsid w:val="00DC1257"/>
    <w:rsid w:val="00DC3DC0"/>
    <w:rsid w:val="00DC5B2B"/>
    <w:rsid w:val="00DD0B94"/>
    <w:rsid w:val="00DD318D"/>
    <w:rsid w:val="00DF2E12"/>
    <w:rsid w:val="00DF514A"/>
    <w:rsid w:val="00DF6690"/>
    <w:rsid w:val="00DF6804"/>
    <w:rsid w:val="00E020F4"/>
    <w:rsid w:val="00E0358D"/>
    <w:rsid w:val="00E04323"/>
    <w:rsid w:val="00E070A2"/>
    <w:rsid w:val="00E1060C"/>
    <w:rsid w:val="00E24D30"/>
    <w:rsid w:val="00E2656A"/>
    <w:rsid w:val="00E412D0"/>
    <w:rsid w:val="00E56313"/>
    <w:rsid w:val="00E56322"/>
    <w:rsid w:val="00E60316"/>
    <w:rsid w:val="00E60982"/>
    <w:rsid w:val="00E62C62"/>
    <w:rsid w:val="00E6528F"/>
    <w:rsid w:val="00E654C1"/>
    <w:rsid w:val="00E65D97"/>
    <w:rsid w:val="00E66B00"/>
    <w:rsid w:val="00E72A5A"/>
    <w:rsid w:val="00E73354"/>
    <w:rsid w:val="00E7766A"/>
    <w:rsid w:val="00E84564"/>
    <w:rsid w:val="00E9242D"/>
    <w:rsid w:val="00EA55F3"/>
    <w:rsid w:val="00EA6541"/>
    <w:rsid w:val="00EB5255"/>
    <w:rsid w:val="00EB5C47"/>
    <w:rsid w:val="00EB78A9"/>
    <w:rsid w:val="00ED0639"/>
    <w:rsid w:val="00EE1A1D"/>
    <w:rsid w:val="00EF4755"/>
    <w:rsid w:val="00EF7135"/>
    <w:rsid w:val="00F027DB"/>
    <w:rsid w:val="00F14A7A"/>
    <w:rsid w:val="00F22985"/>
    <w:rsid w:val="00F26A09"/>
    <w:rsid w:val="00F32BD2"/>
    <w:rsid w:val="00F32D1F"/>
    <w:rsid w:val="00F3383E"/>
    <w:rsid w:val="00F465A7"/>
    <w:rsid w:val="00F50B7C"/>
    <w:rsid w:val="00F550E6"/>
    <w:rsid w:val="00F74345"/>
    <w:rsid w:val="00F80A0A"/>
    <w:rsid w:val="00F82B19"/>
    <w:rsid w:val="00F9212D"/>
    <w:rsid w:val="00F965DA"/>
    <w:rsid w:val="00FA406A"/>
    <w:rsid w:val="00FB503A"/>
    <w:rsid w:val="00FB516C"/>
    <w:rsid w:val="00FC6489"/>
    <w:rsid w:val="00FD0236"/>
    <w:rsid w:val="00FD18F4"/>
    <w:rsid w:val="00FD450D"/>
    <w:rsid w:val="00FD54DB"/>
    <w:rsid w:val="00FD619F"/>
    <w:rsid w:val="00FE7AE0"/>
    <w:rsid w:val="010D3A73"/>
    <w:rsid w:val="01290F7E"/>
    <w:rsid w:val="015D1E09"/>
    <w:rsid w:val="016F45ED"/>
    <w:rsid w:val="01881AF6"/>
    <w:rsid w:val="01924B58"/>
    <w:rsid w:val="01BD5D3D"/>
    <w:rsid w:val="01C41813"/>
    <w:rsid w:val="01C70332"/>
    <w:rsid w:val="01F0289D"/>
    <w:rsid w:val="02697903"/>
    <w:rsid w:val="02781E12"/>
    <w:rsid w:val="027D7CC1"/>
    <w:rsid w:val="02CB4D02"/>
    <w:rsid w:val="02F96569"/>
    <w:rsid w:val="03D251BA"/>
    <w:rsid w:val="03EA7B21"/>
    <w:rsid w:val="05724050"/>
    <w:rsid w:val="05746754"/>
    <w:rsid w:val="059822AB"/>
    <w:rsid w:val="05F83EAE"/>
    <w:rsid w:val="06043FDC"/>
    <w:rsid w:val="063B2C07"/>
    <w:rsid w:val="063E7D85"/>
    <w:rsid w:val="06796B9D"/>
    <w:rsid w:val="069F7668"/>
    <w:rsid w:val="0724109E"/>
    <w:rsid w:val="07293586"/>
    <w:rsid w:val="07295285"/>
    <w:rsid w:val="07636392"/>
    <w:rsid w:val="076E3F95"/>
    <w:rsid w:val="07770C56"/>
    <w:rsid w:val="079B4100"/>
    <w:rsid w:val="08517143"/>
    <w:rsid w:val="08BF530D"/>
    <w:rsid w:val="08C064E0"/>
    <w:rsid w:val="092217DD"/>
    <w:rsid w:val="093A7294"/>
    <w:rsid w:val="095011A8"/>
    <w:rsid w:val="095F3199"/>
    <w:rsid w:val="09E0507F"/>
    <w:rsid w:val="09E87633"/>
    <w:rsid w:val="0A0B2913"/>
    <w:rsid w:val="0A263993"/>
    <w:rsid w:val="0A2D3AC2"/>
    <w:rsid w:val="0A8C09D7"/>
    <w:rsid w:val="0AA755DF"/>
    <w:rsid w:val="0AFC3C93"/>
    <w:rsid w:val="0B120D44"/>
    <w:rsid w:val="0BAD3EA4"/>
    <w:rsid w:val="0BD27BF6"/>
    <w:rsid w:val="0C0B585A"/>
    <w:rsid w:val="0C3748A2"/>
    <w:rsid w:val="0C3B3C7D"/>
    <w:rsid w:val="0C7410C0"/>
    <w:rsid w:val="0CAB2EAE"/>
    <w:rsid w:val="0D0C7330"/>
    <w:rsid w:val="0D477672"/>
    <w:rsid w:val="0D621C7D"/>
    <w:rsid w:val="0D6E4E04"/>
    <w:rsid w:val="0DD203DE"/>
    <w:rsid w:val="0DF158BF"/>
    <w:rsid w:val="0E73034D"/>
    <w:rsid w:val="0F13775A"/>
    <w:rsid w:val="0F2A4F06"/>
    <w:rsid w:val="0F5F45FE"/>
    <w:rsid w:val="0F7B1C30"/>
    <w:rsid w:val="0F9A112B"/>
    <w:rsid w:val="0FA908ED"/>
    <w:rsid w:val="10245EA5"/>
    <w:rsid w:val="10625508"/>
    <w:rsid w:val="106D2F64"/>
    <w:rsid w:val="10B63710"/>
    <w:rsid w:val="10D84C78"/>
    <w:rsid w:val="10F10820"/>
    <w:rsid w:val="111C2F7A"/>
    <w:rsid w:val="113E1B08"/>
    <w:rsid w:val="11665CA1"/>
    <w:rsid w:val="123A5F92"/>
    <w:rsid w:val="12514DCD"/>
    <w:rsid w:val="12767462"/>
    <w:rsid w:val="12F26454"/>
    <w:rsid w:val="12F64D40"/>
    <w:rsid w:val="131D6B8F"/>
    <w:rsid w:val="132A469D"/>
    <w:rsid w:val="13951726"/>
    <w:rsid w:val="14396509"/>
    <w:rsid w:val="145462B4"/>
    <w:rsid w:val="14731E1D"/>
    <w:rsid w:val="147D5D8D"/>
    <w:rsid w:val="14DD2C3C"/>
    <w:rsid w:val="14E9245A"/>
    <w:rsid w:val="14FB5245"/>
    <w:rsid w:val="154E5988"/>
    <w:rsid w:val="16087E1D"/>
    <w:rsid w:val="1620742A"/>
    <w:rsid w:val="163756F8"/>
    <w:rsid w:val="1693027E"/>
    <w:rsid w:val="172D17A5"/>
    <w:rsid w:val="174F35CC"/>
    <w:rsid w:val="17701D14"/>
    <w:rsid w:val="17735226"/>
    <w:rsid w:val="17E4032A"/>
    <w:rsid w:val="189F624C"/>
    <w:rsid w:val="19047267"/>
    <w:rsid w:val="191775DC"/>
    <w:rsid w:val="193A2290"/>
    <w:rsid w:val="19462473"/>
    <w:rsid w:val="194660D8"/>
    <w:rsid w:val="19474EBB"/>
    <w:rsid w:val="199455B4"/>
    <w:rsid w:val="19AA4A1C"/>
    <w:rsid w:val="1A1C66C0"/>
    <w:rsid w:val="1A42393B"/>
    <w:rsid w:val="1A7806FD"/>
    <w:rsid w:val="1AAD45DE"/>
    <w:rsid w:val="1AAD53EB"/>
    <w:rsid w:val="1B027E29"/>
    <w:rsid w:val="1B046F80"/>
    <w:rsid w:val="1B31159D"/>
    <w:rsid w:val="1B3267B5"/>
    <w:rsid w:val="1B3E6E8A"/>
    <w:rsid w:val="1B40161D"/>
    <w:rsid w:val="1B441859"/>
    <w:rsid w:val="1B6606B1"/>
    <w:rsid w:val="1B851906"/>
    <w:rsid w:val="1BFC0812"/>
    <w:rsid w:val="1C4427F8"/>
    <w:rsid w:val="1C5E7925"/>
    <w:rsid w:val="1CB8334F"/>
    <w:rsid w:val="1CFD070F"/>
    <w:rsid w:val="1D5F6196"/>
    <w:rsid w:val="1D6132A5"/>
    <w:rsid w:val="1D8E56D5"/>
    <w:rsid w:val="1E347D63"/>
    <w:rsid w:val="1E4C0CF3"/>
    <w:rsid w:val="1E526174"/>
    <w:rsid w:val="1E7A43DA"/>
    <w:rsid w:val="1E8B4A74"/>
    <w:rsid w:val="1FE7539E"/>
    <w:rsid w:val="20671BE0"/>
    <w:rsid w:val="20885EF5"/>
    <w:rsid w:val="20963CB8"/>
    <w:rsid w:val="20A81A1B"/>
    <w:rsid w:val="20B07FB6"/>
    <w:rsid w:val="20B646FB"/>
    <w:rsid w:val="20EE730A"/>
    <w:rsid w:val="213B74B1"/>
    <w:rsid w:val="214369B7"/>
    <w:rsid w:val="215A2310"/>
    <w:rsid w:val="21767713"/>
    <w:rsid w:val="21A970E2"/>
    <w:rsid w:val="21C61BB0"/>
    <w:rsid w:val="21DE318A"/>
    <w:rsid w:val="21EF5B80"/>
    <w:rsid w:val="222705BD"/>
    <w:rsid w:val="22576990"/>
    <w:rsid w:val="22613331"/>
    <w:rsid w:val="22F47480"/>
    <w:rsid w:val="23377385"/>
    <w:rsid w:val="23A854A0"/>
    <w:rsid w:val="23DE1C48"/>
    <w:rsid w:val="240210CD"/>
    <w:rsid w:val="243F7C49"/>
    <w:rsid w:val="24400618"/>
    <w:rsid w:val="24BF09F7"/>
    <w:rsid w:val="24E52E58"/>
    <w:rsid w:val="252D53FE"/>
    <w:rsid w:val="253151AB"/>
    <w:rsid w:val="25584239"/>
    <w:rsid w:val="257A5F66"/>
    <w:rsid w:val="25BC57A4"/>
    <w:rsid w:val="25EC2D81"/>
    <w:rsid w:val="25ED0F11"/>
    <w:rsid w:val="26593669"/>
    <w:rsid w:val="277057A2"/>
    <w:rsid w:val="27E041DB"/>
    <w:rsid w:val="27E65BDD"/>
    <w:rsid w:val="28D55F6F"/>
    <w:rsid w:val="28E026ED"/>
    <w:rsid w:val="29206EB8"/>
    <w:rsid w:val="29211A14"/>
    <w:rsid w:val="2930491C"/>
    <w:rsid w:val="29595666"/>
    <w:rsid w:val="29622B06"/>
    <w:rsid w:val="29874881"/>
    <w:rsid w:val="29E325E0"/>
    <w:rsid w:val="2A236073"/>
    <w:rsid w:val="2A346ACA"/>
    <w:rsid w:val="2A452503"/>
    <w:rsid w:val="2A96781F"/>
    <w:rsid w:val="2AC241F2"/>
    <w:rsid w:val="2B941312"/>
    <w:rsid w:val="2BA936A8"/>
    <w:rsid w:val="2BAC5100"/>
    <w:rsid w:val="2BF632B8"/>
    <w:rsid w:val="2C315A5A"/>
    <w:rsid w:val="2C4B1C25"/>
    <w:rsid w:val="2D9E56F5"/>
    <w:rsid w:val="2DDF7C5A"/>
    <w:rsid w:val="2DF80BB4"/>
    <w:rsid w:val="2E667F96"/>
    <w:rsid w:val="2E7B2AA1"/>
    <w:rsid w:val="2E8226AB"/>
    <w:rsid w:val="2EF05D2C"/>
    <w:rsid w:val="2F154BB3"/>
    <w:rsid w:val="2FAB6BD3"/>
    <w:rsid w:val="2FD065E6"/>
    <w:rsid w:val="2FD96870"/>
    <w:rsid w:val="2FE118D4"/>
    <w:rsid w:val="30580BC9"/>
    <w:rsid w:val="30656A38"/>
    <w:rsid w:val="30E258E0"/>
    <w:rsid w:val="30E72D87"/>
    <w:rsid w:val="311E2ED7"/>
    <w:rsid w:val="31244195"/>
    <w:rsid w:val="313C7C2B"/>
    <w:rsid w:val="315619EE"/>
    <w:rsid w:val="315C449C"/>
    <w:rsid w:val="31993161"/>
    <w:rsid w:val="31A46679"/>
    <w:rsid w:val="31B82709"/>
    <w:rsid w:val="31D05482"/>
    <w:rsid w:val="323B6E74"/>
    <w:rsid w:val="32400B34"/>
    <w:rsid w:val="3281529D"/>
    <w:rsid w:val="32940808"/>
    <w:rsid w:val="329E6876"/>
    <w:rsid w:val="32A54BEB"/>
    <w:rsid w:val="333015F2"/>
    <w:rsid w:val="334B6320"/>
    <w:rsid w:val="33B07B37"/>
    <w:rsid w:val="33D934D4"/>
    <w:rsid w:val="33DB3444"/>
    <w:rsid w:val="33FE2F6A"/>
    <w:rsid w:val="340E07E5"/>
    <w:rsid w:val="34235BF7"/>
    <w:rsid w:val="34395448"/>
    <w:rsid w:val="34D62116"/>
    <w:rsid w:val="35277B7C"/>
    <w:rsid w:val="35817F56"/>
    <w:rsid w:val="358C5FA8"/>
    <w:rsid w:val="35C15DF1"/>
    <w:rsid w:val="36074A7F"/>
    <w:rsid w:val="36301896"/>
    <w:rsid w:val="36420F81"/>
    <w:rsid w:val="36496FF1"/>
    <w:rsid w:val="368B53CE"/>
    <w:rsid w:val="36923549"/>
    <w:rsid w:val="36B75FBF"/>
    <w:rsid w:val="36BD0C45"/>
    <w:rsid w:val="37517E04"/>
    <w:rsid w:val="37D90546"/>
    <w:rsid w:val="37E00298"/>
    <w:rsid w:val="382C1B24"/>
    <w:rsid w:val="3895073B"/>
    <w:rsid w:val="38B302F9"/>
    <w:rsid w:val="38B90269"/>
    <w:rsid w:val="38F12CD3"/>
    <w:rsid w:val="38F94775"/>
    <w:rsid w:val="392971ED"/>
    <w:rsid w:val="39325651"/>
    <w:rsid w:val="39743126"/>
    <w:rsid w:val="39CA01D5"/>
    <w:rsid w:val="3A872856"/>
    <w:rsid w:val="3A991F96"/>
    <w:rsid w:val="3AA647EE"/>
    <w:rsid w:val="3B325567"/>
    <w:rsid w:val="3B3763D1"/>
    <w:rsid w:val="3B5C2A14"/>
    <w:rsid w:val="3B7355D6"/>
    <w:rsid w:val="3C2F6E1E"/>
    <w:rsid w:val="3C4F64BA"/>
    <w:rsid w:val="3C6E670E"/>
    <w:rsid w:val="3CDA245A"/>
    <w:rsid w:val="3D1E06B7"/>
    <w:rsid w:val="3E0945B1"/>
    <w:rsid w:val="3E1A015B"/>
    <w:rsid w:val="3E1E6ADD"/>
    <w:rsid w:val="3E671F4D"/>
    <w:rsid w:val="3E8D2B73"/>
    <w:rsid w:val="3EC57477"/>
    <w:rsid w:val="3EDA0523"/>
    <w:rsid w:val="3F086B6F"/>
    <w:rsid w:val="3F2D29A2"/>
    <w:rsid w:val="3F7C796D"/>
    <w:rsid w:val="40204F2B"/>
    <w:rsid w:val="406C4BB1"/>
    <w:rsid w:val="407A6407"/>
    <w:rsid w:val="40B158B2"/>
    <w:rsid w:val="41102DB8"/>
    <w:rsid w:val="4139020E"/>
    <w:rsid w:val="413A2E0B"/>
    <w:rsid w:val="413F3604"/>
    <w:rsid w:val="415F489E"/>
    <w:rsid w:val="41F62402"/>
    <w:rsid w:val="41FF5F16"/>
    <w:rsid w:val="4200449D"/>
    <w:rsid w:val="42051E29"/>
    <w:rsid w:val="423A3BCC"/>
    <w:rsid w:val="424E57D2"/>
    <w:rsid w:val="42B26C49"/>
    <w:rsid w:val="433A6FE6"/>
    <w:rsid w:val="43480868"/>
    <w:rsid w:val="4350713C"/>
    <w:rsid w:val="436653E0"/>
    <w:rsid w:val="43B91808"/>
    <w:rsid w:val="43BD29AF"/>
    <w:rsid w:val="43C4431A"/>
    <w:rsid w:val="441416DA"/>
    <w:rsid w:val="44AF72F2"/>
    <w:rsid w:val="44B00772"/>
    <w:rsid w:val="44B951CC"/>
    <w:rsid w:val="44C14BE4"/>
    <w:rsid w:val="44CD14E0"/>
    <w:rsid w:val="44E80308"/>
    <w:rsid w:val="44F20B0B"/>
    <w:rsid w:val="450401A9"/>
    <w:rsid w:val="45281583"/>
    <w:rsid w:val="452E5F4C"/>
    <w:rsid w:val="454D7C03"/>
    <w:rsid w:val="45612018"/>
    <w:rsid w:val="458946E9"/>
    <w:rsid w:val="458E0C7A"/>
    <w:rsid w:val="45A47C0E"/>
    <w:rsid w:val="45F407AC"/>
    <w:rsid w:val="46205A97"/>
    <w:rsid w:val="46482571"/>
    <w:rsid w:val="46577FD6"/>
    <w:rsid w:val="46B33D0E"/>
    <w:rsid w:val="46BE484A"/>
    <w:rsid w:val="46D955A7"/>
    <w:rsid w:val="47133957"/>
    <w:rsid w:val="47A07E0C"/>
    <w:rsid w:val="47EA16BA"/>
    <w:rsid w:val="47ED7A4E"/>
    <w:rsid w:val="4828091B"/>
    <w:rsid w:val="483D674A"/>
    <w:rsid w:val="4870272E"/>
    <w:rsid w:val="49037845"/>
    <w:rsid w:val="49132815"/>
    <w:rsid w:val="495E3373"/>
    <w:rsid w:val="49BB5939"/>
    <w:rsid w:val="49DC7715"/>
    <w:rsid w:val="49E358F8"/>
    <w:rsid w:val="4A023139"/>
    <w:rsid w:val="4A6873F9"/>
    <w:rsid w:val="4A7B576F"/>
    <w:rsid w:val="4AF561A9"/>
    <w:rsid w:val="4B6915F2"/>
    <w:rsid w:val="4B8B6FE9"/>
    <w:rsid w:val="4B9E7576"/>
    <w:rsid w:val="4C4A0649"/>
    <w:rsid w:val="4C7E5ECA"/>
    <w:rsid w:val="4C7F11C3"/>
    <w:rsid w:val="4C876AA5"/>
    <w:rsid w:val="4CB93A0E"/>
    <w:rsid w:val="4CEF795D"/>
    <w:rsid w:val="4D0E00FB"/>
    <w:rsid w:val="4D1608A4"/>
    <w:rsid w:val="4D176606"/>
    <w:rsid w:val="4D485708"/>
    <w:rsid w:val="4DAE6560"/>
    <w:rsid w:val="4DEC4FB0"/>
    <w:rsid w:val="4E075D8A"/>
    <w:rsid w:val="4E467958"/>
    <w:rsid w:val="4EC00FAD"/>
    <w:rsid w:val="4F541CA3"/>
    <w:rsid w:val="4F5902F9"/>
    <w:rsid w:val="4F5C783F"/>
    <w:rsid w:val="4F7903EF"/>
    <w:rsid w:val="4F9843DC"/>
    <w:rsid w:val="4FC62A8C"/>
    <w:rsid w:val="4FE20F0D"/>
    <w:rsid w:val="4FE51552"/>
    <w:rsid w:val="4FEC63D6"/>
    <w:rsid w:val="500F1150"/>
    <w:rsid w:val="50413F78"/>
    <w:rsid w:val="50504C4B"/>
    <w:rsid w:val="509C6E7C"/>
    <w:rsid w:val="50BA01E7"/>
    <w:rsid w:val="50F660E5"/>
    <w:rsid w:val="5162104E"/>
    <w:rsid w:val="51C6309D"/>
    <w:rsid w:val="52246F8A"/>
    <w:rsid w:val="531B7376"/>
    <w:rsid w:val="53A039CC"/>
    <w:rsid w:val="53A1505A"/>
    <w:rsid w:val="53BA1261"/>
    <w:rsid w:val="54063E08"/>
    <w:rsid w:val="540A2092"/>
    <w:rsid w:val="543437E8"/>
    <w:rsid w:val="549F7B4A"/>
    <w:rsid w:val="54F73313"/>
    <w:rsid w:val="54F80955"/>
    <w:rsid w:val="555170A7"/>
    <w:rsid w:val="556F73C3"/>
    <w:rsid w:val="5587536D"/>
    <w:rsid w:val="559B174B"/>
    <w:rsid w:val="55CE0CF4"/>
    <w:rsid w:val="56446CFB"/>
    <w:rsid w:val="56553E33"/>
    <w:rsid w:val="5694034B"/>
    <w:rsid w:val="56B22A9C"/>
    <w:rsid w:val="56F20F7F"/>
    <w:rsid w:val="570B6B68"/>
    <w:rsid w:val="572C3BBB"/>
    <w:rsid w:val="57B72A76"/>
    <w:rsid w:val="57C3426C"/>
    <w:rsid w:val="57CE1F93"/>
    <w:rsid w:val="58127838"/>
    <w:rsid w:val="5864436E"/>
    <w:rsid w:val="587F5993"/>
    <w:rsid w:val="588743D1"/>
    <w:rsid w:val="5887701A"/>
    <w:rsid w:val="59477EAF"/>
    <w:rsid w:val="59867EE6"/>
    <w:rsid w:val="598F303E"/>
    <w:rsid w:val="59C0439F"/>
    <w:rsid w:val="59CA327A"/>
    <w:rsid w:val="5AA63D51"/>
    <w:rsid w:val="5ABE2233"/>
    <w:rsid w:val="5AD37B3B"/>
    <w:rsid w:val="5B5365B0"/>
    <w:rsid w:val="5B8337E7"/>
    <w:rsid w:val="5B8D56D3"/>
    <w:rsid w:val="5B9723EA"/>
    <w:rsid w:val="5BB44B12"/>
    <w:rsid w:val="5BDF5D95"/>
    <w:rsid w:val="5BF224EB"/>
    <w:rsid w:val="5BFE7528"/>
    <w:rsid w:val="5CD807DE"/>
    <w:rsid w:val="5D0C00B7"/>
    <w:rsid w:val="5D0C11C7"/>
    <w:rsid w:val="5D1433DD"/>
    <w:rsid w:val="5E2467F1"/>
    <w:rsid w:val="5E7423B8"/>
    <w:rsid w:val="5EC14A97"/>
    <w:rsid w:val="5F0D0D5C"/>
    <w:rsid w:val="5F1A2B43"/>
    <w:rsid w:val="5F3C5CD6"/>
    <w:rsid w:val="5F4725B8"/>
    <w:rsid w:val="5F5C5FB8"/>
    <w:rsid w:val="5F896220"/>
    <w:rsid w:val="5FB837BB"/>
    <w:rsid w:val="5FDB04D8"/>
    <w:rsid w:val="600F3BC5"/>
    <w:rsid w:val="6094720E"/>
    <w:rsid w:val="609A7072"/>
    <w:rsid w:val="60CC405A"/>
    <w:rsid w:val="61711FA4"/>
    <w:rsid w:val="61C930FF"/>
    <w:rsid w:val="61E215D8"/>
    <w:rsid w:val="621B3775"/>
    <w:rsid w:val="62364782"/>
    <w:rsid w:val="62C20B43"/>
    <w:rsid w:val="63072608"/>
    <w:rsid w:val="630875C3"/>
    <w:rsid w:val="631404CA"/>
    <w:rsid w:val="6355232A"/>
    <w:rsid w:val="6394356A"/>
    <w:rsid w:val="63B65CC8"/>
    <w:rsid w:val="63C61B2C"/>
    <w:rsid w:val="63D40BE9"/>
    <w:rsid w:val="64102431"/>
    <w:rsid w:val="643161D2"/>
    <w:rsid w:val="64A5243A"/>
    <w:rsid w:val="64B11E18"/>
    <w:rsid w:val="64F531DE"/>
    <w:rsid w:val="65373578"/>
    <w:rsid w:val="659868BE"/>
    <w:rsid w:val="660D737A"/>
    <w:rsid w:val="66FC6B0B"/>
    <w:rsid w:val="671F124A"/>
    <w:rsid w:val="677A33C6"/>
    <w:rsid w:val="67F21494"/>
    <w:rsid w:val="681F6961"/>
    <w:rsid w:val="68203394"/>
    <w:rsid w:val="68325C3F"/>
    <w:rsid w:val="68610A2F"/>
    <w:rsid w:val="68805514"/>
    <w:rsid w:val="68FA5907"/>
    <w:rsid w:val="69316E2F"/>
    <w:rsid w:val="694E2071"/>
    <w:rsid w:val="696176A2"/>
    <w:rsid w:val="69766163"/>
    <w:rsid w:val="697A3B33"/>
    <w:rsid w:val="69AC2A06"/>
    <w:rsid w:val="69D44760"/>
    <w:rsid w:val="6A520EC7"/>
    <w:rsid w:val="6A6D7844"/>
    <w:rsid w:val="6AC454F4"/>
    <w:rsid w:val="6AF87E20"/>
    <w:rsid w:val="6B322639"/>
    <w:rsid w:val="6BB27B85"/>
    <w:rsid w:val="6C026E9C"/>
    <w:rsid w:val="6C636C38"/>
    <w:rsid w:val="6C7948CE"/>
    <w:rsid w:val="6D0F0125"/>
    <w:rsid w:val="6D4F4230"/>
    <w:rsid w:val="6DB34098"/>
    <w:rsid w:val="6DB545B6"/>
    <w:rsid w:val="6DC3304D"/>
    <w:rsid w:val="6DD62748"/>
    <w:rsid w:val="6DE02FB4"/>
    <w:rsid w:val="6DE85B48"/>
    <w:rsid w:val="6E260FB0"/>
    <w:rsid w:val="6E514CED"/>
    <w:rsid w:val="6E6979D5"/>
    <w:rsid w:val="6E86608D"/>
    <w:rsid w:val="6E93082B"/>
    <w:rsid w:val="6EA34DC6"/>
    <w:rsid w:val="6EB563D5"/>
    <w:rsid w:val="6ED92677"/>
    <w:rsid w:val="6F225983"/>
    <w:rsid w:val="6F3E3ACD"/>
    <w:rsid w:val="6FA51ACE"/>
    <w:rsid w:val="6FEB5594"/>
    <w:rsid w:val="6FFC5590"/>
    <w:rsid w:val="70330C1D"/>
    <w:rsid w:val="706D1DD0"/>
    <w:rsid w:val="70856B87"/>
    <w:rsid w:val="70D527EE"/>
    <w:rsid w:val="70EA3307"/>
    <w:rsid w:val="715B5300"/>
    <w:rsid w:val="71B27028"/>
    <w:rsid w:val="71D27F8A"/>
    <w:rsid w:val="71DB5992"/>
    <w:rsid w:val="72553024"/>
    <w:rsid w:val="727B156D"/>
    <w:rsid w:val="730F702C"/>
    <w:rsid w:val="73122968"/>
    <w:rsid w:val="731F5D5E"/>
    <w:rsid w:val="73436EE4"/>
    <w:rsid w:val="734A6E8D"/>
    <w:rsid w:val="73A0096C"/>
    <w:rsid w:val="73C51AD5"/>
    <w:rsid w:val="741C3BAD"/>
    <w:rsid w:val="741E793C"/>
    <w:rsid w:val="74425061"/>
    <w:rsid w:val="745E3944"/>
    <w:rsid w:val="761C04D8"/>
    <w:rsid w:val="7635099D"/>
    <w:rsid w:val="763D3998"/>
    <w:rsid w:val="76D13197"/>
    <w:rsid w:val="76F0628D"/>
    <w:rsid w:val="77762421"/>
    <w:rsid w:val="777B7602"/>
    <w:rsid w:val="77B56B1F"/>
    <w:rsid w:val="780F09F4"/>
    <w:rsid w:val="784513CE"/>
    <w:rsid w:val="78593726"/>
    <w:rsid w:val="78A90480"/>
    <w:rsid w:val="78C11D93"/>
    <w:rsid w:val="797A48CF"/>
    <w:rsid w:val="79A00693"/>
    <w:rsid w:val="7A14358E"/>
    <w:rsid w:val="7A364017"/>
    <w:rsid w:val="7A8265E1"/>
    <w:rsid w:val="7AEC35AA"/>
    <w:rsid w:val="7AF44B2D"/>
    <w:rsid w:val="7B686D42"/>
    <w:rsid w:val="7B841746"/>
    <w:rsid w:val="7B867C36"/>
    <w:rsid w:val="7B9571A7"/>
    <w:rsid w:val="7C6C5AC7"/>
    <w:rsid w:val="7C8B0A04"/>
    <w:rsid w:val="7C8E62B7"/>
    <w:rsid w:val="7CB43349"/>
    <w:rsid w:val="7CC6544B"/>
    <w:rsid w:val="7CDD1BEF"/>
    <w:rsid w:val="7D0239FF"/>
    <w:rsid w:val="7D5E40CD"/>
    <w:rsid w:val="7DCD56F2"/>
    <w:rsid w:val="7F001CE7"/>
    <w:rsid w:val="7FA6169F"/>
    <w:rsid w:val="7FE47E50"/>
  </w:rsids>
  <w:docVars>
    <w:docVar w:name="commondata" w:val="eyJoZGlkIjoiYTc2ZGZiNzZiNDVlOGViOWVmM2JhOTY0NGJkNjUyYz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locked="1" w:semiHidden="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locked="1" w:semiHidden="0" w:uiPriority="0" w:unhideWhenUsed="0"/>
    <w:lsdException w:name="index 2" w:locked="1" w:semiHidden="0" w:uiPriority="0" w:unhideWhenUsed="0"/>
    <w:lsdException w:name="index 3" w:locked="1" w:semiHidden="0" w:uiPriority="0" w:unhideWhenUsed="0"/>
    <w:lsdException w:name="index 4" w:locked="1" w:semiHidden="0" w:uiPriority="0" w:unhideWhenUsed="0"/>
    <w:lsdException w:name="index 5" w:locked="1" w:semiHidden="0" w:uiPriority="0" w:unhideWhenUsed="0"/>
    <w:lsdException w:name="index 6" w:locked="1" w:semiHidden="0" w:uiPriority="0" w:unhideWhenUsed="0"/>
    <w:lsdException w:name="index 7" w:locked="1" w:semiHidden="0" w:uiPriority="0" w:unhideWhenUsed="0"/>
    <w:lsdException w:name="index 8" w:locked="1" w:semiHidden="0" w:uiPriority="0" w:unhideWhenUsed="0"/>
    <w:lsdException w:name="index 9" w:locked="1" w:semiHidden="0" w:uiPriority="0" w:unhideWhenUsed="0"/>
    <w:lsdException w:name="toc 1" w:locked="1" w:semiHidden="0" w:uiPriority="39" w:qFormat="1"/>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locked="1" w:semiHidden="0" w:unhideWhenUsed="0" w:qFormat="1"/>
    <w:lsdException w:name="footnote text" w:locked="1" w:semiHidden="0" w:uiPriority="0" w:unhideWhenUsed="0"/>
    <w:lsdException w:name="annotation text" w:uiPriority="0" w:unhideWhenUsed="0" w:qFormat="1"/>
    <w:lsdException w:name="header" w:semiHidden="0" w:uiPriority="0" w:unhideWhenUsed="0" w:qFormat="1"/>
    <w:lsdException w:name="footer" w:semiHidden="0" w:unhideWhenUsed="0" w:qFormat="1"/>
    <w:lsdException w:name="index heading" w:locked="1" w:semiHidden="0" w:uiPriority="0" w:unhideWhenUsed="0"/>
    <w:lsdException w:name="caption" w:locked="1" w:uiPriority="0" w:qFormat="1"/>
    <w:lsdException w:name="table of figures" w:locked="1" w:semiHidden="0" w:uiPriority="0" w:unhideWhenUsed="0"/>
    <w:lsdException w:name="envelope address" w:locked="1" w:semiHidden="0" w:uiPriority="0" w:unhideWhenUsed="0"/>
    <w:lsdException w:name="envelope return" w:locked="1" w:semiHidden="0" w:uiPriority="0" w:unhideWhenUsed="0" w:qFormat="1"/>
    <w:lsdException w:name="footnote reference" w:locked="1" w:semiHidden="0" w:uiPriority="0" w:unhideWhenUsed="0"/>
    <w:lsdException w:name="annotation reference" w:uiPriority="0" w:unhideWhenUsed="0" w:qFormat="1"/>
    <w:lsdException w:name="line number" w:locked="1" w:semiHidden="0" w:uiPriority="0" w:unhideWhenUsed="0"/>
    <w:lsdException w:name="page number" w:locked="1" w:semiHidden="0" w:uiPriority="0" w:unhideWhenUsed="0" w:qFormat="1"/>
    <w:lsdException w:name="endnote reference" w:locked="1" w:semiHidden="0" w:uiPriority="0" w:unhideWhenUsed="0"/>
    <w:lsdException w:name="endnote text" w:locked="1" w:semiHidden="0" w:uiPriority="0" w:unhideWhenUsed="0"/>
    <w:lsdException w:name="table of authorities" w:locked="1" w:uiPriority="0" w:unhideWhenUsed="0" w:qFormat="1"/>
    <w:lsdException w:name="macro" w:locked="1" w:semiHidden="0" w:uiPriority="0" w:unhideWhenUsed="0"/>
    <w:lsdException w:name="toa heading" w:locked="1" w:semiHidden="0" w:uiPriority="0" w:unhideWhenUsed="0"/>
    <w:lsdException w:name="List" w:locked="1" w:semiHidden="0" w:uiPriority="0" w:unhideWhenUsed="0"/>
    <w:lsdException w:name="List Bullet" w:locked="1" w:semiHidden="0" w:uiPriority="0" w:unhideWhenUsed="0"/>
    <w:lsdException w:name="List Number" w:locked="1" w:semiHidden="0" w:uiPriority="0" w:unhideWhenUsed="0"/>
    <w:lsdException w:name="List 2" w:locked="1" w:semiHidden="0" w:uiPriority="0" w:unhideWhenUsed="0"/>
    <w:lsdException w:name="List 3" w:locked="1" w:semiHidden="0" w:uiPriority="0" w:unhideWhenUsed="0"/>
    <w:lsdException w:name="List 4" w:locked="1" w:semiHidden="0" w:uiPriority="0" w:unhideWhenUsed="0"/>
    <w:lsdException w:name="List 5" w:locked="1" w:semiHidden="0" w:uiPriority="0" w:unhideWhenUsed="0"/>
    <w:lsdException w:name="List Bullet 2" w:locked="1" w:semiHidden="0" w:uiPriority="0" w:unhideWhenUsed="0"/>
    <w:lsdException w:name="List Bullet 3" w:locked="1" w:semiHidden="0" w:uiPriority="0" w:unhideWhenUsed="0"/>
    <w:lsdException w:name="List Bullet 4" w:locked="1" w:semiHidden="0" w:uiPriority="0" w:unhideWhenUsed="0"/>
    <w:lsdException w:name="List Bullet 5" w:locked="1" w:semiHidden="0" w:uiPriority="0" w:unhideWhenUsed="0"/>
    <w:lsdException w:name="List Number 2" w:locked="1" w:semiHidden="0" w:uiPriority="0" w:unhideWhenUsed="0"/>
    <w:lsdException w:name="List Number 3" w:locked="1" w:semiHidden="0" w:uiPriority="0" w:unhideWhenUsed="0"/>
    <w:lsdException w:name="List Number 4" w:locked="1" w:semiHidden="0" w:uiPriority="0" w:unhideWhenUsed="0"/>
    <w:lsdException w:name="List Number 5" w:locked="1" w:semiHidden="0" w:uiPriority="0" w:unhideWhenUsed="0"/>
    <w:lsdException w:name="Title" w:locked="1" w:semiHidden="0" w:unhideWhenUsed="0" w:qFormat="1"/>
    <w:lsdException w:name="Closing" w:locked="1" w:semiHidden="0" w:uiPriority="0" w:unhideWhenUsed="0"/>
    <w:lsdException w:name="Signature" w:locked="1"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locked="1" w:semiHidden="0" w:uiPriority="0" w:unhideWhenUsed="0"/>
    <w:lsdException w:name="List Continue 2" w:locked="1" w:semiHidden="0" w:uiPriority="0" w:unhideWhenUsed="0"/>
    <w:lsdException w:name="List Continue 3" w:locked="1" w:semiHidden="0" w:uiPriority="0" w:unhideWhenUsed="0"/>
    <w:lsdException w:name="List Continue 4" w:locked="1" w:semiHidden="0" w:uiPriority="0" w:unhideWhenUsed="0"/>
    <w:lsdException w:name="List Continue 5" w:locked="1" w:semiHidden="0" w:uiPriority="0" w:unhideWhenUsed="0"/>
    <w:lsdException w:name="Message Header" w:locked="1" w:semiHidden="0" w:uiPriority="0" w:unhideWhenUsed="0"/>
    <w:lsdException w:name="Subtitle" w:locked="1" w:semiHidden="0" w:unhideWhenUsed="0" w:qFormat="1"/>
    <w:lsdException w:name="Salutation" w:locked="1" w:semiHidden="0" w:uiPriority="0" w:unhideWhenUsed="0"/>
    <w:lsdException w:name="Date" w:semiHidden="0" w:uiPriority="0" w:unhideWhenUsed="0" w:qFormat="1"/>
    <w:lsdException w:name="Body Text First Indent" w:locked="1" w:semiHidden="0" w:uiPriority="0" w:unhideWhenUsed="0" w:qFormat="1"/>
    <w:lsdException w:name="Body Text First Indent 2" w:locked="1" w:semiHidden="0" w:uiPriority="0" w:unhideWhenUsed="0" w:qFormat="1"/>
    <w:lsdException w:name="Note Heading" w:locked="1" w:semiHidden="0" w:uiPriority="0" w:unhideWhenUsed="0" w:qFormat="1"/>
    <w:lsdException w:name="Body Text 2" w:locked="1" w:semiHidden="0" w:uiPriority="0" w:unhideWhenUsed="0"/>
    <w:lsdException w:name="Body Text 3" w:locked="1" w:semiHidden="0" w:uiPriority="0" w:unhideWhenUsed="0"/>
    <w:lsdException w:name="Body Text Indent 2" w:locked="1" w:semiHidden="0" w:uiPriority="0" w:unhideWhenUsed="0"/>
    <w:lsdException w:name="Body Text Indent 3" w:locked="1" w:semiHidden="0" w:uiPriority="0" w:unhideWhenUsed="0"/>
    <w:lsdException w:name="Block Text" w:locked="1" w:semiHidden="0" w:uiPriority="0" w:unhideWhenUsed="0"/>
    <w:lsdException w:name="Hyperlink" w:locked="1" w:semiHidden="0" w:uiPriority="0" w:unhideWhenUsed="0" w:qFormat="1"/>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Document Map" w:locked="1" w:semiHidden="0" w:uiPriority="0" w:unhideWhenUsed="0" w:qFormat="1"/>
    <w:lsdException w:name="Plain Text" w:locked="1" w:semiHidden="0" w:uiPriority="0" w:unhideWhenUsed="0" w:qFormat="1"/>
    <w:lsdException w:name="E-mail Signature" w:locked="1" w:semiHidden="0" w:uiPriority="0" w:unhideWhenUsed="0"/>
    <w:lsdException w:name="Normal (Web)" w:semiHidden="0" w:uiPriority="0" w:unhideWhenUsed="0" w:qFormat="1"/>
    <w:lsdException w:name="HTML Acronym" w:locked="1" w:semiHidden="0" w:uiPriority="0" w:unhideWhenUsed="0"/>
    <w:lsdException w:name="HTML Address" w:locked="1" w:semiHidden="0" w:uiPriority="0" w:unhideWhenUsed="0"/>
    <w:lsdException w:name="HTML Cite" w:locked="1" w:semiHidden="0" w:uiPriority="0" w:unhideWhenUsed="0"/>
    <w:lsdException w:name="HTML Code" w:locked="1" w:semiHidden="0" w:uiPriority="0" w:unhideWhenUsed="0"/>
    <w:lsdException w:name="HTML Definition" w:locked="1" w:semiHidden="0" w:uiPriority="0" w:unhideWhenUsed="0"/>
    <w:lsdException w:name="HTML Keyboard" w:locked="1" w:semiHidden="0" w:uiPriority="0" w:unhideWhenUsed="0"/>
    <w:lsdException w:name="HTML Preformatted" w:locked="1" w:semiHidden="0" w:uiPriority="0" w:unhideWhenUsed="0"/>
    <w:lsdException w:name="HTML Sample" w:locked="1" w:semiHidden="0" w:uiPriority="0" w:unhideWhenUsed="0"/>
    <w:lsdException w:name="HTML Typewriter" w:locked="1" w:semiHidden="0" w:uiPriority="0" w:unhideWhenUsed="0"/>
    <w:lsdException w:name="HTML Variable" w:locked="1" w:semiHidden="0" w:uiPriority="0" w:unhideWhenUsed="0"/>
    <w:lsdException w:name="Normal Table" w:qFormat="1"/>
    <w:lsdException w:name="annotation subject" w:uiPriority="0" w:unhideWhenUsed="0" w:qFormat="1"/>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uiPriority="0" w:unhideWhenUsed="0" w:qFormat="1"/>
    <w:lsdException w:name="Table Grid" w:semiHidden="0" w:uiPriority="0" w:unhideWhenUsed="0" w:qFormat="1"/>
    <w:lsdException w:name="Table Theme" w:locked="1" w:uiPriority="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NormalIndent"/>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autoRedefine/>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Heading2">
    <w:name w:val="heading 2"/>
    <w:basedOn w:val="Normal"/>
    <w:next w:val="Normal"/>
    <w:link w:val="2Char"/>
    <w:autoRedefine/>
    <w:qFormat/>
    <w:locked/>
    <w:pPr>
      <w:keepNext/>
      <w:keepLines/>
      <w:spacing w:before="50" w:beforeLines="50" w:after="50" w:afterLines="50" w:line="360" w:lineRule="auto"/>
      <w:jc w:val="left"/>
      <w:outlineLvl w:val="1"/>
    </w:pPr>
    <w:rPr>
      <w:b/>
      <w:bCs/>
      <w:kern w:val="0"/>
      <w:sz w:val="30"/>
      <w:szCs w:val="32"/>
    </w:rPr>
  </w:style>
  <w:style w:type="paragraph" w:styleId="Heading3">
    <w:name w:val="heading 3"/>
    <w:basedOn w:val="3"/>
    <w:next w:val="Normal"/>
    <w:autoRedefine/>
    <w:qFormat/>
    <w:locked/>
    <w:pPr>
      <w:snapToGrid w:val="0"/>
      <w:spacing w:before="50" w:beforeLines="50" w:after="50" w:afterLines="50" w:line="360" w:lineRule="auto"/>
      <w:jc w:val="left"/>
      <w:outlineLvl w:val="2"/>
    </w:pPr>
    <w:rPr>
      <w:rFonts w:hint="eastAsia"/>
      <w:b/>
      <w:bCs/>
      <w:kern w:val="0"/>
      <w:sz w:val="24"/>
    </w:rPr>
  </w:style>
  <w:style w:type="paragraph" w:styleId="Heading4">
    <w:name w:val="heading 4"/>
    <w:basedOn w:val="Normal"/>
    <w:next w:val="Normal"/>
    <w:autoRedefine/>
    <w:qFormat/>
    <w:locked/>
    <w:pPr>
      <w:tabs>
        <w:tab w:val="left" w:pos="5400"/>
      </w:tabs>
      <w:spacing w:line="360" w:lineRule="auto"/>
      <w:jc w:val="left"/>
      <w:outlineLvl w:val="3"/>
    </w:pPr>
    <w:rPr>
      <w:b/>
      <w:bCs/>
      <w:sz w:val="24"/>
    </w:rPr>
  </w:style>
  <w:style w:type="paragraph" w:styleId="Heading5">
    <w:name w:val="heading 5"/>
    <w:basedOn w:val="Normal"/>
    <w:next w:val="Normal"/>
    <w:autoRedefine/>
    <w:semiHidden/>
    <w:unhideWhenUsed/>
    <w:qFormat/>
    <w:locked/>
    <w:pPr>
      <w:keepNext/>
      <w:keepLines/>
      <w:numPr>
        <w:ilvl w:val="4"/>
        <w:numId w:val="1"/>
      </w:numPr>
      <w:tabs>
        <w:tab w:val="left" w:pos="0"/>
      </w:tabs>
      <w:jc w:val="center"/>
      <w:outlineLvl w:val="4"/>
    </w:pPr>
    <w:rPr>
      <w:b/>
      <w:bCs/>
      <w:sz w:val="24"/>
      <w:szCs w:val="28"/>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NormalIndent">
    <w:name w:val="Normal Indent"/>
    <w:basedOn w:val="Normal"/>
    <w:next w:val="BodyTextFirstIndent2"/>
    <w:autoRedefine/>
    <w:uiPriority w:val="99"/>
    <w:qFormat/>
    <w:locked/>
    <w:pPr>
      <w:spacing w:line="360" w:lineRule="auto"/>
      <w:ind w:firstLine="200" w:firstLineChars="200"/>
    </w:pPr>
    <w:rPr>
      <w:sz w:val="24"/>
      <w:szCs w:val="20"/>
    </w:rPr>
  </w:style>
  <w:style w:type="paragraph" w:styleId="BodyTextFirstIndent2">
    <w:name w:val="Body Text First Indent 2"/>
    <w:basedOn w:val="BodyTextIndent"/>
    <w:next w:val="Normal"/>
    <w:autoRedefine/>
    <w:qFormat/>
    <w:locked/>
    <w:pPr>
      <w:ind w:left="0" w:firstLine="420" w:leftChars="0" w:firstLineChars="200"/>
    </w:pPr>
    <w:rPr>
      <w:sz w:val="21"/>
    </w:rPr>
  </w:style>
  <w:style w:type="paragraph" w:styleId="BodyTextIndent">
    <w:name w:val="Body Text Indent"/>
    <w:basedOn w:val="Normal"/>
    <w:next w:val="BodyTextFirstIndent2"/>
    <w:link w:val="a17"/>
    <w:autoRedefine/>
    <w:qFormat/>
    <w:pPr>
      <w:spacing w:after="120"/>
      <w:ind w:left="420" w:leftChars="200"/>
    </w:pPr>
    <w:rPr>
      <w:kern w:val="0"/>
      <w:sz w:val="24"/>
      <w:szCs w:val="20"/>
    </w:rPr>
  </w:style>
  <w:style w:type="paragraph" w:customStyle="1" w:styleId="3">
    <w:name w:val="标题3"/>
    <w:basedOn w:val="Normal"/>
    <w:autoRedefine/>
    <w:qFormat/>
  </w:style>
  <w:style w:type="paragraph" w:styleId="TableofAuthorities">
    <w:name w:val="table of authorities"/>
    <w:basedOn w:val="Normal"/>
    <w:next w:val="Normal"/>
    <w:autoRedefine/>
    <w:semiHidden/>
    <w:qFormat/>
    <w:locked/>
    <w:pPr>
      <w:ind w:left="420" w:leftChars="200"/>
    </w:pPr>
  </w:style>
  <w:style w:type="paragraph" w:styleId="NoteHeading">
    <w:name w:val="Note Heading"/>
    <w:basedOn w:val="Normal"/>
    <w:next w:val="Normal"/>
    <w:autoRedefine/>
    <w:qFormat/>
    <w:locked/>
    <w:pPr>
      <w:jc w:val="left"/>
    </w:pPr>
  </w:style>
  <w:style w:type="paragraph" w:styleId="DocumentMap">
    <w:name w:val="Document Map"/>
    <w:basedOn w:val="Normal"/>
    <w:link w:val="Char1"/>
    <w:autoRedefine/>
    <w:qFormat/>
    <w:locked/>
    <w:rPr>
      <w:rFonts w:ascii="宋体"/>
      <w:sz w:val="18"/>
      <w:szCs w:val="18"/>
    </w:rPr>
  </w:style>
  <w:style w:type="paragraph" w:styleId="CommentText">
    <w:name w:val="annotation text"/>
    <w:basedOn w:val="Normal"/>
    <w:link w:val="Char2"/>
    <w:autoRedefine/>
    <w:semiHidden/>
    <w:qFormat/>
    <w:pPr>
      <w:jc w:val="left"/>
    </w:pPr>
    <w:rPr>
      <w:kern w:val="0"/>
      <w:sz w:val="24"/>
      <w:szCs w:val="20"/>
    </w:rPr>
  </w:style>
  <w:style w:type="paragraph" w:styleId="BodyText">
    <w:name w:val="Body Text"/>
    <w:basedOn w:val="Normal"/>
    <w:next w:val="PlainText"/>
    <w:link w:val="Char0"/>
    <w:autoRedefine/>
    <w:qFormat/>
    <w:pPr>
      <w:widowControl/>
      <w:snapToGrid w:val="0"/>
      <w:spacing w:before="60" w:after="160" w:line="259" w:lineRule="auto"/>
      <w:ind w:right="113"/>
    </w:pPr>
    <w:rPr>
      <w:kern w:val="0"/>
      <w:sz w:val="18"/>
      <w:szCs w:val="20"/>
    </w:rPr>
  </w:style>
  <w:style w:type="paragraph" w:styleId="PlainText">
    <w:name w:val="Plain Text"/>
    <w:basedOn w:val="Normal"/>
    <w:next w:val="BodyText"/>
    <w:autoRedefine/>
    <w:qFormat/>
    <w:locked/>
    <w:rPr>
      <w:rFonts w:ascii="宋体" w:hAnsi="Courier New"/>
      <w:sz w:val="24"/>
    </w:rPr>
  </w:style>
  <w:style w:type="paragraph" w:styleId="Date">
    <w:name w:val="Date"/>
    <w:basedOn w:val="Normal"/>
    <w:next w:val="Normal"/>
    <w:link w:val="Char3"/>
    <w:autoRedefine/>
    <w:qFormat/>
    <w:pPr>
      <w:ind w:left="100" w:leftChars="2500"/>
    </w:pPr>
    <w:rPr>
      <w:kern w:val="0"/>
      <w:sz w:val="24"/>
      <w:szCs w:val="20"/>
    </w:rPr>
  </w:style>
  <w:style w:type="paragraph" w:styleId="BalloonText">
    <w:name w:val="Balloon Text"/>
    <w:basedOn w:val="Normal"/>
    <w:link w:val="Char4"/>
    <w:autoRedefine/>
    <w:semiHidden/>
    <w:qFormat/>
    <w:rPr>
      <w:kern w:val="0"/>
      <w:sz w:val="18"/>
      <w:szCs w:val="20"/>
    </w:rPr>
  </w:style>
  <w:style w:type="paragraph" w:styleId="Footer">
    <w:name w:val="footer"/>
    <w:basedOn w:val="Normal"/>
    <w:link w:val="Char5"/>
    <w:autoRedefine/>
    <w:uiPriority w:val="99"/>
    <w:qFormat/>
    <w:pPr>
      <w:tabs>
        <w:tab w:val="center" w:pos="4153"/>
        <w:tab w:val="right" w:pos="8306"/>
      </w:tabs>
      <w:snapToGrid w:val="0"/>
      <w:jc w:val="left"/>
    </w:pPr>
    <w:rPr>
      <w:kern w:val="0"/>
      <w:sz w:val="18"/>
      <w:szCs w:val="20"/>
    </w:rPr>
  </w:style>
  <w:style w:type="paragraph" w:styleId="EnvelopeReturn">
    <w:name w:val="envelope return"/>
    <w:basedOn w:val="Normal"/>
    <w:autoRedefine/>
    <w:qFormat/>
    <w:locked/>
    <w:pPr>
      <w:adjustRightInd w:val="0"/>
      <w:snapToGrid w:val="0"/>
    </w:pPr>
    <w:rPr>
      <w:rFonts w:ascii="Arial" w:hAnsi="Arial"/>
      <w:szCs w:val="22"/>
    </w:rPr>
  </w:style>
  <w:style w:type="paragraph" w:styleId="Header">
    <w:name w:val="header"/>
    <w:basedOn w:val="Normal"/>
    <w:link w:val="Char6"/>
    <w:autoRedefine/>
    <w:qFormat/>
    <w:pPr>
      <w:pBdr>
        <w:bottom w:val="single" w:sz="6" w:space="1" w:color="auto"/>
      </w:pBdr>
      <w:tabs>
        <w:tab w:val="center" w:pos="4153"/>
        <w:tab w:val="right" w:pos="8306"/>
      </w:tabs>
      <w:snapToGrid w:val="0"/>
      <w:jc w:val="center"/>
    </w:pPr>
    <w:rPr>
      <w:kern w:val="0"/>
      <w:sz w:val="18"/>
      <w:szCs w:val="20"/>
    </w:rPr>
  </w:style>
  <w:style w:type="paragraph" w:styleId="TOC1">
    <w:name w:val="toc 1"/>
    <w:basedOn w:val="Normal"/>
    <w:next w:val="Normal"/>
    <w:autoRedefine/>
    <w:uiPriority w:val="39"/>
    <w:unhideWhenUsed/>
    <w:qFormat/>
    <w:locked/>
    <w:pPr>
      <w:spacing w:before="360"/>
      <w:jc w:val="left"/>
    </w:pPr>
    <w:rPr>
      <w:rFonts w:ascii="等线 Light" w:eastAsia="等线 Light"/>
      <w:b/>
      <w:bCs/>
      <w:caps/>
    </w:rPr>
  </w:style>
  <w:style w:type="paragraph" w:styleId="Subtitle">
    <w:name w:val="Subtitle"/>
    <w:basedOn w:val="Normal"/>
    <w:autoRedefine/>
    <w:uiPriority w:val="99"/>
    <w:qFormat/>
    <w:locked/>
    <w:pPr>
      <w:spacing w:line="360" w:lineRule="auto"/>
      <w:ind w:firstLine="200" w:firstLineChars="200"/>
    </w:pPr>
    <w:rPr>
      <w:bCs/>
      <w:kern w:val="28"/>
      <w:sz w:val="24"/>
    </w:rPr>
  </w:style>
  <w:style w:type="paragraph" w:styleId="NormalWeb">
    <w:name w:val="Normal (Web)"/>
    <w:basedOn w:val="Normal"/>
    <w:link w:val="Char7"/>
    <w:autoRedefine/>
    <w:qFormat/>
    <w:pPr>
      <w:widowControl/>
      <w:spacing w:before="100" w:beforeAutospacing="1" w:after="100" w:afterAutospacing="1"/>
      <w:jc w:val="left"/>
    </w:pPr>
    <w:rPr>
      <w:rFonts w:ascii="宋体" w:hAnsi="宋体"/>
      <w:kern w:val="0"/>
      <w:sz w:val="24"/>
      <w:szCs w:val="20"/>
    </w:rPr>
  </w:style>
  <w:style w:type="paragraph" w:styleId="Title">
    <w:name w:val="Title"/>
    <w:basedOn w:val="Normal"/>
    <w:next w:val="Subtitle"/>
    <w:autoRedefine/>
    <w:uiPriority w:val="99"/>
    <w:qFormat/>
    <w:locked/>
    <w:pPr>
      <w:spacing w:beforeLines="50" w:after="100" w:afterAutospacing="1" w:line="360" w:lineRule="auto"/>
      <w:jc w:val="left"/>
      <w:outlineLvl w:val="3"/>
    </w:pPr>
    <w:rPr>
      <w:b/>
      <w:bCs/>
      <w:sz w:val="24"/>
    </w:rPr>
  </w:style>
  <w:style w:type="paragraph" w:styleId="CommentSubject">
    <w:name w:val="annotation subject"/>
    <w:basedOn w:val="CommentText"/>
    <w:next w:val="CommentText"/>
    <w:link w:val="Char8"/>
    <w:autoRedefine/>
    <w:semiHidden/>
    <w:qFormat/>
    <w:rPr>
      <w:b/>
      <w:kern w:val="2"/>
    </w:rPr>
  </w:style>
  <w:style w:type="paragraph" w:styleId="BodyTextFirstIndent">
    <w:name w:val="Body Text First Indent"/>
    <w:basedOn w:val="BodyText"/>
    <w:next w:val="Normal"/>
    <w:autoRedefine/>
    <w:qFormat/>
    <w:locked/>
    <w:pPr>
      <w:spacing w:line="360" w:lineRule="auto"/>
      <w:ind w:right="0" w:firstLine="720" w:firstLineChars="200"/>
    </w:pPr>
    <w:rPr>
      <w:sz w:val="21"/>
    </w:rPr>
  </w:style>
  <w:style w:type="table" w:styleId="TableGrid">
    <w:name w:val="Table Grid"/>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autoRedefine/>
    <w:qFormat/>
    <w:locked/>
    <w:rPr>
      <w:b/>
    </w:rPr>
  </w:style>
  <w:style w:type="character" w:styleId="PageNumber">
    <w:name w:val="page number"/>
    <w:autoRedefine/>
    <w:qFormat/>
    <w:locked/>
  </w:style>
  <w:style w:type="character" w:styleId="Hyperlink">
    <w:name w:val="Hyperlink"/>
    <w:autoRedefine/>
    <w:qFormat/>
    <w:locked/>
    <w:rPr>
      <w:color w:val="0000FF"/>
      <w:u w:val="single"/>
    </w:rPr>
  </w:style>
  <w:style w:type="character" w:styleId="CommentReference">
    <w:name w:val="annotation reference"/>
    <w:autoRedefine/>
    <w:semiHidden/>
    <w:qFormat/>
    <w:rPr>
      <w:sz w:val="21"/>
    </w:rPr>
  </w:style>
  <w:style w:type="paragraph" w:customStyle="1" w:styleId="Default">
    <w:name w:val="Default"/>
    <w:autoRedefine/>
    <w:uiPriority w:val="99"/>
    <w:unhideWhenUsed/>
    <w:qFormat/>
    <w:pPr>
      <w:widowControl w:val="0"/>
      <w:autoSpaceDE w:val="0"/>
      <w:autoSpaceDN w:val="0"/>
      <w:adjustRightInd w:val="0"/>
    </w:pPr>
    <w:rPr>
      <w:rFonts w:ascii="Calibri" w:eastAsia="Times New Roman" w:hAnsi="Calibri" w:cs="Times New Roman" w:hint="eastAsia"/>
      <w:color w:val="000000"/>
      <w:sz w:val="24"/>
      <w:szCs w:val="22"/>
      <w:lang w:val="en-US" w:eastAsia="zh-CN" w:bidi="ar-SA"/>
    </w:rPr>
  </w:style>
  <w:style w:type="paragraph" w:customStyle="1" w:styleId="15">
    <w:name w:val="样式 正文文本缩进 + 行距: 1.5 倍行距"/>
    <w:basedOn w:val="Normal"/>
    <w:autoRedefine/>
    <w:qFormat/>
    <w:pPr>
      <w:spacing w:after="120" w:line="360" w:lineRule="auto"/>
      <w:ind w:left="90" w:firstLine="560" w:leftChars="32" w:firstLineChars="200"/>
    </w:pPr>
    <w:rPr>
      <w:rFonts w:cs="宋体"/>
      <w:sz w:val="24"/>
    </w:rPr>
  </w:style>
  <w:style w:type="character" w:customStyle="1" w:styleId="Char">
    <w:name w:val="正文文本缩进 Char"/>
    <w:link w:val="BodyTextIndent"/>
    <w:autoRedefine/>
    <w:semiHidden/>
    <w:qFormat/>
    <w:locked/>
    <w:rPr>
      <w:rFonts w:ascii="Times New Roman" w:eastAsia="宋体" w:hAnsi="Times New Roman"/>
      <w:sz w:val="24"/>
    </w:rPr>
  </w:style>
  <w:style w:type="character" w:customStyle="1" w:styleId="Char0">
    <w:name w:val="正文文本 Char"/>
    <w:link w:val="BodyText"/>
    <w:autoRedefine/>
    <w:qFormat/>
    <w:locked/>
    <w:rPr>
      <w:sz w:val="18"/>
    </w:rPr>
  </w:style>
  <w:style w:type="character" w:customStyle="1" w:styleId="2Char">
    <w:name w:val="标题 2 Char"/>
    <w:link w:val="Heading2"/>
    <w:autoRedefine/>
    <w:qFormat/>
    <w:rPr>
      <w:rFonts w:ascii="Times New Roman" w:eastAsia="宋体" w:hAnsi="Times New Roman" w:cs="Times New Roman"/>
      <w:b/>
      <w:bCs/>
      <w:sz w:val="30"/>
      <w:szCs w:val="32"/>
    </w:rPr>
  </w:style>
  <w:style w:type="character" w:customStyle="1" w:styleId="Char1">
    <w:name w:val="文档结构图 Char"/>
    <w:link w:val="DocumentMap"/>
    <w:autoRedefine/>
    <w:qFormat/>
    <w:rPr>
      <w:rFonts w:ascii="宋体"/>
      <w:kern w:val="2"/>
      <w:sz w:val="18"/>
      <w:szCs w:val="18"/>
    </w:rPr>
  </w:style>
  <w:style w:type="character" w:customStyle="1" w:styleId="Char2">
    <w:name w:val="批注文字 Char"/>
    <w:link w:val="CommentText"/>
    <w:autoRedefine/>
    <w:qFormat/>
    <w:locked/>
    <w:rPr>
      <w:rFonts w:ascii="Times New Roman" w:eastAsia="宋体" w:hAnsi="Times New Roman"/>
      <w:sz w:val="24"/>
    </w:rPr>
  </w:style>
  <w:style w:type="character" w:customStyle="1" w:styleId="Char3">
    <w:name w:val="日期 Char"/>
    <w:link w:val="Date"/>
    <w:autoRedefine/>
    <w:qFormat/>
    <w:locked/>
    <w:rPr>
      <w:rFonts w:ascii="Times New Roman" w:eastAsia="宋体" w:hAnsi="Times New Roman"/>
      <w:sz w:val="24"/>
    </w:rPr>
  </w:style>
  <w:style w:type="character" w:customStyle="1" w:styleId="Char4">
    <w:name w:val="批注框文本 Char"/>
    <w:link w:val="BalloonText"/>
    <w:autoRedefine/>
    <w:semiHidden/>
    <w:qFormat/>
    <w:locked/>
    <w:rPr>
      <w:rFonts w:ascii="Times New Roman" w:eastAsia="宋体" w:hAnsi="Times New Roman"/>
      <w:sz w:val="18"/>
    </w:rPr>
  </w:style>
  <w:style w:type="character" w:customStyle="1" w:styleId="Char5">
    <w:name w:val="页脚 Char"/>
    <w:link w:val="Footer"/>
    <w:autoRedefine/>
    <w:uiPriority w:val="99"/>
    <w:qFormat/>
    <w:locked/>
    <w:rPr>
      <w:sz w:val="18"/>
    </w:rPr>
  </w:style>
  <w:style w:type="character" w:customStyle="1" w:styleId="Char6">
    <w:name w:val="页眉 Char"/>
    <w:link w:val="Header"/>
    <w:autoRedefine/>
    <w:qFormat/>
    <w:locked/>
    <w:rPr>
      <w:sz w:val="18"/>
    </w:rPr>
  </w:style>
  <w:style w:type="character" w:customStyle="1" w:styleId="Char7">
    <w:name w:val="普通(网站) Char"/>
    <w:link w:val="NormalWeb"/>
    <w:autoRedefine/>
    <w:qFormat/>
    <w:locked/>
    <w:rPr>
      <w:rFonts w:ascii="宋体" w:eastAsia="宋体" w:hAnsi="宋体"/>
      <w:sz w:val="24"/>
    </w:rPr>
  </w:style>
  <w:style w:type="character" w:customStyle="1" w:styleId="Char8">
    <w:name w:val="批注主题 Char"/>
    <w:link w:val="CommentSubject"/>
    <w:autoRedefine/>
    <w:semiHidden/>
    <w:qFormat/>
    <w:locked/>
    <w:rPr>
      <w:rFonts w:ascii="Times New Roman" w:eastAsia="宋体" w:hAnsi="Times New Roman"/>
      <w:b/>
      <w:kern w:val="2"/>
      <w:sz w:val="24"/>
    </w:rPr>
  </w:style>
  <w:style w:type="paragraph" w:customStyle="1" w:styleId="a">
    <w:name w:val="正文(首行缩进)"/>
    <w:basedOn w:val="Normal"/>
    <w:autoRedefine/>
    <w:qFormat/>
    <w:pPr>
      <w:widowControl/>
      <w:adjustRightInd w:val="0"/>
      <w:snapToGrid w:val="0"/>
      <w:jc w:val="left"/>
    </w:pPr>
    <w:rPr>
      <w:rFonts w:ascii="宋体" w:hAnsi="宋体" w:cs="宋体"/>
      <w:snapToGrid w:val="0"/>
      <w:kern w:val="0"/>
    </w:rPr>
  </w:style>
  <w:style w:type="character" w:customStyle="1" w:styleId="a0">
    <w:name w:val="页脚 字符"/>
    <w:autoRedefine/>
    <w:uiPriority w:val="99"/>
    <w:qFormat/>
  </w:style>
  <w:style w:type="character" w:customStyle="1" w:styleId="1">
    <w:name w:val="正文文本 字符1"/>
    <w:autoRedefine/>
    <w:semiHidden/>
    <w:qFormat/>
    <w:rPr>
      <w:rFonts w:ascii="Times New Roman" w:eastAsia="宋体" w:hAnsi="Times New Roman"/>
      <w:sz w:val="24"/>
    </w:rPr>
  </w:style>
  <w:style w:type="character" w:customStyle="1" w:styleId="Char9">
    <w:name w:val="表格 Char"/>
    <w:link w:val="a1"/>
    <w:autoRedefine/>
    <w:qFormat/>
    <w:locked/>
    <w:rPr>
      <w:rFonts w:ascii="宋体"/>
      <w:sz w:val="21"/>
    </w:rPr>
  </w:style>
  <w:style w:type="paragraph" w:customStyle="1" w:styleId="a1">
    <w:name w:val="表格"/>
    <w:basedOn w:val="Normal"/>
    <w:next w:val="Normal"/>
    <w:link w:val="Char9"/>
    <w:autoRedefine/>
    <w:qFormat/>
    <w:pPr>
      <w:adjustRightInd w:val="0"/>
      <w:snapToGrid w:val="0"/>
      <w:spacing w:beforeLines="10" w:afterLines="10" w:line="259" w:lineRule="auto"/>
      <w:jc w:val="center"/>
    </w:pPr>
    <w:rPr>
      <w:rFonts w:ascii="宋体"/>
      <w:kern w:val="0"/>
      <w:szCs w:val="20"/>
    </w:rPr>
  </w:style>
  <w:style w:type="character" w:customStyle="1" w:styleId="a2">
    <w:name w:val="日期 字符"/>
    <w:autoRedefine/>
    <w:semiHidden/>
    <w:qFormat/>
    <w:rPr>
      <w:rFonts w:ascii="Times New Roman" w:eastAsia="宋体" w:hAnsi="Times New Roman"/>
      <w:sz w:val="24"/>
    </w:rPr>
  </w:style>
  <w:style w:type="character" w:customStyle="1" w:styleId="10">
    <w:name w:val="批注文字 字符1"/>
    <w:autoRedefine/>
    <w:semiHidden/>
    <w:qFormat/>
    <w:rPr>
      <w:rFonts w:ascii="Times New Roman" w:eastAsia="宋体" w:hAnsi="Times New Roman"/>
      <w:sz w:val="24"/>
    </w:rPr>
  </w:style>
  <w:style w:type="paragraph" w:customStyle="1" w:styleId="100">
    <w:name w:val="正文_10"/>
    <w:autoRedefine/>
    <w:qFormat/>
    <w:pPr>
      <w:widowControl w:val="0"/>
      <w:jc w:val="both"/>
    </w:pPr>
    <w:rPr>
      <w:rFonts w:ascii="Times New Roman" w:eastAsia="宋体" w:hAnsi="Times New Roman" w:cs="Times New Roman"/>
      <w:kern w:val="2"/>
      <w:sz w:val="21"/>
      <w:szCs w:val="22"/>
      <w:lang w:val="en-US" w:eastAsia="zh-CN" w:bidi="ar-SA"/>
    </w:rPr>
  </w:style>
  <w:style w:type="paragraph" w:customStyle="1" w:styleId="2">
    <w:name w:val="普通(网站)2"/>
    <w:basedOn w:val="Normal"/>
    <w:autoRedefine/>
    <w:qFormat/>
    <w:pPr>
      <w:widowControl/>
      <w:spacing w:before="100" w:beforeAutospacing="1" w:after="100" w:afterAutospacing="1"/>
      <w:jc w:val="left"/>
    </w:pPr>
    <w:rPr>
      <w:rFonts w:ascii="宋体" w:hAnsi="宋体"/>
      <w:sz w:val="24"/>
      <w:szCs w:val="20"/>
    </w:rPr>
  </w:style>
  <w:style w:type="paragraph" w:customStyle="1" w:styleId="CM11">
    <w:name w:val="CM11"/>
    <w:basedOn w:val="Normal"/>
    <w:next w:val="Normal"/>
    <w:autoRedefine/>
    <w:qFormat/>
    <w:pPr>
      <w:autoSpaceDE w:val="0"/>
      <w:autoSpaceDN w:val="0"/>
      <w:adjustRightInd w:val="0"/>
      <w:spacing w:line="520" w:lineRule="atLeast"/>
      <w:jc w:val="left"/>
    </w:pPr>
    <w:rPr>
      <w:rFonts w:ascii="宋体"/>
      <w:kern w:val="0"/>
      <w:sz w:val="24"/>
    </w:rPr>
  </w:style>
  <w:style w:type="paragraph" w:customStyle="1" w:styleId="a3">
    <w:name w:val="环评 表格"/>
    <w:basedOn w:val="11"/>
    <w:autoRedefine/>
    <w:qFormat/>
    <w:pPr>
      <w:pBdr>
        <w:top w:val="none" w:sz="0" w:space="1" w:color="auto"/>
        <w:left w:val="dashed" w:sz="4" w:space="4" w:color="FFFFFF"/>
        <w:bottom w:val="none" w:sz="0" w:space="1" w:color="auto"/>
        <w:right w:val="dashed" w:sz="4" w:space="4" w:color="FFFFFF"/>
      </w:pBdr>
      <w:ind w:firstLine="0" w:firstLineChars="0"/>
      <w:jc w:val="center"/>
    </w:pPr>
    <w:rPr>
      <w:sz w:val="21"/>
      <w:szCs w:val="21"/>
      <w:lang w:eastAsia="en-US"/>
    </w:rPr>
  </w:style>
  <w:style w:type="paragraph" w:customStyle="1" w:styleId="11">
    <w:name w:val="无间隔1"/>
    <w:autoRedefine/>
    <w:uiPriority w:val="1"/>
    <w:qFormat/>
    <w:pPr>
      <w:widowControl w:val="0"/>
      <w:ind w:firstLine="200" w:firstLineChars="200"/>
      <w:jc w:val="both"/>
    </w:pPr>
    <w:rPr>
      <w:rFonts w:ascii="Calibri" w:eastAsia="宋体" w:hAnsi="Calibri" w:cs="Calibri"/>
      <w:kern w:val="2"/>
      <w:sz w:val="24"/>
      <w:szCs w:val="24"/>
      <w:lang w:val="en-US" w:eastAsia="zh-CN" w:bidi="ar-SA"/>
    </w:rPr>
  </w:style>
  <w:style w:type="paragraph" w:customStyle="1" w:styleId="a4">
    <w:name w:val="表头"/>
    <w:basedOn w:val="Normal"/>
    <w:autoRedefine/>
    <w:qFormat/>
    <w:pPr>
      <w:jc w:val="center"/>
    </w:pPr>
    <w:rPr>
      <w:b/>
      <w:szCs w:val="21"/>
    </w:rPr>
  </w:style>
  <w:style w:type="paragraph" w:customStyle="1" w:styleId="H">
    <w:name w:val="H图表内容"/>
    <w:basedOn w:val="Normal"/>
    <w:autoRedefine/>
    <w:qFormat/>
    <w:rPr>
      <w:szCs w:val="20"/>
    </w:rPr>
  </w:style>
  <w:style w:type="paragraph" w:customStyle="1" w:styleId="H0">
    <w:name w:val="H图表标题"/>
    <w:basedOn w:val="Normal"/>
    <w:autoRedefine/>
    <w:qFormat/>
    <w:pPr>
      <w:spacing w:before="120" w:beforeLines="50" w:line="360" w:lineRule="auto"/>
      <w:outlineLvl w:val="3"/>
    </w:pPr>
    <w:rPr>
      <w:b/>
      <w:snapToGrid w:val="0"/>
      <w:kern w:val="0"/>
      <w:sz w:val="24"/>
      <w:szCs w:val="30"/>
    </w:rPr>
  </w:style>
  <w:style w:type="character" w:customStyle="1" w:styleId="FontStyle92">
    <w:name w:val="Font Style92"/>
    <w:autoRedefine/>
    <w:qFormat/>
    <w:rPr>
      <w:rFonts w:ascii="宋体" w:eastAsia="宋体" w:hAnsi="宋体" w:cs="宋体" w:hint="eastAsia"/>
      <w:spacing w:val="10"/>
      <w:sz w:val="26"/>
      <w:szCs w:val="26"/>
    </w:rPr>
  </w:style>
  <w:style w:type="paragraph" w:customStyle="1" w:styleId="H2">
    <w:name w:val="H标题2"/>
    <w:basedOn w:val="Heading2"/>
    <w:autoRedefine/>
    <w:qFormat/>
    <w:pPr>
      <w:keepNext w:val="0"/>
      <w:keepLines w:val="0"/>
      <w:tabs>
        <w:tab w:val="left" w:pos="5400"/>
      </w:tabs>
      <w:spacing w:before="120" w:after="120"/>
    </w:pPr>
  </w:style>
  <w:style w:type="paragraph" w:customStyle="1" w:styleId="Default1">
    <w:name w:val="Default1"/>
    <w:autoRedefine/>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a5">
    <w:name w:val="正文（无网格）"/>
    <w:basedOn w:val="Normal"/>
    <w:autoRedefine/>
    <w:qFormat/>
    <w:pPr>
      <w:adjustRightInd w:val="0"/>
      <w:snapToGrid w:val="0"/>
      <w:spacing w:line="360" w:lineRule="auto"/>
      <w:ind w:firstLine="480" w:firstLineChars="200"/>
    </w:pPr>
    <w:rPr>
      <w:rFonts w:cs="宋体"/>
      <w:sz w:val="24"/>
      <w:szCs w:val="20"/>
    </w:rPr>
  </w:style>
  <w:style w:type="paragraph" w:customStyle="1" w:styleId="-">
    <w:name w:val="金皇-正文"/>
    <w:basedOn w:val="Normal"/>
    <w:autoRedefine/>
    <w:qFormat/>
    <w:pPr>
      <w:spacing w:line="360" w:lineRule="auto"/>
      <w:ind w:firstLine="200" w:firstLineChars="200"/>
    </w:pPr>
    <w:rPr>
      <w:sz w:val="24"/>
    </w:rPr>
  </w:style>
  <w:style w:type="paragraph" w:customStyle="1" w:styleId="20">
    <w:name w:val="标题2"/>
    <w:basedOn w:val="TableofAuthorities"/>
    <w:autoRedefine/>
    <w:qFormat/>
    <w:pPr>
      <w:spacing w:beforeLines="50" w:afterLines="50"/>
      <w:ind w:left="0" w:leftChars="0"/>
    </w:pPr>
    <w:rPr>
      <w:rFonts w:ascii="宋体" w:hAnsi="宋体"/>
      <w:b/>
      <w:sz w:val="28"/>
      <w:szCs w:val="28"/>
    </w:rPr>
  </w:style>
  <w:style w:type="paragraph" w:customStyle="1" w:styleId="21">
    <w:name w:val="自定义标题2"/>
    <w:basedOn w:val="Normal"/>
    <w:autoRedefine/>
    <w:qFormat/>
    <w:pPr>
      <w:spacing w:before="50" w:beforeLines="50" w:after="50" w:afterLines="50" w:line="360" w:lineRule="auto"/>
      <w:ind w:firstLine="480" w:firstLineChars="200"/>
      <w:jc w:val="left"/>
    </w:pPr>
    <w:rPr>
      <w:b/>
      <w:sz w:val="30"/>
      <w:szCs w:val="20"/>
    </w:rPr>
  </w:style>
  <w:style w:type="paragraph" w:customStyle="1" w:styleId="12">
    <w:name w:val="正文1"/>
    <w:basedOn w:val="BodyTextIndent"/>
    <w:autoRedefine/>
    <w:qFormat/>
    <w:pPr>
      <w:ind w:firstLine="200" w:firstLineChars="200"/>
    </w:pPr>
    <w:rPr>
      <w:rFonts w:cs="宋体"/>
    </w:rPr>
  </w:style>
  <w:style w:type="paragraph" w:customStyle="1" w:styleId="a6">
    <w:name w:val="常用"/>
    <w:basedOn w:val="Normal"/>
    <w:autoRedefine/>
    <w:qFormat/>
    <w:pPr>
      <w:widowControl/>
      <w:spacing w:line="360" w:lineRule="auto"/>
      <w:ind w:firstLine="200" w:firstLineChars="200"/>
      <w:jc w:val="left"/>
    </w:pPr>
    <w:rPr>
      <w:rFonts w:ascii="宋体" w:hAnsi="宋体"/>
      <w:kern w:val="0"/>
      <w:szCs w:val="28"/>
    </w:rPr>
  </w:style>
  <w:style w:type="paragraph" w:customStyle="1" w:styleId="H3">
    <w:name w:val="H标题3"/>
    <w:basedOn w:val="Normal"/>
    <w:autoRedefine/>
    <w:qFormat/>
    <w:pPr>
      <w:spacing w:before="120" w:beforeLines="50" w:after="120" w:afterLines="50" w:line="360" w:lineRule="auto"/>
      <w:jc w:val="left"/>
      <w:outlineLvl w:val="2"/>
    </w:pPr>
    <w:rPr>
      <w:b/>
      <w:sz w:val="24"/>
      <w:szCs w:val="20"/>
    </w:rPr>
  </w:style>
  <w:style w:type="paragraph" w:customStyle="1" w:styleId="CCW">
    <w:name w:val="表格内容CCW"/>
    <w:basedOn w:val="Normal"/>
    <w:autoRedefine/>
    <w:qFormat/>
    <w:pPr>
      <w:jc w:val="center"/>
    </w:pPr>
    <w:rPr>
      <w:szCs w:val="21"/>
    </w:rPr>
  </w:style>
  <w:style w:type="character" w:customStyle="1" w:styleId="QQChar">
    <w:name w:val="表格标题QQ Char"/>
    <w:link w:val="QQ"/>
    <w:autoRedefine/>
    <w:qFormat/>
    <w:rPr>
      <w:b/>
    </w:rPr>
  </w:style>
  <w:style w:type="paragraph" w:customStyle="1" w:styleId="QQ">
    <w:name w:val="表格标题QQ"/>
    <w:basedOn w:val="Normal"/>
    <w:link w:val="QQChar"/>
    <w:autoRedefine/>
    <w:qFormat/>
    <w:pPr>
      <w:jc w:val="center"/>
      <w:outlineLvl w:val="4"/>
    </w:pPr>
    <w:rPr>
      <w:b/>
      <w:kern w:val="0"/>
      <w:sz w:val="20"/>
      <w:szCs w:val="20"/>
    </w:rPr>
  </w:style>
  <w:style w:type="paragraph" w:customStyle="1" w:styleId="a7">
    <w:name w:val="表内容"/>
    <w:autoRedefine/>
    <w:qFormat/>
    <w:pPr>
      <w:adjustRightInd w:val="0"/>
      <w:jc w:val="center"/>
    </w:pPr>
    <w:rPr>
      <w:rFonts w:ascii="Times New Roman" w:eastAsia="宋体" w:hAnsi="Times New Roman" w:cs="Times New Roman"/>
      <w:kern w:val="2"/>
      <w:sz w:val="21"/>
      <w:szCs w:val="21"/>
      <w:lang w:val="en-US" w:eastAsia="zh-CN" w:bidi="ar-SA"/>
    </w:rPr>
  </w:style>
  <w:style w:type="paragraph" w:customStyle="1" w:styleId="a8">
    <w:name w:val="正文（小四）"/>
    <w:autoRedefine/>
    <w:qFormat/>
    <w:pPr>
      <w:spacing w:line="360" w:lineRule="auto"/>
      <w:ind w:firstLine="200" w:firstLineChars="200"/>
      <w:jc w:val="both"/>
    </w:pPr>
    <w:rPr>
      <w:rFonts w:ascii="Times New Roman" w:eastAsia="宋体" w:hAnsi="Times New Roman" w:cs="Times New Roman"/>
      <w:bCs/>
      <w:color w:val="000000"/>
      <w:kern w:val="2"/>
      <w:sz w:val="24"/>
      <w:szCs w:val="32"/>
      <w:lang w:val="en-US" w:eastAsia="zh-CN" w:bidi="ar-SA"/>
    </w:rPr>
  </w:style>
  <w:style w:type="table" w:customStyle="1" w:styleId="7">
    <w:name w:val="网格型7"/>
    <w:basedOn w:val="TableNormal"/>
    <w:autoRedefine/>
    <w:qFormat/>
    <w:pPr>
      <w:widowControl w:val="0"/>
      <w:jc w:val="both"/>
    </w:pPr>
    <w:rPr>
      <w:sz w:val="21"/>
    </w:rPr>
    <w:tblPr>
      <w:jc w:val="center"/>
      <w:tblBorders>
        <w:top w:val="single" w:sz="18" w:space="0" w:color="auto"/>
        <w:bottom w:val="single" w:sz="18" w:space="0" w:color="auto"/>
        <w:insideH w:val="single" w:sz="4" w:space="0" w:color="auto"/>
        <w:insideV w:val="single" w:sz="4" w:space="0" w:color="auto"/>
      </w:tblBorders>
      <w:tblCellMar>
        <w:top w:w="0" w:type="dxa"/>
        <w:left w:w="108" w:type="dxa"/>
        <w:bottom w:w="0" w:type="dxa"/>
        <w:right w:w="108" w:type="dxa"/>
      </w:tblCellMar>
    </w:tblPr>
    <w:trPr>
      <w:jc w:val="center"/>
    </w:trPr>
    <w:tcPr>
      <w:vAlign w:val="center"/>
    </w:tcPr>
  </w:style>
  <w:style w:type="paragraph" w:customStyle="1" w:styleId="Q">
    <w:name w:val="表格内容Q"/>
    <w:basedOn w:val="Normal"/>
    <w:autoRedefine/>
    <w:qFormat/>
    <w:pPr>
      <w:jc w:val="center"/>
    </w:pPr>
    <w:rPr>
      <w:szCs w:val="21"/>
    </w:rPr>
  </w:style>
  <w:style w:type="paragraph" w:customStyle="1" w:styleId="a9">
    <w:name w:val="表正文"/>
    <w:basedOn w:val="Normal"/>
    <w:autoRedefine/>
    <w:qFormat/>
    <w:pPr>
      <w:spacing w:line="360" w:lineRule="auto"/>
      <w:ind w:firstLine="200" w:firstLineChars="200"/>
    </w:pPr>
    <w:rPr>
      <w:sz w:val="24"/>
    </w:rPr>
  </w:style>
  <w:style w:type="paragraph" w:customStyle="1" w:styleId="1CM">
    <w:name w:val="1.表格标题CM"/>
    <w:basedOn w:val="Normal"/>
    <w:autoRedefine/>
    <w:qFormat/>
    <w:pPr>
      <w:adjustRightInd w:val="0"/>
      <w:snapToGrid w:val="0"/>
      <w:jc w:val="center"/>
      <w:outlineLvl w:val="6"/>
    </w:pPr>
    <w:rPr>
      <w:b/>
      <w:lang w:val="zh-CN"/>
    </w:rPr>
  </w:style>
  <w:style w:type="paragraph" w:customStyle="1" w:styleId="Q1">
    <w:name w:val="表格内容Q1"/>
    <w:basedOn w:val="Normal"/>
    <w:autoRedefine/>
    <w:qFormat/>
    <w:pPr>
      <w:jc w:val="center"/>
    </w:pPr>
    <w:rPr>
      <w:kern w:val="0"/>
      <w:sz w:val="18"/>
      <w:szCs w:val="20"/>
    </w:rPr>
  </w:style>
  <w:style w:type="paragraph" w:customStyle="1" w:styleId="a10">
    <w:name w:val="表格内容"/>
    <w:basedOn w:val="Normal"/>
    <w:next w:val="Normal"/>
    <w:autoRedefine/>
    <w:qFormat/>
    <w:pPr>
      <w:spacing w:line="340" w:lineRule="exact"/>
      <w:jc w:val="center"/>
    </w:pPr>
    <w:rPr>
      <w:iCs/>
      <w:szCs w:val="21"/>
    </w:rPr>
  </w:style>
  <w:style w:type="paragraph" w:customStyle="1" w:styleId="a11">
    <w:name w:val="表格正文"/>
    <w:basedOn w:val="Normal"/>
    <w:autoRedefine/>
    <w:qFormat/>
    <w:pPr>
      <w:jc w:val="center"/>
    </w:pPr>
  </w:style>
  <w:style w:type="paragraph" w:customStyle="1" w:styleId="a12">
    <w:name w:val="表格内文字"/>
    <w:basedOn w:val="Normal"/>
    <w:autoRedefine/>
    <w:qFormat/>
    <w:pPr>
      <w:jc w:val="center"/>
    </w:pPr>
    <w:rPr>
      <w:color w:val="000000"/>
      <w:kern w:val="0"/>
      <w:szCs w:val="21"/>
    </w:rPr>
  </w:style>
  <w:style w:type="paragraph" w:customStyle="1" w:styleId="2CM">
    <w:name w:val="2表内正文CM"/>
    <w:basedOn w:val="Normal"/>
    <w:next w:val="Normal"/>
    <w:autoRedefine/>
    <w:qFormat/>
    <w:pPr>
      <w:widowControl/>
      <w:adjustRightInd w:val="0"/>
      <w:snapToGrid w:val="0"/>
      <w:jc w:val="center"/>
    </w:pPr>
    <w:rPr>
      <w:rFonts w:cs="宋体"/>
      <w:szCs w:val="21"/>
    </w:rPr>
  </w:style>
  <w:style w:type="paragraph" w:customStyle="1" w:styleId="a13">
    <w:name w:val="图表标题"/>
    <w:basedOn w:val="a12"/>
    <w:autoRedefine/>
    <w:qFormat/>
    <w:rPr>
      <w:b/>
    </w:rPr>
  </w:style>
  <w:style w:type="paragraph" w:customStyle="1" w:styleId="CCW0">
    <w:name w:val="表格标题CCW"/>
    <w:basedOn w:val="Normal"/>
    <w:next w:val="Normal"/>
    <w:autoRedefine/>
    <w:qFormat/>
    <w:pPr>
      <w:spacing w:line="360" w:lineRule="auto"/>
      <w:jc w:val="center"/>
      <w:outlineLvl w:val="4"/>
    </w:pPr>
    <w:rPr>
      <w:b/>
      <w:kern w:val="0"/>
      <w:sz w:val="24"/>
    </w:rPr>
  </w:style>
  <w:style w:type="paragraph" w:customStyle="1" w:styleId="5">
    <w:name w:val="5文章(金皇)"/>
    <w:basedOn w:val="Normal"/>
    <w:autoRedefine/>
    <w:qFormat/>
    <w:pPr>
      <w:spacing w:line="360" w:lineRule="auto"/>
      <w:ind w:firstLine="480" w:firstLineChars="200"/>
    </w:pPr>
    <w:rPr>
      <w:sz w:val="24"/>
    </w:rPr>
  </w:style>
  <w:style w:type="paragraph" w:customStyle="1" w:styleId="50">
    <w:name w:val="5段落"/>
    <w:basedOn w:val="Normal"/>
    <w:autoRedefine/>
    <w:qFormat/>
    <w:pPr>
      <w:spacing w:line="360" w:lineRule="auto"/>
      <w:ind w:firstLine="200" w:firstLineChars="200"/>
    </w:pPr>
    <w:rPr>
      <w:szCs w:val="21"/>
    </w:rPr>
  </w:style>
  <w:style w:type="character" w:customStyle="1" w:styleId="150">
    <w:name w:val="15"/>
    <w:autoRedefine/>
    <w:qFormat/>
    <w:rPr>
      <w:rFonts w:ascii="宋体" w:eastAsia="宋体" w:hAnsi="宋体" w:hint="eastAsia"/>
      <w:spacing w:val="10"/>
      <w:sz w:val="26"/>
      <w:szCs w:val="26"/>
    </w:rPr>
  </w:style>
  <w:style w:type="paragraph" w:customStyle="1" w:styleId="6">
    <w:name w:val="6表格后段落"/>
    <w:basedOn w:val="50"/>
    <w:autoRedefine/>
    <w:qFormat/>
    <w:pPr>
      <w:spacing w:beforeLines="50" w:after="100" w:afterAutospacing="1"/>
    </w:pPr>
    <w:rPr>
      <w:rFonts w:cs="宋体"/>
    </w:rPr>
  </w:style>
  <w:style w:type="paragraph" w:customStyle="1" w:styleId="22">
    <w:name w:val="正文2"/>
    <w:autoRedefine/>
    <w:qFormat/>
    <w:pPr>
      <w:jc w:val="both"/>
    </w:pPr>
    <w:rPr>
      <w:rFonts w:ascii="Times New Roman" w:eastAsia="宋体" w:hAnsi="Times New Roman" w:cs="Times New Roman"/>
      <w:kern w:val="2"/>
      <w:sz w:val="21"/>
      <w:szCs w:val="21"/>
      <w:lang w:val="en-US" w:eastAsia="zh-CN" w:bidi="ar-SA"/>
    </w:rPr>
  </w:style>
  <w:style w:type="paragraph" w:styleId="ListParagraph">
    <w:name w:val="List Paragraph"/>
    <w:basedOn w:val="Normal"/>
    <w:next w:val="Subtitle"/>
    <w:autoRedefine/>
    <w:uiPriority w:val="99"/>
    <w:qFormat/>
    <w:pPr>
      <w:spacing w:beforeLines="50" w:after="100" w:afterAutospacing="1" w:line="360" w:lineRule="auto"/>
      <w:jc w:val="left"/>
      <w:outlineLvl w:val="2"/>
    </w:pPr>
    <w:rPr>
      <w:b/>
      <w:sz w:val="28"/>
      <w:szCs w:val="28"/>
    </w:rPr>
  </w:style>
  <w:style w:type="paragraph" w:styleId="Quote">
    <w:name w:val="Quote"/>
    <w:basedOn w:val="Normal"/>
    <w:next w:val="Subtitle"/>
    <w:autoRedefine/>
    <w:uiPriority w:val="99"/>
    <w:qFormat/>
    <w:pPr>
      <w:jc w:val="center"/>
    </w:pPr>
    <w:rPr>
      <w:b/>
      <w:iCs/>
      <w:color w:val="000000"/>
      <w:sz w:val="24"/>
    </w:rPr>
  </w:style>
  <w:style w:type="paragraph" w:styleId="NoSpacing">
    <w:name w:val="No Spacing"/>
    <w:basedOn w:val="Normal"/>
    <w:autoRedefine/>
    <w:uiPriority w:val="99"/>
    <w:qFormat/>
    <w:rPr>
      <w:szCs w:val="21"/>
    </w:rPr>
  </w:style>
  <w:style w:type="paragraph" w:customStyle="1" w:styleId="13">
    <w:name w:val="表格名称1"/>
    <w:basedOn w:val="Normal"/>
    <w:autoRedefine/>
    <w:qFormat/>
    <w:pPr>
      <w:adjustRightInd w:val="0"/>
      <w:snapToGrid w:val="0"/>
      <w:jc w:val="center"/>
    </w:pPr>
    <w:rPr>
      <w:b/>
    </w:rPr>
  </w:style>
  <w:style w:type="paragraph" w:customStyle="1" w:styleId="30">
    <w:name w:val="正文3"/>
    <w:autoRedefine/>
    <w:qFormat/>
    <w:pPr>
      <w:jc w:val="both"/>
    </w:pPr>
    <w:rPr>
      <w:rFonts w:ascii="Times New Roman" w:eastAsia="宋体" w:hAnsi="Times New Roman" w:cs="Times New Roman"/>
      <w:kern w:val="2"/>
      <w:sz w:val="21"/>
      <w:szCs w:val="21"/>
      <w:lang w:val="en-US" w:eastAsia="zh-CN" w:bidi="ar-SA"/>
    </w:rPr>
  </w:style>
  <w:style w:type="paragraph" w:customStyle="1" w:styleId="23">
    <w:name w:val="2 图表标题"/>
    <w:basedOn w:val="24"/>
    <w:autoRedefine/>
    <w:qFormat/>
    <w:pPr>
      <w:ind w:firstLine="0"/>
    </w:pPr>
    <w:rPr>
      <w:rFonts w:ascii="Times New Roman" w:hAnsi="Times New Roman"/>
    </w:rPr>
  </w:style>
  <w:style w:type="paragraph" w:customStyle="1" w:styleId="24">
    <w:name w:val="2图标名称"/>
    <w:basedOn w:val="Normal"/>
    <w:autoRedefine/>
    <w:qFormat/>
    <w:pPr>
      <w:autoSpaceDE w:val="0"/>
      <w:autoSpaceDN w:val="0"/>
      <w:adjustRightInd w:val="0"/>
      <w:snapToGrid w:val="0"/>
      <w:ind w:firstLine="420"/>
      <w:jc w:val="center"/>
    </w:pPr>
    <w:rPr>
      <w:rFonts w:ascii="宋体" w:hAnsi="宋体"/>
      <w:b/>
      <w:kern w:val="0"/>
      <w:szCs w:val="21"/>
    </w:rPr>
  </w:style>
  <w:style w:type="paragraph" w:customStyle="1" w:styleId="31">
    <w:name w:val="3表内文字"/>
    <w:basedOn w:val="Normal"/>
    <w:autoRedefine/>
    <w:qFormat/>
    <w:pPr>
      <w:jc w:val="center"/>
    </w:pPr>
    <w:rPr>
      <w:color w:val="000000"/>
      <w:sz w:val="18"/>
      <w:szCs w:val="21"/>
    </w:rPr>
  </w:style>
  <w:style w:type="character" w:customStyle="1" w:styleId="25">
    <w:name w:val="正文文本首行缩进 2 字符"/>
    <w:autoRedefine/>
    <w:qFormat/>
    <w:rPr>
      <w:kern w:val="2"/>
      <w:sz w:val="24"/>
      <w:szCs w:val="24"/>
    </w:rPr>
  </w:style>
  <w:style w:type="paragraph" w:customStyle="1" w:styleId="60">
    <w:name w:val="6表格"/>
    <w:basedOn w:val="Normal"/>
    <w:autoRedefine/>
    <w:qFormat/>
    <w:pPr>
      <w:jc w:val="center"/>
    </w:pPr>
  </w:style>
  <w:style w:type="character" w:customStyle="1" w:styleId="a14">
    <w:name w:val="宗兴表文字"/>
    <w:basedOn w:val="DefaultParagraphFont"/>
    <w:autoRedefine/>
    <w:qFormat/>
    <w:rPr>
      <w:rFonts w:ascii="Times New Roman" w:eastAsia="宋体" w:hAnsi="Times New Roman"/>
      <w:color w:val="000000"/>
      <w:sz w:val="21"/>
    </w:rPr>
  </w:style>
  <w:style w:type="paragraph" w:customStyle="1" w:styleId="CharCharCharCharCharCharCharCharChar1Char">
    <w:name w:val="Char Char Char Char Char Char Char Char Char1 Char"/>
    <w:basedOn w:val="Normal"/>
    <w:autoRedefine/>
    <w:semiHidden/>
    <w:qFormat/>
    <w:rPr>
      <w:rFonts w:ascii="宋体" w:hAnsi="宋体" w:cs="Courier New"/>
      <w:sz w:val="32"/>
      <w:szCs w:val="32"/>
    </w:rPr>
  </w:style>
  <w:style w:type="paragraph" w:customStyle="1" w:styleId="TableText">
    <w:name w:val="Table Text"/>
    <w:basedOn w:val="Normal"/>
    <w:autoRedefine/>
    <w:semiHidden/>
    <w:qFormat/>
    <w:pPr>
      <w:widowControl/>
      <w:kinsoku w:val="0"/>
      <w:autoSpaceDE w:val="0"/>
      <w:autoSpaceDN w:val="0"/>
      <w:adjustRightInd w:val="0"/>
      <w:snapToGrid w:val="0"/>
      <w:jc w:val="left"/>
      <w:textAlignment w:val="baseline"/>
    </w:pPr>
    <w:rPr>
      <w:rFonts w:ascii="宋体" w:hAnsi="宋体" w:cs="宋体"/>
      <w:snapToGrid w:val="0"/>
      <w:color w:val="000000"/>
      <w:kern w:val="0"/>
      <w:sz w:val="18"/>
      <w:szCs w:val="18"/>
      <w:lang w:eastAsia="en-US"/>
    </w:rPr>
  </w:style>
  <w:style w:type="paragraph" w:customStyle="1" w:styleId="zhang">
    <w:name w:val="zhang正文"/>
    <w:basedOn w:val="BodyTextIndent"/>
    <w:next w:val="Normal"/>
    <w:autoRedefine/>
    <w:qFormat/>
    <w:pPr>
      <w:autoSpaceDE w:val="0"/>
      <w:autoSpaceDN w:val="0"/>
      <w:adjustRightInd w:val="0"/>
      <w:snapToGrid w:val="0"/>
      <w:spacing w:line="500" w:lineRule="exact"/>
      <w:ind w:firstLine="539"/>
      <w:textAlignment w:val="baseline"/>
    </w:pPr>
    <w:rPr>
      <w:rFonts w:eastAsia="楷体_GB2312"/>
    </w:rPr>
  </w:style>
  <w:style w:type="character" w:customStyle="1" w:styleId="font11">
    <w:name w:val="font11"/>
    <w:basedOn w:val="DefaultParagraphFont"/>
    <w:autoRedefine/>
    <w:qFormat/>
    <w:rPr>
      <w:rFonts w:ascii="Times New Roman" w:hAnsi="Times New Roman" w:cs="Times New Roman" w:hint="default"/>
      <w:color w:val="000000"/>
      <w:sz w:val="21"/>
      <w:szCs w:val="21"/>
      <w:u w:val="none"/>
    </w:rPr>
  </w:style>
  <w:style w:type="paragraph" w:customStyle="1" w:styleId="61">
    <w:name w:val="6表格内文字"/>
    <w:basedOn w:val="Normal"/>
    <w:autoRedefine/>
    <w:qFormat/>
    <w:pPr>
      <w:jc w:val="center"/>
      <w:outlineLvl w:val="4"/>
    </w:pPr>
  </w:style>
  <w:style w:type="paragraph" w:customStyle="1" w:styleId="210">
    <w:name w:val="样式 首行缩进:  2 字符1"/>
    <w:basedOn w:val="Normal"/>
    <w:autoRedefine/>
    <w:qFormat/>
    <w:pPr>
      <w:adjustRightInd w:val="0"/>
      <w:snapToGrid w:val="0"/>
      <w:spacing w:line="360" w:lineRule="auto"/>
      <w:ind w:firstLine="480" w:firstLineChars="200"/>
    </w:pPr>
    <w:rPr>
      <w:rFonts w:ascii="宋体" w:hAnsi="宋体" w:hint="eastAsia"/>
      <w:sz w:val="24"/>
      <w:szCs w:val="20"/>
    </w:rPr>
  </w:style>
  <w:style w:type="paragraph" w:customStyle="1" w:styleId="a15">
    <w:name w:val="表格标题"/>
    <w:basedOn w:val="Normal"/>
    <w:next w:val="Normal"/>
    <w:autoRedefine/>
    <w:qFormat/>
    <w:pPr>
      <w:numPr>
        <w:ilvl w:val="0"/>
        <w:numId w:val="2"/>
      </w:numPr>
      <w:spacing w:line="360" w:lineRule="auto"/>
      <w:jc w:val="center"/>
      <w:outlineLvl w:val="4"/>
    </w:pPr>
    <w:rPr>
      <w:b/>
      <w:kern w:val="0"/>
      <w:sz w:val="24"/>
    </w:rPr>
  </w:style>
  <w:style w:type="paragraph" w:customStyle="1" w:styleId="-0">
    <w:name w:val="金皇-表格内文字"/>
    <w:basedOn w:val="Normal"/>
    <w:autoRedefine/>
    <w:qFormat/>
    <w:pPr>
      <w:adjustRightInd w:val="0"/>
      <w:snapToGrid w:val="0"/>
      <w:jc w:val="center"/>
    </w:pPr>
    <w:rPr>
      <w:sz w:val="20"/>
      <w:szCs w:val="20"/>
    </w:rPr>
  </w:style>
  <w:style w:type="paragraph" w:customStyle="1" w:styleId="70">
    <w:name w:val="7表格(治)"/>
    <w:basedOn w:val="Normal"/>
    <w:autoRedefine/>
    <w:qFormat/>
    <w:pPr>
      <w:jc w:val="center"/>
    </w:pPr>
    <w:rPr>
      <w:szCs w:val="21"/>
    </w:rPr>
  </w:style>
  <w:style w:type="character" w:customStyle="1" w:styleId="1Char">
    <w:name w:val="表格内正文1 Char"/>
    <w:link w:val="14"/>
    <w:autoRedefine/>
    <w:qFormat/>
    <w:rPr>
      <w:rFonts w:eastAsiaTheme="minorEastAsia"/>
      <w:sz w:val="21"/>
      <w:szCs w:val="24"/>
    </w:rPr>
  </w:style>
  <w:style w:type="paragraph" w:customStyle="1" w:styleId="14">
    <w:name w:val="表格内正文1"/>
    <w:basedOn w:val="Normal"/>
    <w:next w:val="Normal"/>
    <w:link w:val="1Char"/>
    <w:autoRedefine/>
    <w:qFormat/>
    <w:pPr>
      <w:widowControl/>
      <w:adjustRightInd w:val="0"/>
      <w:snapToGrid w:val="0"/>
      <w:jc w:val="center"/>
    </w:pPr>
    <w:rPr>
      <w:rFonts w:eastAsiaTheme="minorEastAsia"/>
    </w:rPr>
  </w:style>
  <w:style w:type="paragraph" w:customStyle="1" w:styleId="a16">
    <w:name w:val="正文内容"/>
    <w:link w:val="Char10"/>
    <w:autoRedefine/>
    <w:qFormat/>
    <w:pPr>
      <w:spacing w:line="360" w:lineRule="auto"/>
      <w:ind w:firstLine="200" w:firstLineChars="200"/>
      <w:jc w:val="both"/>
    </w:pPr>
    <w:rPr>
      <w:rFonts w:ascii="Times New Roman" w:eastAsia="宋体" w:hAnsi="Times New Roman" w:cs="Times New Roman"/>
      <w:kern w:val="2"/>
      <w:sz w:val="24"/>
      <w:szCs w:val="22"/>
      <w:lang w:val="en-US" w:eastAsia="zh-CN" w:bidi="ar-SA"/>
    </w:rPr>
  </w:style>
  <w:style w:type="character" w:customStyle="1" w:styleId="font21">
    <w:name w:val="font21"/>
    <w:basedOn w:val="DefaultParagraphFont"/>
    <w:autoRedefine/>
    <w:qFormat/>
    <w:rPr>
      <w:rFonts w:ascii="宋体" w:eastAsia="宋体" w:hAnsi="宋体" w:cs="宋体" w:hint="eastAsia"/>
      <w:color w:val="000000"/>
      <w:sz w:val="21"/>
      <w:szCs w:val="21"/>
      <w:u w:val="none"/>
    </w:rPr>
  </w:style>
  <w:style w:type="character" w:customStyle="1" w:styleId="font31">
    <w:name w:val="font31"/>
    <w:basedOn w:val="DefaultParagraphFont"/>
    <w:autoRedefine/>
    <w:qFormat/>
    <w:rPr>
      <w:rFonts w:ascii="Times New Roman" w:hAnsi="Times New Roman" w:cs="Times New Roman" w:hint="default"/>
      <w:color w:val="000000"/>
      <w:sz w:val="21"/>
      <w:szCs w:val="21"/>
      <w:u w:val="none"/>
      <w:vertAlign w:val="subscript"/>
    </w:rPr>
  </w:style>
  <w:style w:type="character" w:customStyle="1" w:styleId="Char10">
    <w:name w:val="正文内容 Char"/>
    <w:link w:val="a16"/>
    <w:autoRedefine/>
    <w:qFormat/>
    <w:rPr>
      <w:kern w:val="2"/>
      <w:sz w:val="24"/>
      <w:szCs w:val="22"/>
    </w:rPr>
  </w:style>
  <w:style w:type="character" w:customStyle="1" w:styleId="a17">
    <w:name w:val="正文文本缩进 字符"/>
    <w:basedOn w:val="DefaultParagraphFont"/>
    <w:link w:val="BodyTextIndent"/>
    <w:autoRedefine/>
    <w:qFormat/>
    <w:rPr>
      <w:kern w:val="2"/>
      <w:sz w:val="24"/>
      <w:szCs w:val="24"/>
    </w:rPr>
  </w:style>
  <w:style w:type="paragraph" w:customStyle="1" w:styleId="a18">
    <w:name w:val="表格样式"/>
    <w:basedOn w:val="Normal"/>
    <w:next w:val="Normal"/>
    <w:autoRedefine/>
    <w:qFormat/>
    <w:pPr>
      <w:keepNext/>
      <w:overflowPunct w:val="0"/>
      <w:snapToGrid w:val="0"/>
      <w:spacing w:line="340" w:lineRule="exact"/>
      <w:ind w:left="0" w:firstLine="0"/>
      <w:jc w:val="center"/>
      <w:outlineLvl w:val="9"/>
    </w:pPr>
    <w:rPr>
      <w:rFonts w:ascii="Times New Roman" w:eastAsia="宋体" w:hAnsi="Times New Roman" w:hint="eastAsia"/>
      <w:bCs/>
      <w:color w:val="000000"/>
      <w:kern w:val="44"/>
      <w:szCs w:val="30"/>
    </w:rPr>
  </w:style>
  <w:style w:type="table" w:customStyle="1" w:styleId="TableGrid0">
    <w:name w:val="Table Grid_0"/>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image" Target="media/image1.emf" /><Relationship Id="rId25" Type="http://schemas.openxmlformats.org/officeDocument/2006/relationships/oleObject" Target="embeddings/oleObject1.bin" /><Relationship Id="rId26" Type="http://schemas.openxmlformats.org/officeDocument/2006/relationships/footer" Target="footer20.xml" /><Relationship Id="rId27" Type="http://schemas.openxmlformats.org/officeDocument/2006/relationships/image" Target="media/image2.emf" /><Relationship Id="rId28" Type="http://schemas.openxmlformats.org/officeDocument/2006/relationships/oleObject" Target="embeddings/oleObject2.bin" /><Relationship Id="rId29" Type="http://schemas.openxmlformats.org/officeDocument/2006/relationships/footer" Target="footer21.xml" /><Relationship Id="rId3" Type="http://schemas.openxmlformats.org/officeDocument/2006/relationships/fontTable" Target="fontTable.xml" /><Relationship Id="rId30" Type="http://schemas.openxmlformats.org/officeDocument/2006/relationships/footer" Target="footer22.xml" /><Relationship Id="rId31" Type="http://schemas.openxmlformats.org/officeDocument/2006/relationships/footer" Target="footer23.xml" /><Relationship Id="rId32" Type="http://schemas.openxmlformats.org/officeDocument/2006/relationships/image" Target="media/image3.png" /><Relationship Id="rId33" Type="http://schemas.openxmlformats.org/officeDocument/2006/relationships/footer" Target="footer24.xml" /><Relationship Id="rId34" Type="http://schemas.openxmlformats.org/officeDocument/2006/relationships/image" Target="media/image4.emf" /><Relationship Id="rId35" Type="http://schemas.openxmlformats.org/officeDocument/2006/relationships/oleObject" Target="embeddings/oleObject3.bin" /><Relationship Id="rId36" Type="http://schemas.openxmlformats.org/officeDocument/2006/relationships/footer" Target="footer25.xml" /><Relationship Id="rId37" Type="http://schemas.openxmlformats.org/officeDocument/2006/relationships/image" Target="media/image5.emf" /><Relationship Id="rId38" Type="http://schemas.openxmlformats.org/officeDocument/2006/relationships/oleObject" Target="embeddings/oleObject4.bin" /><Relationship Id="rId39" Type="http://schemas.openxmlformats.org/officeDocument/2006/relationships/footer" Target="footer26.xml" /><Relationship Id="rId4" Type="http://schemas.openxmlformats.org/officeDocument/2006/relationships/customXml" Target="../customXml/item1.xml" /><Relationship Id="rId40" Type="http://schemas.openxmlformats.org/officeDocument/2006/relationships/image" Target="media/image6.png" /><Relationship Id="rId41" Type="http://schemas.openxmlformats.org/officeDocument/2006/relationships/footer" Target="footer27.xml" /><Relationship Id="rId42" Type="http://schemas.openxmlformats.org/officeDocument/2006/relationships/footer" Target="footer28.xml" /><Relationship Id="rId43" Type="http://schemas.openxmlformats.org/officeDocument/2006/relationships/footer" Target="footer29.xml" /><Relationship Id="rId44" Type="http://schemas.openxmlformats.org/officeDocument/2006/relationships/footer" Target="footer30.xml" /><Relationship Id="rId45" Type="http://schemas.openxmlformats.org/officeDocument/2006/relationships/footer" Target="footer31.xml" /><Relationship Id="rId46" Type="http://schemas.openxmlformats.org/officeDocument/2006/relationships/footer" Target="footer32.xml" /><Relationship Id="rId47" Type="http://schemas.openxmlformats.org/officeDocument/2006/relationships/footer" Target="footer33.xml" /><Relationship Id="rId48" Type="http://schemas.openxmlformats.org/officeDocument/2006/relationships/footer" Target="footer34.xml" /><Relationship Id="rId49" Type="http://schemas.openxmlformats.org/officeDocument/2006/relationships/footer" Target="footer35.xml" /><Relationship Id="rId5" Type="http://schemas.openxmlformats.org/officeDocument/2006/relationships/footer" Target="footer1.xml" /><Relationship Id="rId50" Type="http://schemas.openxmlformats.org/officeDocument/2006/relationships/hyperlink" Target="https://d.book118.com/167023010053006053" TargetMode="External" /><Relationship Id="rId51" Type="http://schemas.openxmlformats.org/officeDocument/2006/relationships/footer" Target="footer36.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46</Pages>
  <Words>53445</Words>
  <Characters>65464</Characters>
  <Application>Microsoft Office Word</Application>
  <DocSecurity>0</DocSecurity>
  <Lines>487</Lines>
  <Paragraphs>137</Paragraphs>
  <ScaleCrop>false</ScaleCrop>
  <Company>微软中国</Company>
  <LinksUpToDate>false</LinksUpToDate>
  <CharactersWithSpaces>66062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许</cp:lastModifiedBy>
  <cp:revision>2</cp:revision>
  <cp:lastPrinted>2023-12-29T02:35:00Z</cp:lastPrinted>
  <dcterms:created xsi:type="dcterms:W3CDTF">2023-12-04T15:06:00Z</dcterms:created>
  <dcterms:modified xsi:type="dcterms:W3CDTF">2024-03-16T13:32:30Z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E4D04447E0FB43B7BE47263E88B24CEA_13</vt:lpwstr>
  </property>
  <property fmtid="{D5CDD505-2E9C-101B-9397-08002B2CF9AE}" pid="3" name="KSOProductBuildVer">
    <vt:lpwstr>2052-12.1.0.16412</vt:lpwstr>
  </property>
</Properties>
</file>