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tbl>
      <w:tblPr>
        <w:tblStyle w:val="TableNormal"/>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16"/>
        <w:gridCol w:w="141"/>
        <w:gridCol w:w="1276"/>
        <w:gridCol w:w="1701"/>
        <w:gridCol w:w="969"/>
        <w:gridCol w:w="277"/>
        <w:gridCol w:w="998"/>
        <w:gridCol w:w="211"/>
        <w:gridCol w:w="411"/>
        <w:gridCol w:w="698"/>
        <w:gridCol w:w="1335"/>
      </w:tblGrid>
      <w:tr w14:paraId="07A83015" w14:textId="77777777" w:rsidTr="00294A89">
        <w:tblPrEx>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673"/>
          <w:jc w:val="center"/>
        </w:trPr>
        <w:tc>
          <w:tcPr>
            <w:tcW w:w="2633" w:type="dxa"/>
            <w:gridSpan w:val="3"/>
            <w:vMerge w:val="restart"/>
            <w:tcBorders>
              <w:top w:val="double" w:sz="4" w:space="0" w:color="auto"/>
              <w:left w:val="double" w:sz="4" w:space="0" w:color="auto"/>
              <w:right w:val="single" w:sz="4" w:space="0" w:color="auto"/>
            </w:tcBorders>
            <w:vAlign w:val="center"/>
          </w:tcPr>
          <w:p w:rsidR="0011523B" w:rsidRPr="00187557" w:rsidP="00294A89" w14:paraId="2D503DC6" w14:textId="77777777">
            <w:pPr>
              <w:ind w:firstLine="0" w:firstLineChars="0"/>
              <w:rPr>
                <w:rFonts w:ascii="宋体" w:hAnsi="宋体"/>
                <w:b/>
                <w:sz w:val="28"/>
                <w:szCs w:val="28"/>
              </w:rPr>
            </w:pPr>
            <w:bookmarkStart w:id="0" w:name="_Toc432432161"/>
            <w:bookmarkStart w:id="1" w:name="_Toc460832660"/>
            <w:bookmarkStart w:id="2" w:name="_Toc446691953"/>
            <w:r w:rsidRPr="00EB0111">
              <w:rPr>
                <w:rFonts w:ascii="微软雅黑" w:eastAsia="微软雅黑" w:hAnsi="微软雅黑"/>
                <w:noProof/>
              </w:rPr>
              <w:drawing>
                <wp:anchor distT="0" distB="0" distL="114300" distR="114300" simplePos="0" relativeHeight="251658240" behindDoc="0" locked="0" layoutInCell="1" allowOverlap="1">
                  <wp:simplePos x="0" y="0"/>
                  <wp:positionH relativeFrom="column">
                    <wp:posOffset>287020</wp:posOffset>
                  </wp:positionH>
                  <wp:positionV relativeFrom="paragraph">
                    <wp:posOffset>31750</wp:posOffset>
                  </wp:positionV>
                  <wp:extent cx="1085850" cy="562610"/>
                  <wp:effectExtent l="0" t="0" r="0" b="8890"/>
                  <wp:wrapNone/>
                  <wp:docPr id="3" name="图片 3"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徽标, 公司名称&#10;&#10;描述已自动生成"/>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85850" cy="5626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56" w:type="dxa"/>
            <w:gridSpan w:val="5"/>
            <w:tcBorders>
              <w:top w:val="double" w:sz="4" w:space="0" w:color="auto"/>
              <w:left w:val="single" w:sz="4" w:space="0" w:color="auto"/>
              <w:bottom w:val="single" w:sz="4" w:space="0" w:color="auto"/>
              <w:right w:val="single" w:sz="4" w:space="0" w:color="auto"/>
            </w:tcBorders>
            <w:vAlign w:val="center"/>
          </w:tcPr>
          <w:p w:rsidR="0011523B" w:rsidRPr="00D52F84" w:rsidP="00294A89" w14:paraId="7A5EAB05" w14:textId="77777777">
            <w:pPr>
              <w:overflowPunct w:val="0"/>
              <w:autoSpaceDE w:val="0"/>
              <w:autoSpaceDN w:val="0"/>
              <w:adjustRightInd w:val="0"/>
              <w:snapToGrid w:val="0"/>
              <w:spacing w:line="440" w:lineRule="exact"/>
              <w:ind w:firstLine="0" w:firstLineChars="0"/>
              <w:rPr>
                <w:rFonts w:ascii="宋体" w:eastAsia="宋体" w:hAnsi="宋体"/>
                <w:b/>
                <w:sz w:val="28"/>
                <w:szCs w:val="28"/>
              </w:rPr>
            </w:pPr>
            <w:r w:rsidRPr="00D52F84">
              <w:rPr>
                <w:rFonts w:ascii="宋体" w:eastAsia="宋体" w:hAnsi="宋体" w:hint="eastAsia"/>
                <w:b/>
                <w:snapToGrid w:val="0"/>
                <w:kern w:val="0"/>
                <w:sz w:val="28"/>
                <w:szCs w:val="28"/>
              </w:rPr>
              <w:t>前海建设投资控股集团有限公司</w:t>
            </w:r>
          </w:p>
        </w:tc>
        <w:tc>
          <w:tcPr>
            <w:tcW w:w="2444" w:type="dxa"/>
            <w:gridSpan w:val="3"/>
            <w:vMerge w:val="restart"/>
            <w:tcBorders>
              <w:top w:val="double" w:sz="4" w:space="0" w:color="auto"/>
              <w:left w:val="single" w:sz="4" w:space="0" w:color="auto"/>
              <w:right w:val="double" w:sz="4" w:space="0" w:color="auto"/>
            </w:tcBorders>
            <w:vAlign w:val="center"/>
          </w:tcPr>
          <w:p w:rsidR="0011523B" w:rsidRPr="000A36FE" w:rsidP="00294A89" w14:paraId="1CD3D3B5" w14:textId="199A9C4C">
            <w:pPr>
              <w:spacing w:line="240" w:lineRule="auto"/>
              <w:ind w:firstLine="0" w:firstLineChars="0"/>
              <w:jc w:val="left"/>
              <w:rPr>
                <w:rFonts w:ascii="宋体" w:eastAsia="宋体" w:hAnsi="宋体"/>
                <w:sz w:val="21"/>
              </w:rPr>
            </w:pPr>
            <w:r w:rsidRPr="000A36FE">
              <w:rPr>
                <w:rFonts w:ascii="宋体" w:eastAsia="宋体" w:hAnsi="宋体" w:hint="eastAsia"/>
                <w:sz w:val="21"/>
              </w:rPr>
              <w:t>编</w:t>
            </w:r>
            <w:r w:rsidRPr="000A36FE">
              <w:rPr>
                <w:rFonts w:ascii="宋体" w:eastAsia="宋体" w:hAnsi="宋体"/>
                <w:sz w:val="21"/>
              </w:rPr>
              <w:t xml:space="preserve">    </w:t>
            </w:r>
            <w:r w:rsidRPr="000A36FE">
              <w:rPr>
                <w:rFonts w:ascii="宋体" w:eastAsia="宋体" w:hAnsi="宋体" w:hint="eastAsia"/>
                <w:sz w:val="21"/>
              </w:rPr>
              <w:t>号：</w:t>
            </w:r>
            <w:r w:rsidRPr="009D7382" w:rsidR="009D7382">
              <w:rPr>
                <w:rFonts w:ascii="宋体" w:eastAsia="宋体" w:hAnsi="宋体"/>
                <w:sz w:val="21"/>
              </w:rPr>
              <w:t>QHKG-09-2-06</w:t>
            </w:r>
          </w:p>
          <w:p w:rsidR="0011523B" w:rsidRPr="000A36FE" w:rsidP="00294A89" w14:paraId="056D8805" w14:textId="5FDBD42F">
            <w:pPr>
              <w:spacing w:line="240" w:lineRule="auto"/>
              <w:ind w:firstLine="0" w:firstLineChars="0"/>
              <w:jc w:val="left"/>
              <w:rPr>
                <w:rFonts w:ascii="宋体" w:eastAsia="宋体" w:hAnsi="宋体"/>
                <w:sz w:val="21"/>
              </w:rPr>
            </w:pPr>
            <w:r w:rsidRPr="000A36FE">
              <w:rPr>
                <w:rFonts w:ascii="宋体" w:eastAsia="宋体" w:hAnsi="宋体" w:hint="eastAsia"/>
                <w:sz w:val="21"/>
              </w:rPr>
              <w:t>版</w:t>
            </w:r>
            <w:r w:rsidRPr="000A36FE">
              <w:rPr>
                <w:rFonts w:ascii="宋体" w:eastAsia="宋体" w:hAnsi="宋体"/>
                <w:sz w:val="21"/>
              </w:rPr>
              <w:t xml:space="preserve">    </w:t>
            </w:r>
            <w:r w:rsidRPr="000A36FE">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D52F84" w:rsidP="00294A89" w14:paraId="5607E34F" w14:textId="386ABBBA">
            <w:pPr>
              <w:spacing w:line="240" w:lineRule="auto"/>
              <w:ind w:firstLine="0" w:firstLineChars="0"/>
              <w:jc w:val="left"/>
              <w:rPr>
                <w:rFonts w:ascii="宋体" w:eastAsia="宋体" w:hAnsi="宋体"/>
                <w:b/>
                <w:sz w:val="28"/>
                <w:szCs w:val="28"/>
              </w:rPr>
            </w:pPr>
            <w:r w:rsidRPr="000A36FE">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r w14:paraId="2265046E" w14:textId="77777777" w:rsidTr="00294A89">
        <w:tblPrEx>
          <w:tblW w:w="9233" w:type="dxa"/>
          <w:jc w:val="center"/>
          <w:tblLayout w:type="fixed"/>
          <w:tblLook w:val="0000"/>
        </w:tblPrEx>
        <w:trPr>
          <w:cantSplit/>
          <w:trHeight w:val="418"/>
          <w:jc w:val="center"/>
        </w:trPr>
        <w:tc>
          <w:tcPr>
            <w:tcW w:w="2633" w:type="dxa"/>
            <w:gridSpan w:val="3"/>
            <w:vMerge/>
            <w:tcBorders>
              <w:left w:val="double" w:sz="4" w:space="0" w:color="auto"/>
              <w:bottom w:val="single" w:sz="4" w:space="0" w:color="auto"/>
              <w:right w:val="single" w:sz="4" w:space="0" w:color="auto"/>
            </w:tcBorders>
            <w:vAlign w:val="center"/>
          </w:tcPr>
          <w:p w:rsidR="0011523B" w:rsidRPr="00187557" w:rsidP="00EE52A3" w14:paraId="5A495C0F" w14:textId="77777777">
            <w:pPr>
              <w:ind w:firstLine="562"/>
              <w:jc w:val="center"/>
              <w:rPr>
                <w:rFonts w:ascii="宋体" w:hAnsi="宋体"/>
                <w:b/>
                <w:sz w:val="28"/>
                <w:szCs w:val="28"/>
              </w:rPr>
            </w:pPr>
          </w:p>
        </w:tc>
        <w:tc>
          <w:tcPr>
            <w:tcW w:w="4156" w:type="dxa"/>
            <w:gridSpan w:val="5"/>
            <w:tcBorders>
              <w:top w:val="single" w:sz="4" w:space="0" w:color="auto"/>
              <w:left w:val="single" w:sz="4" w:space="0" w:color="auto"/>
              <w:bottom w:val="single" w:sz="4" w:space="0" w:color="auto"/>
              <w:right w:val="single" w:sz="4" w:space="0" w:color="auto"/>
            </w:tcBorders>
            <w:vAlign w:val="center"/>
          </w:tcPr>
          <w:p w:rsidR="0011523B" w:rsidRPr="00D52F84" w:rsidP="00294A89" w14:paraId="4B5DA1C3" w14:textId="77777777">
            <w:pPr>
              <w:overflowPunct w:val="0"/>
              <w:autoSpaceDE w:val="0"/>
              <w:autoSpaceDN w:val="0"/>
              <w:adjustRightInd w:val="0"/>
              <w:snapToGrid w:val="0"/>
              <w:spacing w:line="440" w:lineRule="exact"/>
              <w:ind w:firstLine="0" w:firstLineChars="0"/>
              <w:jc w:val="center"/>
              <w:rPr>
                <w:rFonts w:ascii="宋体" w:eastAsia="宋体" w:hAnsi="宋体"/>
                <w:b/>
                <w:sz w:val="28"/>
                <w:szCs w:val="28"/>
              </w:rPr>
            </w:pPr>
            <w:r w:rsidRPr="00D52F84">
              <w:rPr>
                <w:rFonts w:ascii="宋体" w:eastAsia="宋体" w:hAnsi="宋体" w:hint="eastAsia"/>
                <w:b/>
                <w:snapToGrid w:val="0"/>
                <w:kern w:val="0"/>
                <w:sz w:val="28"/>
                <w:szCs w:val="28"/>
              </w:rPr>
              <w:t>管理体系文件</w:t>
            </w:r>
          </w:p>
        </w:tc>
        <w:tc>
          <w:tcPr>
            <w:tcW w:w="2444" w:type="dxa"/>
            <w:gridSpan w:val="3"/>
            <w:vMerge/>
            <w:tcBorders>
              <w:left w:val="single" w:sz="4" w:space="0" w:color="auto"/>
              <w:bottom w:val="single" w:sz="4" w:space="0" w:color="auto"/>
              <w:right w:val="double" w:sz="4" w:space="0" w:color="auto"/>
            </w:tcBorders>
            <w:vAlign w:val="center"/>
          </w:tcPr>
          <w:p w:rsidR="0011523B" w:rsidRPr="0013509F" w:rsidP="00EE52A3" w14:paraId="62138869" w14:textId="77777777">
            <w:pPr>
              <w:ind w:firstLine="562"/>
              <w:jc w:val="center"/>
              <w:rPr>
                <w:rFonts w:ascii="宋体" w:hAnsi="宋体"/>
                <w:b/>
                <w:sz w:val="28"/>
                <w:szCs w:val="28"/>
              </w:rPr>
            </w:pPr>
          </w:p>
        </w:tc>
      </w:tr>
      <w:tr w14:paraId="2AEA02F6" w14:textId="77777777" w:rsidTr="0011523B">
        <w:tblPrEx>
          <w:tblW w:w="9233" w:type="dxa"/>
          <w:jc w:val="center"/>
          <w:tblLayout w:type="fixed"/>
          <w:tblLook w:val="0000"/>
        </w:tblPrEx>
        <w:trPr>
          <w:cantSplit/>
          <w:trHeight w:val="3531"/>
          <w:jc w:val="center"/>
        </w:trPr>
        <w:tc>
          <w:tcPr>
            <w:tcW w:w="9233" w:type="dxa"/>
            <w:gridSpan w:val="11"/>
            <w:tcBorders>
              <w:top w:val="single" w:sz="4" w:space="0" w:color="auto"/>
              <w:left w:val="double" w:sz="4" w:space="0" w:color="auto"/>
              <w:bottom w:val="nil"/>
              <w:right w:val="double" w:sz="4" w:space="0" w:color="auto"/>
            </w:tcBorders>
            <w:vAlign w:val="center"/>
          </w:tcPr>
          <w:p w:rsidR="0011523B" w:rsidRPr="0011523B" w:rsidP="0011523B" w14:paraId="5D4E9654" w14:textId="19BB60E6">
            <w:pPr>
              <w:ind w:firstLine="883"/>
              <w:jc w:val="center"/>
              <w:rPr>
                <w:rFonts w:ascii="宋体" w:eastAsia="宋体" w:hAnsi="宋体"/>
                <w:b/>
                <w:sz w:val="44"/>
                <w:szCs w:val="44"/>
              </w:rPr>
            </w:pPr>
            <w:bookmarkStart w:id="3" w:name="_Hlk79597801"/>
            <w:r>
              <w:rPr>
                <w:rFonts w:ascii="宋体" w:eastAsia="宋体" w:hAnsi="宋体" w:hint="eastAsia"/>
                <w:b/>
                <w:sz w:val="44"/>
                <w:szCs w:val="44"/>
              </w:rPr>
              <w:t>建设</w:t>
            </w:r>
            <w:r w:rsidR="00945C9D">
              <w:rPr>
                <w:rFonts w:ascii="宋体" w:eastAsia="宋体" w:hAnsi="宋体" w:hint="eastAsia"/>
                <w:b/>
                <w:sz w:val="44"/>
                <w:szCs w:val="44"/>
              </w:rPr>
              <w:t>工程材料管理办法</w:t>
            </w:r>
          </w:p>
        </w:tc>
      </w:tr>
      <w:tr w14:paraId="720591B9" w14:textId="77777777" w:rsidTr="00945C9D">
        <w:tblPrEx>
          <w:tblW w:w="9233" w:type="dxa"/>
          <w:jc w:val="center"/>
          <w:tblLayout w:type="fixed"/>
          <w:tblLook w:val="0000"/>
        </w:tblPrEx>
        <w:trPr>
          <w:trHeight w:val="479"/>
          <w:jc w:val="center"/>
        </w:trPr>
        <w:tc>
          <w:tcPr>
            <w:tcW w:w="1357" w:type="dxa"/>
            <w:gridSpan w:val="2"/>
            <w:tcBorders>
              <w:top w:val="nil"/>
              <w:left w:val="double" w:sz="4" w:space="0" w:color="auto"/>
              <w:bottom w:val="nil"/>
              <w:right w:val="nil"/>
            </w:tcBorders>
            <w:vAlign w:val="center"/>
          </w:tcPr>
          <w:p w:rsidR="0011523B" w:rsidP="00EE52A3" w14:paraId="6E80672A" w14:textId="77777777">
            <w:pPr>
              <w:ind w:firstLine="480"/>
              <w:jc w:val="center"/>
              <w:rPr>
                <w:rFonts w:ascii="宋体" w:hAnsi="宋体"/>
                <w:sz w:val="24"/>
              </w:rPr>
            </w:pPr>
          </w:p>
        </w:tc>
        <w:tc>
          <w:tcPr>
            <w:tcW w:w="1276" w:type="dxa"/>
            <w:tcBorders>
              <w:top w:val="nil"/>
              <w:left w:val="nil"/>
              <w:bottom w:val="nil"/>
              <w:right w:val="nil"/>
            </w:tcBorders>
            <w:vAlign w:val="center"/>
          </w:tcPr>
          <w:p w:rsidR="0011523B" w:rsidRPr="00D52F84" w:rsidP="00EE52A3" w14:paraId="4F02A141" w14:textId="77777777">
            <w:pPr>
              <w:ind w:firstLine="480"/>
              <w:jc w:val="center"/>
              <w:rPr>
                <w:rFonts w:ascii="宋体" w:eastAsia="宋体" w:hAnsi="宋体"/>
                <w:sz w:val="24"/>
              </w:rPr>
            </w:pPr>
            <w:r w:rsidRPr="00D52F84">
              <w:rPr>
                <w:rFonts w:ascii="宋体" w:eastAsia="宋体" w:hAnsi="宋体" w:hint="eastAsia"/>
                <w:sz w:val="24"/>
              </w:rPr>
              <w:t>编制</w:t>
            </w:r>
          </w:p>
        </w:tc>
        <w:tc>
          <w:tcPr>
            <w:tcW w:w="1701" w:type="dxa"/>
            <w:tcBorders>
              <w:top w:val="nil"/>
              <w:left w:val="nil"/>
              <w:bottom w:val="single" w:sz="4" w:space="0" w:color="auto"/>
              <w:right w:val="nil"/>
            </w:tcBorders>
            <w:vAlign w:val="center"/>
          </w:tcPr>
          <w:p w:rsidR="0011523B" w:rsidRPr="00D52F84" w:rsidP="00EE52A3" w14:paraId="32F12324" w14:textId="77777777">
            <w:pPr>
              <w:ind w:firstLine="480"/>
              <w:jc w:val="center"/>
              <w:rPr>
                <w:rFonts w:ascii="宋体" w:eastAsia="宋体" w:hAnsi="宋体"/>
                <w:sz w:val="24"/>
              </w:rPr>
            </w:pPr>
          </w:p>
        </w:tc>
        <w:tc>
          <w:tcPr>
            <w:tcW w:w="1246" w:type="dxa"/>
            <w:gridSpan w:val="2"/>
            <w:tcBorders>
              <w:top w:val="nil"/>
              <w:left w:val="nil"/>
              <w:bottom w:val="nil"/>
              <w:right w:val="nil"/>
            </w:tcBorders>
            <w:vAlign w:val="center"/>
          </w:tcPr>
          <w:p w:rsidR="0011523B" w:rsidRPr="00D52F84" w:rsidP="00EE52A3" w14:paraId="67DDDE76" w14:textId="77777777">
            <w:pPr>
              <w:ind w:firstLine="480"/>
              <w:jc w:val="center"/>
              <w:rPr>
                <w:rFonts w:ascii="宋体" w:eastAsia="宋体" w:hAnsi="宋体"/>
                <w:sz w:val="24"/>
              </w:rPr>
            </w:pPr>
            <w:r w:rsidRPr="00D52F84">
              <w:rPr>
                <w:rFonts w:ascii="宋体" w:eastAsia="宋体" w:hAnsi="宋体" w:hint="eastAsia"/>
                <w:sz w:val="24"/>
              </w:rPr>
              <w:t>日期</w:t>
            </w:r>
          </w:p>
        </w:tc>
        <w:tc>
          <w:tcPr>
            <w:tcW w:w="1620" w:type="dxa"/>
            <w:gridSpan w:val="3"/>
            <w:tcBorders>
              <w:top w:val="nil"/>
              <w:left w:val="nil"/>
              <w:bottom w:val="single" w:sz="4" w:space="0" w:color="auto"/>
              <w:right w:val="nil"/>
            </w:tcBorders>
            <w:vAlign w:val="center"/>
          </w:tcPr>
          <w:p w:rsidR="0011523B" w:rsidRPr="00D52F84" w:rsidP="00EE52A3" w14:paraId="45AC5286" w14:textId="77777777">
            <w:pPr>
              <w:ind w:firstLine="480"/>
              <w:jc w:val="center"/>
              <w:rPr>
                <w:rFonts w:ascii="宋体" w:eastAsia="宋体" w:hAnsi="宋体"/>
                <w:sz w:val="24"/>
              </w:rPr>
            </w:pPr>
          </w:p>
        </w:tc>
        <w:tc>
          <w:tcPr>
            <w:tcW w:w="2033" w:type="dxa"/>
            <w:gridSpan w:val="2"/>
            <w:tcBorders>
              <w:top w:val="nil"/>
              <w:left w:val="nil"/>
              <w:bottom w:val="nil"/>
              <w:right w:val="double" w:sz="4" w:space="0" w:color="auto"/>
            </w:tcBorders>
            <w:vAlign w:val="center"/>
          </w:tcPr>
          <w:p w:rsidR="0011523B" w:rsidRPr="00D52F84" w:rsidP="00EE52A3" w14:paraId="7EE6A99B" w14:textId="77777777">
            <w:pPr>
              <w:ind w:firstLine="480"/>
              <w:rPr>
                <w:rFonts w:ascii="宋体" w:eastAsia="宋体" w:hAnsi="宋体"/>
                <w:sz w:val="24"/>
              </w:rPr>
            </w:pPr>
          </w:p>
        </w:tc>
      </w:tr>
      <w:tr w14:paraId="7D56695C" w14:textId="77777777" w:rsidTr="00945C9D">
        <w:tblPrEx>
          <w:tblW w:w="9233" w:type="dxa"/>
          <w:jc w:val="center"/>
          <w:tblLayout w:type="fixed"/>
          <w:tblLook w:val="0000"/>
        </w:tblPrEx>
        <w:trPr>
          <w:trHeight w:val="447"/>
          <w:jc w:val="center"/>
        </w:trPr>
        <w:tc>
          <w:tcPr>
            <w:tcW w:w="1357" w:type="dxa"/>
            <w:gridSpan w:val="2"/>
            <w:tcBorders>
              <w:top w:val="nil"/>
              <w:left w:val="double" w:sz="4" w:space="0" w:color="auto"/>
              <w:bottom w:val="nil"/>
              <w:right w:val="nil"/>
            </w:tcBorders>
            <w:vAlign w:val="center"/>
          </w:tcPr>
          <w:p w:rsidR="0011523B" w:rsidP="00EE52A3" w14:paraId="5AB44E22" w14:textId="77777777">
            <w:pPr>
              <w:ind w:firstLine="480"/>
              <w:jc w:val="center"/>
              <w:rPr>
                <w:rFonts w:ascii="宋体" w:hAnsi="宋体"/>
                <w:sz w:val="24"/>
              </w:rPr>
            </w:pPr>
          </w:p>
        </w:tc>
        <w:tc>
          <w:tcPr>
            <w:tcW w:w="1276" w:type="dxa"/>
            <w:tcBorders>
              <w:top w:val="nil"/>
              <w:left w:val="nil"/>
              <w:bottom w:val="nil"/>
              <w:right w:val="nil"/>
            </w:tcBorders>
            <w:vAlign w:val="center"/>
          </w:tcPr>
          <w:p w:rsidR="0011523B" w:rsidRPr="00D52F84" w:rsidP="00EE52A3" w14:paraId="522645CB" w14:textId="77777777">
            <w:pPr>
              <w:ind w:firstLine="480"/>
              <w:jc w:val="center"/>
              <w:rPr>
                <w:rFonts w:ascii="宋体" w:eastAsia="宋体" w:hAnsi="宋体"/>
                <w:sz w:val="24"/>
              </w:rPr>
            </w:pPr>
            <w:r w:rsidRPr="00D52F84">
              <w:rPr>
                <w:rFonts w:ascii="宋体" w:eastAsia="宋体" w:hAnsi="宋体" w:hint="eastAsia"/>
                <w:sz w:val="24"/>
              </w:rPr>
              <w:t>审核</w:t>
            </w:r>
          </w:p>
        </w:tc>
        <w:tc>
          <w:tcPr>
            <w:tcW w:w="1701" w:type="dxa"/>
            <w:tcBorders>
              <w:top w:val="single" w:sz="4" w:space="0" w:color="auto"/>
              <w:left w:val="nil"/>
              <w:bottom w:val="single" w:sz="4" w:space="0" w:color="auto"/>
              <w:right w:val="nil"/>
            </w:tcBorders>
            <w:vAlign w:val="center"/>
          </w:tcPr>
          <w:p w:rsidR="0011523B" w:rsidRPr="00D52F84" w:rsidP="00EE52A3" w14:paraId="2150559D" w14:textId="77777777">
            <w:pPr>
              <w:ind w:firstLine="480"/>
              <w:jc w:val="center"/>
              <w:rPr>
                <w:rFonts w:ascii="宋体" w:eastAsia="宋体" w:hAnsi="宋体"/>
                <w:sz w:val="24"/>
              </w:rPr>
            </w:pPr>
          </w:p>
        </w:tc>
        <w:tc>
          <w:tcPr>
            <w:tcW w:w="1246" w:type="dxa"/>
            <w:gridSpan w:val="2"/>
            <w:tcBorders>
              <w:top w:val="nil"/>
              <w:left w:val="nil"/>
              <w:bottom w:val="nil"/>
              <w:right w:val="nil"/>
            </w:tcBorders>
            <w:vAlign w:val="center"/>
          </w:tcPr>
          <w:p w:rsidR="0011523B" w:rsidRPr="00D52F84" w:rsidP="00EE52A3" w14:paraId="21F12BD9" w14:textId="77777777">
            <w:pPr>
              <w:ind w:firstLine="480"/>
              <w:jc w:val="center"/>
              <w:rPr>
                <w:rFonts w:ascii="宋体" w:eastAsia="宋体" w:hAnsi="宋体"/>
                <w:sz w:val="24"/>
              </w:rPr>
            </w:pPr>
            <w:r w:rsidRPr="00D52F84">
              <w:rPr>
                <w:rFonts w:ascii="宋体" w:eastAsia="宋体" w:hAnsi="宋体" w:hint="eastAsia"/>
                <w:sz w:val="24"/>
              </w:rPr>
              <w:t>日期</w:t>
            </w:r>
          </w:p>
        </w:tc>
        <w:tc>
          <w:tcPr>
            <w:tcW w:w="1620" w:type="dxa"/>
            <w:gridSpan w:val="3"/>
            <w:tcBorders>
              <w:top w:val="single" w:sz="4" w:space="0" w:color="auto"/>
              <w:left w:val="nil"/>
              <w:bottom w:val="single" w:sz="4" w:space="0" w:color="auto"/>
              <w:right w:val="nil"/>
            </w:tcBorders>
            <w:vAlign w:val="center"/>
          </w:tcPr>
          <w:p w:rsidR="0011523B" w:rsidRPr="00D52F84" w:rsidP="00EE52A3" w14:paraId="3C2BE612" w14:textId="77777777">
            <w:pPr>
              <w:ind w:firstLine="480"/>
              <w:jc w:val="center"/>
              <w:rPr>
                <w:rFonts w:ascii="宋体" w:eastAsia="宋体" w:hAnsi="宋体"/>
                <w:sz w:val="24"/>
              </w:rPr>
            </w:pPr>
          </w:p>
        </w:tc>
        <w:tc>
          <w:tcPr>
            <w:tcW w:w="2033" w:type="dxa"/>
            <w:gridSpan w:val="2"/>
            <w:tcBorders>
              <w:top w:val="nil"/>
              <w:left w:val="nil"/>
              <w:bottom w:val="nil"/>
              <w:right w:val="double" w:sz="4" w:space="0" w:color="auto"/>
            </w:tcBorders>
            <w:vAlign w:val="center"/>
          </w:tcPr>
          <w:p w:rsidR="0011523B" w:rsidRPr="00D52F84" w:rsidP="00EE52A3" w14:paraId="7B2609E4" w14:textId="77777777">
            <w:pPr>
              <w:ind w:firstLine="480"/>
              <w:rPr>
                <w:rFonts w:ascii="宋体" w:eastAsia="宋体" w:hAnsi="宋体"/>
                <w:sz w:val="24"/>
              </w:rPr>
            </w:pPr>
          </w:p>
        </w:tc>
      </w:tr>
      <w:tr w14:paraId="4AA3A2B1" w14:textId="77777777" w:rsidTr="00945C9D">
        <w:tblPrEx>
          <w:tblW w:w="9233" w:type="dxa"/>
          <w:jc w:val="center"/>
          <w:tblLayout w:type="fixed"/>
          <w:tblLook w:val="0000"/>
        </w:tblPrEx>
        <w:trPr>
          <w:trHeight w:val="467"/>
          <w:jc w:val="center"/>
        </w:trPr>
        <w:tc>
          <w:tcPr>
            <w:tcW w:w="1357" w:type="dxa"/>
            <w:gridSpan w:val="2"/>
            <w:tcBorders>
              <w:top w:val="nil"/>
              <w:left w:val="double" w:sz="4" w:space="0" w:color="auto"/>
              <w:bottom w:val="nil"/>
              <w:right w:val="nil"/>
            </w:tcBorders>
            <w:vAlign w:val="center"/>
          </w:tcPr>
          <w:p w:rsidR="0011523B" w:rsidP="00EE52A3" w14:paraId="7714E03C" w14:textId="77777777">
            <w:pPr>
              <w:ind w:firstLine="480"/>
              <w:jc w:val="center"/>
              <w:rPr>
                <w:rFonts w:ascii="宋体" w:hAnsi="宋体"/>
                <w:sz w:val="24"/>
              </w:rPr>
            </w:pPr>
          </w:p>
        </w:tc>
        <w:tc>
          <w:tcPr>
            <w:tcW w:w="1276" w:type="dxa"/>
            <w:tcBorders>
              <w:top w:val="nil"/>
              <w:left w:val="nil"/>
              <w:bottom w:val="nil"/>
              <w:right w:val="nil"/>
            </w:tcBorders>
            <w:vAlign w:val="center"/>
          </w:tcPr>
          <w:p w:rsidR="0011523B" w:rsidRPr="00D52F84" w:rsidP="00EE52A3" w14:paraId="76EB5AB3" w14:textId="77777777">
            <w:pPr>
              <w:ind w:firstLine="480"/>
              <w:jc w:val="center"/>
              <w:rPr>
                <w:rFonts w:ascii="宋体" w:eastAsia="宋体" w:hAnsi="宋体"/>
                <w:sz w:val="24"/>
              </w:rPr>
            </w:pPr>
            <w:r w:rsidRPr="00D52F84">
              <w:rPr>
                <w:rFonts w:ascii="宋体" w:eastAsia="宋体" w:hAnsi="宋体" w:hint="eastAsia"/>
                <w:sz w:val="24"/>
              </w:rPr>
              <w:t>审批</w:t>
            </w:r>
          </w:p>
        </w:tc>
        <w:tc>
          <w:tcPr>
            <w:tcW w:w="1701" w:type="dxa"/>
            <w:tcBorders>
              <w:top w:val="single" w:sz="4" w:space="0" w:color="auto"/>
              <w:left w:val="nil"/>
              <w:bottom w:val="single" w:sz="4" w:space="0" w:color="auto"/>
              <w:right w:val="nil"/>
            </w:tcBorders>
            <w:vAlign w:val="center"/>
          </w:tcPr>
          <w:p w:rsidR="0011523B" w:rsidRPr="00D52F84" w:rsidP="00EE52A3" w14:paraId="3E037D70" w14:textId="77777777">
            <w:pPr>
              <w:ind w:firstLine="480"/>
              <w:jc w:val="center"/>
              <w:rPr>
                <w:rFonts w:ascii="宋体" w:eastAsia="宋体" w:hAnsi="宋体"/>
                <w:sz w:val="24"/>
              </w:rPr>
            </w:pPr>
          </w:p>
        </w:tc>
        <w:tc>
          <w:tcPr>
            <w:tcW w:w="1246" w:type="dxa"/>
            <w:gridSpan w:val="2"/>
            <w:tcBorders>
              <w:top w:val="nil"/>
              <w:left w:val="nil"/>
              <w:bottom w:val="nil"/>
              <w:right w:val="nil"/>
            </w:tcBorders>
            <w:vAlign w:val="center"/>
          </w:tcPr>
          <w:p w:rsidR="0011523B" w:rsidRPr="00D52F84" w:rsidP="00EE52A3" w14:paraId="26F007A2" w14:textId="77777777">
            <w:pPr>
              <w:ind w:firstLine="480"/>
              <w:jc w:val="center"/>
              <w:rPr>
                <w:rFonts w:ascii="宋体" w:eastAsia="宋体" w:hAnsi="宋体"/>
                <w:sz w:val="24"/>
              </w:rPr>
            </w:pPr>
            <w:r w:rsidRPr="00D52F84">
              <w:rPr>
                <w:rFonts w:ascii="宋体" w:eastAsia="宋体" w:hAnsi="宋体" w:hint="eastAsia"/>
                <w:sz w:val="24"/>
              </w:rPr>
              <w:t>日期</w:t>
            </w:r>
          </w:p>
        </w:tc>
        <w:tc>
          <w:tcPr>
            <w:tcW w:w="1620" w:type="dxa"/>
            <w:gridSpan w:val="3"/>
            <w:tcBorders>
              <w:top w:val="single" w:sz="4" w:space="0" w:color="auto"/>
              <w:left w:val="nil"/>
              <w:bottom w:val="single" w:sz="4" w:space="0" w:color="auto"/>
              <w:right w:val="nil"/>
            </w:tcBorders>
            <w:vAlign w:val="center"/>
          </w:tcPr>
          <w:p w:rsidR="0011523B" w:rsidRPr="00D52F84" w:rsidP="00EE52A3" w14:paraId="61619270" w14:textId="77777777">
            <w:pPr>
              <w:ind w:firstLine="480"/>
              <w:jc w:val="center"/>
              <w:rPr>
                <w:rFonts w:ascii="宋体" w:eastAsia="宋体" w:hAnsi="宋体"/>
                <w:sz w:val="24"/>
              </w:rPr>
            </w:pPr>
          </w:p>
        </w:tc>
        <w:tc>
          <w:tcPr>
            <w:tcW w:w="2033" w:type="dxa"/>
            <w:gridSpan w:val="2"/>
            <w:tcBorders>
              <w:top w:val="nil"/>
              <w:left w:val="nil"/>
              <w:bottom w:val="nil"/>
              <w:right w:val="double" w:sz="4" w:space="0" w:color="auto"/>
            </w:tcBorders>
            <w:vAlign w:val="center"/>
          </w:tcPr>
          <w:p w:rsidR="0011523B" w:rsidRPr="00D52F84" w:rsidP="00EE52A3" w14:paraId="773BC28D" w14:textId="77777777">
            <w:pPr>
              <w:ind w:firstLine="480"/>
              <w:rPr>
                <w:rFonts w:ascii="宋体" w:eastAsia="宋体" w:hAnsi="宋体"/>
                <w:sz w:val="24"/>
              </w:rPr>
            </w:pPr>
          </w:p>
        </w:tc>
      </w:tr>
      <w:tr w14:paraId="603EB723" w14:textId="77777777" w:rsidTr="00EE52A3">
        <w:tblPrEx>
          <w:tblW w:w="9233" w:type="dxa"/>
          <w:jc w:val="center"/>
          <w:tblLayout w:type="fixed"/>
          <w:tblLook w:val="0000"/>
        </w:tblPrEx>
        <w:trPr>
          <w:cantSplit/>
          <w:jc w:val="center"/>
        </w:trPr>
        <w:tc>
          <w:tcPr>
            <w:tcW w:w="9233" w:type="dxa"/>
            <w:gridSpan w:val="11"/>
            <w:tcBorders>
              <w:top w:val="nil"/>
              <w:left w:val="double" w:sz="4" w:space="0" w:color="auto"/>
              <w:bottom w:val="double" w:sz="4" w:space="0" w:color="auto"/>
              <w:right w:val="double" w:sz="4" w:space="0" w:color="auto"/>
            </w:tcBorders>
            <w:vAlign w:val="center"/>
          </w:tcPr>
          <w:p w:rsidR="0011523B" w:rsidRPr="00D52F84" w:rsidP="0011523B" w14:paraId="4280BF7B" w14:textId="77777777">
            <w:pPr>
              <w:ind w:firstLine="0" w:firstLineChars="0"/>
              <w:rPr>
                <w:rFonts w:ascii="宋体" w:eastAsia="宋体" w:hAnsi="宋体"/>
              </w:rPr>
            </w:pPr>
          </w:p>
        </w:tc>
      </w:tr>
      <w:tr w14:paraId="07474424" w14:textId="77777777" w:rsidTr="00EE52A3">
        <w:tblPrEx>
          <w:tblW w:w="9233" w:type="dxa"/>
          <w:jc w:val="center"/>
          <w:tblLayout w:type="fixed"/>
          <w:tblLook w:val="0000"/>
        </w:tblPrEx>
        <w:trPr>
          <w:cantSplit/>
          <w:trHeight w:val="547"/>
          <w:jc w:val="center"/>
        </w:trPr>
        <w:tc>
          <w:tcPr>
            <w:tcW w:w="9233" w:type="dxa"/>
            <w:gridSpan w:val="11"/>
            <w:tcBorders>
              <w:top w:val="double" w:sz="4" w:space="0" w:color="auto"/>
              <w:left w:val="double" w:sz="4" w:space="0" w:color="auto"/>
              <w:bottom w:val="single" w:sz="4" w:space="0" w:color="auto"/>
              <w:right w:val="double" w:sz="4" w:space="0" w:color="auto"/>
            </w:tcBorders>
            <w:vAlign w:val="center"/>
          </w:tcPr>
          <w:p w:rsidR="0011523B" w:rsidRPr="00D52F84" w:rsidP="00EE52A3" w14:paraId="6104914E" w14:textId="77777777">
            <w:pPr>
              <w:ind w:firstLine="602"/>
              <w:jc w:val="center"/>
              <w:rPr>
                <w:rFonts w:ascii="宋体" w:eastAsia="宋体" w:hAnsi="宋体"/>
                <w:b/>
                <w:bCs/>
                <w:sz w:val="30"/>
              </w:rPr>
            </w:pPr>
            <w:r w:rsidRPr="00D52F84">
              <w:rPr>
                <w:rFonts w:ascii="宋体" w:eastAsia="宋体" w:hAnsi="宋体" w:hint="eastAsia"/>
                <w:b/>
                <w:bCs/>
                <w:sz w:val="30"/>
              </w:rPr>
              <w:t>修订记录</w:t>
            </w:r>
          </w:p>
        </w:tc>
      </w:tr>
      <w:tr w14:paraId="71E672CB" w14:textId="77777777" w:rsidTr="00724B80">
        <w:tblPrEx>
          <w:tblW w:w="9233" w:type="dxa"/>
          <w:jc w:val="center"/>
          <w:tblLayout w:type="fixed"/>
          <w:tblLook w:val="0000"/>
        </w:tblPrEx>
        <w:trPr>
          <w:trHeight w:val="476"/>
          <w:jc w:val="center"/>
        </w:trPr>
        <w:tc>
          <w:tcPr>
            <w:tcW w:w="1216" w:type="dxa"/>
            <w:tcBorders>
              <w:left w:val="double" w:sz="4" w:space="0" w:color="auto"/>
            </w:tcBorders>
            <w:vAlign w:val="center"/>
          </w:tcPr>
          <w:p w:rsidR="0011523B" w:rsidRPr="00D52F84" w:rsidP="00724B80" w14:paraId="540DD4A5" w14:textId="216DFD19">
            <w:pPr>
              <w:snapToGrid w:val="0"/>
              <w:spacing w:line="240" w:lineRule="auto"/>
              <w:ind w:firstLine="0" w:firstLineChars="0"/>
              <w:jc w:val="center"/>
              <w:rPr>
                <w:rFonts w:ascii="宋体" w:eastAsia="宋体" w:hAnsi="宋体"/>
                <w:b/>
                <w:sz w:val="24"/>
              </w:rPr>
            </w:pPr>
            <w:r w:rsidRPr="00D52F84">
              <w:rPr>
                <w:rFonts w:ascii="宋体" w:eastAsia="宋体" w:hAnsi="宋体" w:hint="eastAsia"/>
                <w:b/>
                <w:sz w:val="24"/>
              </w:rPr>
              <w:t>日</w:t>
            </w:r>
            <w:r w:rsidR="00945C9D">
              <w:rPr>
                <w:rFonts w:ascii="宋体" w:eastAsia="宋体" w:hAnsi="宋体" w:hint="eastAsia"/>
                <w:b/>
                <w:sz w:val="24"/>
              </w:rPr>
              <w:t xml:space="preserve"> </w:t>
            </w:r>
            <w:r w:rsidR="00945C9D">
              <w:rPr>
                <w:rFonts w:ascii="宋体" w:eastAsia="宋体" w:hAnsi="宋体"/>
                <w:b/>
                <w:sz w:val="24"/>
              </w:rPr>
              <w:t xml:space="preserve">  </w:t>
            </w:r>
            <w:r w:rsidRPr="00D52F84">
              <w:rPr>
                <w:rFonts w:ascii="宋体" w:eastAsia="宋体" w:hAnsi="宋体" w:hint="eastAsia"/>
                <w:b/>
                <w:sz w:val="24"/>
              </w:rPr>
              <w:t>期</w:t>
            </w:r>
          </w:p>
        </w:tc>
        <w:tc>
          <w:tcPr>
            <w:tcW w:w="1417" w:type="dxa"/>
            <w:gridSpan w:val="2"/>
            <w:vAlign w:val="center"/>
          </w:tcPr>
          <w:p w:rsidR="0011523B" w:rsidRPr="00D52F84" w:rsidP="00724B80" w14:paraId="31A3A74B" w14:textId="77777777">
            <w:pPr>
              <w:snapToGrid w:val="0"/>
              <w:spacing w:line="240" w:lineRule="auto"/>
              <w:ind w:firstLine="0" w:firstLineChars="0"/>
              <w:jc w:val="center"/>
              <w:rPr>
                <w:rFonts w:ascii="宋体" w:eastAsia="宋体" w:hAnsi="宋体"/>
                <w:b/>
                <w:sz w:val="24"/>
              </w:rPr>
            </w:pPr>
            <w:r w:rsidRPr="00D52F84">
              <w:rPr>
                <w:rFonts w:ascii="宋体" w:eastAsia="宋体" w:hAnsi="宋体" w:hint="eastAsia"/>
                <w:b/>
                <w:sz w:val="24"/>
              </w:rPr>
              <w:t>修订状态</w:t>
            </w:r>
          </w:p>
        </w:tc>
        <w:tc>
          <w:tcPr>
            <w:tcW w:w="2670" w:type="dxa"/>
            <w:gridSpan w:val="2"/>
            <w:vAlign w:val="center"/>
          </w:tcPr>
          <w:p w:rsidR="0011523B" w:rsidRPr="00D52F84" w:rsidP="00724B80" w14:paraId="6E55AA8E" w14:textId="77777777">
            <w:pPr>
              <w:snapToGrid w:val="0"/>
              <w:spacing w:line="240" w:lineRule="auto"/>
              <w:ind w:firstLine="0" w:firstLineChars="0"/>
              <w:jc w:val="center"/>
              <w:rPr>
                <w:rFonts w:ascii="宋体" w:eastAsia="宋体" w:hAnsi="宋体"/>
                <w:b/>
                <w:sz w:val="24"/>
              </w:rPr>
            </w:pPr>
            <w:r w:rsidRPr="00D52F84">
              <w:rPr>
                <w:rFonts w:ascii="宋体" w:eastAsia="宋体" w:hAnsi="宋体" w:hint="eastAsia"/>
                <w:b/>
                <w:sz w:val="24"/>
              </w:rPr>
              <w:t>修改内容</w:t>
            </w:r>
          </w:p>
        </w:tc>
        <w:tc>
          <w:tcPr>
            <w:tcW w:w="1275" w:type="dxa"/>
            <w:gridSpan w:val="2"/>
            <w:vAlign w:val="center"/>
          </w:tcPr>
          <w:p w:rsidR="0011523B" w:rsidRPr="00D52F84" w:rsidP="00724B80" w14:paraId="677D0045" w14:textId="195155EC">
            <w:pPr>
              <w:snapToGrid w:val="0"/>
              <w:spacing w:line="240" w:lineRule="auto"/>
              <w:ind w:firstLine="0" w:firstLineChars="0"/>
              <w:jc w:val="center"/>
              <w:rPr>
                <w:rFonts w:ascii="宋体" w:eastAsia="宋体" w:hAnsi="宋体"/>
                <w:b/>
                <w:sz w:val="24"/>
              </w:rPr>
            </w:pPr>
            <w:r w:rsidRPr="00D52F84">
              <w:rPr>
                <w:rFonts w:ascii="宋体" w:eastAsia="宋体" w:hAnsi="宋体" w:hint="eastAsia"/>
                <w:b/>
                <w:sz w:val="24"/>
              </w:rPr>
              <w:t>修</w:t>
            </w:r>
            <w:r w:rsidR="00945C9D">
              <w:rPr>
                <w:rFonts w:ascii="宋体" w:eastAsia="宋体" w:hAnsi="宋体" w:hint="eastAsia"/>
                <w:b/>
                <w:sz w:val="24"/>
              </w:rPr>
              <w:t xml:space="preserve"> </w:t>
            </w:r>
            <w:r w:rsidRPr="00D52F84">
              <w:rPr>
                <w:rFonts w:ascii="宋体" w:eastAsia="宋体" w:hAnsi="宋体" w:hint="eastAsia"/>
                <w:b/>
                <w:sz w:val="24"/>
              </w:rPr>
              <w:t>改</w:t>
            </w:r>
            <w:r w:rsidR="00945C9D">
              <w:rPr>
                <w:rFonts w:ascii="宋体" w:eastAsia="宋体" w:hAnsi="宋体" w:hint="eastAsia"/>
                <w:b/>
                <w:sz w:val="24"/>
              </w:rPr>
              <w:t xml:space="preserve"> </w:t>
            </w:r>
            <w:r w:rsidRPr="00D52F84">
              <w:rPr>
                <w:rFonts w:ascii="宋体" w:eastAsia="宋体" w:hAnsi="宋体" w:hint="eastAsia"/>
                <w:b/>
                <w:sz w:val="24"/>
              </w:rPr>
              <w:t>人</w:t>
            </w:r>
          </w:p>
        </w:tc>
        <w:tc>
          <w:tcPr>
            <w:tcW w:w="1320" w:type="dxa"/>
            <w:gridSpan w:val="3"/>
            <w:vAlign w:val="center"/>
          </w:tcPr>
          <w:p w:rsidR="0011523B" w:rsidRPr="00D52F84" w:rsidP="00724B80" w14:paraId="41804C7B" w14:textId="7862941E">
            <w:pPr>
              <w:snapToGrid w:val="0"/>
              <w:spacing w:line="240" w:lineRule="auto"/>
              <w:ind w:firstLine="0" w:firstLineChars="0"/>
              <w:jc w:val="center"/>
              <w:rPr>
                <w:rFonts w:ascii="宋体" w:eastAsia="宋体" w:hAnsi="宋体"/>
                <w:b/>
                <w:sz w:val="24"/>
              </w:rPr>
            </w:pPr>
            <w:r w:rsidRPr="00D52F84">
              <w:rPr>
                <w:rFonts w:ascii="宋体" w:eastAsia="宋体" w:hAnsi="宋体" w:hint="eastAsia"/>
                <w:b/>
                <w:sz w:val="24"/>
              </w:rPr>
              <w:t>审</w:t>
            </w:r>
            <w:r w:rsidR="00945C9D">
              <w:rPr>
                <w:rFonts w:ascii="宋体" w:eastAsia="宋体" w:hAnsi="宋体" w:hint="eastAsia"/>
                <w:b/>
                <w:sz w:val="24"/>
              </w:rPr>
              <w:t xml:space="preserve"> </w:t>
            </w:r>
            <w:r w:rsidRPr="00D52F84">
              <w:rPr>
                <w:rFonts w:ascii="宋体" w:eastAsia="宋体" w:hAnsi="宋体" w:hint="eastAsia"/>
                <w:b/>
                <w:sz w:val="24"/>
              </w:rPr>
              <w:t>核</w:t>
            </w:r>
            <w:r w:rsidR="00945C9D">
              <w:rPr>
                <w:rFonts w:ascii="宋体" w:eastAsia="宋体" w:hAnsi="宋体" w:hint="eastAsia"/>
                <w:b/>
                <w:sz w:val="24"/>
              </w:rPr>
              <w:t xml:space="preserve"> </w:t>
            </w:r>
            <w:r w:rsidRPr="00D52F84">
              <w:rPr>
                <w:rFonts w:ascii="宋体" w:eastAsia="宋体" w:hAnsi="宋体" w:hint="eastAsia"/>
                <w:b/>
                <w:sz w:val="24"/>
              </w:rPr>
              <w:t>人</w:t>
            </w:r>
          </w:p>
        </w:tc>
        <w:tc>
          <w:tcPr>
            <w:tcW w:w="1335" w:type="dxa"/>
            <w:tcBorders>
              <w:right w:val="double" w:sz="4" w:space="0" w:color="auto"/>
            </w:tcBorders>
            <w:vAlign w:val="center"/>
          </w:tcPr>
          <w:p w:rsidR="0011523B" w:rsidRPr="00D52F84" w:rsidP="00724B80" w14:paraId="7202D65C" w14:textId="4282A7AC">
            <w:pPr>
              <w:snapToGrid w:val="0"/>
              <w:spacing w:line="240" w:lineRule="auto"/>
              <w:ind w:firstLine="0" w:firstLineChars="0"/>
              <w:jc w:val="center"/>
              <w:rPr>
                <w:rFonts w:ascii="宋体" w:eastAsia="宋体" w:hAnsi="宋体"/>
                <w:b/>
                <w:sz w:val="24"/>
              </w:rPr>
            </w:pPr>
            <w:r w:rsidRPr="00D52F84">
              <w:rPr>
                <w:rFonts w:ascii="宋体" w:eastAsia="宋体" w:hAnsi="宋体" w:hint="eastAsia"/>
                <w:b/>
                <w:sz w:val="24"/>
              </w:rPr>
              <w:t>审</w:t>
            </w:r>
            <w:r w:rsidR="00945C9D">
              <w:rPr>
                <w:rFonts w:ascii="宋体" w:eastAsia="宋体" w:hAnsi="宋体" w:hint="eastAsia"/>
                <w:b/>
                <w:sz w:val="24"/>
              </w:rPr>
              <w:t xml:space="preserve"> </w:t>
            </w:r>
            <w:r w:rsidRPr="00D52F84">
              <w:rPr>
                <w:rFonts w:ascii="宋体" w:eastAsia="宋体" w:hAnsi="宋体" w:hint="eastAsia"/>
                <w:b/>
                <w:sz w:val="24"/>
              </w:rPr>
              <w:t>批</w:t>
            </w:r>
            <w:r w:rsidR="00945C9D">
              <w:rPr>
                <w:rFonts w:ascii="宋体" w:eastAsia="宋体" w:hAnsi="宋体" w:hint="eastAsia"/>
                <w:b/>
                <w:sz w:val="24"/>
              </w:rPr>
              <w:t xml:space="preserve"> </w:t>
            </w:r>
            <w:r w:rsidRPr="00D52F84">
              <w:rPr>
                <w:rFonts w:ascii="宋体" w:eastAsia="宋体" w:hAnsi="宋体" w:hint="eastAsia"/>
                <w:b/>
                <w:sz w:val="24"/>
              </w:rPr>
              <w:t>人</w:t>
            </w:r>
          </w:p>
        </w:tc>
      </w:tr>
      <w:tr w14:paraId="0628E7F9" w14:textId="77777777" w:rsidTr="00724B80">
        <w:tblPrEx>
          <w:tblW w:w="9233" w:type="dxa"/>
          <w:jc w:val="center"/>
          <w:tblLayout w:type="fixed"/>
          <w:tblLook w:val="0000"/>
        </w:tblPrEx>
        <w:trPr>
          <w:trHeight w:val="440"/>
          <w:jc w:val="center"/>
        </w:trPr>
        <w:tc>
          <w:tcPr>
            <w:tcW w:w="1216" w:type="dxa"/>
            <w:tcBorders>
              <w:left w:val="double" w:sz="4" w:space="0" w:color="auto"/>
            </w:tcBorders>
            <w:vAlign w:val="center"/>
          </w:tcPr>
          <w:p w:rsidR="0011523B" w:rsidRPr="00724B80" w:rsidP="00724B80" w14:paraId="30CEBAD3" w14:textId="6B94197B">
            <w:pPr>
              <w:snapToGrid w:val="0"/>
              <w:spacing w:line="324" w:lineRule="auto"/>
              <w:ind w:left="-8" w:hanging="50" w:leftChars="-18" w:hangingChars="24"/>
              <w:jc w:val="center"/>
              <w:rPr>
                <w:rFonts w:ascii="宋体" w:hAnsi="宋体"/>
                <w:sz w:val="21"/>
              </w:rPr>
            </w:pPr>
            <w:r w:rsidRPr="00724B80">
              <w:rPr>
                <w:rFonts w:ascii="宋体" w:hAnsi="宋体" w:hint="eastAsia"/>
                <w:sz w:val="21"/>
              </w:rPr>
              <w:t>2</w:t>
            </w:r>
            <w:r w:rsidRPr="00724B80">
              <w:rPr>
                <w:rFonts w:ascii="宋体" w:hAnsi="宋体"/>
                <w:sz w:val="21"/>
              </w:rPr>
              <w:t>022.10</w:t>
            </w:r>
          </w:p>
        </w:tc>
        <w:tc>
          <w:tcPr>
            <w:tcW w:w="1417" w:type="dxa"/>
            <w:gridSpan w:val="2"/>
            <w:vAlign w:val="center"/>
          </w:tcPr>
          <w:p w:rsidR="0011523B" w:rsidRPr="00724B80" w:rsidP="00724B80" w14:paraId="05E20BD8" w14:textId="3429CDD1">
            <w:pPr>
              <w:snapToGrid w:val="0"/>
              <w:spacing w:line="324" w:lineRule="auto"/>
              <w:ind w:left="-8" w:hanging="50" w:leftChars="-18" w:hangingChars="24"/>
              <w:jc w:val="center"/>
              <w:rPr>
                <w:rFonts w:ascii="宋体" w:hAnsi="宋体"/>
                <w:sz w:val="21"/>
              </w:rPr>
            </w:pPr>
            <w:r w:rsidRPr="00724B80">
              <w:rPr>
                <w:rFonts w:ascii="宋体" w:hAnsi="宋体" w:hint="eastAsia"/>
                <w:sz w:val="21"/>
              </w:rPr>
              <w:t>重要修订</w:t>
            </w:r>
            <w:r w:rsidRPr="00724B80">
              <w:rPr>
                <w:rFonts w:ascii="宋体" w:hAnsi="宋体" w:hint="eastAsia"/>
                <w:sz w:val="21"/>
              </w:rPr>
              <w:t xml:space="preserve"> </w:t>
            </w:r>
          </w:p>
        </w:tc>
        <w:tc>
          <w:tcPr>
            <w:tcW w:w="2670" w:type="dxa"/>
            <w:gridSpan w:val="2"/>
            <w:vAlign w:val="center"/>
          </w:tcPr>
          <w:p w:rsidR="0011523B" w:rsidP="00724B80" w14:paraId="10534D2F" w14:textId="77777777">
            <w:pPr>
              <w:snapToGrid w:val="0"/>
              <w:spacing w:line="324" w:lineRule="auto"/>
              <w:ind w:left="-8" w:hanging="50" w:leftChars="-18" w:hangingChars="24"/>
              <w:rPr>
                <w:rFonts w:ascii="宋体" w:hAnsi="宋体"/>
                <w:sz w:val="21"/>
              </w:rPr>
            </w:pPr>
            <w:r>
              <w:rPr>
                <w:rFonts w:ascii="宋体" w:hAnsi="宋体" w:hint="eastAsia"/>
                <w:sz w:val="21"/>
              </w:rPr>
              <w:t>1</w:t>
            </w:r>
            <w:r>
              <w:rPr>
                <w:rFonts w:ascii="宋体" w:hAnsi="宋体"/>
                <w:sz w:val="21"/>
              </w:rPr>
              <w:t>.</w:t>
            </w:r>
            <w:r>
              <w:rPr>
                <w:rFonts w:ascii="宋体" w:hAnsi="宋体" w:hint="eastAsia"/>
                <w:sz w:val="21"/>
              </w:rPr>
              <w:t>封面、排版、编码等调整；</w:t>
            </w:r>
          </w:p>
          <w:p w:rsidR="00724B80" w:rsidP="00724B80" w14:paraId="152BE72C" w14:textId="4B52BDE6">
            <w:pPr>
              <w:snapToGrid w:val="0"/>
              <w:spacing w:line="324" w:lineRule="auto"/>
              <w:ind w:left="-8" w:hanging="50" w:leftChars="-18" w:hangingChars="24"/>
              <w:rPr>
                <w:rFonts w:ascii="宋体" w:hAnsi="宋体"/>
                <w:sz w:val="21"/>
              </w:rPr>
            </w:pPr>
            <w:r>
              <w:rPr>
                <w:rFonts w:ascii="宋体" w:hAnsi="宋体"/>
                <w:sz w:val="21"/>
              </w:rPr>
              <w:t>2.</w:t>
            </w:r>
            <w:r>
              <w:rPr>
                <w:rFonts w:ascii="宋体" w:hAnsi="宋体" w:hint="eastAsia"/>
                <w:sz w:val="21"/>
              </w:rPr>
              <w:t>完善相关部门职责</w:t>
            </w:r>
            <w:r w:rsidR="006210F1">
              <w:rPr>
                <w:rFonts w:ascii="宋体" w:hAnsi="宋体" w:hint="eastAsia"/>
                <w:sz w:val="21"/>
              </w:rPr>
              <w:t>，补充设计单位定义说明</w:t>
            </w:r>
            <w:r>
              <w:rPr>
                <w:rFonts w:ascii="宋体" w:hAnsi="宋体" w:hint="eastAsia"/>
                <w:sz w:val="21"/>
              </w:rPr>
              <w:t>；</w:t>
            </w:r>
          </w:p>
          <w:p w:rsidR="006210F1" w:rsidP="00724B80" w14:paraId="2FAB05F1" w14:textId="5035917E">
            <w:pPr>
              <w:snapToGrid w:val="0"/>
              <w:spacing w:line="324" w:lineRule="auto"/>
              <w:ind w:left="-8" w:hanging="50" w:leftChars="-18" w:hangingChars="24"/>
              <w:rPr>
                <w:rFonts w:ascii="宋体" w:hAnsi="宋体"/>
                <w:sz w:val="21"/>
              </w:rPr>
            </w:pPr>
            <w:r>
              <w:rPr>
                <w:rFonts w:ascii="宋体" w:hAnsi="宋体" w:hint="eastAsia"/>
                <w:sz w:val="21"/>
              </w:rPr>
              <w:t>3</w:t>
            </w:r>
            <w:r>
              <w:rPr>
                <w:rFonts w:ascii="宋体" w:hAnsi="宋体"/>
                <w:sz w:val="21"/>
              </w:rPr>
              <w:t>.</w:t>
            </w:r>
            <w:r>
              <w:rPr>
                <w:rFonts w:ascii="宋体" w:hAnsi="宋体" w:hint="eastAsia"/>
                <w:sz w:val="21"/>
              </w:rPr>
              <w:t>明确甲供</w:t>
            </w:r>
            <w:r>
              <w:rPr>
                <w:rFonts w:ascii="宋体" w:hAnsi="宋体" w:hint="eastAsia"/>
                <w:sz w:val="21"/>
              </w:rPr>
              <w:t>材料验收程序、</w:t>
            </w:r>
            <w:r>
              <w:rPr>
                <w:rFonts w:ascii="宋体" w:hAnsi="宋体" w:hint="eastAsia"/>
                <w:sz w:val="21"/>
              </w:rPr>
              <w:t>甲控材料</w:t>
            </w:r>
            <w:r>
              <w:rPr>
                <w:rFonts w:ascii="宋体" w:hAnsi="宋体" w:hint="eastAsia"/>
                <w:sz w:val="21"/>
              </w:rPr>
              <w:t>审批程序</w:t>
            </w:r>
            <w:r w:rsidR="00833594">
              <w:rPr>
                <w:rFonts w:ascii="宋体" w:hAnsi="宋体" w:hint="eastAsia"/>
                <w:sz w:val="21"/>
              </w:rPr>
              <w:t>；</w:t>
            </w:r>
          </w:p>
          <w:p w:rsidR="00724B80" w:rsidP="00724B80" w14:paraId="431DFFE1" w14:textId="77777777">
            <w:pPr>
              <w:snapToGrid w:val="0"/>
              <w:spacing w:line="324" w:lineRule="auto"/>
              <w:ind w:left="-8" w:hanging="50" w:leftChars="-18" w:hangingChars="24"/>
              <w:rPr>
                <w:rFonts w:ascii="宋体" w:hAnsi="宋体"/>
                <w:sz w:val="21"/>
              </w:rPr>
            </w:pPr>
            <w:r>
              <w:rPr>
                <w:rFonts w:ascii="宋体" w:hAnsi="宋体"/>
                <w:sz w:val="21"/>
              </w:rPr>
              <w:t>4</w:t>
            </w:r>
            <w:r>
              <w:rPr>
                <w:rFonts w:ascii="宋体" w:hAnsi="宋体"/>
                <w:sz w:val="21"/>
              </w:rPr>
              <w:t>.</w:t>
            </w:r>
            <w:r>
              <w:rPr>
                <w:rFonts w:ascii="宋体" w:hAnsi="宋体" w:hint="eastAsia"/>
                <w:sz w:val="21"/>
              </w:rPr>
              <w:t>新增材料管理基本要求章节、新增对不合格材料</w:t>
            </w:r>
            <w:r>
              <w:rPr>
                <w:rFonts w:ascii="宋体" w:hAnsi="宋体" w:hint="eastAsia"/>
                <w:sz w:val="21"/>
              </w:rPr>
              <w:t xml:space="preserve"> </w:t>
            </w:r>
            <w:r>
              <w:rPr>
                <w:rFonts w:ascii="宋体" w:hAnsi="宋体" w:hint="eastAsia"/>
                <w:sz w:val="21"/>
              </w:rPr>
              <w:t>处理</w:t>
            </w:r>
            <w:r>
              <w:rPr>
                <w:rFonts w:ascii="宋体" w:hAnsi="宋体" w:hint="eastAsia"/>
                <w:sz w:val="21"/>
              </w:rPr>
              <w:t>结果的应用说明；</w:t>
            </w:r>
          </w:p>
          <w:p w:rsidR="006210F1" w:rsidRPr="00724B80" w:rsidP="00724B80" w14:paraId="4BED131E" w14:textId="69D8142A">
            <w:pPr>
              <w:snapToGrid w:val="0"/>
              <w:spacing w:line="324" w:lineRule="auto"/>
              <w:ind w:left="-8" w:hanging="50" w:leftChars="-18" w:hangingChars="24"/>
              <w:rPr>
                <w:rFonts w:ascii="宋体" w:hAnsi="宋体"/>
                <w:sz w:val="21"/>
              </w:rPr>
            </w:pPr>
            <w:r>
              <w:rPr>
                <w:rFonts w:ascii="宋体" w:hAnsi="宋体" w:hint="eastAsia"/>
                <w:sz w:val="21"/>
              </w:rPr>
              <w:t>5</w:t>
            </w:r>
            <w:r>
              <w:rPr>
                <w:rFonts w:ascii="宋体" w:hAnsi="宋体"/>
                <w:sz w:val="21"/>
              </w:rPr>
              <w:t>.</w:t>
            </w:r>
            <w:r w:rsidRPr="006210F1">
              <w:rPr>
                <w:rFonts w:ascii="宋体" w:hAnsi="宋体" w:hint="eastAsia"/>
                <w:sz w:val="21"/>
              </w:rPr>
              <w:t>完善因</w:t>
            </w:r>
            <w:r w:rsidRPr="006210F1">
              <w:rPr>
                <w:rFonts w:ascii="宋体" w:hAnsi="宋体" w:hint="eastAsia"/>
                <w:sz w:val="21"/>
              </w:rPr>
              <w:t>工程材料造成的工程质量问题的处理流程及规定</w:t>
            </w:r>
            <w:r w:rsidR="00833594">
              <w:rPr>
                <w:rFonts w:ascii="宋体" w:hAnsi="宋体" w:hint="eastAsia"/>
                <w:sz w:val="21"/>
              </w:rPr>
              <w:t>。</w:t>
            </w:r>
          </w:p>
        </w:tc>
        <w:tc>
          <w:tcPr>
            <w:tcW w:w="1275" w:type="dxa"/>
            <w:gridSpan w:val="2"/>
            <w:vAlign w:val="center"/>
          </w:tcPr>
          <w:p w:rsidR="0011523B" w:rsidRPr="00724B80" w:rsidP="00724B80" w14:paraId="610341D5" w14:textId="46C12B5B">
            <w:pPr>
              <w:snapToGrid w:val="0"/>
              <w:spacing w:line="324" w:lineRule="auto"/>
              <w:ind w:left="-8" w:hanging="50" w:leftChars="-18" w:hangingChars="24"/>
              <w:jc w:val="center"/>
              <w:rPr>
                <w:rFonts w:ascii="宋体" w:hAnsi="宋体"/>
                <w:sz w:val="21"/>
              </w:rPr>
            </w:pPr>
            <w:r w:rsidRPr="00724B80">
              <w:rPr>
                <w:rFonts w:ascii="宋体" w:hAnsi="宋体" w:hint="eastAsia"/>
                <w:sz w:val="21"/>
              </w:rPr>
              <w:t>阳伟光</w:t>
            </w:r>
          </w:p>
        </w:tc>
        <w:tc>
          <w:tcPr>
            <w:tcW w:w="1320" w:type="dxa"/>
            <w:gridSpan w:val="3"/>
            <w:vAlign w:val="center"/>
          </w:tcPr>
          <w:p w:rsidR="0011523B" w:rsidRPr="00724B80" w:rsidP="00724B80" w14:paraId="550183B6" w14:textId="33DC94CD">
            <w:pPr>
              <w:snapToGrid w:val="0"/>
              <w:spacing w:line="324" w:lineRule="auto"/>
              <w:ind w:left="-8" w:hanging="50" w:leftChars="-18" w:hangingChars="24"/>
              <w:jc w:val="center"/>
              <w:rPr>
                <w:rFonts w:ascii="宋体" w:hAnsi="宋体"/>
                <w:sz w:val="21"/>
              </w:rPr>
            </w:pPr>
            <w:r w:rsidRPr="00724B80">
              <w:rPr>
                <w:rFonts w:ascii="宋体" w:hAnsi="宋体" w:hint="eastAsia"/>
                <w:sz w:val="21"/>
              </w:rPr>
              <w:t>崔江峰</w:t>
            </w:r>
          </w:p>
        </w:tc>
        <w:tc>
          <w:tcPr>
            <w:tcW w:w="1335" w:type="dxa"/>
            <w:tcBorders>
              <w:right w:val="double" w:sz="4" w:space="0" w:color="auto"/>
            </w:tcBorders>
            <w:vAlign w:val="center"/>
          </w:tcPr>
          <w:p w:rsidR="0011523B" w:rsidRPr="00724B80" w:rsidP="00724B80" w14:paraId="3626B635" w14:textId="77777777">
            <w:pPr>
              <w:snapToGrid w:val="0"/>
              <w:spacing w:line="324" w:lineRule="auto"/>
              <w:ind w:left="-8" w:hanging="50" w:leftChars="-18" w:hangingChars="24"/>
              <w:jc w:val="center"/>
              <w:rPr>
                <w:rFonts w:ascii="宋体" w:hAnsi="宋体"/>
                <w:sz w:val="21"/>
              </w:rPr>
            </w:pPr>
          </w:p>
        </w:tc>
      </w:tr>
      <w:tr w14:paraId="794E9286" w14:textId="77777777" w:rsidTr="00945C9D">
        <w:tblPrEx>
          <w:tblW w:w="9233" w:type="dxa"/>
          <w:jc w:val="center"/>
          <w:tblLayout w:type="fixed"/>
          <w:tblLook w:val="0000"/>
        </w:tblPrEx>
        <w:trPr>
          <w:trHeight w:val="459"/>
          <w:jc w:val="center"/>
        </w:trPr>
        <w:tc>
          <w:tcPr>
            <w:tcW w:w="1216" w:type="dxa"/>
            <w:tcBorders>
              <w:left w:val="double" w:sz="4" w:space="0" w:color="auto"/>
            </w:tcBorders>
            <w:vAlign w:val="center"/>
          </w:tcPr>
          <w:p w:rsidR="0011523B" w:rsidP="00971C36" w14:paraId="6A57F154" w14:textId="777FC243">
            <w:pPr>
              <w:spacing w:line="324" w:lineRule="auto"/>
              <w:ind w:firstLine="0" w:firstLineChars="0"/>
              <w:rPr>
                <w:rFonts w:ascii="宋体" w:hAnsi="宋体"/>
                <w:sz w:val="24"/>
              </w:rPr>
            </w:pPr>
            <w:r>
              <w:rPr>
                <w:rFonts w:ascii="宋体" w:hAnsi="宋体" w:hint="eastAsia"/>
                <w:sz w:val="24"/>
              </w:rPr>
              <w:t>2023</w:t>
            </w:r>
            <w:r>
              <w:rPr>
                <w:rFonts w:ascii="宋体" w:hAnsi="宋体" w:hint="eastAsia"/>
                <w:sz w:val="24"/>
              </w:rPr>
              <w:t>．</w:t>
            </w:r>
            <w:r>
              <w:rPr>
                <w:rFonts w:ascii="宋体" w:hAnsi="宋体" w:hint="eastAsia"/>
                <w:sz w:val="24"/>
              </w:rPr>
              <w:t>8</w:t>
            </w:r>
          </w:p>
        </w:tc>
        <w:tc>
          <w:tcPr>
            <w:tcW w:w="1417" w:type="dxa"/>
            <w:gridSpan w:val="2"/>
            <w:vAlign w:val="center"/>
          </w:tcPr>
          <w:p w:rsidR="0011523B" w:rsidP="00971C36" w14:paraId="4AD2145B" w14:textId="2484D7F5">
            <w:pPr>
              <w:spacing w:line="324" w:lineRule="auto"/>
              <w:ind w:firstLine="120" w:firstLineChars="50"/>
              <w:rPr>
                <w:rFonts w:ascii="宋体" w:hAnsi="宋体"/>
                <w:sz w:val="24"/>
              </w:rPr>
            </w:pPr>
            <w:r>
              <w:rPr>
                <w:rFonts w:ascii="宋体" w:hAnsi="宋体" w:hint="eastAsia"/>
                <w:sz w:val="24"/>
              </w:rPr>
              <w:t>一般修订</w:t>
            </w:r>
          </w:p>
        </w:tc>
        <w:tc>
          <w:tcPr>
            <w:tcW w:w="2670" w:type="dxa"/>
            <w:gridSpan w:val="2"/>
            <w:vAlign w:val="center"/>
          </w:tcPr>
          <w:p w:rsidR="0011523B" w:rsidP="00971C36" w14:paraId="7863D606" w14:textId="172C0772">
            <w:pPr>
              <w:spacing w:line="324" w:lineRule="auto"/>
              <w:ind w:firstLine="0" w:firstLineChars="0"/>
              <w:rPr>
                <w:rFonts w:ascii="宋体" w:hAnsi="宋体"/>
                <w:sz w:val="24"/>
              </w:rPr>
            </w:pPr>
            <w:r>
              <w:rPr>
                <w:rFonts w:ascii="宋体" w:hAnsi="宋体" w:hint="eastAsia"/>
                <w:sz w:val="24"/>
              </w:rPr>
              <w:t>完善第六</w:t>
            </w:r>
            <w:r>
              <w:rPr>
                <w:rFonts w:ascii="宋体" w:hAnsi="宋体" w:hint="eastAsia"/>
                <w:sz w:val="24"/>
              </w:rPr>
              <w:t>章相关表述。</w:t>
            </w:r>
          </w:p>
        </w:tc>
        <w:tc>
          <w:tcPr>
            <w:tcW w:w="1275" w:type="dxa"/>
            <w:gridSpan w:val="2"/>
            <w:vAlign w:val="center"/>
          </w:tcPr>
          <w:p w:rsidR="0011523B" w:rsidP="00971C36" w14:paraId="2916A4C2" w14:textId="7B4C83B7">
            <w:pPr>
              <w:spacing w:line="324" w:lineRule="auto"/>
              <w:ind w:firstLine="0" w:firstLineChars="0"/>
              <w:rPr>
                <w:rFonts w:ascii="宋体" w:hAnsi="宋体"/>
                <w:sz w:val="24"/>
              </w:rPr>
            </w:pPr>
            <w:r>
              <w:rPr>
                <w:rFonts w:ascii="宋体" w:hAnsi="宋体" w:hint="eastAsia"/>
                <w:sz w:val="24"/>
              </w:rPr>
              <w:t>阳伟光</w:t>
            </w:r>
          </w:p>
        </w:tc>
        <w:tc>
          <w:tcPr>
            <w:tcW w:w="1320" w:type="dxa"/>
            <w:gridSpan w:val="3"/>
            <w:vAlign w:val="center"/>
          </w:tcPr>
          <w:p w:rsidR="0011523B" w:rsidP="00971C36" w14:paraId="64BB74A0" w14:textId="4165FB97">
            <w:pPr>
              <w:spacing w:line="324" w:lineRule="auto"/>
              <w:ind w:firstLine="199" w:firstLineChars="83"/>
              <w:rPr>
                <w:rFonts w:ascii="宋体" w:hAnsi="宋体"/>
                <w:sz w:val="24"/>
              </w:rPr>
            </w:pPr>
            <w:r>
              <w:rPr>
                <w:rFonts w:ascii="宋体" w:hAnsi="宋体" w:hint="eastAsia"/>
                <w:sz w:val="24"/>
              </w:rPr>
              <w:t>鲁飞</w:t>
            </w:r>
          </w:p>
        </w:tc>
        <w:tc>
          <w:tcPr>
            <w:tcW w:w="1335" w:type="dxa"/>
            <w:tcBorders>
              <w:right w:val="double" w:sz="4" w:space="0" w:color="auto"/>
            </w:tcBorders>
            <w:vAlign w:val="center"/>
          </w:tcPr>
          <w:p w:rsidR="0011523B" w:rsidP="00EE52A3" w14:paraId="06760947" w14:textId="77777777">
            <w:pPr>
              <w:spacing w:line="324" w:lineRule="auto"/>
              <w:ind w:firstLine="480"/>
              <w:rPr>
                <w:rFonts w:ascii="宋体" w:hAnsi="宋体"/>
                <w:sz w:val="24"/>
              </w:rPr>
            </w:pPr>
          </w:p>
        </w:tc>
      </w:tr>
      <w:tr w14:paraId="0F6CE3F5" w14:textId="77777777" w:rsidTr="00945C9D">
        <w:tblPrEx>
          <w:tblW w:w="9233" w:type="dxa"/>
          <w:jc w:val="center"/>
          <w:tblLayout w:type="fixed"/>
          <w:tblLook w:val="0000"/>
        </w:tblPrEx>
        <w:trPr>
          <w:trHeight w:val="465"/>
          <w:jc w:val="center"/>
        </w:trPr>
        <w:tc>
          <w:tcPr>
            <w:tcW w:w="1216" w:type="dxa"/>
            <w:tcBorders>
              <w:left w:val="double" w:sz="4" w:space="0" w:color="auto"/>
            </w:tcBorders>
            <w:vAlign w:val="center"/>
          </w:tcPr>
          <w:p w:rsidR="0011523B" w:rsidP="00EE52A3" w14:paraId="5658258D" w14:textId="77777777">
            <w:pPr>
              <w:spacing w:line="324" w:lineRule="auto"/>
              <w:ind w:firstLine="480"/>
              <w:rPr>
                <w:rFonts w:ascii="宋体" w:hAnsi="宋体"/>
                <w:sz w:val="24"/>
              </w:rPr>
            </w:pPr>
          </w:p>
        </w:tc>
        <w:tc>
          <w:tcPr>
            <w:tcW w:w="1417" w:type="dxa"/>
            <w:gridSpan w:val="2"/>
            <w:vAlign w:val="center"/>
          </w:tcPr>
          <w:p w:rsidR="0011523B" w:rsidP="00EE52A3" w14:paraId="0EA56A44" w14:textId="77777777">
            <w:pPr>
              <w:spacing w:line="324" w:lineRule="auto"/>
              <w:ind w:firstLine="480"/>
              <w:rPr>
                <w:rFonts w:ascii="宋体" w:hAnsi="宋体"/>
                <w:sz w:val="24"/>
              </w:rPr>
            </w:pPr>
          </w:p>
        </w:tc>
        <w:tc>
          <w:tcPr>
            <w:tcW w:w="2670" w:type="dxa"/>
            <w:gridSpan w:val="2"/>
            <w:vAlign w:val="center"/>
          </w:tcPr>
          <w:p w:rsidR="0011523B" w:rsidP="00EE52A3" w14:paraId="7AEA7696" w14:textId="77777777">
            <w:pPr>
              <w:spacing w:line="324" w:lineRule="auto"/>
              <w:ind w:firstLine="480"/>
              <w:rPr>
                <w:rFonts w:ascii="宋体" w:hAnsi="宋体"/>
                <w:sz w:val="24"/>
              </w:rPr>
            </w:pPr>
          </w:p>
        </w:tc>
        <w:tc>
          <w:tcPr>
            <w:tcW w:w="1275" w:type="dxa"/>
            <w:gridSpan w:val="2"/>
            <w:vAlign w:val="center"/>
          </w:tcPr>
          <w:p w:rsidR="0011523B" w:rsidP="00EE52A3" w14:paraId="0FD44810" w14:textId="77777777">
            <w:pPr>
              <w:spacing w:line="324" w:lineRule="auto"/>
              <w:ind w:firstLine="480"/>
              <w:rPr>
                <w:rFonts w:ascii="宋体" w:hAnsi="宋体"/>
                <w:sz w:val="24"/>
              </w:rPr>
            </w:pPr>
          </w:p>
        </w:tc>
        <w:tc>
          <w:tcPr>
            <w:tcW w:w="1320" w:type="dxa"/>
            <w:gridSpan w:val="3"/>
            <w:vAlign w:val="center"/>
          </w:tcPr>
          <w:p w:rsidR="0011523B" w:rsidP="00EE52A3" w14:paraId="5DDD531F" w14:textId="77777777">
            <w:pPr>
              <w:spacing w:line="324" w:lineRule="auto"/>
              <w:ind w:firstLine="480"/>
              <w:rPr>
                <w:rFonts w:ascii="宋体" w:hAnsi="宋体"/>
                <w:sz w:val="24"/>
              </w:rPr>
            </w:pPr>
          </w:p>
        </w:tc>
        <w:tc>
          <w:tcPr>
            <w:tcW w:w="1335" w:type="dxa"/>
            <w:tcBorders>
              <w:right w:val="double" w:sz="4" w:space="0" w:color="auto"/>
            </w:tcBorders>
            <w:vAlign w:val="center"/>
          </w:tcPr>
          <w:p w:rsidR="0011523B" w:rsidP="00EE52A3" w14:paraId="0ECAA6C7" w14:textId="77777777">
            <w:pPr>
              <w:spacing w:line="324" w:lineRule="auto"/>
              <w:ind w:firstLine="480"/>
              <w:rPr>
                <w:rFonts w:ascii="宋体" w:hAnsi="宋体"/>
                <w:sz w:val="24"/>
              </w:rPr>
            </w:pPr>
          </w:p>
        </w:tc>
      </w:tr>
      <w:tr w14:paraId="77F6FEB2" w14:textId="77777777" w:rsidTr="00945C9D">
        <w:tblPrEx>
          <w:tblW w:w="9233" w:type="dxa"/>
          <w:jc w:val="center"/>
          <w:tblLayout w:type="fixed"/>
          <w:tblLook w:val="0000"/>
        </w:tblPrEx>
        <w:trPr>
          <w:jc w:val="center"/>
        </w:trPr>
        <w:tc>
          <w:tcPr>
            <w:tcW w:w="1216" w:type="dxa"/>
            <w:tcBorders>
              <w:left w:val="double" w:sz="4" w:space="0" w:color="auto"/>
            </w:tcBorders>
            <w:vAlign w:val="center"/>
          </w:tcPr>
          <w:p w:rsidR="0011523B" w:rsidP="00EE52A3" w14:paraId="5F71E24D" w14:textId="77777777">
            <w:pPr>
              <w:spacing w:line="324" w:lineRule="auto"/>
              <w:ind w:firstLine="480"/>
              <w:rPr>
                <w:rFonts w:ascii="宋体" w:hAnsi="宋体"/>
                <w:sz w:val="24"/>
              </w:rPr>
            </w:pPr>
          </w:p>
        </w:tc>
        <w:tc>
          <w:tcPr>
            <w:tcW w:w="1417" w:type="dxa"/>
            <w:gridSpan w:val="2"/>
            <w:vAlign w:val="center"/>
          </w:tcPr>
          <w:p w:rsidR="0011523B" w:rsidP="00EE52A3" w14:paraId="2F039BEF" w14:textId="77777777">
            <w:pPr>
              <w:spacing w:line="324" w:lineRule="auto"/>
              <w:ind w:firstLine="480"/>
              <w:rPr>
                <w:rFonts w:ascii="宋体" w:hAnsi="宋体"/>
                <w:sz w:val="24"/>
              </w:rPr>
            </w:pPr>
          </w:p>
        </w:tc>
        <w:tc>
          <w:tcPr>
            <w:tcW w:w="2670" w:type="dxa"/>
            <w:gridSpan w:val="2"/>
            <w:vAlign w:val="center"/>
          </w:tcPr>
          <w:p w:rsidR="0011523B" w:rsidP="00EE52A3" w14:paraId="3881F23F" w14:textId="77777777">
            <w:pPr>
              <w:spacing w:line="324" w:lineRule="auto"/>
              <w:ind w:firstLine="480"/>
              <w:rPr>
                <w:rFonts w:ascii="宋体" w:hAnsi="宋体"/>
                <w:sz w:val="24"/>
              </w:rPr>
            </w:pPr>
          </w:p>
        </w:tc>
        <w:tc>
          <w:tcPr>
            <w:tcW w:w="1275" w:type="dxa"/>
            <w:gridSpan w:val="2"/>
            <w:vAlign w:val="center"/>
          </w:tcPr>
          <w:p w:rsidR="0011523B" w:rsidP="00EE52A3" w14:paraId="6C372D3B" w14:textId="77777777">
            <w:pPr>
              <w:spacing w:line="324" w:lineRule="auto"/>
              <w:ind w:firstLine="480"/>
              <w:rPr>
                <w:rFonts w:ascii="宋体" w:hAnsi="宋体"/>
                <w:sz w:val="24"/>
              </w:rPr>
            </w:pPr>
          </w:p>
        </w:tc>
        <w:tc>
          <w:tcPr>
            <w:tcW w:w="1320" w:type="dxa"/>
            <w:gridSpan w:val="3"/>
            <w:vAlign w:val="center"/>
          </w:tcPr>
          <w:p w:rsidR="0011523B" w:rsidP="00EE52A3" w14:paraId="1BCF222D" w14:textId="77777777">
            <w:pPr>
              <w:spacing w:line="324" w:lineRule="auto"/>
              <w:ind w:firstLine="480"/>
              <w:rPr>
                <w:rFonts w:ascii="宋体" w:hAnsi="宋体"/>
                <w:sz w:val="24"/>
              </w:rPr>
            </w:pPr>
          </w:p>
        </w:tc>
        <w:tc>
          <w:tcPr>
            <w:tcW w:w="1335" w:type="dxa"/>
            <w:tcBorders>
              <w:right w:val="double" w:sz="4" w:space="0" w:color="auto"/>
            </w:tcBorders>
            <w:vAlign w:val="center"/>
          </w:tcPr>
          <w:p w:rsidR="0011523B" w:rsidP="00EE52A3" w14:paraId="745EE7FE" w14:textId="77777777">
            <w:pPr>
              <w:spacing w:line="324" w:lineRule="auto"/>
              <w:ind w:firstLine="480"/>
              <w:rPr>
                <w:rFonts w:ascii="宋体" w:hAnsi="宋体"/>
                <w:sz w:val="24"/>
              </w:rPr>
            </w:pPr>
          </w:p>
        </w:tc>
      </w:tr>
      <w:bookmarkEnd w:id="3"/>
    </w:tbl>
    <w:p w:rsidR="00CF5FF7" w:rsidP="00945C9D" w14:paraId="1CB5575B" w14:textId="77777777">
      <w:pPr>
        <w:widowControl/>
        <w:spacing w:line="240" w:lineRule="auto"/>
        <w:ind w:firstLine="0" w:firstLineChars="0"/>
        <w:rPr>
          <w:rFonts w:ascii="宋体" w:eastAsia="宋体" w:hAnsi="宋体"/>
          <w:b/>
          <w:sz w:val="44"/>
          <w:szCs w:val="44"/>
        </w:rPr>
        <w:sectPr w:rsidSect="00294A89">
          <w:headerReference w:type="even" r:id="rId8"/>
          <w:headerReference w:type="default" r:id="rId9"/>
          <w:footerReference w:type="even" r:id="rId10"/>
          <w:footerReference w:type="default" r:id="rId11"/>
          <w:headerReference w:type="first" r:id="rId12"/>
          <w:footerReference w:type="first" r:id="rId13"/>
          <w:pgSz w:w="11906" w:h="16838"/>
          <w:pgMar w:top="1418" w:right="1247" w:bottom="1134" w:left="1247" w:header="568" w:footer="680" w:gutter="0"/>
          <w:cols w:space="425"/>
          <w:titlePg/>
          <w:docGrid w:type="lines" w:linePitch="435"/>
        </w:sectPr>
      </w:pPr>
    </w:p>
    <w:p w:rsidR="00CF5FF7" w14:paraId="73E50550" w14:textId="77777777">
      <w:pPr>
        <w:pStyle w:val="a0"/>
        <w:spacing w:line="560" w:lineRule="exact"/>
      </w:pPr>
      <w:r>
        <w:rPr>
          <w:rFonts w:hint="eastAsia"/>
        </w:rPr>
        <w:t>第一章  总 则</w:t>
      </w:r>
      <w:bookmarkEnd w:id="0"/>
      <w:bookmarkEnd w:id="1"/>
      <w:bookmarkEnd w:id="2"/>
    </w:p>
    <w:p w:rsidR="00CF5FF7" w14:paraId="3409C44D" w14:textId="77777777">
      <w:pPr>
        <w:pStyle w:val="a0"/>
        <w:spacing w:line="560" w:lineRule="exact"/>
      </w:pPr>
    </w:p>
    <w:p w:rsidR="00CF5FF7" w14:paraId="75BC89B9" w14:textId="77777777">
      <w:pPr>
        <w:pStyle w:val="Heading3"/>
        <w:ind w:left="0" w:firstLine="640" w:firstLineChars="200"/>
      </w:pPr>
      <w:r>
        <w:rPr>
          <w:rFonts w:cs="仿宋_GB2312" w:hint="eastAsia"/>
          <w:kern w:val="0"/>
        </w:rPr>
        <w:t>为加强</w:t>
      </w:r>
      <w:r>
        <w:rPr>
          <w:rFonts w:cs="仿宋_GB2312" w:hint="eastAsia"/>
        </w:rPr>
        <w:t>深圳市前海建设投资控股集团有限公司（以下简称“前海建投集团”）</w:t>
      </w:r>
      <w:r>
        <w:rPr>
          <w:rFonts w:cs="仿宋_GB2312" w:hint="eastAsia"/>
          <w:kern w:val="0"/>
        </w:rPr>
        <w:t>建设工程材料管理，确保工程材料质量，根据国家有关法律法规，结合实际情况，制定本办法。</w:t>
      </w:r>
    </w:p>
    <w:p w:rsidR="00CF5FF7" w14:paraId="5CFC708C" w14:textId="77777777">
      <w:pPr>
        <w:pStyle w:val="Heading3"/>
        <w:ind w:left="0" w:firstLine="640" w:firstLineChars="200"/>
        <w:rPr>
          <w:rFonts w:cs="仿宋_GB2312"/>
          <w:kern w:val="0"/>
        </w:rPr>
      </w:pPr>
      <w:r>
        <w:rPr>
          <w:rFonts w:cs="仿宋_GB2312" w:hint="eastAsia"/>
          <w:kern w:val="0"/>
        </w:rPr>
        <w:t>本办法适用于</w:t>
      </w:r>
      <w:r>
        <w:rPr>
          <w:rFonts w:cs="仿宋_GB2312" w:hint="eastAsia"/>
          <w:kern w:val="0"/>
        </w:rPr>
        <w:t>前海建投集团</w:t>
      </w:r>
      <w:r>
        <w:rPr>
          <w:rFonts w:cs="仿宋_GB2312" w:hint="eastAsia"/>
          <w:kern w:val="0"/>
        </w:rPr>
        <w:t>及其全资子公司负责的各类建设工程。</w:t>
      </w:r>
    </w:p>
    <w:p w:rsidR="00CF5FF7" w14:paraId="5B768BE4" w14:textId="77777777">
      <w:pPr>
        <w:ind w:firstLine="640"/>
      </w:pPr>
    </w:p>
    <w:p w:rsidR="00CF5FF7" w14:paraId="6DE18C48" w14:textId="77777777">
      <w:pPr>
        <w:pStyle w:val="a0"/>
        <w:spacing w:line="560" w:lineRule="exact"/>
      </w:pPr>
      <w:r>
        <w:rPr>
          <w:rFonts w:hint="eastAsia"/>
        </w:rPr>
        <w:t>第二章  术语定义</w:t>
      </w:r>
    </w:p>
    <w:p w:rsidR="00CF5FF7" w14:paraId="00CF99ED" w14:textId="77777777">
      <w:pPr>
        <w:ind w:firstLine="640"/>
      </w:pPr>
    </w:p>
    <w:p w:rsidR="00CF5FF7" w14:paraId="3750BEA3" w14:textId="77777777">
      <w:pPr>
        <w:pStyle w:val="Heading3"/>
        <w:ind w:left="0" w:firstLine="640" w:firstLineChars="200"/>
      </w:pPr>
      <w:r>
        <w:rPr>
          <w:rFonts w:cs="仿宋_GB2312" w:hint="eastAsia"/>
          <w:kern w:val="0"/>
        </w:rPr>
        <w:t>本办法所称建设工程，是指</w:t>
      </w:r>
      <w:r>
        <w:rPr>
          <w:rFonts w:cs="仿宋_GB2312" w:hint="eastAsia"/>
          <w:kern w:val="0"/>
        </w:rPr>
        <w:t>前海建投集团</w:t>
      </w:r>
      <w:r>
        <w:rPr>
          <w:rFonts w:cs="仿宋_GB2312" w:hint="eastAsia"/>
          <w:kern w:val="0"/>
        </w:rPr>
        <w:t>及其全资子公司建设的房屋建筑工程、市政工程、水务工程、装修工程及设备安装工程等。</w:t>
      </w:r>
    </w:p>
    <w:p w:rsidR="00CF5FF7" w14:paraId="2FAE4D22" w14:textId="77777777">
      <w:pPr>
        <w:pStyle w:val="Heading3"/>
        <w:ind w:left="0" w:firstLine="640" w:firstLineChars="200"/>
        <w:rPr>
          <w:rFonts w:cs="仿宋_GB2312"/>
          <w:kern w:val="0"/>
        </w:rPr>
      </w:pPr>
      <w:r>
        <w:rPr>
          <w:rFonts w:cs="仿宋_GB2312" w:hint="eastAsia"/>
          <w:kern w:val="0"/>
        </w:rPr>
        <w:t>本办法所称材料，包括建设工程中的主要建筑材料和常规设备（</w:t>
      </w:r>
      <w:r>
        <w:rPr>
          <w:rFonts w:cs="仿宋_GB2312" w:hint="eastAsia"/>
          <w:kern w:val="0"/>
        </w:rPr>
        <w:t>含冷站</w:t>
      </w:r>
      <w:r>
        <w:rPr>
          <w:rFonts w:cs="仿宋_GB2312" w:hint="eastAsia"/>
          <w:kern w:val="0"/>
        </w:rPr>
        <w:t>专用设备）及构配件，其中：</w:t>
      </w:r>
    </w:p>
    <w:p w:rsidR="00CF5FF7" w14:paraId="4CD1CF18" w14:textId="77777777">
      <w:pPr>
        <w:spacing w:line="560" w:lineRule="exact"/>
        <w:ind w:firstLine="640"/>
      </w:pPr>
      <w:r>
        <w:rPr>
          <w:rFonts w:hint="eastAsia"/>
        </w:rPr>
        <w:t>（一）主要建筑材料：是指对工程质量、建筑外观效果或使用功能影响较大，或使用数量较大、运营易损、需全部统一，或市场行为尚不规范，需要</w:t>
      </w:r>
      <w:r>
        <w:rPr>
          <w:rFonts w:hint="eastAsia"/>
        </w:rPr>
        <w:t>前海建投集团</w:t>
      </w:r>
      <w:r>
        <w:rPr>
          <w:rFonts w:hint="eastAsia"/>
        </w:rPr>
        <w:t>选定或者进行质量监控的材料。</w:t>
      </w:r>
    </w:p>
    <w:p w:rsidR="00CF5FF7" w14:paraId="280298F9" w14:textId="77777777">
      <w:pPr>
        <w:spacing w:line="560" w:lineRule="exact"/>
        <w:ind w:firstLine="640"/>
        <w:sectPr w:rsidSect="00294A89">
          <w:headerReference w:type="even" r:id="rId14"/>
          <w:headerReference w:type="default" r:id="rId15"/>
          <w:footerReference w:type="even" r:id="rId16"/>
          <w:footerReference w:type="default" r:id="rId17"/>
          <w:headerReference w:type="first" r:id="rId18"/>
          <w:footerReference w:type="first" r:id="rId19"/>
          <w:pgSz w:w="11906" w:h="16838"/>
          <w:pgMar w:top="2098" w:right="1531" w:bottom="1588" w:left="1588" w:header="851" w:footer="992" w:gutter="0"/>
          <w:pgNumType w:start="1"/>
          <w:cols w:space="425"/>
          <w:docGrid w:type="lines" w:linePitch="312"/>
        </w:sectPr>
      </w:pPr>
      <w:r>
        <w:rPr>
          <w:rFonts w:hint="eastAsia"/>
        </w:rPr>
        <w:t>（二）常规设备及构配件：是指通风空调及智能化设备、给排水、消防、环控、低压动力照明（400V以下）和综合管线等工程涉及的设备及其构件、配件。</w:t>
      </w:r>
    </w:p>
    <w:p w:rsidR="00CF5FF7" w14:paraId="06B3465A" w14:textId="77777777">
      <w:pPr>
        <w:pStyle w:val="Heading3"/>
        <w:ind w:left="0" w:firstLine="640" w:firstLineChars="200"/>
        <w:rPr>
          <w:rFonts w:cs="仿宋_GB2312"/>
          <w:kern w:val="0"/>
          <w:u w:val="single"/>
        </w:rPr>
      </w:pPr>
      <w:r>
        <w:rPr>
          <w:rFonts w:hint="eastAsia"/>
        </w:rPr>
        <w:t>本办法所称不合格材料，是指属于下列情形之一的材料：</w:t>
      </w:r>
    </w:p>
    <w:p w:rsidR="00CF5FF7" w14:paraId="269E9F86" w14:textId="77777777">
      <w:pPr>
        <w:spacing w:line="560" w:lineRule="exact"/>
        <w:ind w:firstLine="640"/>
      </w:pPr>
      <w:r>
        <w:rPr>
          <w:rFonts w:hint="eastAsia"/>
        </w:rPr>
        <w:t>（一）经检验检测不符合技术标准或者设计要求；</w:t>
      </w:r>
    </w:p>
    <w:p w:rsidR="00CF5FF7" w14:paraId="2E5A8D54" w14:textId="77777777">
      <w:pPr>
        <w:spacing w:line="560" w:lineRule="exact"/>
        <w:ind w:firstLine="640"/>
      </w:pPr>
      <w:r>
        <w:rPr>
          <w:rFonts w:hint="eastAsia"/>
        </w:rPr>
        <w:t>（二）材料设备品牌、产地与合同约定不符；</w:t>
      </w:r>
    </w:p>
    <w:p w:rsidR="00CF5FF7" w14:paraId="62ECAB73" w14:textId="77777777">
      <w:pPr>
        <w:spacing w:line="560" w:lineRule="exact"/>
        <w:ind w:firstLine="640"/>
      </w:pPr>
      <w:r>
        <w:rPr>
          <w:rFonts w:hint="eastAsia"/>
        </w:rPr>
        <w:t>（三）材料设备质量合格证、质量保证书、购货发票、炉批号等任一项与进场材料不符；</w:t>
      </w:r>
    </w:p>
    <w:p w:rsidR="00CF5FF7" w14:paraId="2C7A561C" w14:textId="77777777">
      <w:pPr>
        <w:spacing w:line="560" w:lineRule="exact"/>
        <w:ind w:firstLine="640"/>
      </w:pPr>
      <w:r>
        <w:rPr>
          <w:rFonts w:hint="eastAsia"/>
        </w:rPr>
        <w:t>（四）经</w:t>
      </w:r>
      <w:r>
        <w:rPr>
          <w:rFonts w:hint="eastAsia"/>
        </w:rPr>
        <w:t>前海建投集团</w:t>
      </w:r>
      <w:r>
        <w:rPr>
          <w:rFonts w:hint="eastAsia"/>
        </w:rPr>
        <w:t>相关部门或监理单位认定的其他假冒伪劣情形。</w:t>
      </w:r>
    </w:p>
    <w:p w:rsidR="00CF5FF7" w14:paraId="6C464942" w14:textId="77777777">
      <w:pPr>
        <w:pStyle w:val="Heading3"/>
        <w:ind w:left="0" w:firstLine="640" w:firstLineChars="200"/>
        <w:rPr>
          <w:rFonts w:cs="仿宋_GB2312"/>
          <w:kern w:val="0"/>
        </w:rPr>
      </w:pPr>
      <w:r>
        <w:rPr>
          <w:rFonts w:cs="仿宋_GB2312" w:hint="eastAsia"/>
          <w:kern w:val="0"/>
        </w:rPr>
        <w:t>前海建投集团</w:t>
      </w:r>
      <w:r>
        <w:rPr>
          <w:rFonts w:cs="仿宋_GB2312" w:hint="eastAsia"/>
          <w:kern w:val="0"/>
        </w:rPr>
        <w:t>建设工程材料根据供应方式分为两种：</w:t>
      </w:r>
    </w:p>
    <w:p w:rsidR="00CF5FF7" w14:paraId="5F75680E" w14:textId="77777777">
      <w:pPr>
        <w:autoSpaceDE w:val="0"/>
        <w:autoSpaceDN w:val="0"/>
        <w:adjustRightInd w:val="0"/>
        <w:spacing w:line="560" w:lineRule="exact"/>
        <w:ind w:firstLine="640"/>
        <w:jc w:val="left"/>
        <w:rPr>
          <w:rFonts w:cs="仿宋_GB2312"/>
          <w:kern w:val="0"/>
          <w:szCs w:val="32"/>
        </w:rPr>
      </w:pPr>
      <w:r>
        <w:rPr>
          <w:rFonts w:hint="eastAsia"/>
        </w:rPr>
        <w:t>（一）</w:t>
      </w:r>
      <w:r>
        <w:rPr>
          <w:rFonts w:hint="eastAsia"/>
        </w:rPr>
        <w:t>甲供材料</w:t>
      </w:r>
      <w:r>
        <w:rPr>
          <w:rFonts w:hint="eastAsia"/>
        </w:rPr>
        <w:t>：</w:t>
      </w:r>
      <w:r>
        <w:rPr>
          <w:rFonts w:cs="仿宋_GB2312" w:hint="eastAsia"/>
          <w:kern w:val="0"/>
          <w:szCs w:val="32"/>
        </w:rPr>
        <w:t>是指直接由</w:t>
      </w:r>
      <w:r>
        <w:rPr>
          <w:rFonts w:cs="仿宋_GB2312" w:hint="eastAsia"/>
          <w:kern w:val="0"/>
          <w:szCs w:val="32"/>
        </w:rPr>
        <w:t>前海建投集团</w:t>
      </w:r>
      <w:r>
        <w:rPr>
          <w:rFonts w:cs="仿宋_GB2312" w:hint="eastAsia"/>
          <w:kern w:val="0"/>
          <w:szCs w:val="32"/>
        </w:rPr>
        <w:t>通过招标等采购方式采购供应的材料，具体由合同约定。</w:t>
      </w:r>
    </w:p>
    <w:p w:rsidR="00CF5FF7" w14:paraId="3625BD53"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（二）</w:t>
      </w:r>
      <w:r>
        <w:rPr>
          <w:rFonts w:cs="仿宋_GB2312" w:hint="eastAsia"/>
          <w:kern w:val="0"/>
          <w:szCs w:val="32"/>
        </w:rPr>
        <w:t>乙购材料</w:t>
      </w:r>
      <w:r>
        <w:rPr>
          <w:rFonts w:cs="仿宋_GB2312" w:hint="eastAsia"/>
          <w:kern w:val="0"/>
          <w:szCs w:val="32"/>
        </w:rPr>
        <w:t>：是指由施工单位依据合同约定和设计文件要求自行采购的材料。</w:t>
      </w:r>
    </w:p>
    <w:p w:rsidR="00CF5FF7" w14:paraId="60DCE3A1"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根据重要性，</w:t>
      </w:r>
      <w:r>
        <w:rPr>
          <w:rFonts w:cs="仿宋_GB2312" w:hint="eastAsia"/>
          <w:kern w:val="0"/>
          <w:szCs w:val="32"/>
        </w:rPr>
        <w:t>乙购材料</w:t>
      </w:r>
      <w:r>
        <w:rPr>
          <w:rFonts w:cs="仿宋_GB2312" w:hint="eastAsia"/>
          <w:kern w:val="0"/>
          <w:szCs w:val="32"/>
        </w:rPr>
        <w:t>分为一、二、三类：</w:t>
      </w:r>
    </w:p>
    <w:p w:rsidR="00CF5FF7" w14:paraId="15158676"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1.</w:t>
      </w:r>
      <w:r>
        <w:rPr>
          <w:rFonts w:cs="仿宋_GB2312" w:hint="eastAsia"/>
          <w:kern w:val="0"/>
          <w:szCs w:val="32"/>
        </w:rPr>
        <w:t>一类乙购材料</w:t>
      </w:r>
      <w:r>
        <w:rPr>
          <w:rFonts w:cs="仿宋_GB2312" w:hint="eastAsia"/>
          <w:kern w:val="0"/>
          <w:szCs w:val="32"/>
        </w:rPr>
        <w:t>是品牌、规格、性能等质量要求特别重要，对结构安全和使用功能有重大影响，</w:t>
      </w:r>
      <w:r>
        <w:rPr>
          <w:rFonts w:cs="仿宋_GB2312" w:hint="eastAsia"/>
          <w:kern w:val="0"/>
          <w:szCs w:val="32"/>
        </w:rPr>
        <w:t>前海建投集团</w:t>
      </w:r>
      <w:r>
        <w:rPr>
          <w:rFonts w:cs="仿宋_GB2312" w:hint="eastAsia"/>
          <w:kern w:val="0"/>
          <w:szCs w:val="32"/>
        </w:rPr>
        <w:t>需要进行专门管控，如钢筋、商品混凝土（含水泥、砂石、粉煤灰、外加剂等原材）、防水材料、幕墙（含玻璃、石材）、钢箱梁、结构钢材及钢绞线、</w:t>
      </w:r>
      <w:r>
        <w:t>冷水机组、冷却塔、</w:t>
      </w:r>
      <w:r>
        <w:rPr>
          <w:rFonts w:cs="仿宋_GB2312" w:hint="eastAsia"/>
          <w:kern w:val="0"/>
          <w:szCs w:val="32"/>
        </w:rPr>
        <w:t>电梯等。</w:t>
      </w:r>
    </w:p>
    <w:p w:rsidR="00CF5FF7" w14:paraId="75D410B7" w14:textId="77777777">
      <w:pPr>
        <w:autoSpaceDE w:val="0"/>
        <w:autoSpaceDN w:val="0"/>
        <w:adjustRightInd w:val="0"/>
        <w:spacing w:line="560" w:lineRule="exact"/>
        <w:ind w:firstLine="640"/>
        <w:jc w:val="left"/>
        <w:rPr>
          <w:rFonts w:cs="仿宋_GB2312"/>
          <w:kern w:val="0"/>
          <w:szCs w:val="32"/>
        </w:rPr>
        <w:sectPr w:rsidSect="00294A89">
          <w:headerReference w:type="even" r:id="rId20"/>
          <w:headerReference w:type="default" r:id="rId21"/>
          <w:footerReference w:type="even" r:id="rId22"/>
          <w:footerReference w:type="default" r:id="rId23"/>
          <w:headerReference w:type="first" r:id="rId24"/>
          <w:footerReference w:type="first" r:id="rId25"/>
          <w:type w:val="nextPage"/>
          <w:pgSz w:w="11906" w:h="16838"/>
          <w:pgMar w:top="2098" w:right="1531" w:bottom="1588" w:left="1588" w:header="851" w:footer="992" w:gutter="0"/>
          <w:pgNumType w:start="2"/>
          <w:cols w:space="425"/>
          <w:titlePg w:val="0"/>
          <w:docGrid w:type="lines" w:linePitch="312"/>
        </w:sectPr>
      </w:pPr>
      <w:r>
        <w:rPr>
          <w:rFonts w:cs="仿宋_GB2312" w:hint="eastAsia"/>
          <w:kern w:val="0"/>
          <w:szCs w:val="32"/>
        </w:rPr>
        <w:t>2.</w:t>
      </w:r>
      <w:r>
        <w:rPr>
          <w:rFonts w:cs="仿宋_GB2312" w:hint="eastAsia"/>
          <w:kern w:val="0"/>
          <w:szCs w:val="32"/>
        </w:rPr>
        <w:t>二类乙购材料</w:t>
      </w:r>
      <w:r>
        <w:rPr>
          <w:rFonts w:cs="仿宋_GB2312" w:hint="eastAsia"/>
          <w:kern w:val="0"/>
          <w:szCs w:val="32"/>
        </w:rPr>
        <w:t>是品牌、规格、性能等质量要求比较重要，对结构使用功能有重要影响，</w:t>
      </w:r>
      <w:r>
        <w:rPr>
          <w:rFonts w:cs="仿宋_GB2312" w:hint="eastAsia"/>
          <w:kern w:val="0"/>
          <w:szCs w:val="32"/>
        </w:rPr>
        <w:t>前海建投集团</w:t>
      </w:r>
      <w:r>
        <w:rPr>
          <w:rFonts w:cs="仿宋_GB2312" w:hint="eastAsia"/>
          <w:kern w:val="0"/>
          <w:szCs w:val="32"/>
        </w:rPr>
        <w:t>需要进行重要管控，</w:t>
      </w:r>
    </w:p>
    <w:p w:rsidR="00CF5FF7"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如装饰材料（包括天花吊顶、地面石材）、小型设备、防火防（排）烟（阀）门、球墨铸铁管、</w:t>
      </w:r>
      <w:r>
        <w:t>镀锌钢管、</w:t>
      </w:r>
      <w:r>
        <w:rPr>
          <w:rFonts w:cs="仿宋_GB2312" w:hint="eastAsia"/>
          <w:kern w:val="0"/>
          <w:szCs w:val="32"/>
        </w:rPr>
        <w:t>工程不锈钢型（管）材、</w:t>
      </w:r>
      <w:r>
        <w:t>空调机组、阀门</w:t>
      </w:r>
      <w:r>
        <w:rPr>
          <w:rFonts w:hint="eastAsia"/>
        </w:rPr>
        <w:t>、</w:t>
      </w:r>
      <w:r>
        <w:rPr>
          <w:rFonts w:cs="仿宋_GB2312" w:hint="eastAsia"/>
          <w:kern w:val="0"/>
          <w:szCs w:val="32"/>
        </w:rPr>
        <w:t>电缆等。</w:t>
      </w:r>
    </w:p>
    <w:p w:rsidR="00CF5FF7" w14:paraId="639230FE"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一、二类</w:t>
      </w:r>
      <w:r>
        <w:rPr>
          <w:rFonts w:cs="仿宋_GB2312" w:hint="eastAsia"/>
          <w:kern w:val="0"/>
          <w:szCs w:val="32"/>
        </w:rPr>
        <w:t>乙购材料统称甲</w:t>
      </w:r>
      <w:r>
        <w:rPr>
          <w:rFonts w:cs="仿宋_GB2312" w:hint="eastAsia"/>
          <w:kern w:val="0"/>
          <w:szCs w:val="32"/>
        </w:rPr>
        <w:t>控（乙购）材料。</w:t>
      </w:r>
    </w:p>
    <w:p w:rsidR="00CF5FF7" w14:paraId="7A6E6B7E"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3.</w:t>
      </w:r>
      <w:r>
        <w:rPr>
          <w:rFonts w:cs="仿宋_GB2312" w:hint="eastAsia"/>
          <w:kern w:val="0"/>
          <w:szCs w:val="32"/>
        </w:rPr>
        <w:t>三类乙购材料</w:t>
      </w:r>
      <w:r>
        <w:rPr>
          <w:rFonts w:cs="仿宋_GB2312" w:hint="eastAsia"/>
          <w:kern w:val="0"/>
          <w:szCs w:val="32"/>
        </w:rPr>
        <w:t>是品牌、规格、性能等质量要求一般重要，</w:t>
      </w:r>
      <w:r>
        <w:rPr>
          <w:rFonts w:cs="仿宋_GB2312" w:hint="eastAsia"/>
          <w:kern w:val="0"/>
          <w:szCs w:val="32"/>
        </w:rPr>
        <w:t>前海建投集团</w:t>
      </w:r>
      <w:r>
        <w:rPr>
          <w:rFonts w:cs="仿宋_GB2312" w:hint="eastAsia"/>
          <w:kern w:val="0"/>
          <w:szCs w:val="32"/>
        </w:rPr>
        <w:t>进行一般管控，除一、二类以外的工程材料（含器材、附件、部件等产品）均为三类。</w:t>
      </w:r>
    </w:p>
    <w:p w:rsidR="00CF5FF7" w14:paraId="791EBE33" w14:textId="77777777">
      <w:pPr>
        <w:pStyle w:val="Heading3"/>
        <w:ind w:left="0" w:firstLine="640" w:firstLineChars="200"/>
        <w:rPr>
          <w:rFonts w:cs="仿宋_GB2312"/>
          <w:kern w:val="0"/>
        </w:rPr>
      </w:pPr>
      <w:r>
        <w:rPr>
          <w:rFonts w:cs="仿宋_GB2312" w:hint="eastAsia"/>
          <w:kern w:val="0"/>
        </w:rPr>
        <w:t>相关定义</w:t>
      </w:r>
    </w:p>
    <w:p w:rsidR="00CF5FF7" w14:paraId="2B73AD6E" w14:textId="77777777">
      <w:pPr>
        <w:pStyle w:val="Heading3"/>
        <w:numPr>
          <w:ilvl w:val="0"/>
          <w:numId w:val="0"/>
        </w:numPr>
        <w:ind w:firstLine="640" w:firstLineChars="200"/>
        <w:rPr>
          <w:rFonts w:cs="仿宋_GB2312"/>
          <w:kern w:val="0"/>
        </w:rPr>
      </w:pPr>
      <w:r>
        <w:rPr>
          <w:rFonts w:cs="仿宋_GB2312" w:hint="eastAsia"/>
          <w:kern w:val="0"/>
        </w:rPr>
        <w:t>（一）本办法所称供应商，是指依法成立，具有法人和生产经营资质、信誉良好并通过被招标或其他方式认定，具备向建设工程提供材料和服务的独立法人（不含品牌方）或其他组织；</w:t>
      </w:r>
    </w:p>
    <w:p w:rsidR="00CF5FF7" w14:paraId="0FD11507" w14:textId="77777777">
      <w:pPr>
        <w:pStyle w:val="Heading3"/>
        <w:numPr>
          <w:ilvl w:val="0"/>
          <w:numId w:val="0"/>
        </w:numPr>
        <w:ind w:firstLine="640" w:firstLineChars="200"/>
        <w:rPr>
          <w:rFonts w:cs="仿宋_GB2312"/>
          <w:kern w:val="0"/>
        </w:rPr>
      </w:pPr>
      <w:r>
        <w:rPr>
          <w:rFonts w:cs="仿宋_GB2312" w:hint="eastAsia"/>
          <w:kern w:val="0"/>
        </w:rPr>
        <w:t>（二）所称施工单位是指具有合法施工总承包或专业承包资质的建筑施工企（事）业单位；</w:t>
      </w:r>
    </w:p>
    <w:p w:rsidR="00CF5FF7" w14:paraId="63206CA1" w14:textId="77777777">
      <w:pPr>
        <w:pStyle w:val="Heading3"/>
        <w:numPr>
          <w:ilvl w:val="0"/>
          <w:numId w:val="0"/>
        </w:numPr>
        <w:ind w:firstLine="640" w:firstLineChars="200"/>
        <w:rPr>
          <w:rFonts w:cs="仿宋_GB2312"/>
          <w:kern w:val="0"/>
        </w:rPr>
      </w:pPr>
      <w:r>
        <w:rPr>
          <w:rFonts w:cs="仿宋_GB2312" w:hint="eastAsia"/>
          <w:kern w:val="0"/>
        </w:rPr>
        <w:t>（三）所称监理单位是指具有合法监理资质的监理公司、监理事务所和秉承监理业务的科学研究及工程建设咨询单位；</w:t>
      </w:r>
    </w:p>
    <w:p w:rsidR="00CF5FF7" w14:paraId="6DF45A71" w14:textId="77777777">
      <w:pPr>
        <w:pStyle w:val="Heading3"/>
        <w:numPr>
          <w:ilvl w:val="0"/>
          <w:numId w:val="0"/>
        </w:numPr>
        <w:ind w:firstLine="640" w:firstLineChars="200"/>
        <w:rPr>
          <w:rFonts w:cs="仿宋_GB2312"/>
          <w:kern w:val="0"/>
        </w:rPr>
      </w:pPr>
      <w:r>
        <w:rPr>
          <w:rFonts w:cs="仿宋_GB2312" w:hint="eastAsia"/>
          <w:kern w:val="0"/>
        </w:rPr>
        <w:t>（四）所称设计单位是指具有合法设计资质的从事工程项目设计机构的总称。</w:t>
      </w:r>
    </w:p>
    <w:p w:rsidR="00CF5FF7" w14:paraId="523E87DA" w14:textId="77777777">
      <w:pPr>
        <w:ind w:firstLine="640"/>
      </w:pPr>
    </w:p>
    <w:p w:rsidR="00CF5FF7" w14:paraId="43EE9820" w14:textId="77777777">
      <w:pPr>
        <w:pStyle w:val="a0"/>
        <w:spacing w:line="560" w:lineRule="exact"/>
      </w:pPr>
      <w:r>
        <w:rPr>
          <w:rFonts w:hint="eastAsia"/>
        </w:rPr>
        <w:t>第三章  组织与职责</w:t>
      </w:r>
    </w:p>
    <w:p w:rsidR="00CF5FF7" w14:paraId="334EECFA" w14:textId="77777777">
      <w:pPr>
        <w:ind w:firstLine="640"/>
      </w:pPr>
    </w:p>
    <w:p w:rsidR="00CF5FF7" w14:paraId="75E5F521" w14:textId="77777777">
      <w:pPr>
        <w:pStyle w:val="Heading3"/>
        <w:ind w:left="0" w:firstLine="640" w:firstLineChars="200"/>
        <w:rPr>
          <w:rFonts w:cs="仿宋_GB2312"/>
          <w:kern w:val="0"/>
        </w:rPr>
        <w:sectPr w:rsidSect="00294A89">
          <w:headerReference w:type="even" r:id="rId26"/>
          <w:headerReference w:type="default" r:id="rId27"/>
          <w:footerReference w:type="even" r:id="rId28"/>
          <w:footerReference w:type="default" r:id="rId29"/>
          <w:headerReference w:type="first" r:id="rId30"/>
          <w:footerReference w:type="first" r:id="rId31"/>
          <w:type w:val="nextPage"/>
          <w:pgSz w:w="11906" w:h="16838"/>
          <w:pgMar w:top="2098" w:right="1531" w:bottom="1588" w:left="1588" w:header="851" w:footer="992" w:gutter="0"/>
          <w:pgNumType w:start="3"/>
          <w:cols w:space="425"/>
          <w:titlePg w:val="0"/>
          <w:docGrid w:type="lines" w:linePitch="312"/>
        </w:sectPr>
      </w:pPr>
      <w:r>
        <w:rPr>
          <w:rFonts w:cs="仿宋_GB2312" w:hint="eastAsia"/>
          <w:kern w:val="0"/>
        </w:rPr>
        <w:t>安全质量管理部门</w:t>
      </w:r>
    </w:p>
    <w:p w:rsidR="00CF5FF7" w14:paraId="11F9E9AE" w14:textId="77777777">
      <w:pPr>
        <w:pStyle w:val="Heading3"/>
        <w:numPr>
          <w:ilvl w:val="0"/>
          <w:numId w:val="0"/>
        </w:numPr>
        <w:ind w:firstLine="640" w:firstLineChars="200"/>
        <w:rPr>
          <w:rFonts w:cs="仿宋_GB2312"/>
          <w:kern w:val="0"/>
        </w:rPr>
      </w:pPr>
      <w:r>
        <w:rPr>
          <w:rFonts w:cs="仿宋_GB2312" w:hint="eastAsia"/>
          <w:kern w:val="0"/>
        </w:rPr>
        <w:t>（一）负责材料管理办法的制定，指导</w:t>
      </w:r>
      <w:r>
        <w:rPr>
          <w:rFonts w:cs="仿宋_GB2312" w:hint="eastAsia"/>
          <w:kern w:val="0"/>
        </w:rPr>
        <w:t>前海建投集团</w:t>
      </w:r>
      <w:r>
        <w:rPr>
          <w:rFonts w:cs="仿宋_GB2312" w:hint="eastAsia"/>
          <w:kern w:val="0"/>
        </w:rPr>
        <w:t>相关部门对材料的规范管理；</w:t>
      </w:r>
    </w:p>
    <w:p w:rsidR="00CF5FF7" w14:paraId="3B8660E6" w14:textId="77777777">
      <w:pPr>
        <w:pStyle w:val="Heading3"/>
        <w:numPr>
          <w:ilvl w:val="0"/>
          <w:numId w:val="0"/>
        </w:numPr>
        <w:ind w:firstLine="640" w:firstLineChars="200"/>
        <w:rPr>
          <w:rFonts w:cs="仿宋_GB2312"/>
          <w:kern w:val="0"/>
        </w:rPr>
      </w:pPr>
      <w:r>
        <w:rPr>
          <w:rFonts w:cs="仿宋_GB2312" w:hint="eastAsia"/>
          <w:kern w:val="0"/>
        </w:rPr>
        <w:t>（二）组织开展建设工程材料质量不定期检查及专项检查；</w:t>
      </w:r>
    </w:p>
    <w:p w:rsidR="00CF5FF7" w14:paraId="2D40233C" w14:textId="77777777">
      <w:pPr>
        <w:pStyle w:val="Heading3"/>
        <w:numPr>
          <w:ilvl w:val="0"/>
          <w:numId w:val="0"/>
        </w:numPr>
        <w:ind w:firstLine="640" w:firstLineChars="200"/>
        <w:rPr>
          <w:rFonts w:cs="仿宋_GB2312"/>
          <w:kern w:val="0"/>
        </w:rPr>
      </w:pPr>
      <w:r>
        <w:rPr>
          <w:rFonts w:cs="仿宋_GB2312" w:hint="eastAsia"/>
          <w:kern w:val="0"/>
        </w:rPr>
        <w:t>（三）组织第三方检测单位对建设工程材料进行监督抽检；</w:t>
      </w:r>
    </w:p>
    <w:p w:rsidR="00CF5FF7" w14:paraId="109479CF" w14:textId="77777777">
      <w:pPr>
        <w:pStyle w:val="Heading3"/>
        <w:numPr>
          <w:ilvl w:val="0"/>
          <w:numId w:val="0"/>
        </w:numPr>
        <w:ind w:firstLine="640" w:firstLineChars="200"/>
        <w:rPr>
          <w:rFonts w:cs="仿宋_GB2312"/>
          <w:kern w:val="0"/>
        </w:rPr>
      </w:pPr>
      <w:r>
        <w:rPr>
          <w:rFonts w:cs="仿宋_GB2312" w:hint="eastAsia"/>
          <w:kern w:val="0"/>
        </w:rPr>
        <w:t>（四）负责建设过程中材料（检测）重大质量问题和质量事故的调查；</w:t>
      </w:r>
    </w:p>
    <w:p w:rsidR="00CF5FF7" w14:paraId="2B11B8D7" w14:textId="44B817D8">
      <w:pPr>
        <w:pStyle w:val="Heading3"/>
        <w:numPr>
          <w:ilvl w:val="0"/>
          <w:numId w:val="0"/>
        </w:numPr>
        <w:ind w:firstLine="640" w:firstLineChars="200"/>
        <w:rPr>
          <w:rFonts w:cs="仿宋_GB2312"/>
          <w:kern w:val="0"/>
        </w:rPr>
      </w:pPr>
      <w:r>
        <w:rPr>
          <w:rFonts w:cs="仿宋_GB2312" w:hint="eastAsia"/>
          <w:kern w:val="0"/>
        </w:rPr>
        <w:t>（五）参与材料供应商的考察</w:t>
      </w:r>
      <w:r w:rsidR="009A18E7">
        <w:rPr>
          <w:rFonts w:cs="仿宋_GB2312" w:hint="eastAsia"/>
          <w:kern w:val="0"/>
        </w:rPr>
        <w:t>。</w:t>
      </w:r>
    </w:p>
    <w:p w:rsidR="00CF5FF7" w14:paraId="61ECE440" w14:textId="77777777">
      <w:pPr>
        <w:pStyle w:val="Heading3"/>
        <w:ind w:left="0" w:firstLine="640" w:firstLineChars="200"/>
        <w:rPr>
          <w:rFonts w:cs="仿宋_GB2312"/>
          <w:kern w:val="0"/>
        </w:rPr>
      </w:pPr>
      <w:r>
        <w:rPr>
          <w:rFonts w:cs="仿宋_GB2312" w:hint="eastAsia"/>
          <w:kern w:val="0"/>
        </w:rPr>
        <w:t>项目部</w:t>
      </w:r>
    </w:p>
    <w:p w:rsidR="00CF5FF7" w14:paraId="57FD446A" w14:textId="77777777">
      <w:pPr>
        <w:pStyle w:val="Heading3"/>
        <w:numPr>
          <w:ilvl w:val="0"/>
          <w:numId w:val="0"/>
        </w:numPr>
        <w:ind w:firstLine="640" w:firstLineChars="200"/>
        <w:rPr>
          <w:rFonts w:cs="仿宋_GB2312"/>
          <w:kern w:val="0"/>
        </w:rPr>
      </w:pPr>
      <w:r>
        <w:rPr>
          <w:rFonts w:cs="仿宋_GB2312" w:hint="eastAsia"/>
          <w:kern w:val="0"/>
        </w:rPr>
        <w:t>（一）</w:t>
      </w:r>
      <w:r>
        <w:rPr>
          <w:rFonts w:cs="仿宋_GB2312" w:hint="eastAsia"/>
          <w:kern w:val="0"/>
        </w:rPr>
        <w:t>负责甲供材料</w:t>
      </w:r>
      <w:r>
        <w:rPr>
          <w:rFonts w:cs="仿宋_GB2312" w:hint="eastAsia"/>
          <w:kern w:val="0"/>
        </w:rPr>
        <w:t>试验检测及各类验收等工作；</w:t>
      </w:r>
    </w:p>
    <w:p w:rsidR="00CF5FF7" w14:paraId="2A367631" w14:textId="4A72ED5A">
      <w:pPr>
        <w:pStyle w:val="Heading3"/>
        <w:numPr>
          <w:ilvl w:val="0"/>
          <w:numId w:val="0"/>
        </w:numPr>
        <w:ind w:firstLine="640" w:firstLineChars="200"/>
        <w:rPr>
          <w:rFonts w:cs="仿宋_GB2312"/>
          <w:kern w:val="0"/>
        </w:rPr>
      </w:pPr>
      <w:r>
        <w:rPr>
          <w:rFonts w:cs="仿宋_GB2312" w:hint="eastAsia"/>
          <w:kern w:val="0"/>
        </w:rPr>
        <w:t>（二）负责组织甲控（乙购）材料供应商考察，负责甲控（乙购）一类材料</w:t>
      </w:r>
      <w:r w:rsidR="008B3EA1">
        <w:rPr>
          <w:rFonts w:cs="仿宋_GB2312" w:hint="eastAsia"/>
          <w:kern w:val="0"/>
        </w:rPr>
        <w:t>（品牌库外）</w:t>
      </w:r>
      <w:r>
        <w:rPr>
          <w:rFonts w:cs="仿宋_GB2312" w:hint="eastAsia"/>
          <w:kern w:val="0"/>
        </w:rPr>
        <w:t>供应商的审核，负责</w:t>
      </w:r>
      <w:r w:rsidR="008B3EA1">
        <w:rPr>
          <w:rFonts w:cs="仿宋_GB2312" w:hint="eastAsia"/>
          <w:kern w:val="0"/>
        </w:rPr>
        <w:t>甲控乙购</w:t>
      </w:r>
      <w:r w:rsidR="008B3EA1">
        <w:rPr>
          <w:rFonts w:cs="仿宋_GB2312" w:hint="eastAsia"/>
          <w:kern w:val="0"/>
        </w:rPr>
        <w:t>一类（品牌库内）及</w:t>
      </w:r>
      <w:r>
        <w:rPr>
          <w:rFonts w:cs="仿宋_GB2312" w:hint="eastAsia"/>
          <w:kern w:val="0"/>
        </w:rPr>
        <w:t>甲控（乙购）二类材料供应商的审批；</w:t>
      </w:r>
      <w:r w:rsidR="008B3EA1">
        <w:rPr>
          <w:rFonts w:cs="仿宋_GB2312"/>
          <w:kern w:val="0"/>
        </w:rPr>
        <w:t xml:space="preserve"> </w:t>
      </w:r>
    </w:p>
    <w:p w:rsidR="00CF5FF7" w14:paraId="06610DEC" w14:textId="77777777">
      <w:pPr>
        <w:pStyle w:val="Heading3"/>
        <w:numPr>
          <w:ilvl w:val="0"/>
          <w:numId w:val="0"/>
        </w:numPr>
        <w:ind w:firstLine="640" w:firstLineChars="200"/>
        <w:rPr>
          <w:rFonts w:cs="仿宋_GB2312"/>
          <w:kern w:val="0"/>
        </w:rPr>
      </w:pPr>
      <w:r>
        <w:rPr>
          <w:rFonts w:cs="仿宋_GB2312" w:hint="eastAsia"/>
          <w:kern w:val="0"/>
        </w:rPr>
        <w:t>（三）不定期对供应商、施工单位及监理单位材料管理行为的抽查；</w:t>
      </w:r>
    </w:p>
    <w:p w:rsidR="00CF5FF7" w14:paraId="545FBB39" w14:textId="77777777">
      <w:pPr>
        <w:pStyle w:val="Heading3"/>
        <w:numPr>
          <w:ilvl w:val="0"/>
          <w:numId w:val="0"/>
        </w:numPr>
        <w:ind w:firstLine="640" w:firstLineChars="200"/>
        <w:rPr>
          <w:rFonts w:cs="仿宋_GB2312"/>
          <w:kern w:val="0"/>
        </w:rPr>
      </w:pPr>
      <w:r>
        <w:rPr>
          <w:rFonts w:cs="仿宋_GB2312" w:hint="eastAsia"/>
          <w:kern w:val="0"/>
        </w:rPr>
        <w:t>（四）配合建设过程中材料（检测）重大质量问题和质量事故的调查。</w:t>
      </w:r>
    </w:p>
    <w:p w:rsidR="00CF5FF7" w14:paraId="779E6527" w14:textId="77777777">
      <w:pPr>
        <w:pStyle w:val="Heading3"/>
        <w:ind w:left="0" w:firstLine="640" w:firstLineChars="200"/>
        <w:rPr>
          <w:rFonts w:cs="仿宋_GB2312"/>
          <w:kern w:val="0"/>
        </w:rPr>
      </w:pPr>
      <w:r>
        <w:rPr>
          <w:rFonts w:cs="仿宋_GB2312" w:hint="eastAsia"/>
          <w:kern w:val="0"/>
        </w:rPr>
        <w:t>成本采购部门（含</w:t>
      </w:r>
      <w:r>
        <w:rPr>
          <w:rFonts w:cs="仿宋_GB2312" w:hint="eastAsia"/>
          <w:kern w:val="0"/>
        </w:rPr>
        <w:t>前海建投集团</w:t>
      </w:r>
      <w:r>
        <w:rPr>
          <w:rFonts w:cs="仿宋_GB2312" w:hint="eastAsia"/>
          <w:kern w:val="0"/>
        </w:rPr>
        <w:t>及全资子公司成本采购部门）</w:t>
      </w:r>
    </w:p>
    <w:p w:rsidR="00CF5FF7" w14:paraId="129B7525" w14:textId="77777777">
      <w:pPr>
        <w:pStyle w:val="Heading3"/>
        <w:numPr>
          <w:ilvl w:val="0"/>
          <w:numId w:val="0"/>
        </w:numPr>
        <w:ind w:firstLine="640" w:firstLineChars="200"/>
        <w:rPr>
          <w:rFonts w:cs="仿宋_GB2312"/>
          <w:kern w:val="0"/>
        </w:rPr>
      </w:pPr>
      <w:r>
        <w:rPr>
          <w:rFonts w:cs="仿宋_GB2312" w:hint="eastAsia"/>
          <w:kern w:val="0"/>
        </w:rPr>
        <w:t>（一）负责品牌库内合格供应商名录的建立、动态管理；</w:t>
      </w:r>
    </w:p>
    <w:p w:rsidR="00CF5FF7" w14:paraId="70E9B62C" w14:textId="77777777">
      <w:pPr>
        <w:pStyle w:val="Heading3"/>
        <w:numPr>
          <w:ilvl w:val="0"/>
          <w:numId w:val="0"/>
        </w:numPr>
        <w:ind w:firstLine="640" w:firstLineChars="200"/>
        <w:rPr>
          <w:rFonts w:cs="仿宋_GB2312"/>
          <w:kern w:val="0"/>
        </w:rPr>
      </w:pPr>
      <w:r>
        <w:rPr>
          <w:rFonts w:cs="仿宋_GB2312" w:hint="eastAsia"/>
          <w:kern w:val="0"/>
        </w:rPr>
        <w:t>（二）</w:t>
      </w:r>
      <w:r>
        <w:rPr>
          <w:rFonts w:cs="仿宋_GB2312" w:hint="eastAsia"/>
          <w:kern w:val="0"/>
        </w:rPr>
        <w:t>负责甲供材料</w:t>
      </w:r>
      <w:r>
        <w:rPr>
          <w:rFonts w:cs="仿宋_GB2312" w:hint="eastAsia"/>
          <w:kern w:val="0"/>
        </w:rPr>
        <w:t>供应商的招标管理；</w:t>
      </w:r>
    </w:p>
    <w:p w:rsidR="00CF5FF7" w14:paraId="50FEBCDB" w14:textId="77777777">
      <w:pPr>
        <w:pStyle w:val="Heading3"/>
        <w:numPr>
          <w:ilvl w:val="0"/>
          <w:numId w:val="0"/>
        </w:numPr>
        <w:ind w:firstLine="640" w:firstLineChars="200"/>
        <w:rPr>
          <w:rFonts w:cs="仿宋_GB2312"/>
          <w:kern w:val="0"/>
        </w:rPr>
      </w:pPr>
      <w:r>
        <w:rPr>
          <w:rFonts w:cs="仿宋_GB2312" w:hint="eastAsia"/>
          <w:kern w:val="0"/>
        </w:rPr>
        <w:t>（三）负责合同的制定；</w:t>
      </w:r>
    </w:p>
    <w:p w:rsidR="00CF5FF7" w14:paraId="579FF599" w14:textId="77777777">
      <w:pPr>
        <w:pStyle w:val="Heading3"/>
        <w:numPr>
          <w:ilvl w:val="0"/>
          <w:numId w:val="0"/>
        </w:numPr>
        <w:ind w:firstLine="640" w:firstLineChars="200"/>
        <w:rPr>
          <w:rFonts w:cs="仿宋_GB2312"/>
          <w:kern w:val="0"/>
        </w:rPr>
        <w:sectPr w:rsidSect="00294A89">
          <w:headerReference w:type="even" r:id="rId32"/>
          <w:headerReference w:type="default" r:id="rId33"/>
          <w:footerReference w:type="even" r:id="rId34"/>
          <w:footerReference w:type="default" r:id="rId35"/>
          <w:headerReference w:type="first" r:id="rId36"/>
          <w:footerReference w:type="first" r:id="rId37"/>
          <w:type w:val="nextPage"/>
          <w:pgSz w:w="11906" w:h="16838"/>
          <w:pgMar w:top="2098" w:right="1531" w:bottom="1588" w:left="1588" w:header="851" w:footer="992" w:gutter="0"/>
          <w:pgNumType w:start="4"/>
          <w:cols w:space="425"/>
          <w:titlePg w:val="0"/>
          <w:docGrid w:type="lines" w:linePitch="312"/>
        </w:sectPr>
      </w:pPr>
      <w:r>
        <w:rPr>
          <w:rFonts w:cs="仿宋_GB2312" w:hint="eastAsia"/>
          <w:kern w:val="0"/>
        </w:rPr>
        <w:t>（四）参与材料供应商的考察。</w:t>
      </w:r>
    </w:p>
    <w:p w:rsidR="00CF5FF7" w14:paraId="2E9DD8D5" w14:textId="77777777">
      <w:pPr>
        <w:pStyle w:val="Heading3"/>
        <w:ind w:left="0" w:firstLine="640" w:firstLineChars="200"/>
        <w:rPr>
          <w:rFonts w:cs="仿宋_GB2312"/>
          <w:kern w:val="0"/>
        </w:rPr>
      </w:pPr>
      <w:r>
        <w:rPr>
          <w:rFonts w:cs="仿宋_GB2312" w:hint="eastAsia"/>
          <w:kern w:val="0"/>
        </w:rPr>
        <w:t>财务管理部门</w:t>
      </w:r>
    </w:p>
    <w:p w:rsidR="00CF5FF7" w14:paraId="78942C95" w14:textId="77777777">
      <w:pPr>
        <w:pStyle w:val="Heading3"/>
        <w:numPr>
          <w:ilvl w:val="0"/>
          <w:numId w:val="0"/>
        </w:numPr>
        <w:ind w:firstLine="640" w:firstLineChars="200"/>
        <w:rPr>
          <w:rFonts w:cs="仿宋_GB2312"/>
          <w:kern w:val="0"/>
        </w:rPr>
      </w:pPr>
      <w:r>
        <w:rPr>
          <w:rFonts w:cs="仿宋_GB2312" w:hint="eastAsia"/>
          <w:kern w:val="0"/>
        </w:rPr>
        <w:t>（一）负责合同支付条款的审核；</w:t>
      </w:r>
    </w:p>
    <w:p w:rsidR="00CF5FF7" w14:paraId="677F3BB9" w14:textId="77777777">
      <w:pPr>
        <w:pStyle w:val="Heading3"/>
        <w:numPr>
          <w:ilvl w:val="0"/>
          <w:numId w:val="0"/>
        </w:numPr>
        <w:ind w:firstLine="640" w:firstLineChars="200"/>
        <w:rPr>
          <w:rFonts w:cs="仿宋_GB2312"/>
          <w:kern w:val="0"/>
        </w:rPr>
      </w:pPr>
      <w:r>
        <w:rPr>
          <w:rFonts w:cs="仿宋_GB2312" w:hint="eastAsia"/>
          <w:kern w:val="0"/>
        </w:rPr>
        <w:t>（二）负责材料款的按时支付。</w:t>
      </w:r>
    </w:p>
    <w:p w:rsidR="00CF5FF7" w14:paraId="1723221E" w14:textId="77777777">
      <w:pPr>
        <w:pStyle w:val="Heading3"/>
        <w:ind w:left="0" w:firstLine="640" w:firstLineChars="200"/>
        <w:rPr>
          <w:rFonts w:cs="仿宋_GB2312"/>
          <w:kern w:val="0"/>
        </w:rPr>
      </w:pPr>
      <w:r>
        <w:rPr>
          <w:rFonts w:cs="仿宋_GB2312" w:hint="eastAsia"/>
          <w:kern w:val="0"/>
        </w:rPr>
        <w:t>相关单位</w:t>
      </w:r>
    </w:p>
    <w:p w:rsidR="00CF5FF7" w14:paraId="39E0A0AE" w14:textId="77777777">
      <w:pPr>
        <w:pStyle w:val="Heading3"/>
        <w:numPr>
          <w:ilvl w:val="0"/>
          <w:numId w:val="0"/>
        </w:numPr>
        <w:ind w:firstLine="640" w:firstLineChars="200"/>
        <w:rPr>
          <w:rFonts w:cs="仿宋_GB2312"/>
          <w:kern w:val="0"/>
        </w:rPr>
      </w:pPr>
      <w:r>
        <w:rPr>
          <w:rFonts w:cs="仿宋_GB2312" w:hint="eastAsia"/>
          <w:kern w:val="0"/>
        </w:rPr>
        <w:t>（一）设计单位必须按照工程建设强制性标准进行设计，设计文件必须注明材料规格、性能等技术指标，优先选用技术成熟的材料，设计单位对其设计产品及技术参数负责。</w:t>
      </w:r>
    </w:p>
    <w:p w:rsidR="00CF5FF7" w14:paraId="79810D7F" w14:textId="77777777">
      <w:pPr>
        <w:pStyle w:val="Heading3"/>
        <w:numPr>
          <w:ilvl w:val="0"/>
          <w:numId w:val="0"/>
        </w:numPr>
        <w:ind w:firstLine="640" w:firstLineChars="200"/>
        <w:rPr>
          <w:rFonts w:cs="仿宋_GB2312"/>
          <w:kern w:val="0"/>
        </w:rPr>
      </w:pPr>
      <w:r>
        <w:rPr>
          <w:rFonts w:cs="仿宋_GB2312" w:hint="eastAsia"/>
          <w:kern w:val="0"/>
        </w:rPr>
        <w:t>（二）供应商对其供应材料的质量负责。所供应的材料质量应当符合国家标准、行业标准、深圳市标准、设计文件和合同规定，供货时必须提供必要的产品合格证明材料和质量证明材料。</w:t>
      </w:r>
    </w:p>
    <w:p w:rsidR="00CF5FF7" w14:paraId="66EFBC9E" w14:textId="77777777">
      <w:pPr>
        <w:pStyle w:val="Heading3"/>
        <w:numPr>
          <w:ilvl w:val="0"/>
          <w:numId w:val="0"/>
        </w:numPr>
        <w:ind w:firstLine="640" w:firstLineChars="200"/>
        <w:rPr>
          <w:rFonts w:cs="仿宋_GB2312"/>
          <w:kern w:val="0"/>
        </w:rPr>
      </w:pPr>
      <w:r>
        <w:rPr>
          <w:rFonts w:cs="仿宋_GB2312" w:hint="eastAsia"/>
          <w:kern w:val="0"/>
        </w:rPr>
        <w:t>（三）施工单位应当采购符合设计要求的材料，设计对配套材料有要求的，应当采购符合设计要求的配套材料。施工单位应当建立完整的材料管理制度和试验检测制度，配备足够的专业技术人员，按设计要求规范材料检测和使用，并制定详细的</w:t>
      </w:r>
      <w:r>
        <w:rPr>
          <w:rFonts w:cs="仿宋_GB2312" w:hint="eastAsia"/>
          <w:kern w:val="0"/>
        </w:rPr>
        <w:t>材料台</w:t>
      </w:r>
      <w:r>
        <w:rPr>
          <w:rFonts w:cs="仿宋_GB2312" w:hint="eastAsia"/>
          <w:kern w:val="0"/>
        </w:rPr>
        <w:t>账。</w:t>
      </w:r>
    </w:p>
    <w:p w:rsidR="00CF5FF7" w14:paraId="1623E06D" w14:textId="77777777">
      <w:pPr>
        <w:pStyle w:val="Heading3"/>
        <w:numPr>
          <w:ilvl w:val="0"/>
          <w:numId w:val="0"/>
        </w:numPr>
        <w:ind w:firstLine="640" w:firstLineChars="200"/>
        <w:rPr>
          <w:rFonts w:cs="仿宋_GB2312"/>
          <w:kern w:val="0"/>
        </w:rPr>
        <w:sectPr w:rsidSect="00294A89">
          <w:headerReference w:type="even" r:id="rId38"/>
          <w:headerReference w:type="default" r:id="rId39"/>
          <w:footerReference w:type="even" r:id="rId40"/>
          <w:footerReference w:type="default" r:id="rId41"/>
          <w:headerReference w:type="first" r:id="rId42"/>
          <w:footerReference w:type="first" r:id="rId43"/>
          <w:type w:val="nextPage"/>
          <w:pgSz w:w="11906" w:h="16838"/>
          <w:pgMar w:top="2098" w:right="1531" w:bottom="1588" w:left="1588" w:header="851" w:footer="992" w:gutter="0"/>
          <w:pgNumType w:start="5"/>
          <w:cols w:space="425"/>
          <w:titlePg w:val="0"/>
          <w:docGrid w:type="lines" w:linePitch="312"/>
        </w:sectPr>
      </w:pPr>
      <w:r>
        <w:rPr>
          <w:rFonts w:cs="仿宋_GB2312" w:hint="eastAsia"/>
          <w:kern w:val="0"/>
        </w:rPr>
        <w:t>（四）监理单位负责材料的质量监理，督促施工单位或供应商在使用前按照规范要求进行见证检测，配合项目部</w:t>
      </w:r>
      <w:r>
        <w:rPr>
          <w:rFonts w:cs="仿宋_GB2312" w:hint="eastAsia"/>
          <w:kern w:val="0"/>
        </w:rPr>
        <w:t>进行甲供材料</w:t>
      </w:r>
      <w:r>
        <w:rPr>
          <w:rFonts w:cs="仿宋_GB2312" w:hint="eastAsia"/>
          <w:kern w:val="0"/>
        </w:rPr>
        <w:t>的监造、出厂和到场验收，负责甲控（乙购）材料的监造、出厂和到场验收，负责三类（乙购）材料供应商的审批；不定期对施工单位或供应</w:t>
      </w:r>
      <w:r>
        <w:rPr>
          <w:rFonts w:cs="仿宋_GB2312" w:hint="eastAsia"/>
          <w:kern w:val="0"/>
        </w:rPr>
        <w:t>商材料</w:t>
      </w:r>
      <w:r>
        <w:rPr>
          <w:rFonts w:cs="仿宋_GB2312" w:hint="eastAsia"/>
          <w:kern w:val="0"/>
        </w:rPr>
        <w:t>管理行为进行抽查，及时制止施工单位或供应商将不合格材料应用于建设工程。</w:t>
      </w:r>
    </w:p>
    <w:p w:rsidR="00CF5FF7" w14:paraId="46D53D86" w14:textId="77777777">
      <w:pPr>
        <w:pStyle w:val="a0"/>
        <w:spacing w:line="560" w:lineRule="exact"/>
      </w:pPr>
      <w:r>
        <w:rPr>
          <w:rFonts w:hint="eastAsia"/>
        </w:rPr>
        <w:t>第四章  材料管理基本要求</w:t>
      </w:r>
    </w:p>
    <w:p w:rsidR="00CF5FF7" w14:paraId="7DA6278D" w14:textId="77777777">
      <w:pPr>
        <w:ind w:firstLine="640"/>
      </w:pPr>
    </w:p>
    <w:p w:rsidR="00CF5FF7" w14:paraId="6A483F4F" w14:textId="77777777">
      <w:pPr>
        <w:pStyle w:val="Heading3"/>
        <w:ind w:left="0" w:firstLine="640" w:firstLineChars="200"/>
        <w:rPr>
          <w:rFonts w:cs="仿宋_GB2312"/>
          <w:kern w:val="0"/>
        </w:rPr>
      </w:pPr>
      <w:r>
        <w:rPr>
          <w:rFonts w:cs="仿宋_GB2312" w:hint="eastAsia"/>
          <w:kern w:val="0"/>
        </w:rPr>
        <w:t>所有材料必须严格遵守先检测后使用原则。材料必须严格按照工程质量管理法规和材料质量检测规范、标准进行检测。未经检测合格的，不得使用；检测不合格的，应在监理见证下退场处理，严禁将不合格的材料用于建设工程。</w:t>
      </w:r>
    </w:p>
    <w:p w:rsidR="00CF5FF7" w14:paraId="70B1B9E6" w14:textId="77777777">
      <w:pPr>
        <w:pStyle w:val="Heading3"/>
        <w:autoSpaceDE w:val="0"/>
        <w:autoSpaceDN w:val="0"/>
        <w:adjustRightInd w:val="0"/>
        <w:ind w:left="0" w:firstLine="640" w:firstLineChars="200"/>
        <w:jc w:val="left"/>
        <w:rPr>
          <w:rFonts w:cs="仿宋_GB2312"/>
          <w:kern w:val="0"/>
        </w:rPr>
      </w:pPr>
      <w:r>
        <w:rPr>
          <w:rFonts w:cs="仿宋_GB2312" w:hint="eastAsia"/>
          <w:kern w:val="0"/>
        </w:rPr>
        <w:t>项目部需将</w:t>
      </w:r>
      <w:r>
        <w:rPr>
          <w:rFonts w:cs="仿宋_GB2312" w:hint="eastAsia"/>
          <w:kern w:val="0"/>
        </w:rPr>
        <w:t>材料管理纳入工程建设的统筹管理范围。项目部负责组织对材料技术规格书、技术要求、技术指标的审定。选择工程建设所需的主要产品和主要材料时，要以采用国产、节能和有利于环境保护的产品为基本原则。确需采用进口材料的，设计中应说明必要性，并按国家相关规定审核，报经分管领导批准。</w:t>
      </w:r>
    </w:p>
    <w:p w:rsidR="00CF5FF7" w14:paraId="6D35A496" w14:textId="392DC2FE">
      <w:pPr>
        <w:pStyle w:val="Heading3"/>
        <w:ind w:left="0" w:firstLine="640" w:firstLineChars="200"/>
        <w:rPr>
          <w:rFonts w:cs="仿宋_GB2312"/>
          <w:kern w:val="0"/>
        </w:rPr>
      </w:pPr>
      <w:r>
        <w:rPr>
          <w:rFonts w:cs="仿宋_GB2312" w:hint="eastAsia"/>
          <w:kern w:val="0"/>
        </w:rPr>
        <w:t>根据“谁管项目、谁管材料”的原则，项目部作为建设工程合同执行单位，</w:t>
      </w:r>
      <w:r>
        <w:rPr>
          <w:rFonts w:cs="仿宋_GB2312" w:hint="eastAsia"/>
          <w:kern w:val="0"/>
        </w:rPr>
        <w:t>负责甲供材料</w:t>
      </w:r>
      <w:r>
        <w:rPr>
          <w:rFonts w:cs="仿宋_GB2312" w:hint="eastAsia"/>
          <w:kern w:val="0"/>
        </w:rPr>
        <w:t>的质量管理，对甲控（乙购）材料进行审核、审批，对甲供、甲控（乙购）材料供应商、施工单位和监理单位的材料管理行为进行监督管理、检查，检查施工单位材料管理、监理单位审批程序，掌握材料质量状况。</w:t>
      </w:r>
    </w:p>
    <w:p w:rsidR="00CF5FF7" w14:paraId="3DF80E65" w14:textId="77777777">
      <w:pPr>
        <w:pStyle w:val="Heading3"/>
        <w:ind w:left="0" w:firstLine="640" w:firstLineChars="200"/>
        <w:rPr>
          <w:rFonts w:cs="仿宋_GB2312"/>
          <w:kern w:val="0"/>
        </w:rPr>
        <w:sectPr w:rsidSect="00294A89">
          <w:headerReference w:type="even" r:id="rId44"/>
          <w:headerReference w:type="default" r:id="rId45"/>
          <w:footerReference w:type="even" r:id="rId46"/>
          <w:footerReference w:type="default" r:id="rId47"/>
          <w:headerReference w:type="first" r:id="rId48"/>
          <w:footerReference w:type="first" r:id="rId49"/>
          <w:type w:val="nextPage"/>
          <w:pgSz w:w="11906" w:h="16838"/>
          <w:pgMar w:top="2098" w:right="1531" w:bottom="1588" w:left="1588" w:header="851" w:footer="992" w:gutter="0"/>
          <w:pgNumType w:start="6"/>
          <w:cols w:space="425"/>
          <w:titlePg w:val="0"/>
          <w:docGrid w:type="lines" w:linePitch="312"/>
        </w:sectPr>
      </w:pPr>
      <w:r>
        <w:rPr>
          <w:rFonts w:cs="仿宋_GB2312" w:hint="eastAsia"/>
          <w:kern w:val="0"/>
        </w:rPr>
        <w:t>能进行封样留存的材料应实行样品申报制度，即符合条件的甲供、甲控（乙购）材料分别在招标阶段、申报批准前由供应商或施工单位向监理单位提供一式两份的样品，并附批次质量检测报告，经项目部、监理单位、设计单位、施工</w:t>
      </w:r>
    </w:p>
    <w:p w:rsidR="00CF5FF7" w14:textId="77777777">
      <w:pPr>
        <w:pStyle w:val="Heading3"/>
        <w:numPr>
          <w:ilvl w:val="0"/>
          <w:numId w:val="0"/>
        </w:numPr>
        <w:ind w:left="1277" w:firstLine="640" w:firstLineChars="200"/>
        <w:rPr>
          <w:rFonts w:cs="仿宋_GB2312"/>
          <w:kern w:val="0"/>
        </w:rPr>
      </w:pPr>
      <w:r>
        <w:rPr>
          <w:rFonts w:cs="仿宋_GB2312" w:hint="eastAsia"/>
          <w:kern w:val="0"/>
        </w:rPr>
        <w:t>单位、供应商共同见证封样后，由监理单位负责保管，保管期限至该材料的单位工程验收完成，作为核实材料的真实性及出现质量事故的追溯依据。无法实现封样的大型设备，必须在各方见证时留下实物的影像和图片作为依据。</w:t>
      </w:r>
    </w:p>
    <w:p w:rsidR="00CF5FF7" w14:paraId="704D14ED" w14:textId="13E0E42D">
      <w:pPr>
        <w:pStyle w:val="Heading3"/>
        <w:ind w:left="0" w:firstLine="640" w:firstLineChars="200"/>
        <w:rPr>
          <w:rFonts w:cs="仿宋_GB2312"/>
          <w:b/>
          <w:kern w:val="0"/>
        </w:rPr>
      </w:pPr>
      <w:r>
        <w:rPr>
          <w:rFonts w:hAnsi="宋体" w:hint="eastAsia"/>
        </w:rPr>
        <w:t>材料在品牌确定后</w:t>
      </w:r>
      <w:r w:rsidR="0054787C">
        <w:rPr>
          <w:rFonts w:hAnsi="宋体" w:hint="eastAsia"/>
        </w:rPr>
        <w:t>如</w:t>
      </w:r>
      <w:r>
        <w:rPr>
          <w:rFonts w:hAnsi="宋体" w:hint="eastAsia"/>
        </w:rPr>
        <w:t>规格型号发生变更，应按《工程变更管理办法》、《自有投资项目工程变更涉及材料或设备更换事项细则》进行工程变更程序申报；</w:t>
      </w:r>
      <w:r w:rsidR="00F734AA">
        <w:rPr>
          <w:rFonts w:hAnsi="宋体" w:hint="eastAsia"/>
        </w:rPr>
        <w:t>考虑到能源公司材料的特殊性，相应事项</w:t>
      </w:r>
      <w:r>
        <w:rPr>
          <w:rFonts w:hAnsi="宋体" w:hint="eastAsia"/>
        </w:rPr>
        <w:t>按照其自行发布</w:t>
      </w:r>
      <w:r w:rsidR="00F734AA">
        <w:rPr>
          <w:rFonts w:hAnsi="宋体" w:hint="eastAsia"/>
        </w:rPr>
        <w:t>的</w:t>
      </w:r>
      <w:r w:rsidR="00F734AA">
        <w:t>《建设工程材料设备管理指引》</w:t>
      </w:r>
      <w:r>
        <w:rPr>
          <w:rFonts w:hAnsi="宋体" w:hint="eastAsia"/>
        </w:rPr>
        <w:t>执行。如施工单位需要使用新型材料（指新研制成功或新生产出来的未曾在工程上使用过的材料），应向项目部提出书面申请并附上必要的证明材料，项目部按规定程序报请</w:t>
      </w:r>
      <w:r>
        <w:rPr>
          <w:rFonts w:hAnsi="宋体" w:hint="eastAsia"/>
        </w:rPr>
        <w:t>前海建投集团</w:t>
      </w:r>
      <w:r>
        <w:rPr>
          <w:rFonts w:hAnsi="宋体" w:hint="eastAsia"/>
        </w:rPr>
        <w:t>批准，其中属于甲控（乙购）一类材料（需附专家论证材料，论证内容包括材料特性、关键技术指标、使用优点等）需报招标委员会批准，属于甲控（乙购）二类材料需报分管领导批准，未经批准的新型材料一律不得使用。</w:t>
      </w:r>
    </w:p>
    <w:p w:rsidR="00CF5FF7" w14:paraId="5828B8F0" w14:textId="77777777">
      <w:pPr>
        <w:pStyle w:val="Heading3"/>
        <w:ind w:left="0" w:firstLine="640" w:firstLineChars="200"/>
        <w:rPr>
          <w:rFonts w:cs="仿宋_GB2312"/>
          <w:kern w:val="0"/>
        </w:rPr>
      </w:pPr>
      <w:r>
        <w:rPr>
          <w:rFonts w:cs="仿宋_GB2312" w:hint="eastAsia"/>
          <w:kern w:val="0"/>
        </w:rPr>
        <w:t>任何单位（部门）和个人不得明示或者暗示施工单位使用不合格的材料，且不得使用政府建设主管部门、质量技术监督部门或其他相关部门禁止使用的材料。</w:t>
      </w:r>
    </w:p>
    <w:p w:rsidR="00CF5FF7" w14:paraId="2D4BBE4F" w14:textId="77777777">
      <w:pPr>
        <w:ind w:firstLine="640"/>
      </w:pPr>
    </w:p>
    <w:p w:rsidR="00CF5FF7" w14:paraId="4DD09E7C" w14:textId="5B00D6D7">
      <w:pPr>
        <w:pStyle w:val="a0"/>
        <w:spacing w:line="560" w:lineRule="exact"/>
      </w:pPr>
      <w:bookmarkStart w:id="4" w:name="_Toc432432162"/>
      <w:bookmarkStart w:id="5" w:name="_Toc446691955"/>
      <w:bookmarkStart w:id="6" w:name="_Toc460832662"/>
      <w:r>
        <w:rPr>
          <w:rFonts w:hint="eastAsia"/>
        </w:rPr>
        <w:t xml:space="preserve">第五章  </w:t>
      </w:r>
      <w:bookmarkEnd w:id="4"/>
      <w:bookmarkEnd w:id="5"/>
      <w:r>
        <w:rPr>
          <w:rFonts w:hint="eastAsia"/>
        </w:rPr>
        <w:t>甲供材料</w:t>
      </w:r>
      <w:r>
        <w:rPr>
          <w:rFonts w:hint="eastAsia"/>
        </w:rPr>
        <w:t>管理</w:t>
      </w:r>
      <w:bookmarkEnd w:id="6"/>
      <w:r>
        <w:t xml:space="preserve"> </w:t>
      </w:r>
    </w:p>
    <w:p w:rsidR="00CF5FF7" w14:paraId="575CE751" w14:textId="77777777">
      <w:pPr>
        <w:ind w:firstLine="640"/>
      </w:pPr>
    </w:p>
    <w:p w:rsidR="00CF5FF7" w14:paraId="2222FA53" w14:textId="77777777">
      <w:pPr>
        <w:pStyle w:val="Heading3"/>
        <w:ind w:left="0" w:firstLine="640" w:firstLineChars="200"/>
        <w:rPr>
          <w:rFonts w:cs="仿宋_GB2312"/>
          <w:kern w:val="0"/>
        </w:rPr>
        <w:sectPr w:rsidSect="00294A89">
          <w:headerReference w:type="even" r:id="rId50"/>
          <w:headerReference w:type="default" r:id="rId51"/>
          <w:footerReference w:type="even" r:id="rId52"/>
          <w:footerReference w:type="default" r:id="rId53"/>
          <w:headerReference w:type="first" r:id="rId54"/>
          <w:footerReference w:type="first" r:id="rId55"/>
          <w:type w:val="nextPage"/>
          <w:pgSz w:w="11906" w:h="16838"/>
          <w:pgMar w:top="2098" w:right="1531" w:bottom="1588" w:left="1588" w:header="851" w:footer="992" w:gutter="0"/>
          <w:pgNumType w:start="7"/>
          <w:cols w:space="425"/>
          <w:titlePg w:val="0"/>
          <w:docGrid w:type="lines" w:linePitch="312"/>
        </w:sectPr>
      </w:pPr>
      <w:r>
        <w:rPr>
          <w:rFonts w:cs="仿宋_GB2312" w:hint="eastAsia"/>
          <w:kern w:val="0"/>
        </w:rPr>
        <w:t>为了</w:t>
      </w:r>
      <w:r>
        <w:rPr>
          <w:rFonts w:cs="仿宋_GB2312" w:hint="eastAsia"/>
          <w:kern w:val="0"/>
        </w:rPr>
        <w:t>强化甲供材料</w:t>
      </w:r>
      <w:r>
        <w:rPr>
          <w:rFonts w:cs="仿宋_GB2312" w:hint="eastAsia"/>
          <w:kern w:val="0"/>
        </w:rPr>
        <w:t>质量管理，项目部应根据需要</w:t>
      </w:r>
    </w:p>
    <w:p w:rsidR="00CF5FF7" w14:textId="77777777">
      <w:pPr>
        <w:pStyle w:val="Heading3"/>
        <w:numPr>
          <w:ilvl w:val="0"/>
          <w:numId w:val="0"/>
        </w:numPr>
        <w:ind w:left="1277" w:firstLine="640" w:firstLineChars="200"/>
        <w:rPr>
          <w:rFonts w:cs="仿宋_GB2312"/>
          <w:kern w:val="0"/>
        </w:rPr>
      </w:pPr>
      <w:r>
        <w:rPr>
          <w:rFonts w:cs="仿宋_GB2312" w:hint="eastAsia"/>
          <w:kern w:val="0"/>
        </w:rPr>
        <w:t>组织安全质量管理部门、成本采购部门、设计单位、监理单位及施工单位到材料的生产场地进行实地考察，重点检查产能分布情况、技术保证措施和质量管理体系情况，并委派监理单位派专人驻厂监造，供应商应予以配合。</w:t>
      </w:r>
    </w:p>
    <w:p w:rsidR="00CF5FF7" w14:paraId="32EA0B35" w14:textId="77777777">
      <w:pPr>
        <w:pStyle w:val="Heading3"/>
        <w:ind w:left="0" w:firstLine="640" w:firstLineChars="200"/>
        <w:rPr>
          <w:rFonts w:cs="仿宋_GB2312"/>
          <w:kern w:val="0"/>
        </w:rPr>
      </w:pPr>
      <w:r>
        <w:rPr>
          <w:rFonts w:cs="仿宋_GB2312" w:hint="eastAsia"/>
          <w:kern w:val="0"/>
        </w:rPr>
        <w:t>施工单位应在施工组织设计中</w:t>
      </w:r>
      <w:r>
        <w:rPr>
          <w:rFonts w:cs="仿宋_GB2312" w:hint="eastAsia"/>
          <w:kern w:val="0"/>
        </w:rPr>
        <w:t>列出甲供</w:t>
      </w:r>
      <w:r>
        <w:rPr>
          <w:rFonts w:cs="仿宋_GB2312" w:hint="eastAsia"/>
          <w:kern w:val="0"/>
        </w:rPr>
        <w:t>材料的使用安排，按合同提前2个月向监理单位和</w:t>
      </w:r>
      <w:r>
        <w:rPr>
          <w:rFonts w:cs="仿宋_GB2312" w:hint="eastAsia"/>
          <w:kern w:val="0"/>
        </w:rPr>
        <w:t>前海建投集团</w:t>
      </w:r>
      <w:r>
        <w:rPr>
          <w:rFonts w:cs="仿宋_GB2312" w:hint="eastAsia"/>
          <w:kern w:val="0"/>
        </w:rPr>
        <w:t>工程管理部门提供详细的需求计划，由项目部提交供应商，以</w:t>
      </w:r>
      <w:r>
        <w:rPr>
          <w:rFonts w:cs="仿宋_GB2312" w:hint="eastAsia"/>
          <w:kern w:val="0"/>
        </w:rPr>
        <w:t>便于甲供</w:t>
      </w:r>
      <w:r>
        <w:rPr>
          <w:rFonts w:cs="仿宋_GB2312" w:hint="eastAsia"/>
          <w:kern w:val="0"/>
        </w:rPr>
        <w:t>材料按时进场。材料生产周期超过</w:t>
      </w:r>
      <w:r>
        <w:rPr>
          <w:rFonts w:cs="仿宋_GB2312"/>
          <w:kern w:val="0"/>
        </w:rPr>
        <w:t>2</w:t>
      </w:r>
      <w:r>
        <w:rPr>
          <w:rFonts w:cs="仿宋_GB2312" w:hint="eastAsia"/>
          <w:kern w:val="0"/>
        </w:rPr>
        <w:t>个月的，可根据实际情况适当提前提交需求计划。</w:t>
      </w:r>
    </w:p>
    <w:p w:rsidR="00CF5FF7" w14:paraId="57BCCDEA" w14:textId="77777777">
      <w:pPr>
        <w:pStyle w:val="Heading3"/>
        <w:ind w:left="0" w:firstLine="640" w:firstLineChars="200"/>
        <w:rPr>
          <w:rFonts w:cs="仿宋_GB2312"/>
          <w:kern w:val="0"/>
        </w:rPr>
      </w:pPr>
      <w:r>
        <w:rPr>
          <w:rFonts w:cs="仿宋_GB2312" w:hint="eastAsia"/>
          <w:kern w:val="0"/>
        </w:rPr>
        <w:t>甲供材料</w:t>
      </w:r>
      <w:r>
        <w:rPr>
          <w:rFonts w:cs="仿宋_GB2312" w:hint="eastAsia"/>
          <w:kern w:val="0"/>
        </w:rPr>
        <w:t>制造、运输、安装、调试等工作依据合同执行。供应商提供的材料应有适当的防护措施，以保证货物安全无损运抵安装现场。对于裸装货物，供应商应采取特殊措施保护货物及方便搬运。</w:t>
      </w:r>
    </w:p>
    <w:p w:rsidR="00CF5FF7" w14:paraId="013465CD" w14:textId="77777777">
      <w:pPr>
        <w:pStyle w:val="Heading3"/>
        <w:ind w:left="0" w:firstLine="640" w:firstLineChars="200"/>
        <w:rPr>
          <w:rFonts w:cs="仿宋_GB2312"/>
          <w:kern w:val="0"/>
        </w:rPr>
      </w:pPr>
      <w:r>
        <w:rPr>
          <w:rFonts w:cs="仿宋_GB2312" w:hint="eastAsia"/>
          <w:kern w:val="0"/>
        </w:rPr>
        <w:t>验收阶段划分。</w:t>
      </w:r>
      <w:r>
        <w:rPr>
          <w:rFonts w:cs="仿宋_GB2312" w:hint="eastAsia"/>
          <w:kern w:val="0"/>
        </w:rPr>
        <w:t>甲供材料</w:t>
      </w:r>
      <w:r>
        <w:rPr>
          <w:rFonts w:cs="仿宋_GB2312" w:hint="eastAsia"/>
          <w:kern w:val="0"/>
        </w:rPr>
        <w:t>验收可分为出厂验收、到货验收、初步验收、竣工验收4个阶段，具体验收次数、验收内容等按合同约定执行。项目部应根据项目实际情况制订具体的验收办法，其中初步验收和竣工验收按照</w:t>
      </w:r>
      <w:r>
        <w:rPr>
          <w:rFonts w:hint="eastAsia"/>
          <w:color w:val="000000" w:themeColor="text1"/>
        </w:rPr>
        <w:t>《深圳市前海建设投资控股集团有限公司市政工程竣工验收规定》和《深圳市前海建设投资控股集团有限公司房屋建筑工程竣工验收规定》</w:t>
      </w:r>
      <w:r>
        <w:rPr>
          <w:rFonts w:cs="仿宋_GB2312" w:hint="eastAsia"/>
          <w:kern w:val="0"/>
        </w:rPr>
        <w:t>执行。</w:t>
      </w:r>
    </w:p>
    <w:p w:rsidR="00CF5FF7" w14:paraId="52320A24" w14:textId="77777777">
      <w:pPr>
        <w:pStyle w:val="Heading3"/>
        <w:ind w:left="0" w:firstLine="640" w:firstLineChars="200"/>
        <w:rPr>
          <w:rFonts w:cs="仿宋_GB2312"/>
          <w:kern w:val="0"/>
        </w:rPr>
      </w:pPr>
      <w:r>
        <w:rPr>
          <w:rFonts w:cs="仿宋_GB2312" w:hint="eastAsia"/>
          <w:kern w:val="0"/>
        </w:rPr>
        <w:t>甲供材料</w:t>
      </w:r>
      <w:r>
        <w:rPr>
          <w:rFonts w:cs="仿宋_GB2312" w:hint="eastAsia"/>
          <w:kern w:val="0"/>
        </w:rPr>
        <w:t>出厂</w:t>
      </w:r>
      <w:r>
        <w:rPr>
          <w:rFonts w:cs="仿宋_GB2312" w:hint="eastAsia"/>
          <w:kern w:val="0"/>
        </w:rPr>
        <w:t>验收按</w:t>
      </w:r>
      <w:r>
        <w:rPr>
          <w:rFonts w:cs="仿宋_GB2312" w:hint="eastAsia"/>
          <w:kern w:val="0"/>
        </w:rPr>
        <w:t>以下规定执行：</w:t>
      </w:r>
    </w:p>
    <w:p w:rsidR="00CF5FF7" w14:paraId="64BBE869" w14:textId="77777777">
      <w:pPr>
        <w:ind w:firstLine="640"/>
        <w:sectPr w:rsidSect="00294A89">
          <w:headerReference w:type="even" r:id="rId56"/>
          <w:headerReference w:type="default" r:id="rId57"/>
          <w:footerReference w:type="even" r:id="rId58"/>
          <w:footerReference w:type="default" r:id="rId59"/>
          <w:headerReference w:type="first" r:id="rId60"/>
          <w:footerReference w:type="first" r:id="rId61"/>
          <w:type w:val="nextPage"/>
          <w:pgSz w:w="11906" w:h="16838"/>
          <w:pgMar w:top="2098" w:right="1531" w:bottom="1588" w:left="1588" w:header="851" w:footer="992" w:gutter="0"/>
          <w:pgNumType w:start="8"/>
          <w:cols w:space="425"/>
          <w:titlePg w:val="0"/>
          <w:docGrid w:type="lines" w:linePitch="312"/>
        </w:sectPr>
      </w:pPr>
      <w:r>
        <w:rPr>
          <w:rFonts w:hint="eastAsia"/>
        </w:rPr>
        <w:t>（一）供应商应在材料出厂前3天向驻厂监理工程师提交</w:t>
      </w:r>
    </w:p>
    <w:p w:rsidR="00CF5FF7" w14:textId="77777777">
      <w:pPr>
        <w:ind w:firstLine="640"/>
      </w:pPr>
      <w:r>
        <w:rPr>
          <w:rFonts w:hint="eastAsia"/>
        </w:rPr>
        <w:t>出厂验收申请，并提前准备好验收所需的质量控制资料；</w:t>
      </w:r>
    </w:p>
    <w:p w:rsidR="00CF5FF7" w14:paraId="17CFE794" w14:textId="77777777">
      <w:pPr>
        <w:ind w:firstLine="640"/>
      </w:pPr>
      <w:r>
        <w:rPr>
          <w:rFonts w:hint="eastAsia"/>
        </w:rPr>
        <w:t>（二）监理单位驻厂监理工程师组织出厂验收，供应商参加，必要时监理单位可邀请项目部、设计单位、施工单位参加，并由总监理工程师主持首批（节）出厂验收；</w:t>
      </w:r>
    </w:p>
    <w:p w:rsidR="00CF5FF7" w14:paraId="1DF3CDAB" w14:textId="77777777">
      <w:pPr>
        <w:ind w:firstLine="640"/>
      </w:pPr>
      <w:r>
        <w:rPr>
          <w:rFonts w:hint="eastAsia"/>
        </w:rPr>
        <w:t>（三）验收时，监理单位应严格检查材料规格、型号、观感质量等，核对质量保证资料，提出需要整改的问题，形成明确的验收结论；</w:t>
      </w:r>
    </w:p>
    <w:p w:rsidR="00CF5FF7" w14:paraId="2D25D5BD" w14:textId="1BCBA567">
      <w:pPr>
        <w:ind w:firstLine="640"/>
      </w:pPr>
      <w:r>
        <w:rPr>
          <w:rFonts w:hint="eastAsia"/>
        </w:rPr>
        <w:t>（四）供应商在完成相应的整改并报监理单位审批同意后，</w:t>
      </w:r>
      <w:r w:rsidR="0054787C">
        <w:rPr>
          <w:rFonts w:hint="eastAsia"/>
        </w:rPr>
        <w:t>方可</w:t>
      </w:r>
      <w:r>
        <w:rPr>
          <w:rFonts w:hint="eastAsia"/>
        </w:rPr>
        <w:t>安排材料封装、出厂。</w:t>
      </w:r>
    </w:p>
    <w:p w:rsidR="00CF5FF7" w14:paraId="1F858B7A" w14:textId="77777777">
      <w:pPr>
        <w:pStyle w:val="Heading3"/>
        <w:ind w:left="0" w:firstLine="640" w:firstLineChars="200"/>
        <w:rPr>
          <w:rFonts w:cs="仿宋_GB2312"/>
          <w:kern w:val="0"/>
        </w:rPr>
      </w:pPr>
      <w:r>
        <w:rPr>
          <w:rFonts w:cs="仿宋_GB2312" w:hint="eastAsia"/>
          <w:kern w:val="0"/>
        </w:rPr>
        <w:t>甲供材料</w:t>
      </w:r>
      <w:r>
        <w:rPr>
          <w:rFonts w:cs="仿宋_GB2312" w:hint="eastAsia"/>
          <w:kern w:val="0"/>
        </w:rPr>
        <w:t>的到货验收应按以下规定进行：</w:t>
      </w:r>
    </w:p>
    <w:p w:rsidR="00CF5FF7" w14:paraId="61449CA9"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（一）供应商应在验收前3天向项目部提交验收申请，负责</w:t>
      </w:r>
      <w:r>
        <w:rPr>
          <w:rFonts w:cs="仿宋_GB2312" w:hint="eastAsia"/>
          <w:kern w:val="0"/>
        </w:rPr>
        <w:t>进场卸货，并在监理的见证下提前进行清点。</w:t>
      </w:r>
    </w:p>
    <w:p w:rsidR="00CF5FF7" w14:paraId="203AFB54"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（二）到货验收由项目部或委托监理单位组织，在交货仓库或现场进行，项目部、监理单位、设计单位、施工单位、供应商代表参加；</w:t>
      </w:r>
    </w:p>
    <w:p w:rsidR="00CF5FF7" w14:paraId="11C889A1" w14:textId="77777777">
      <w:pPr>
        <w:autoSpaceDE w:val="0"/>
        <w:autoSpaceDN w:val="0"/>
        <w:adjustRightInd w:val="0"/>
        <w:spacing w:line="560" w:lineRule="exact"/>
        <w:ind w:firstLine="640"/>
        <w:jc w:val="left"/>
        <w:rPr>
          <w:rFonts w:cs="仿宋_GB2312"/>
          <w:kern w:val="0"/>
          <w:szCs w:val="32"/>
        </w:rPr>
        <w:sectPr w:rsidSect="00294A89">
          <w:headerReference w:type="even" r:id="rId62"/>
          <w:headerReference w:type="default" r:id="rId63"/>
          <w:footerReference w:type="even" r:id="rId64"/>
          <w:footerReference w:type="default" r:id="rId65"/>
          <w:headerReference w:type="first" r:id="rId66"/>
          <w:footerReference w:type="first" r:id="rId67"/>
          <w:type w:val="nextPage"/>
          <w:pgSz w:w="11906" w:h="16838"/>
          <w:pgMar w:top="2098" w:right="1531" w:bottom="1588" w:left="1588" w:header="851" w:footer="992" w:gutter="0"/>
          <w:pgNumType w:start="9"/>
          <w:cols w:space="425"/>
          <w:titlePg w:val="0"/>
          <w:docGrid w:type="lines" w:linePitch="312"/>
        </w:sectPr>
      </w:pPr>
      <w:r>
        <w:rPr>
          <w:rFonts w:cs="仿宋_GB2312" w:hint="eastAsia"/>
          <w:kern w:val="0"/>
          <w:szCs w:val="32"/>
        </w:rPr>
        <w:t>（三）验收时应重点核查材料品牌、规格、型号、色泽、材质、外观、尺寸等是否符合设计及合同要求，并同时核查产品清单、产品合格证、各主要部件及材料检测报告、原产地证明文件、相关技术要求等，最后形成明确的验收结论，并提出需要整改的问题。核查方式包括书面查证、外观检查，必要时可采用无损检测等技术手段；</w:t>
      </w:r>
    </w:p>
    <w:p w:rsidR="00CF5FF7" w14:paraId="55549D3C" w14:textId="77777777">
      <w:pPr>
        <w:autoSpaceDE w:val="0"/>
        <w:autoSpaceDN w:val="0"/>
        <w:adjustRightInd w:val="0"/>
        <w:spacing w:line="560" w:lineRule="exact"/>
        <w:ind w:firstLine="640"/>
        <w:jc w:val="left"/>
        <w:rPr>
          <w:rFonts w:cs="仿宋_GB2312"/>
          <w:kern w:val="0"/>
          <w:szCs w:val="32"/>
        </w:rPr>
      </w:pPr>
      <w:r>
        <w:rPr>
          <w:rFonts w:cs="仿宋_GB2312" w:hint="eastAsia"/>
          <w:kern w:val="0"/>
          <w:szCs w:val="32"/>
        </w:rPr>
        <w:t>（四）供应商在完成整改前，负责到场材料的保管，项目部或监理单位应协助协调临时存货地点；供应商整改完成并经验收各方确认通过后，项目部或监理单位应及时组织材料使用单位（一般为施工单位或供应商）按程序进行材料移交，此后材料由使用单位负责保管。</w:t>
      </w:r>
    </w:p>
    <w:p w:rsidR="00CF5FF7" w14:paraId="2A20E608" w14:textId="6E95104B">
      <w:pPr>
        <w:pStyle w:val="Heading3"/>
        <w:autoSpaceDE w:val="0"/>
        <w:autoSpaceDN w:val="0"/>
        <w:adjustRightInd w:val="0"/>
        <w:ind w:left="0" w:firstLine="640" w:firstLineChars="200"/>
        <w:jc w:val="left"/>
        <w:rPr>
          <w:rFonts w:cs="仿宋_GB2312"/>
          <w:kern w:val="0"/>
        </w:rPr>
      </w:pPr>
      <w:r>
        <w:rPr>
          <w:rFonts w:cs="仿宋_GB2312" w:hint="eastAsia"/>
          <w:kern w:val="0"/>
        </w:rPr>
        <w:t>供应商负责使用的材料，项目部或监理单位负责协调，施工单位提供必要的装卸、仓储、安装的场地及水电接驳点（水电等可向供应</w:t>
      </w:r>
      <w:r>
        <w:rPr>
          <w:rFonts w:cs="仿宋_GB2312" w:hint="eastAsia"/>
          <w:kern w:val="0"/>
        </w:rPr>
        <w:t>商适当</w:t>
      </w:r>
      <w:r>
        <w:rPr>
          <w:rFonts w:cs="仿宋_GB2312" w:hint="eastAsia"/>
          <w:kern w:val="0"/>
        </w:rPr>
        <w:t>收取成本费），供应商负责进场材料的保管、搬运工作，直至安装完成、验收合格；由施工单位负责使用的材料，供应商有义务对施工单位的安装人员进行技术培训和现场指导。</w:t>
      </w:r>
    </w:p>
    <w:p w:rsidR="00CF5FF7" w14:paraId="4B259593" w14:textId="77777777">
      <w:pPr>
        <w:pStyle w:val="Heading3"/>
        <w:ind w:left="0" w:firstLine="640" w:firstLineChars="200"/>
        <w:rPr>
          <w:rFonts w:cs="仿宋_GB2312"/>
          <w:kern w:val="0"/>
        </w:rPr>
      </w:pPr>
      <w:r>
        <w:rPr>
          <w:rFonts w:cs="仿宋_GB2312" w:hint="eastAsia"/>
          <w:kern w:val="0"/>
        </w:rPr>
        <w:t>甲供材料</w:t>
      </w:r>
      <w:r>
        <w:rPr>
          <w:rFonts w:cs="仿宋_GB2312" w:hint="eastAsia"/>
          <w:kern w:val="0"/>
        </w:rPr>
        <w:t>在使用前必须按要求进行材料检测，检测合格的才予使用，按下述情况</w:t>
      </w:r>
      <w:r>
        <w:rPr>
          <w:rFonts w:cs="仿宋_GB2312" w:hint="eastAsia"/>
          <w:kern w:val="0"/>
        </w:rPr>
        <w:t>进行甲供材料</w:t>
      </w:r>
      <w:r>
        <w:rPr>
          <w:rFonts w:cs="仿宋_GB2312" w:hint="eastAsia"/>
          <w:kern w:val="0"/>
        </w:rPr>
        <w:t>委托检测：</w:t>
      </w:r>
    </w:p>
    <w:p w:rsidR="00CF5FF7" w14:paraId="7BE80BFB" w14:textId="77777777">
      <w:pPr>
        <w:pStyle w:val="Heading3"/>
        <w:numPr>
          <w:ilvl w:val="0"/>
          <w:numId w:val="0"/>
        </w:numPr>
        <w:ind w:firstLine="640" w:firstLineChars="200"/>
        <w:rPr>
          <w:rFonts w:cs="仿宋_GB2312"/>
          <w:bCs w:val="0"/>
          <w:kern w:val="0"/>
        </w:rPr>
      </w:pPr>
      <w:r>
        <w:rPr>
          <w:rFonts w:cs="仿宋_GB2312" w:hint="eastAsia"/>
          <w:bCs w:val="0"/>
          <w:kern w:val="0"/>
        </w:rPr>
        <w:t>（一）供应商负责使用的材料由供应商委托检测；</w:t>
      </w:r>
    </w:p>
    <w:p w:rsidR="00CF5FF7" w14:paraId="10208563" w14:textId="77777777">
      <w:pPr>
        <w:pStyle w:val="Heading3"/>
        <w:numPr>
          <w:ilvl w:val="0"/>
          <w:numId w:val="0"/>
        </w:numPr>
        <w:ind w:firstLine="640" w:firstLineChars="200"/>
        <w:rPr>
          <w:rFonts w:cs="仿宋_GB2312"/>
          <w:bCs w:val="0"/>
          <w:kern w:val="0"/>
        </w:rPr>
      </w:pPr>
      <w:r>
        <w:rPr>
          <w:rFonts w:cs="仿宋_GB2312" w:hint="eastAsia"/>
          <w:bCs w:val="0"/>
          <w:kern w:val="0"/>
        </w:rPr>
        <w:t>（二）施工单位根据</w:t>
      </w:r>
      <w:r>
        <w:rPr>
          <w:rFonts w:cs="仿宋_GB2312" w:hint="eastAsia"/>
          <w:bCs w:val="0"/>
          <w:kern w:val="0"/>
        </w:rPr>
        <w:t>前海建投集团</w:t>
      </w:r>
      <w:r>
        <w:rPr>
          <w:rFonts w:cs="仿宋_GB2312" w:hint="eastAsia"/>
          <w:bCs w:val="0"/>
          <w:kern w:val="0"/>
        </w:rPr>
        <w:t>要求采购</w:t>
      </w:r>
      <w:r>
        <w:rPr>
          <w:rFonts w:cs="仿宋_GB2312" w:hint="eastAsia"/>
          <w:bCs w:val="0"/>
          <w:kern w:val="0"/>
        </w:rPr>
        <w:t>的甲供材料</w:t>
      </w:r>
      <w:r>
        <w:rPr>
          <w:rFonts w:cs="仿宋_GB2312" w:hint="eastAsia"/>
          <w:bCs w:val="0"/>
          <w:kern w:val="0"/>
        </w:rPr>
        <w:t>，由施工单位委托检测；</w:t>
      </w:r>
    </w:p>
    <w:p w:rsidR="00CF5FF7" w14:paraId="4AA9DB57" w14:textId="77777777">
      <w:pPr>
        <w:pStyle w:val="Heading3"/>
        <w:numPr>
          <w:ilvl w:val="0"/>
          <w:numId w:val="0"/>
        </w:numPr>
        <w:ind w:firstLine="640" w:firstLineChars="200"/>
        <w:rPr>
          <w:rFonts w:cs="仿宋_GB2312"/>
          <w:bCs w:val="0"/>
          <w:kern w:val="0"/>
        </w:rPr>
      </w:pPr>
      <w:r>
        <w:rPr>
          <w:rFonts w:cs="仿宋_GB2312" w:hint="eastAsia"/>
          <w:bCs w:val="0"/>
          <w:kern w:val="0"/>
        </w:rPr>
        <w:t>（三）项目部或监理单位组织供应商移交</w:t>
      </w:r>
      <w:r>
        <w:rPr>
          <w:rFonts w:cs="仿宋_GB2312" w:hint="eastAsia"/>
          <w:bCs w:val="0"/>
          <w:kern w:val="0"/>
        </w:rPr>
        <w:t>至施工</w:t>
      </w:r>
      <w:r>
        <w:rPr>
          <w:rFonts w:cs="仿宋_GB2312" w:hint="eastAsia"/>
          <w:bCs w:val="0"/>
          <w:kern w:val="0"/>
        </w:rPr>
        <w:t>单位负责使用</w:t>
      </w:r>
      <w:r>
        <w:rPr>
          <w:rFonts w:cs="仿宋_GB2312" w:hint="eastAsia"/>
          <w:bCs w:val="0"/>
          <w:kern w:val="0"/>
        </w:rPr>
        <w:t>的甲供材料</w:t>
      </w:r>
      <w:r>
        <w:rPr>
          <w:rFonts w:cs="仿宋_GB2312" w:hint="eastAsia"/>
          <w:bCs w:val="0"/>
          <w:kern w:val="0"/>
        </w:rPr>
        <w:t>，由项目部委托检测。</w:t>
      </w:r>
    </w:p>
    <w:p w:rsidR="00CF5FF7" w14:paraId="7150712B" w14:textId="77777777">
      <w:pPr>
        <w:pStyle w:val="Heading3"/>
        <w:ind w:left="0" w:firstLine="640" w:firstLineChars="200"/>
      </w:pPr>
      <w:r>
        <w:rPr>
          <w:rFonts w:cs="仿宋_GB2312" w:hint="eastAsia"/>
          <w:kern w:val="0"/>
        </w:rPr>
        <w:t>现场安装完成后，场内剩余</w:t>
      </w:r>
      <w:r>
        <w:rPr>
          <w:rFonts w:cs="仿宋_GB2312" w:hint="eastAsia"/>
          <w:kern w:val="0"/>
        </w:rPr>
        <w:t>的甲供材料</w:t>
      </w:r>
      <w:r>
        <w:rPr>
          <w:rFonts w:cs="仿宋_GB2312" w:hint="eastAsia"/>
          <w:kern w:val="0"/>
        </w:rPr>
        <w:t>，施工单位或供应商应无偿移交给项目部，但根据客观条件</w:t>
      </w:r>
      <w:r>
        <w:rPr>
          <w:rFonts w:cs="仿宋_GB2312" w:hint="eastAsia"/>
          <w:kern w:val="0"/>
        </w:rPr>
        <w:t>前海建投集团</w:t>
      </w:r>
      <w:r>
        <w:rPr>
          <w:rFonts w:cs="仿宋_GB2312" w:hint="eastAsia"/>
          <w:kern w:val="0"/>
        </w:rPr>
        <w:t>要求施工单位采购</w:t>
      </w:r>
      <w:r>
        <w:rPr>
          <w:rFonts w:cs="仿宋_GB2312" w:hint="eastAsia"/>
          <w:kern w:val="0"/>
        </w:rPr>
        <w:t>的甲供材料</w:t>
      </w:r>
      <w:r>
        <w:rPr>
          <w:rFonts w:cs="仿宋_GB2312" w:hint="eastAsia"/>
          <w:kern w:val="0"/>
        </w:rPr>
        <w:t>除外。</w:t>
      </w:r>
    </w:p>
    <w:p w:rsidR="00CF5FF7" w14:paraId="7CDD8A50" w14:textId="757FB650">
      <w:pPr>
        <w:pStyle w:val="a0"/>
        <w:spacing w:line="560" w:lineRule="exact"/>
      </w:pPr>
      <w:bookmarkStart w:id="7" w:name="_Toc446691956"/>
      <w:bookmarkStart w:id="8" w:name="_Toc432432163"/>
      <w:bookmarkStart w:id="9" w:name="_Toc460832663"/>
      <w:r>
        <w:rPr>
          <w:rFonts w:hint="eastAsia"/>
        </w:rPr>
        <w:t xml:space="preserve">第六章  </w:t>
      </w:r>
      <w:bookmarkEnd w:id="7"/>
      <w:bookmarkEnd w:id="8"/>
      <w:r>
        <w:rPr>
          <w:rFonts w:hint="eastAsia"/>
        </w:rPr>
        <w:t>甲控（乙购）材料管理</w:t>
      </w:r>
      <w:bookmarkEnd w:id="9"/>
      <w:r>
        <w:br/>
      </w:r>
      <w: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8" w:history="1">
        <w:r>
          <w:rPr>
            <w:rFonts w:ascii="SimSun" w:eastAsia="SimSun" w:hAnsi="SimSun" w:cs="SimSun"/>
            <w:b/>
            <w:bCs/>
            <w:color w:val="0000EE"/>
            <w:kern w:val="0"/>
            <w:sz w:val="30"/>
            <w:szCs w:val="30"/>
            <w:u w:val="single" w:color="0000EE"/>
          </w:rPr>
          <w:t>https://d.book118.com/167066160064006025</w:t>
        </w:r>
      </w:hyperlink>
    </w:p>
    <w:p w:rsidR="00CF5FF7">
      <w:pPr>
        <w:pStyle w:val="a0"/>
        <w:spacing w:line="560" w:lineRule="exact"/>
      </w:pPr>
    </w:p>
    <w:sectPr w:rsidSect="00294A89">
      <w:headerReference w:type="even" r:id="rId69"/>
      <w:headerReference w:type="default" r:id="rId70"/>
      <w:footerReference w:type="even" r:id="rId71"/>
      <w:footerReference w:type="default" r:id="rId72"/>
      <w:headerReference w:type="first" r:id="rId73"/>
      <w:footerReference w:type="first" r:id="rId74"/>
      <w:type w:val="nextPage"/>
      <w:pgSz w:w="11906" w:h="16838"/>
      <w:pgMar w:top="2098" w:right="1531" w:bottom="1588" w:left="1588" w:header="851" w:footer="992" w:gutter="0"/>
      <w:pgNumType w:start="10"/>
      <w:cols w:space="425"/>
      <w:titlePg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255815" w14:paraId="7C588F33" w14:textId="77777777">
      <w:pPr>
        <w:spacing w:line="240" w:lineRule="auto"/>
        <w:ind w:firstLine="640"/>
      </w:pPr>
      <w:r>
        <w:separator/>
      </w:r>
    </w:p>
  </w:endnote>
  <w:endnote w:type="continuationSeparator" w:id="1">
    <w:p w:rsidR="00255815" w14:paraId="370A4806" w14:textId="77777777">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paraId="01382D84" w14:textId="77777777">
    <w:pPr>
      <w:pStyle w:val="Footer"/>
      <w:ind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3</w:t>
    </w:r>
    <w:r>
      <w:rPr>
        <w:rFonts w:ascii="宋体" w:eastAsia="宋体" w:hAnsi="宋体"/>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4</w:t>
    </w:r>
    <w:r>
      <w:rPr>
        <w:rFonts w:ascii="宋体" w:eastAsia="宋体" w:hAnsi="宋体"/>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5</w:t>
    </w:r>
    <w:r>
      <w:rPr>
        <w:rFonts w:ascii="宋体" w:eastAsia="宋体" w:hAnsi="宋体"/>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paraId="492455C6"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24</w:t>
    </w:r>
    <w:r>
      <w:rPr>
        <w:rFonts w:ascii="宋体" w:eastAsia="宋体" w:hAnsi="宋体"/>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6</w:t>
    </w:r>
    <w:r>
      <w:rPr>
        <w:rFonts w:ascii="宋体" w:eastAsia="宋体" w:hAnsi="宋体"/>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8</w:t>
    </w:r>
    <w:r>
      <w:rPr>
        <w:rFonts w:ascii="宋体" w:eastAsia="宋体" w:hAnsi="宋体"/>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9</w:t>
    </w:r>
    <w:r>
      <w:rPr>
        <w:rFonts w:ascii="宋体" w:eastAsia="宋体" w:hAnsi="宋体"/>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9</w:t>
    </w:r>
    <w:r>
      <w:rPr>
        <w:rFonts w:ascii="宋体" w:eastAsia="宋体" w:hAnsi="宋体"/>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paraId="37B6F8DC" w14:textId="77777777">
    <w:pPr>
      <w:pStyle w:val="Footer"/>
      <w:ind w:firstLine="360"/>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10</w:t>
    </w:r>
    <w:r>
      <w:rPr>
        <w:rFonts w:ascii="宋体" w:eastAsia="宋体" w:hAnsi="宋体"/>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1</w:t>
    </w:r>
    <w:r>
      <w:rPr>
        <w:rFonts w:ascii="宋体" w:eastAsia="宋体" w:hAnsi="宋体"/>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jc w:val="center"/>
      <w:rPr>
        <w:rFonts w:ascii="宋体" w:eastAsia="宋体" w:hAnsi="宋体"/>
        <w:sz w:val="28"/>
        <w:szCs w:val="28"/>
      </w:rPr>
    </w:pP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Pr="0035144F" w:rsidR="0035144F">
      <w:rPr>
        <w:rFonts w:ascii="宋体" w:eastAsia="宋体" w:hAnsi="宋体"/>
        <w:noProof/>
        <w:lang w:val="zh-CN"/>
      </w:rPr>
      <w:t>2</w:t>
    </w:r>
    <w:r>
      <w:rPr>
        <w:rFonts w:ascii="宋体" w:eastAsia="宋体" w:hAnsi="宋体"/>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55815" w14:paraId="4E43E630" w14:textId="77777777">
      <w:pPr>
        <w:spacing w:line="240" w:lineRule="auto"/>
        <w:ind w:firstLine="640"/>
      </w:pPr>
      <w:r>
        <w:separator/>
      </w:r>
    </w:p>
  </w:footnote>
  <w:footnote w:type="continuationSeparator" w:id="1">
    <w:p w:rsidR="00255815" w14:paraId="1BA00DA1" w14:textId="77777777">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paraId="6A5AF392" w14:textId="77777777">
    <w:pPr>
      <w:pStyle w:val="Header"/>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2024528934"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28934"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62711195"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1195"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139522041"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22041"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paraId="1E9D9C7F"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paraId="1F896B83"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paraId="75EE3CF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paraId="4FA65275"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paraId="3AB63449"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paraId="179028DB" w14:textId="69694BEE">
    <w:pPr>
      <w:ind w:firstLine="0" w:firstLineChars="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873162224"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162224"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187779078"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779078"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198195528"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195528"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09429466"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9466"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paraId="730D1778" w14:textId="77777777">
    <w:pPr>
      <w:ind w:firstLine="0" w:firstLineChars="0"/>
      <w:rPr>
        <w:sz w:val="13"/>
        <w:szCs w:val="13"/>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95870562"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0562"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1725152506"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52506"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14:textId="77777777">
    <w:pPr>
      <w:pStyle w:val="Header"/>
      <w:ind w:firstLine="36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
    <w:tblGrid>
      <w:gridCol w:w="2685"/>
      <w:gridCol w:w="4146"/>
      <w:gridCol w:w="2504"/>
    </w:tblGrid>
    <w:tr w14:paraId="7B00AFEE" w14:textId="77777777" w:rsidTr="00EE52A3">
      <w:tblPrEx>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tblPrEx>
      <w:trPr>
        <w:cantSplit/>
        <w:trHeight w:val="1148"/>
        <w:jc w:val="center"/>
      </w:trPr>
      <w:tc>
        <w:tcPr>
          <w:tcW w:w="2685" w:type="dxa"/>
          <w:vAlign w:val="center"/>
        </w:tcPr>
        <w:p w:rsidR="0011523B" w:rsidRPr="0011523B" w:rsidP="0011523B" w14:textId="77777777">
          <w:pPr>
            <w:spacing w:line="240" w:lineRule="auto"/>
            <w:ind w:firstLine="0" w:firstLineChars="0"/>
            <w:jc w:val="center"/>
            <w:rPr>
              <w:rFonts w:ascii="Times New Roman" w:hAnsi="Times New Roman"/>
              <w:szCs w:val="32"/>
            </w:rPr>
          </w:pPr>
          <w:r w:rsidRPr="0011523B">
            <w:rPr>
              <w:rFonts w:ascii="微软雅黑" w:eastAsia="微软雅黑" w:hAnsi="微软雅黑"/>
              <w:noProof/>
            </w:rPr>
            <w:drawing>
              <wp:inline distT="0" distB="0" distL="0" distR="0">
                <wp:extent cx="1085850" cy="562617"/>
                <wp:effectExtent l="0" t="0" r="0" b="8890"/>
                <wp:docPr id="505091337" name="图片 1" descr="徽标, 公司名称&#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91337" name="图片 4" descr="徽标, 公司名称&#10;&#10;描述已自动生成"/>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92729" cy="566181"/>
                        </a:xfrm>
                        <a:prstGeom prst="rect">
                          <a:avLst/>
                        </a:prstGeom>
                        <a:noFill/>
                        <a:ln>
                          <a:noFill/>
                        </a:ln>
                      </pic:spPr>
                    </pic:pic>
                  </a:graphicData>
                </a:graphic>
              </wp:inline>
            </w:drawing>
          </w:r>
        </w:p>
      </w:tc>
      <w:tc>
        <w:tcPr>
          <w:tcW w:w="4146" w:type="dxa"/>
          <w:vAlign w:val="center"/>
        </w:tcPr>
        <w:p w:rsidR="0011523B" w:rsidRPr="0011523B" w:rsidP="0011523B" w14:textId="35B8DFB2">
          <w:pPr>
            <w:spacing w:line="240" w:lineRule="auto"/>
            <w:ind w:firstLine="0" w:firstLineChars="0"/>
            <w:jc w:val="center"/>
            <w:rPr>
              <w:rFonts w:ascii="宋体" w:eastAsia="宋体" w:hAnsi="宋体"/>
              <w:b/>
              <w:sz w:val="36"/>
              <w:szCs w:val="36"/>
            </w:rPr>
          </w:pPr>
          <w:r>
            <w:rPr>
              <w:rFonts w:ascii="宋体" w:eastAsia="宋体" w:hAnsi="宋体" w:hint="eastAsia"/>
              <w:b/>
              <w:sz w:val="36"/>
              <w:szCs w:val="36"/>
            </w:rPr>
            <w:t>建设</w:t>
          </w:r>
          <w:r w:rsidRPr="00945C9D" w:rsidR="00945C9D">
            <w:rPr>
              <w:rFonts w:ascii="宋体" w:eastAsia="宋体" w:hAnsi="宋体" w:hint="eastAsia"/>
              <w:b/>
              <w:sz w:val="36"/>
              <w:szCs w:val="36"/>
            </w:rPr>
            <w:t>工程材料管理办法</w:t>
          </w:r>
        </w:p>
      </w:tc>
      <w:tc>
        <w:tcPr>
          <w:tcW w:w="2504" w:type="dxa"/>
          <w:vAlign w:val="center"/>
        </w:tcPr>
        <w:p w:rsidR="0011523B" w:rsidRPr="0011523B" w:rsidP="0011523B" w14:textId="794D9AB9">
          <w:pPr>
            <w:spacing w:line="240" w:lineRule="auto"/>
            <w:ind w:firstLine="0" w:firstLineChars="0"/>
            <w:rPr>
              <w:rFonts w:ascii="宋体" w:eastAsia="宋体" w:hAnsi="宋体"/>
              <w:sz w:val="21"/>
            </w:rPr>
          </w:pPr>
          <w:r w:rsidRPr="0011523B">
            <w:rPr>
              <w:rFonts w:ascii="宋体" w:eastAsia="宋体" w:hAnsi="宋体" w:hint="eastAsia"/>
              <w:sz w:val="21"/>
            </w:rPr>
            <w:t>编</w:t>
          </w:r>
          <w:r w:rsidRPr="0011523B">
            <w:rPr>
              <w:rFonts w:ascii="宋体" w:eastAsia="宋体" w:hAnsi="宋体"/>
              <w:sz w:val="21"/>
            </w:rPr>
            <w:t xml:space="preserve">    </w:t>
          </w:r>
          <w:r w:rsidRPr="0011523B">
            <w:rPr>
              <w:rFonts w:ascii="宋体" w:eastAsia="宋体" w:hAnsi="宋体" w:hint="eastAsia"/>
              <w:sz w:val="21"/>
            </w:rPr>
            <w:t>号：</w:t>
          </w:r>
          <w:r w:rsidRPr="009D7382" w:rsidR="009D7382">
            <w:rPr>
              <w:rFonts w:ascii="宋体" w:eastAsia="宋体" w:hAnsi="宋体"/>
              <w:sz w:val="21"/>
            </w:rPr>
            <w:t>QHKG-09-2-06</w:t>
          </w:r>
        </w:p>
        <w:p w:rsidR="0011523B" w:rsidRPr="0011523B" w:rsidP="0011523B" w14:textId="79A766AC">
          <w:pPr>
            <w:spacing w:line="240" w:lineRule="auto"/>
            <w:ind w:firstLine="0" w:firstLineChars="0"/>
            <w:rPr>
              <w:rFonts w:ascii="宋体" w:eastAsia="宋体" w:hAnsi="宋体"/>
              <w:sz w:val="21"/>
            </w:rPr>
          </w:pPr>
          <w:r w:rsidRPr="0011523B">
            <w:rPr>
              <w:rFonts w:ascii="宋体" w:eastAsia="宋体" w:hAnsi="宋体" w:hint="eastAsia"/>
              <w:sz w:val="21"/>
            </w:rPr>
            <w:t xml:space="preserve">版   </w:t>
          </w:r>
          <w:r w:rsidRPr="0011523B">
            <w:rPr>
              <w:rFonts w:ascii="宋体" w:eastAsia="宋体" w:hAnsi="宋体"/>
              <w:sz w:val="21"/>
            </w:rPr>
            <w:t xml:space="preserve"> </w:t>
          </w:r>
          <w:r w:rsidRPr="0011523B">
            <w:rPr>
              <w:rFonts w:ascii="宋体" w:eastAsia="宋体" w:hAnsi="宋体" w:hint="eastAsia"/>
              <w:sz w:val="21"/>
            </w:rPr>
            <w:t>本：</w:t>
          </w:r>
          <w:r w:rsidR="009D7382">
            <w:rPr>
              <w:rFonts w:ascii="宋体" w:eastAsia="宋体" w:hAnsi="宋体" w:hint="eastAsia"/>
              <w:sz w:val="21"/>
            </w:rPr>
            <w:t>C</w:t>
          </w:r>
          <w:r w:rsidR="009D7382">
            <w:rPr>
              <w:rFonts w:ascii="宋体" w:eastAsia="宋体" w:hAnsi="宋体"/>
              <w:sz w:val="21"/>
            </w:rPr>
            <w:t>/0</w:t>
          </w:r>
        </w:p>
        <w:p w:rsidR="0011523B" w:rsidRPr="0011523B" w:rsidP="0011523B" w14:textId="3761437C">
          <w:pPr>
            <w:spacing w:line="240" w:lineRule="auto"/>
            <w:ind w:firstLine="0" w:firstLineChars="0"/>
            <w:rPr>
              <w:rFonts w:ascii="微软雅黑" w:eastAsia="微软雅黑" w:hAnsi="微软雅黑"/>
              <w:b/>
              <w:bCs/>
              <w:spacing w:val="20"/>
              <w:szCs w:val="32"/>
            </w:rPr>
          </w:pPr>
          <w:r w:rsidRPr="0011523B">
            <w:rPr>
              <w:rFonts w:ascii="宋体" w:eastAsia="宋体" w:hAnsi="宋体" w:hint="eastAsia"/>
              <w:sz w:val="21"/>
            </w:rPr>
            <w:t>生效日期：</w:t>
          </w:r>
          <w:r w:rsidR="00BA3F17">
            <w:rPr>
              <w:rFonts w:ascii="宋体" w:eastAsia="宋体" w:hAnsi="宋体" w:hint="eastAsia"/>
              <w:sz w:val="21"/>
            </w:rPr>
            <w:t>2</w:t>
          </w:r>
          <w:r w:rsidR="00BA3F17">
            <w:rPr>
              <w:rFonts w:ascii="宋体" w:eastAsia="宋体" w:hAnsi="宋体"/>
              <w:sz w:val="21"/>
            </w:rPr>
            <w:t>022.10</w:t>
          </w:r>
        </w:p>
      </w:tc>
    </w:tr>
  </w:tbl>
  <w:p w:rsidR="00CF5FF7" w:rsidRPr="0011523B" w:rsidP="0011523B" w14:textId="69694BEE">
    <w:pPr>
      <w:ind w:firstLine="0" w:firstLineChars="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5FF7" w:rsidRPr="0011523B" w:rsidP="0011523B" w14:textId="77777777">
    <w:pPr>
      <w:ind w:firstLine="0" w:firstLineChars="0"/>
      <w:rPr>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FCA3687"/>
    <w:multiLevelType w:val="multilevel"/>
    <w:tmpl w:val="F9BAF59E"/>
    <w:lvl w:ilvl="0">
      <w:start w:val="1"/>
      <w:numFmt w:val="chineseCountingThousand"/>
      <w:pStyle w:val="Heading1"/>
      <w:suff w:val="space"/>
      <w:lvlText w:val="%1、"/>
      <w:lvlJc w:val="left"/>
      <w:pPr>
        <w:ind w:left="0" w:firstLine="0"/>
      </w:pPr>
      <w:rPr>
        <w:rFonts w:ascii="黑体" w:eastAsia="黑体" w:hint="eastAsia"/>
        <w:sz w:val="32"/>
      </w:rPr>
    </w:lvl>
    <w:lvl w:ilvl="1">
      <w:start w:val="1"/>
      <w:numFmt w:val="chineseCountingThousand"/>
      <w:pStyle w:val="Heading2"/>
      <w:suff w:val="space"/>
      <w:lvlText w:val="（%2）"/>
      <w:lvlJc w:val="left"/>
      <w:pPr>
        <w:ind w:left="0" w:firstLine="0"/>
      </w:pPr>
      <w:rPr>
        <w:rFonts w:ascii="楷体" w:eastAsia="楷体" w:hint="eastAsia"/>
        <w:sz w:val="32"/>
      </w:rPr>
    </w:lvl>
    <w:lvl w:ilvl="2">
      <w:start w:val="1"/>
      <w:numFmt w:val="chineseCountingThousand"/>
      <w:pStyle w:val="Heading3"/>
      <w:suff w:val="space"/>
      <w:lvlText w:val="第%3条"/>
      <w:lvlJc w:val="left"/>
      <w:pPr>
        <w:ind w:left="1277" w:firstLine="0"/>
      </w:pPr>
      <w:rPr>
        <w:rFonts w:ascii="微软雅黑" w:eastAsia="微软雅黑" w:hAnsi="微软雅黑" w:hint="eastAsia"/>
        <w:b/>
        <w:i w:val="0"/>
        <w:sz w:val="32"/>
        <w:lang w:val="en-US"/>
      </w:rPr>
    </w:lvl>
    <w:lvl w:ilvl="3">
      <w:start w:val="1"/>
      <w:numFmt w:val="chineseCountingThousand"/>
      <w:pStyle w:val="Heading4"/>
      <w:suff w:val="space"/>
      <w:lvlText w:val="（%4）"/>
      <w:lvlJc w:val="left"/>
      <w:pPr>
        <w:ind w:left="0" w:firstLine="0"/>
      </w:pPr>
      <w:rPr>
        <w:rFonts w:ascii="仿宋_GB2312" w:eastAsia="仿宋_GB2312" w:hint="eastAsia"/>
        <w:sz w:val="32"/>
        <w:lang w:val="en-US"/>
      </w:rPr>
    </w:lvl>
    <w:lvl w:ilvl="4">
      <w:start w:val="1"/>
      <w:numFmt w:val="decimal"/>
      <w:pStyle w:val="Heading5"/>
      <w:lvlText w:val="%5."/>
      <w:lvlJc w:val="left"/>
      <w:pPr>
        <w:ind w:left="0" w:firstLine="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8D8"/>
    <w:rsid w:val="000007A7"/>
    <w:rsid w:val="00010030"/>
    <w:rsid w:val="0001084E"/>
    <w:rsid w:val="00012404"/>
    <w:rsid w:val="000209FB"/>
    <w:rsid w:val="0002607C"/>
    <w:rsid w:val="000264D4"/>
    <w:rsid w:val="00054E12"/>
    <w:rsid w:val="000552B4"/>
    <w:rsid w:val="00057B16"/>
    <w:rsid w:val="00061CEC"/>
    <w:rsid w:val="00063A32"/>
    <w:rsid w:val="000777F8"/>
    <w:rsid w:val="000800F5"/>
    <w:rsid w:val="0008106F"/>
    <w:rsid w:val="00092679"/>
    <w:rsid w:val="00094FB7"/>
    <w:rsid w:val="0009684F"/>
    <w:rsid w:val="000A3629"/>
    <w:rsid w:val="000A36FE"/>
    <w:rsid w:val="000C0B27"/>
    <w:rsid w:val="000C2E70"/>
    <w:rsid w:val="000C3354"/>
    <w:rsid w:val="000D01AF"/>
    <w:rsid w:val="000D4A5F"/>
    <w:rsid w:val="000E479C"/>
    <w:rsid w:val="000E5F24"/>
    <w:rsid w:val="000F0544"/>
    <w:rsid w:val="000F25FA"/>
    <w:rsid w:val="000F791F"/>
    <w:rsid w:val="0010146A"/>
    <w:rsid w:val="00102920"/>
    <w:rsid w:val="0011194C"/>
    <w:rsid w:val="00111B6F"/>
    <w:rsid w:val="0011523B"/>
    <w:rsid w:val="00117EDA"/>
    <w:rsid w:val="00125617"/>
    <w:rsid w:val="00130F59"/>
    <w:rsid w:val="0013509F"/>
    <w:rsid w:val="0015064E"/>
    <w:rsid w:val="0015404E"/>
    <w:rsid w:val="00166285"/>
    <w:rsid w:val="001665D8"/>
    <w:rsid w:val="00170482"/>
    <w:rsid w:val="00170FBB"/>
    <w:rsid w:val="0017315D"/>
    <w:rsid w:val="001763E1"/>
    <w:rsid w:val="00182F15"/>
    <w:rsid w:val="00183FED"/>
    <w:rsid w:val="001858FD"/>
    <w:rsid w:val="00187557"/>
    <w:rsid w:val="001879D1"/>
    <w:rsid w:val="0019016B"/>
    <w:rsid w:val="00191529"/>
    <w:rsid w:val="00191903"/>
    <w:rsid w:val="001921DF"/>
    <w:rsid w:val="001959E4"/>
    <w:rsid w:val="00195AA3"/>
    <w:rsid w:val="0019797E"/>
    <w:rsid w:val="00197D91"/>
    <w:rsid w:val="001A2519"/>
    <w:rsid w:val="001A5BFE"/>
    <w:rsid w:val="001B10E2"/>
    <w:rsid w:val="001B3294"/>
    <w:rsid w:val="001B5A9C"/>
    <w:rsid w:val="001C2D77"/>
    <w:rsid w:val="001C3233"/>
    <w:rsid w:val="001C674E"/>
    <w:rsid w:val="001C7872"/>
    <w:rsid w:val="001C7A4E"/>
    <w:rsid w:val="001D0372"/>
    <w:rsid w:val="001D1B07"/>
    <w:rsid w:val="001D2558"/>
    <w:rsid w:val="001D436C"/>
    <w:rsid w:val="001D5F6B"/>
    <w:rsid w:val="001E4DF1"/>
    <w:rsid w:val="00201787"/>
    <w:rsid w:val="00201E3F"/>
    <w:rsid w:val="00205115"/>
    <w:rsid w:val="002123FA"/>
    <w:rsid w:val="0021571D"/>
    <w:rsid w:val="00220D55"/>
    <w:rsid w:val="002242B4"/>
    <w:rsid w:val="0022487E"/>
    <w:rsid w:val="00224C14"/>
    <w:rsid w:val="002255DC"/>
    <w:rsid w:val="002264F7"/>
    <w:rsid w:val="00226928"/>
    <w:rsid w:val="00230B57"/>
    <w:rsid w:val="00232A90"/>
    <w:rsid w:val="002419D6"/>
    <w:rsid w:val="0024687C"/>
    <w:rsid w:val="002471B6"/>
    <w:rsid w:val="00247AFB"/>
    <w:rsid w:val="00253074"/>
    <w:rsid w:val="00254423"/>
    <w:rsid w:val="00255815"/>
    <w:rsid w:val="00260212"/>
    <w:rsid w:val="00273F92"/>
    <w:rsid w:val="00275514"/>
    <w:rsid w:val="00280B91"/>
    <w:rsid w:val="002840B2"/>
    <w:rsid w:val="00294A89"/>
    <w:rsid w:val="002964EE"/>
    <w:rsid w:val="002971E7"/>
    <w:rsid w:val="002A30D5"/>
    <w:rsid w:val="002A3B89"/>
    <w:rsid w:val="002A768C"/>
    <w:rsid w:val="002B49B3"/>
    <w:rsid w:val="002B50D5"/>
    <w:rsid w:val="002C24EE"/>
    <w:rsid w:val="002C2B9A"/>
    <w:rsid w:val="002C3E40"/>
    <w:rsid w:val="002C66D5"/>
    <w:rsid w:val="002D0130"/>
    <w:rsid w:val="002D1F19"/>
    <w:rsid w:val="002D36BA"/>
    <w:rsid w:val="002D4B48"/>
    <w:rsid w:val="002D5DBD"/>
    <w:rsid w:val="002D7377"/>
    <w:rsid w:val="002E2094"/>
    <w:rsid w:val="002E2C47"/>
    <w:rsid w:val="002E4132"/>
    <w:rsid w:val="002E7980"/>
    <w:rsid w:val="002F3CA6"/>
    <w:rsid w:val="00304C02"/>
    <w:rsid w:val="00306D22"/>
    <w:rsid w:val="003076D4"/>
    <w:rsid w:val="0031246D"/>
    <w:rsid w:val="003165DE"/>
    <w:rsid w:val="00317893"/>
    <w:rsid w:val="00322235"/>
    <w:rsid w:val="003253CF"/>
    <w:rsid w:val="0033019D"/>
    <w:rsid w:val="00334FFE"/>
    <w:rsid w:val="0034180C"/>
    <w:rsid w:val="00342BF7"/>
    <w:rsid w:val="003442F0"/>
    <w:rsid w:val="00345FD7"/>
    <w:rsid w:val="003460B2"/>
    <w:rsid w:val="003468C7"/>
    <w:rsid w:val="00347BF2"/>
    <w:rsid w:val="00350CC2"/>
    <w:rsid w:val="0035144F"/>
    <w:rsid w:val="003528F4"/>
    <w:rsid w:val="00354EF6"/>
    <w:rsid w:val="00364343"/>
    <w:rsid w:val="00365488"/>
    <w:rsid w:val="00367B5D"/>
    <w:rsid w:val="00370CA5"/>
    <w:rsid w:val="0037141C"/>
    <w:rsid w:val="003729DC"/>
    <w:rsid w:val="00375711"/>
    <w:rsid w:val="00375BA6"/>
    <w:rsid w:val="0037631F"/>
    <w:rsid w:val="00382EB5"/>
    <w:rsid w:val="0038308E"/>
    <w:rsid w:val="003965B2"/>
    <w:rsid w:val="003B3238"/>
    <w:rsid w:val="003B3770"/>
    <w:rsid w:val="003C1E65"/>
    <w:rsid w:val="003C39C4"/>
    <w:rsid w:val="003C651D"/>
    <w:rsid w:val="003D0EA1"/>
    <w:rsid w:val="003D2802"/>
    <w:rsid w:val="003D32AC"/>
    <w:rsid w:val="003E06E8"/>
    <w:rsid w:val="003E4E73"/>
    <w:rsid w:val="003F1251"/>
    <w:rsid w:val="003F695A"/>
    <w:rsid w:val="004116D6"/>
    <w:rsid w:val="00412A8B"/>
    <w:rsid w:val="004131FE"/>
    <w:rsid w:val="00414851"/>
    <w:rsid w:val="0041636C"/>
    <w:rsid w:val="004212BB"/>
    <w:rsid w:val="00423047"/>
    <w:rsid w:val="0042483C"/>
    <w:rsid w:val="00433205"/>
    <w:rsid w:val="004369B4"/>
    <w:rsid w:val="00436CD0"/>
    <w:rsid w:val="00443586"/>
    <w:rsid w:val="00444CBF"/>
    <w:rsid w:val="00451687"/>
    <w:rsid w:val="004560EF"/>
    <w:rsid w:val="00465B05"/>
    <w:rsid w:val="004750AF"/>
    <w:rsid w:val="004779E8"/>
    <w:rsid w:val="00481AB0"/>
    <w:rsid w:val="00481C60"/>
    <w:rsid w:val="00483AAD"/>
    <w:rsid w:val="004900D8"/>
    <w:rsid w:val="00493015"/>
    <w:rsid w:val="00496C60"/>
    <w:rsid w:val="004B1DA4"/>
    <w:rsid w:val="004B4285"/>
    <w:rsid w:val="004B72F0"/>
    <w:rsid w:val="004C0EB4"/>
    <w:rsid w:val="004C3471"/>
    <w:rsid w:val="004C561C"/>
    <w:rsid w:val="004C59A4"/>
    <w:rsid w:val="004C6D8B"/>
    <w:rsid w:val="004C7517"/>
    <w:rsid w:val="004D5A34"/>
    <w:rsid w:val="004E0EB6"/>
    <w:rsid w:val="004E1CAF"/>
    <w:rsid w:val="004E2489"/>
    <w:rsid w:val="004E2654"/>
    <w:rsid w:val="004E5A3A"/>
    <w:rsid w:val="004E7D28"/>
    <w:rsid w:val="004F12E9"/>
    <w:rsid w:val="004F20AE"/>
    <w:rsid w:val="004F29AD"/>
    <w:rsid w:val="004F7101"/>
    <w:rsid w:val="004F7BCB"/>
    <w:rsid w:val="00503006"/>
    <w:rsid w:val="00504B46"/>
    <w:rsid w:val="005073A2"/>
    <w:rsid w:val="00507F58"/>
    <w:rsid w:val="00511655"/>
    <w:rsid w:val="005135FF"/>
    <w:rsid w:val="00513E69"/>
    <w:rsid w:val="00515CEF"/>
    <w:rsid w:val="00517C42"/>
    <w:rsid w:val="00535D6F"/>
    <w:rsid w:val="005361CA"/>
    <w:rsid w:val="00536DFF"/>
    <w:rsid w:val="00541148"/>
    <w:rsid w:val="005422E7"/>
    <w:rsid w:val="00542F5C"/>
    <w:rsid w:val="005438C5"/>
    <w:rsid w:val="0054787C"/>
    <w:rsid w:val="005521F3"/>
    <w:rsid w:val="005549AC"/>
    <w:rsid w:val="00566597"/>
    <w:rsid w:val="00567FA5"/>
    <w:rsid w:val="00572477"/>
    <w:rsid w:val="005728DA"/>
    <w:rsid w:val="00574F1F"/>
    <w:rsid w:val="005763C2"/>
    <w:rsid w:val="00585B55"/>
    <w:rsid w:val="00586CF3"/>
    <w:rsid w:val="00590613"/>
    <w:rsid w:val="005969FF"/>
    <w:rsid w:val="005A13B0"/>
    <w:rsid w:val="005A1CD3"/>
    <w:rsid w:val="005A4619"/>
    <w:rsid w:val="005A5F76"/>
    <w:rsid w:val="005A6DE5"/>
    <w:rsid w:val="005A7456"/>
    <w:rsid w:val="005B09AC"/>
    <w:rsid w:val="005B241D"/>
    <w:rsid w:val="005B3404"/>
    <w:rsid w:val="005B36E3"/>
    <w:rsid w:val="005B7484"/>
    <w:rsid w:val="005C693D"/>
    <w:rsid w:val="005D13A3"/>
    <w:rsid w:val="005D4A05"/>
    <w:rsid w:val="005D63DE"/>
    <w:rsid w:val="005E071F"/>
    <w:rsid w:val="005E1C1B"/>
    <w:rsid w:val="005F2D20"/>
    <w:rsid w:val="005F5EC9"/>
    <w:rsid w:val="00603BEE"/>
    <w:rsid w:val="00606B42"/>
    <w:rsid w:val="00610A40"/>
    <w:rsid w:val="0061594A"/>
    <w:rsid w:val="00617BB4"/>
    <w:rsid w:val="006210F1"/>
    <w:rsid w:val="00621133"/>
    <w:rsid w:val="006303E7"/>
    <w:rsid w:val="00630D01"/>
    <w:rsid w:val="00632CCD"/>
    <w:rsid w:val="00640936"/>
    <w:rsid w:val="006427E1"/>
    <w:rsid w:val="006431E0"/>
    <w:rsid w:val="006450B0"/>
    <w:rsid w:val="0064558D"/>
    <w:rsid w:val="00650448"/>
    <w:rsid w:val="00662A63"/>
    <w:rsid w:val="006653ED"/>
    <w:rsid w:val="0066673D"/>
    <w:rsid w:val="00672540"/>
    <w:rsid w:val="00673E7A"/>
    <w:rsid w:val="00686E5A"/>
    <w:rsid w:val="006907AD"/>
    <w:rsid w:val="00691FF8"/>
    <w:rsid w:val="00693BB6"/>
    <w:rsid w:val="006959BC"/>
    <w:rsid w:val="006A0C2C"/>
    <w:rsid w:val="006A2E9C"/>
    <w:rsid w:val="006A5178"/>
    <w:rsid w:val="006B00C5"/>
    <w:rsid w:val="006B076F"/>
    <w:rsid w:val="006B3FEF"/>
    <w:rsid w:val="006B41D8"/>
    <w:rsid w:val="006B47BD"/>
    <w:rsid w:val="006B4E44"/>
    <w:rsid w:val="006B569C"/>
    <w:rsid w:val="006B7292"/>
    <w:rsid w:val="006B7BA6"/>
    <w:rsid w:val="006C188E"/>
    <w:rsid w:val="006C18BD"/>
    <w:rsid w:val="006C76CE"/>
    <w:rsid w:val="006E1F6A"/>
    <w:rsid w:val="006E4F47"/>
    <w:rsid w:val="006E5501"/>
    <w:rsid w:val="006E7EB9"/>
    <w:rsid w:val="006F4512"/>
    <w:rsid w:val="006F5485"/>
    <w:rsid w:val="006F6244"/>
    <w:rsid w:val="006F6FB3"/>
    <w:rsid w:val="00704144"/>
    <w:rsid w:val="007124F9"/>
    <w:rsid w:val="007126BE"/>
    <w:rsid w:val="007142BC"/>
    <w:rsid w:val="00715DE7"/>
    <w:rsid w:val="00716071"/>
    <w:rsid w:val="00724B80"/>
    <w:rsid w:val="007262A4"/>
    <w:rsid w:val="007420DB"/>
    <w:rsid w:val="007420E2"/>
    <w:rsid w:val="00746734"/>
    <w:rsid w:val="0074677F"/>
    <w:rsid w:val="007503E6"/>
    <w:rsid w:val="007527CC"/>
    <w:rsid w:val="007610B0"/>
    <w:rsid w:val="00765FC3"/>
    <w:rsid w:val="007718AF"/>
    <w:rsid w:val="00774BC3"/>
    <w:rsid w:val="00776337"/>
    <w:rsid w:val="007908BD"/>
    <w:rsid w:val="00791259"/>
    <w:rsid w:val="00791E68"/>
    <w:rsid w:val="0079201D"/>
    <w:rsid w:val="007926BE"/>
    <w:rsid w:val="00794B76"/>
    <w:rsid w:val="0079627D"/>
    <w:rsid w:val="0079652A"/>
    <w:rsid w:val="007975E3"/>
    <w:rsid w:val="00797B50"/>
    <w:rsid w:val="007A2A29"/>
    <w:rsid w:val="007A4219"/>
    <w:rsid w:val="007A6263"/>
    <w:rsid w:val="007A69B9"/>
    <w:rsid w:val="007B2659"/>
    <w:rsid w:val="007B614D"/>
    <w:rsid w:val="007B6E1D"/>
    <w:rsid w:val="007B7D2A"/>
    <w:rsid w:val="007C034C"/>
    <w:rsid w:val="007C1D97"/>
    <w:rsid w:val="007C7E50"/>
    <w:rsid w:val="007D06E3"/>
    <w:rsid w:val="007D50FA"/>
    <w:rsid w:val="007E2C90"/>
    <w:rsid w:val="007E7BF5"/>
    <w:rsid w:val="007F2C43"/>
    <w:rsid w:val="007F7A85"/>
    <w:rsid w:val="00802E9F"/>
    <w:rsid w:val="00806CEE"/>
    <w:rsid w:val="008107EC"/>
    <w:rsid w:val="00813C68"/>
    <w:rsid w:val="00816769"/>
    <w:rsid w:val="0081697C"/>
    <w:rsid w:val="00817096"/>
    <w:rsid w:val="008233B6"/>
    <w:rsid w:val="008241D4"/>
    <w:rsid w:val="0082601C"/>
    <w:rsid w:val="00830EE7"/>
    <w:rsid w:val="00832A00"/>
    <w:rsid w:val="00833594"/>
    <w:rsid w:val="008347D0"/>
    <w:rsid w:val="0083619B"/>
    <w:rsid w:val="00840292"/>
    <w:rsid w:val="008410AE"/>
    <w:rsid w:val="00850A7E"/>
    <w:rsid w:val="00851759"/>
    <w:rsid w:val="00852722"/>
    <w:rsid w:val="00853EA1"/>
    <w:rsid w:val="0085465C"/>
    <w:rsid w:val="00855EFD"/>
    <w:rsid w:val="00861CF4"/>
    <w:rsid w:val="008622BB"/>
    <w:rsid w:val="00867236"/>
    <w:rsid w:val="008708FE"/>
    <w:rsid w:val="008714CF"/>
    <w:rsid w:val="00872C25"/>
    <w:rsid w:val="0087306D"/>
    <w:rsid w:val="00873A10"/>
    <w:rsid w:val="00876A00"/>
    <w:rsid w:val="00890E8F"/>
    <w:rsid w:val="00890FB7"/>
    <w:rsid w:val="00894CC7"/>
    <w:rsid w:val="00897CDA"/>
    <w:rsid w:val="00897DDC"/>
    <w:rsid w:val="008A370D"/>
    <w:rsid w:val="008A42C5"/>
    <w:rsid w:val="008A5259"/>
    <w:rsid w:val="008A7636"/>
    <w:rsid w:val="008B1373"/>
    <w:rsid w:val="008B2D45"/>
    <w:rsid w:val="008B3EA1"/>
    <w:rsid w:val="008C52CE"/>
    <w:rsid w:val="008C5F20"/>
    <w:rsid w:val="008D0023"/>
    <w:rsid w:val="008D017B"/>
    <w:rsid w:val="008D1316"/>
    <w:rsid w:val="008D2C4C"/>
    <w:rsid w:val="008E140E"/>
    <w:rsid w:val="008E26EC"/>
    <w:rsid w:val="008E3F86"/>
    <w:rsid w:val="008E6D7F"/>
    <w:rsid w:val="008E7025"/>
    <w:rsid w:val="008F1445"/>
    <w:rsid w:val="008F19F8"/>
    <w:rsid w:val="008F2AF3"/>
    <w:rsid w:val="00900993"/>
    <w:rsid w:val="00902867"/>
    <w:rsid w:val="00905488"/>
    <w:rsid w:val="00907493"/>
    <w:rsid w:val="009201E6"/>
    <w:rsid w:val="009259B2"/>
    <w:rsid w:val="00925BB7"/>
    <w:rsid w:val="00932583"/>
    <w:rsid w:val="00932A56"/>
    <w:rsid w:val="009360B1"/>
    <w:rsid w:val="00940751"/>
    <w:rsid w:val="00945256"/>
    <w:rsid w:val="00945458"/>
    <w:rsid w:val="0094573C"/>
    <w:rsid w:val="00945C9D"/>
    <w:rsid w:val="0095068C"/>
    <w:rsid w:val="00952A6D"/>
    <w:rsid w:val="00960D30"/>
    <w:rsid w:val="00963571"/>
    <w:rsid w:val="009648C1"/>
    <w:rsid w:val="0096783A"/>
    <w:rsid w:val="00967DEB"/>
    <w:rsid w:val="009701F1"/>
    <w:rsid w:val="00970622"/>
    <w:rsid w:val="00971C36"/>
    <w:rsid w:val="00971E5D"/>
    <w:rsid w:val="00972BEF"/>
    <w:rsid w:val="0097411A"/>
    <w:rsid w:val="00975767"/>
    <w:rsid w:val="009763DF"/>
    <w:rsid w:val="00976B76"/>
    <w:rsid w:val="009773BC"/>
    <w:rsid w:val="00993112"/>
    <w:rsid w:val="0099544B"/>
    <w:rsid w:val="00997836"/>
    <w:rsid w:val="009A18E7"/>
    <w:rsid w:val="009A247C"/>
    <w:rsid w:val="009A47EE"/>
    <w:rsid w:val="009B1E9F"/>
    <w:rsid w:val="009B2AB1"/>
    <w:rsid w:val="009B2BF8"/>
    <w:rsid w:val="009B3185"/>
    <w:rsid w:val="009B58C9"/>
    <w:rsid w:val="009B5A7C"/>
    <w:rsid w:val="009B74A8"/>
    <w:rsid w:val="009C3FB9"/>
    <w:rsid w:val="009D1552"/>
    <w:rsid w:val="009D5BA0"/>
    <w:rsid w:val="009D7382"/>
    <w:rsid w:val="009E1AA4"/>
    <w:rsid w:val="009E55B9"/>
    <w:rsid w:val="009E59C3"/>
    <w:rsid w:val="009F7BA0"/>
    <w:rsid w:val="00A0322B"/>
    <w:rsid w:val="00A04D3F"/>
    <w:rsid w:val="00A21002"/>
    <w:rsid w:val="00A2120A"/>
    <w:rsid w:val="00A25657"/>
    <w:rsid w:val="00A26A57"/>
    <w:rsid w:val="00A274EC"/>
    <w:rsid w:val="00A300F2"/>
    <w:rsid w:val="00A301CB"/>
    <w:rsid w:val="00A30EC4"/>
    <w:rsid w:val="00A351ED"/>
    <w:rsid w:val="00A37769"/>
    <w:rsid w:val="00A3786B"/>
    <w:rsid w:val="00A4128F"/>
    <w:rsid w:val="00A622C0"/>
    <w:rsid w:val="00A63708"/>
    <w:rsid w:val="00A725C6"/>
    <w:rsid w:val="00A73F97"/>
    <w:rsid w:val="00A822F6"/>
    <w:rsid w:val="00A8772A"/>
    <w:rsid w:val="00A92C8B"/>
    <w:rsid w:val="00A9489D"/>
    <w:rsid w:val="00A96151"/>
    <w:rsid w:val="00A96724"/>
    <w:rsid w:val="00AA3FAF"/>
    <w:rsid w:val="00AB2DEC"/>
    <w:rsid w:val="00AB633E"/>
    <w:rsid w:val="00AB7AF3"/>
    <w:rsid w:val="00AC0518"/>
    <w:rsid w:val="00AC25AD"/>
    <w:rsid w:val="00AD003B"/>
    <w:rsid w:val="00AD4DE3"/>
    <w:rsid w:val="00AE5FCA"/>
    <w:rsid w:val="00AF00FD"/>
    <w:rsid w:val="00AF13D9"/>
    <w:rsid w:val="00AF23A6"/>
    <w:rsid w:val="00AF2753"/>
    <w:rsid w:val="00AF6AFF"/>
    <w:rsid w:val="00AF7FD3"/>
    <w:rsid w:val="00B01511"/>
    <w:rsid w:val="00B11732"/>
    <w:rsid w:val="00B15E3B"/>
    <w:rsid w:val="00B16596"/>
    <w:rsid w:val="00B22A2E"/>
    <w:rsid w:val="00B24FA2"/>
    <w:rsid w:val="00B266E2"/>
    <w:rsid w:val="00B26A60"/>
    <w:rsid w:val="00B27877"/>
    <w:rsid w:val="00B278D8"/>
    <w:rsid w:val="00B334AF"/>
    <w:rsid w:val="00B37000"/>
    <w:rsid w:val="00B4232E"/>
    <w:rsid w:val="00B43B06"/>
    <w:rsid w:val="00B4699C"/>
    <w:rsid w:val="00B47359"/>
    <w:rsid w:val="00B47BCF"/>
    <w:rsid w:val="00B5044A"/>
    <w:rsid w:val="00B571E3"/>
    <w:rsid w:val="00B61C87"/>
    <w:rsid w:val="00B67EA8"/>
    <w:rsid w:val="00B72447"/>
    <w:rsid w:val="00B72A1D"/>
    <w:rsid w:val="00B74866"/>
    <w:rsid w:val="00B75327"/>
    <w:rsid w:val="00B82652"/>
    <w:rsid w:val="00B8680C"/>
    <w:rsid w:val="00BA19E0"/>
    <w:rsid w:val="00BA3F17"/>
    <w:rsid w:val="00BA4C47"/>
    <w:rsid w:val="00BA5BCA"/>
    <w:rsid w:val="00BB4E56"/>
    <w:rsid w:val="00BB6789"/>
    <w:rsid w:val="00BC0417"/>
    <w:rsid w:val="00BC0C09"/>
    <w:rsid w:val="00BC456E"/>
    <w:rsid w:val="00BC4DFA"/>
    <w:rsid w:val="00BC5CF8"/>
    <w:rsid w:val="00BC6CFA"/>
    <w:rsid w:val="00BD2A11"/>
    <w:rsid w:val="00BD570F"/>
    <w:rsid w:val="00BD6BF1"/>
    <w:rsid w:val="00BE18A9"/>
    <w:rsid w:val="00BE4475"/>
    <w:rsid w:val="00C014B3"/>
    <w:rsid w:val="00C0204E"/>
    <w:rsid w:val="00C04157"/>
    <w:rsid w:val="00C05E3B"/>
    <w:rsid w:val="00C10285"/>
    <w:rsid w:val="00C13DF8"/>
    <w:rsid w:val="00C1609B"/>
    <w:rsid w:val="00C238E6"/>
    <w:rsid w:val="00C23991"/>
    <w:rsid w:val="00C30492"/>
    <w:rsid w:val="00C30F2F"/>
    <w:rsid w:val="00C41A02"/>
    <w:rsid w:val="00C41E57"/>
    <w:rsid w:val="00C433A4"/>
    <w:rsid w:val="00C43B4B"/>
    <w:rsid w:val="00C44958"/>
    <w:rsid w:val="00C4681B"/>
    <w:rsid w:val="00C5168A"/>
    <w:rsid w:val="00C56991"/>
    <w:rsid w:val="00C63597"/>
    <w:rsid w:val="00C63BED"/>
    <w:rsid w:val="00C71044"/>
    <w:rsid w:val="00C72B68"/>
    <w:rsid w:val="00C73A2E"/>
    <w:rsid w:val="00C772B7"/>
    <w:rsid w:val="00C774CA"/>
    <w:rsid w:val="00C775DE"/>
    <w:rsid w:val="00C776D4"/>
    <w:rsid w:val="00C77ED0"/>
    <w:rsid w:val="00C82A4A"/>
    <w:rsid w:val="00C859AA"/>
    <w:rsid w:val="00C85F18"/>
    <w:rsid w:val="00C90F3A"/>
    <w:rsid w:val="00C93F6C"/>
    <w:rsid w:val="00C9618C"/>
    <w:rsid w:val="00C97087"/>
    <w:rsid w:val="00CA0E70"/>
    <w:rsid w:val="00CA1E0C"/>
    <w:rsid w:val="00CA2BA7"/>
    <w:rsid w:val="00CA4CA6"/>
    <w:rsid w:val="00CA7EFD"/>
    <w:rsid w:val="00CB3815"/>
    <w:rsid w:val="00CB4073"/>
    <w:rsid w:val="00CB50D1"/>
    <w:rsid w:val="00CB74B6"/>
    <w:rsid w:val="00CB7EA7"/>
    <w:rsid w:val="00CC1547"/>
    <w:rsid w:val="00CC2E5C"/>
    <w:rsid w:val="00CC61E4"/>
    <w:rsid w:val="00CC6536"/>
    <w:rsid w:val="00CC7BFC"/>
    <w:rsid w:val="00CD27C8"/>
    <w:rsid w:val="00CD4D04"/>
    <w:rsid w:val="00CD5A83"/>
    <w:rsid w:val="00CD6209"/>
    <w:rsid w:val="00CD62F9"/>
    <w:rsid w:val="00CD7D1B"/>
    <w:rsid w:val="00CF0176"/>
    <w:rsid w:val="00CF15B4"/>
    <w:rsid w:val="00CF56CE"/>
    <w:rsid w:val="00CF5FF7"/>
    <w:rsid w:val="00D01B19"/>
    <w:rsid w:val="00D0325B"/>
    <w:rsid w:val="00D14726"/>
    <w:rsid w:val="00D22103"/>
    <w:rsid w:val="00D2399D"/>
    <w:rsid w:val="00D24C6F"/>
    <w:rsid w:val="00D3344C"/>
    <w:rsid w:val="00D47218"/>
    <w:rsid w:val="00D52F84"/>
    <w:rsid w:val="00D55E6C"/>
    <w:rsid w:val="00D62849"/>
    <w:rsid w:val="00D6535A"/>
    <w:rsid w:val="00D70003"/>
    <w:rsid w:val="00D7418F"/>
    <w:rsid w:val="00D83685"/>
    <w:rsid w:val="00D8423D"/>
    <w:rsid w:val="00D84FAE"/>
    <w:rsid w:val="00D93909"/>
    <w:rsid w:val="00D9452E"/>
    <w:rsid w:val="00D94F1F"/>
    <w:rsid w:val="00D95818"/>
    <w:rsid w:val="00D97DE6"/>
    <w:rsid w:val="00DA4886"/>
    <w:rsid w:val="00DB16D0"/>
    <w:rsid w:val="00DB44B4"/>
    <w:rsid w:val="00DB45EA"/>
    <w:rsid w:val="00DB63A8"/>
    <w:rsid w:val="00DB75C6"/>
    <w:rsid w:val="00DC35A5"/>
    <w:rsid w:val="00DC45A4"/>
    <w:rsid w:val="00DC5BED"/>
    <w:rsid w:val="00DC6688"/>
    <w:rsid w:val="00DC77D6"/>
    <w:rsid w:val="00DD1F4B"/>
    <w:rsid w:val="00DD2EC7"/>
    <w:rsid w:val="00DD3002"/>
    <w:rsid w:val="00DD39B1"/>
    <w:rsid w:val="00DD580B"/>
    <w:rsid w:val="00DD674F"/>
    <w:rsid w:val="00DE3449"/>
    <w:rsid w:val="00DE4FAC"/>
    <w:rsid w:val="00DE620D"/>
    <w:rsid w:val="00DF0022"/>
    <w:rsid w:val="00DF4323"/>
    <w:rsid w:val="00E01BED"/>
    <w:rsid w:val="00E06C37"/>
    <w:rsid w:val="00E17E54"/>
    <w:rsid w:val="00E17E8C"/>
    <w:rsid w:val="00E22F7C"/>
    <w:rsid w:val="00E239CD"/>
    <w:rsid w:val="00E26235"/>
    <w:rsid w:val="00E31436"/>
    <w:rsid w:val="00E36324"/>
    <w:rsid w:val="00E41652"/>
    <w:rsid w:val="00E431BA"/>
    <w:rsid w:val="00E44EC7"/>
    <w:rsid w:val="00E54E90"/>
    <w:rsid w:val="00E61CC5"/>
    <w:rsid w:val="00E620B2"/>
    <w:rsid w:val="00E63BF8"/>
    <w:rsid w:val="00E73111"/>
    <w:rsid w:val="00E734FC"/>
    <w:rsid w:val="00E73DFE"/>
    <w:rsid w:val="00E82397"/>
    <w:rsid w:val="00E86425"/>
    <w:rsid w:val="00E91B25"/>
    <w:rsid w:val="00E94DC3"/>
    <w:rsid w:val="00E95C97"/>
    <w:rsid w:val="00EA24DB"/>
    <w:rsid w:val="00EA3801"/>
    <w:rsid w:val="00EA3C75"/>
    <w:rsid w:val="00EB2FC9"/>
    <w:rsid w:val="00EB6E82"/>
    <w:rsid w:val="00EC081A"/>
    <w:rsid w:val="00EC5EC6"/>
    <w:rsid w:val="00EC66E7"/>
    <w:rsid w:val="00ED0A4D"/>
    <w:rsid w:val="00ED3420"/>
    <w:rsid w:val="00ED4DE9"/>
    <w:rsid w:val="00ED79F4"/>
    <w:rsid w:val="00EE4B2D"/>
    <w:rsid w:val="00EE52A3"/>
    <w:rsid w:val="00EE65C1"/>
    <w:rsid w:val="00EF2ABF"/>
    <w:rsid w:val="00EF4062"/>
    <w:rsid w:val="00EF4B30"/>
    <w:rsid w:val="00EF7469"/>
    <w:rsid w:val="00F05ACD"/>
    <w:rsid w:val="00F06250"/>
    <w:rsid w:val="00F10DD6"/>
    <w:rsid w:val="00F128E5"/>
    <w:rsid w:val="00F14D18"/>
    <w:rsid w:val="00F16836"/>
    <w:rsid w:val="00F25ACE"/>
    <w:rsid w:val="00F27D2F"/>
    <w:rsid w:val="00F33DFE"/>
    <w:rsid w:val="00F351B2"/>
    <w:rsid w:val="00F4175C"/>
    <w:rsid w:val="00F50ED9"/>
    <w:rsid w:val="00F525EF"/>
    <w:rsid w:val="00F607D2"/>
    <w:rsid w:val="00F64E82"/>
    <w:rsid w:val="00F65E28"/>
    <w:rsid w:val="00F661E0"/>
    <w:rsid w:val="00F72990"/>
    <w:rsid w:val="00F734AA"/>
    <w:rsid w:val="00F76F8E"/>
    <w:rsid w:val="00F777F0"/>
    <w:rsid w:val="00F84B27"/>
    <w:rsid w:val="00F8599E"/>
    <w:rsid w:val="00F90BFC"/>
    <w:rsid w:val="00F9169F"/>
    <w:rsid w:val="00F94926"/>
    <w:rsid w:val="00FA0FE5"/>
    <w:rsid w:val="00FA1AC4"/>
    <w:rsid w:val="00FB07CA"/>
    <w:rsid w:val="00FB3DDE"/>
    <w:rsid w:val="00FC18C8"/>
    <w:rsid w:val="00FC5796"/>
    <w:rsid w:val="00FC6728"/>
    <w:rsid w:val="00FC71B8"/>
    <w:rsid w:val="00FC727F"/>
    <w:rsid w:val="00FD0274"/>
    <w:rsid w:val="00FD30C0"/>
    <w:rsid w:val="00FD71C8"/>
    <w:rsid w:val="00FD765F"/>
    <w:rsid w:val="00FE0245"/>
    <w:rsid w:val="00FE1B08"/>
    <w:rsid w:val="00FE5939"/>
    <w:rsid w:val="00FE5F91"/>
    <w:rsid w:val="00FE720F"/>
    <w:rsid w:val="00FF0334"/>
    <w:rsid w:val="00FF745C"/>
    <w:rsid w:val="03D91537"/>
    <w:rsid w:val="058A6578"/>
    <w:rsid w:val="3E2E7671"/>
    <w:rsid w:val="494C3DC3"/>
    <w:rsid w:val="761F196E"/>
    <w:rsid w:val="7EE051D4"/>
  </w:rsids>
  <w:docVars>
    <w:docVar w:name="commondata" w:val="eyJoZGlkIjoiNTRiMzMzY2U2ODkzNjNjMWQzZWJjNzI4NzcyNmU4NzQ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545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annotation text" w:uiPriority="0" w:unhideWhenUsed="0" w:qFormat="1"/>
    <w:lsdException w:name="header" w:semiHidden="0" w:uiPriority="0" w:qFormat="1"/>
    <w:lsdException w:name="footer" w:semiHidden="0" w:qFormat="1"/>
    <w:lsdException w:name="caption" w:uiPriority="35" w:qFormat="1"/>
    <w:lsdException w:name="annotation reference" w:uiPriority="0" w:unhideWhenUsed="0"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Document Map" w:qFormat="1"/>
    <w:lsdException w:name="Normal (Web)" w:semiHidden="0" w:unhideWhenUsed="0" w:qFormat="1"/>
    <w:lsdException w:name="Normal Table" w:qFormat="1"/>
    <w:lsdException w:name="annotation subject" w:uiPriority="0" w:unhideWhenUsed="0" w:qFormat="1"/>
    <w:lsdException w:name="Balloon Text" w:uiPriority="0" w:unhideWhenUsed="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pacing w:line="600" w:lineRule="exact"/>
      <w:ind w:firstLine="200" w:firstLineChars="200"/>
      <w:jc w:val="both"/>
    </w:pPr>
    <w:rPr>
      <w:rFonts w:ascii="仿宋_GB2312" w:eastAsia="仿宋_GB2312"/>
      <w:kern w:val="2"/>
      <w:sz w:val="32"/>
      <w:szCs w:val="21"/>
    </w:rPr>
  </w:style>
  <w:style w:type="paragraph" w:styleId="Heading1">
    <w:name w:val="heading 1"/>
    <w:basedOn w:val="Normal"/>
    <w:next w:val="Normal"/>
    <w:link w:val="1Char"/>
    <w:uiPriority w:val="9"/>
    <w:qFormat/>
    <w:pPr>
      <w:numPr>
        <w:numId w:val="1"/>
      </w:numPr>
      <w:spacing w:line="560" w:lineRule="exact"/>
      <w:ind w:firstLineChars="0"/>
      <w:outlineLvl w:val="0"/>
    </w:pPr>
    <w:rPr>
      <w:rFonts w:ascii="黑体" w:eastAsia="黑体"/>
      <w:bCs/>
      <w:kern w:val="44"/>
      <w:szCs w:val="44"/>
    </w:rPr>
  </w:style>
  <w:style w:type="paragraph" w:styleId="Heading2">
    <w:name w:val="heading 2"/>
    <w:basedOn w:val="Normal"/>
    <w:next w:val="Normal"/>
    <w:link w:val="2Char"/>
    <w:uiPriority w:val="9"/>
    <w:unhideWhenUsed/>
    <w:qFormat/>
    <w:pPr>
      <w:numPr>
        <w:ilvl w:val="1"/>
        <w:numId w:val="1"/>
      </w:numPr>
      <w:spacing w:line="560" w:lineRule="exact"/>
      <w:ind w:firstLineChars="0"/>
      <w:outlineLvl w:val="1"/>
    </w:pPr>
    <w:rPr>
      <w:rFonts w:ascii="Cambria" w:eastAsia="楷体" w:hAnsi="Cambria"/>
      <w:bCs/>
      <w:szCs w:val="32"/>
    </w:rPr>
  </w:style>
  <w:style w:type="paragraph" w:styleId="Heading3">
    <w:name w:val="heading 3"/>
    <w:basedOn w:val="Normal"/>
    <w:next w:val="Normal"/>
    <w:link w:val="3Char"/>
    <w:uiPriority w:val="9"/>
    <w:unhideWhenUsed/>
    <w:qFormat/>
    <w:pPr>
      <w:numPr>
        <w:ilvl w:val="2"/>
        <w:numId w:val="1"/>
      </w:numPr>
      <w:spacing w:line="560" w:lineRule="exact"/>
      <w:ind w:firstLineChars="0"/>
      <w:outlineLvl w:val="2"/>
    </w:pPr>
    <w:rPr>
      <w:bCs/>
      <w:szCs w:val="32"/>
    </w:rPr>
  </w:style>
  <w:style w:type="paragraph" w:styleId="Heading4">
    <w:name w:val="heading 4"/>
    <w:basedOn w:val="Normal"/>
    <w:next w:val="Normal"/>
    <w:link w:val="4Char"/>
    <w:uiPriority w:val="9"/>
    <w:unhideWhenUsed/>
    <w:qFormat/>
    <w:pPr>
      <w:numPr>
        <w:ilvl w:val="3"/>
        <w:numId w:val="1"/>
      </w:numPr>
      <w:spacing w:line="560" w:lineRule="exact"/>
      <w:ind w:firstLine="200"/>
      <w:outlineLvl w:val="3"/>
    </w:pPr>
    <w:rPr>
      <w:rFonts w:hAnsi="Cambria"/>
      <w:bCs/>
      <w:szCs w:val="28"/>
    </w:rPr>
  </w:style>
  <w:style w:type="paragraph" w:styleId="Heading5">
    <w:name w:val="heading 5"/>
    <w:basedOn w:val="Normal"/>
    <w:next w:val="Normal"/>
    <w:link w:val="5Char"/>
    <w:uiPriority w:val="9"/>
    <w:unhideWhenUsed/>
    <w:qFormat/>
    <w:pPr>
      <w:keepNext/>
      <w:keepLines/>
      <w:numPr>
        <w:ilvl w:val="4"/>
        <w:numId w:val="1"/>
      </w:numPr>
      <w:spacing w:line="560" w:lineRule="exact"/>
      <w:outlineLvl w:val="4"/>
    </w:pPr>
    <w:rPr>
      <w:bCs/>
      <w:szCs w:val="28"/>
    </w:rPr>
  </w:style>
  <w:style w:type="paragraph" w:styleId="Heading6">
    <w:name w:val="heading 6"/>
    <w:basedOn w:val="Normal"/>
    <w:next w:val="Normal"/>
    <w:link w:val="6Char"/>
    <w:uiPriority w:val="9"/>
    <w:unhideWhenUsed/>
    <w:qFormat/>
    <w:pPr>
      <w:keepNext/>
      <w:keepLines/>
      <w:spacing w:before="240" w:after="64" w:line="320" w:lineRule="atLeast"/>
      <w:outlineLvl w:val="5"/>
    </w:pPr>
    <w:rPr>
      <w:rFonts w:ascii="宋体" w:eastAsia="宋体" w:hAnsi="Cambria"/>
      <w:b/>
      <w:bCs/>
      <w:sz w:val="24"/>
      <w:szCs w:val="24"/>
    </w:rPr>
  </w:style>
  <w:style w:type="paragraph" w:styleId="Heading7">
    <w:name w:val="heading 7"/>
    <w:basedOn w:val="Normal"/>
    <w:next w:val="Normal"/>
    <w:link w:val="7Char"/>
    <w:uiPriority w:val="9"/>
    <w:semiHidden/>
    <w:unhideWhenUsed/>
    <w:qFormat/>
    <w:pPr>
      <w:keepNext/>
      <w:keepLines/>
      <w:spacing w:before="240" w:after="64" w:line="320" w:lineRule="atLeast"/>
      <w:outlineLvl w:val="6"/>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7">
    <w:name w:val="toc 7"/>
    <w:basedOn w:val="Normal"/>
    <w:next w:val="Normal"/>
    <w:uiPriority w:val="39"/>
    <w:unhideWhenUsed/>
    <w:qFormat/>
    <w:pPr>
      <w:ind w:left="1920"/>
      <w:jc w:val="left"/>
    </w:pPr>
    <w:rPr>
      <w:rFonts w:ascii="Calibri" w:cs="Calibri"/>
      <w:sz w:val="18"/>
      <w:szCs w:val="18"/>
    </w:rPr>
  </w:style>
  <w:style w:type="paragraph" w:styleId="DocumentMap">
    <w:name w:val="Document Map"/>
    <w:basedOn w:val="Normal"/>
    <w:link w:val="Char1"/>
    <w:uiPriority w:val="99"/>
    <w:semiHidden/>
    <w:unhideWhenUsed/>
    <w:qFormat/>
    <w:rPr>
      <w:rFonts w:ascii="宋体" w:eastAsia="宋体"/>
      <w:sz w:val="18"/>
      <w:szCs w:val="18"/>
    </w:rPr>
  </w:style>
  <w:style w:type="paragraph" w:styleId="CommentText">
    <w:name w:val="annotation text"/>
    <w:basedOn w:val="Normal"/>
    <w:link w:val="Char4"/>
    <w:semiHidden/>
    <w:qFormat/>
    <w:pPr>
      <w:spacing w:line="240" w:lineRule="auto"/>
      <w:ind w:firstLine="0" w:firstLineChars="0"/>
      <w:jc w:val="left"/>
    </w:pPr>
    <w:rPr>
      <w:rFonts w:ascii="Times New Roman" w:eastAsia="宋体" w:hAnsi="Times New Roman"/>
      <w:sz w:val="21"/>
      <w:szCs w:val="24"/>
    </w:rPr>
  </w:style>
  <w:style w:type="paragraph" w:styleId="TOC5">
    <w:name w:val="toc 5"/>
    <w:basedOn w:val="Normal"/>
    <w:next w:val="Normal"/>
    <w:uiPriority w:val="39"/>
    <w:unhideWhenUsed/>
    <w:qFormat/>
    <w:pPr>
      <w:ind w:left="1280"/>
      <w:jc w:val="left"/>
    </w:pPr>
    <w:rPr>
      <w:rFonts w:ascii="Calibri" w:cs="Calibri"/>
      <w:sz w:val="18"/>
      <w:szCs w:val="18"/>
    </w:rPr>
  </w:style>
  <w:style w:type="paragraph" w:styleId="TOC3">
    <w:name w:val="toc 3"/>
    <w:basedOn w:val="Normal"/>
    <w:next w:val="Normal"/>
    <w:uiPriority w:val="39"/>
    <w:unhideWhenUsed/>
    <w:qFormat/>
    <w:pPr>
      <w:ind w:left="640"/>
      <w:jc w:val="left"/>
    </w:pPr>
    <w:rPr>
      <w:rFonts w:ascii="Calibri" w:cs="Calibri"/>
      <w:i/>
      <w:iCs/>
      <w:sz w:val="20"/>
      <w:szCs w:val="20"/>
    </w:rPr>
  </w:style>
  <w:style w:type="paragraph" w:styleId="TOC8">
    <w:name w:val="toc 8"/>
    <w:basedOn w:val="Normal"/>
    <w:next w:val="Normal"/>
    <w:uiPriority w:val="39"/>
    <w:unhideWhenUsed/>
    <w:qFormat/>
    <w:pPr>
      <w:ind w:left="2240"/>
      <w:jc w:val="left"/>
    </w:pPr>
    <w:rPr>
      <w:rFonts w:ascii="Calibri" w:cs="Calibri"/>
      <w:sz w:val="18"/>
      <w:szCs w:val="18"/>
    </w:rPr>
  </w:style>
  <w:style w:type="paragraph" w:styleId="Date">
    <w:name w:val="Date"/>
    <w:basedOn w:val="Normal"/>
    <w:next w:val="Normal"/>
    <w:link w:val="Char2"/>
    <w:uiPriority w:val="99"/>
    <w:semiHidden/>
    <w:unhideWhenUsed/>
    <w:qFormat/>
    <w:pPr>
      <w:ind w:left="100" w:leftChars="2500"/>
    </w:pPr>
  </w:style>
  <w:style w:type="paragraph" w:styleId="BalloonText">
    <w:name w:val="Balloon Text"/>
    <w:basedOn w:val="Normal"/>
    <w:link w:val="Char3"/>
    <w:semiHidden/>
    <w:qFormat/>
    <w:pPr>
      <w:spacing w:line="240" w:lineRule="auto"/>
      <w:ind w:firstLine="0" w:firstLineChars="0"/>
    </w:pPr>
    <w:rPr>
      <w:rFonts w:ascii="Times New Roman" w:eastAsia="宋体" w:hAnsi="Times New Roman"/>
      <w:sz w:val="18"/>
      <w:szCs w:val="18"/>
    </w:rPr>
  </w:style>
  <w:style w:type="paragraph" w:styleId="Footer">
    <w:name w:val="footer"/>
    <w:basedOn w:val="Normal"/>
    <w:link w:val="Char0"/>
    <w:uiPriority w:val="99"/>
    <w:unhideWhenUsed/>
    <w:qFormat/>
    <w:pPr>
      <w:tabs>
        <w:tab w:val="center" w:pos="4153"/>
        <w:tab w:val="right" w:pos="8306"/>
      </w:tabs>
      <w:snapToGrid w:val="0"/>
      <w:spacing w:line="240" w:lineRule="atLeast"/>
      <w:jc w:val="left"/>
    </w:pPr>
    <w:rPr>
      <w:sz w:val="18"/>
      <w:szCs w:val="18"/>
    </w:rPr>
  </w:style>
  <w:style w:type="paragraph" w:styleId="Header">
    <w:name w:val="header"/>
    <w:basedOn w:val="Normal"/>
    <w:link w:val="Char"/>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TOC1">
    <w:name w:val="toc 1"/>
    <w:basedOn w:val="Normal"/>
    <w:next w:val="Normal"/>
    <w:uiPriority w:val="39"/>
    <w:unhideWhenUsed/>
    <w:qFormat/>
    <w:pPr>
      <w:spacing w:before="120" w:after="120"/>
      <w:jc w:val="left"/>
    </w:pPr>
    <w:rPr>
      <w:rFonts w:ascii="Calibri" w:cs="Calibri"/>
      <w:b/>
      <w:bCs/>
      <w:caps/>
      <w:sz w:val="20"/>
      <w:szCs w:val="20"/>
    </w:rPr>
  </w:style>
  <w:style w:type="paragraph" w:styleId="TOC4">
    <w:name w:val="toc 4"/>
    <w:basedOn w:val="Normal"/>
    <w:next w:val="Normal"/>
    <w:uiPriority w:val="39"/>
    <w:unhideWhenUsed/>
    <w:qFormat/>
    <w:pPr>
      <w:ind w:left="960"/>
      <w:jc w:val="left"/>
    </w:pPr>
    <w:rPr>
      <w:rFonts w:ascii="Calibri" w:cs="Calibri"/>
      <w:sz w:val="18"/>
      <w:szCs w:val="18"/>
    </w:rPr>
  </w:style>
  <w:style w:type="paragraph" w:styleId="TOC6">
    <w:name w:val="toc 6"/>
    <w:basedOn w:val="Normal"/>
    <w:next w:val="Normal"/>
    <w:uiPriority w:val="39"/>
    <w:unhideWhenUsed/>
    <w:qFormat/>
    <w:pPr>
      <w:ind w:left="1600"/>
      <w:jc w:val="left"/>
    </w:pPr>
    <w:rPr>
      <w:rFonts w:ascii="Calibri" w:cs="Calibri"/>
      <w:sz w:val="18"/>
      <w:szCs w:val="18"/>
    </w:rPr>
  </w:style>
  <w:style w:type="paragraph" w:styleId="TOC2">
    <w:name w:val="toc 2"/>
    <w:basedOn w:val="Normal"/>
    <w:next w:val="Normal"/>
    <w:uiPriority w:val="39"/>
    <w:unhideWhenUsed/>
    <w:qFormat/>
    <w:pPr>
      <w:ind w:left="320"/>
      <w:jc w:val="left"/>
    </w:pPr>
    <w:rPr>
      <w:rFonts w:ascii="Calibri" w:cs="Calibri"/>
      <w:smallCaps/>
      <w:sz w:val="20"/>
      <w:szCs w:val="20"/>
    </w:rPr>
  </w:style>
  <w:style w:type="paragraph" w:styleId="TOC9">
    <w:name w:val="toc 9"/>
    <w:basedOn w:val="Normal"/>
    <w:next w:val="Normal"/>
    <w:uiPriority w:val="39"/>
    <w:unhideWhenUsed/>
    <w:qFormat/>
    <w:pPr>
      <w:ind w:left="2560"/>
      <w:jc w:val="left"/>
    </w:pPr>
    <w:rPr>
      <w:rFonts w:ascii="Calibri" w:cs="Calibri"/>
      <w:sz w:val="18"/>
      <w:szCs w:val="18"/>
    </w:rPr>
  </w:style>
  <w:style w:type="paragraph" w:styleId="NormalWeb">
    <w:name w:val="Normal (Web)"/>
    <w:basedOn w:val="Normal"/>
    <w:uiPriority w:val="99"/>
    <w:qFormat/>
    <w:pPr>
      <w:widowControl/>
      <w:spacing w:before="100" w:beforeAutospacing="1" w:after="100" w:afterAutospacing="1" w:line="240" w:lineRule="auto"/>
      <w:ind w:firstLine="0" w:firstLineChars="0"/>
      <w:jc w:val="left"/>
    </w:pPr>
    <w:rPr>
      <w:rFonts w:ascii="宋体" w:eastAsia="宋体" w:hAnsi="宋体" w:cs="宋体"/>
      <w:kern w:val="0"/>
      <w:sz w:val="24"/>
      <w:szCs w:val="24"/>
    </w:rPr>
  </w:style>
  <w:style w:type="paragraph" w:styleId="CommentSubject">
    <w:name w:val="annotation subject"/>
    <w:basedOn w:val="CommentText"/>
    <w:next w:val="CommentText"/>
    <w:link w:val="Char5"/>
    <w:semiHidden/>
    <w:qFormat/>
    <w:rPr>
      <w:b/>
      <w:bCs/>
    </w:rPr>
  </w:style>
  <w:style w:type="table" w:styleId="TableGrid">
    <w:name w:val="Table Grid"/>
    <w:basedOn w:val="TableNormal"/>
    <w:qFormat/>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qFormat/>
  </w:style>
  <w:style w:type="character" w:styleId="Hyperlink">
    <w:name w:val="Hyperlink"/>
    <w:uiPriority w:val="99"/>
    <w:unhideWhenUsed/>
    <w:qFormat/>
    <w:rPr>
      <w:color w:val="0000FF"/>
      <w:u w:val="single"/>
    </w:rPr>
  </w:style>
  <w:style w:type="character" w:styleId="CommentReference">
    <w:name w:val="annotation reference"/>
    <w:semiHidden/>
    <w:qFormat/>
    <w:rPr>
      <w:sz w:val="21"/>
      <w:szCs w:val="21"/>
    </w:rPr>
  </w:style>
  <w:style w:type="paragraph" w:styleId="ListParagraph">
    <w:name w:val="List Paragraph"/>
    <w:basedOn w:val="Normal"/>
    <w:qFormat/>
    <w:pPr>
      <w:ind w:firstLine="420"/>
    </w:pPr>
  </w:style>
  <w:style w:type="character" w:customStyle="1" w:styleId="1Char">
    <w:name w:val="标题 1 Char"/>
    <w:link w:val="Heading1"/>
    <w:uiPriority w:val="9"/>
    <w:qFormat/>
    <w:rPr>
      <w:rFonts w:ascii="黑体" w:eastAsia="黑体"/>
      <w:bCs/>
      <w:kern w:val="44"/>
      <w:sz w:val="32"/>
      <w:szCs w:val="44"/>
    </w:rPr>
  </w:style>
  <w:style w:type="character" w:customStyle="1" w:styleId="2Char">
    <w:name w:val="标题 2 Char"/>
    <w:link w:val="Heading2"/>
    <w:uiPriority w:val="9"/>
    <w:qFormat/>
    <w:rPr>
      <w:rFonts w:ascii="Cambria" w:eastAsia="楷体" w:hAnsi="Cambria"/>
      <w:bCs/>
      <w:kern w:val="2"/>
      <w:sz w:val="32"/>
      <w:szCs w:val="32"/>
    </w:rPr>
  </w:style>
  <w:style w:type="character" w:customStyle="1" w:styleId="3Char">
    <w:name w:val="标题 3 Char"/>
    <w:link w:val="Heading3"/>
    <w:uiPriority w:val="9"/>
    <w:qFormat/>
    <w:rPr>
      <w:rFonts w:ascii="仿宋_GB2312" w:eastAsia="仿宋_GB2312"/>
      <w:bCs/>
      <w:kern w:val="2"/>
      <w:sz w:val="32"/>
      <w:szCs w:val="32"/>
    </w:rPr>
  </w:style>
  <w:style w:type="character" w:customStyle="1" w:styleId="4Char">
    <w:name w:val="标题 4 Char"/>
    <w:link w:val="Heading4"/>
    <w:uiPriority w:val="9"/>
    <w:qFormat/>
    <w:rPr>
      <w:rFonts w:ascii="仿宋_GB2312" w:eastAsia="仿宋_GB2312" w:hAnsi="Cambria"/>
      <w:bCs/>
      <w:kern w:val="2"/>
      <w:sz w:val="32"/>
      <w:szCs w:val="28"/>
    </w:rPr>
  </w:style>
  <w:style w:type="paragraph" w:customStyle="1" w:styleId="a">
    <w:name w:val="大标题"/>
    <w:basedOn w:val="Normal"/>
    <w:qFormat/>
    <w:pPr>
      <w:spacing w:line="560" w:lineRule="exact"/>
      <w:ind w:firstLine="0" w:firstLineChars="0"/>
      <w:jc w:val="center"/>
    </w:pPr>
    <w:rPr>
      <w:rFonts w:ascii="宋体" w:eastAsia="宋体"/>
      <w:b/>
      <w:sz w:val="44"/>
    </w:rPr>
  </w:style>
  <w:style w:type="character" w:customStyle="1" w:styleId="Char">
    <w:name w:val="页眉 Char"/>
    <w:link w:val="Header"/>
    <w:qFormat/>
    <w:rPr>
      <w:rFonts w:ascii="仿宋_GB2312" w:eastAsia="仿宋_GB2312"/>
      <w:sz w:val="18"/>
      <w:szCs w:val="18"/>
    </w:rPr>
  </w:style>
  <w:style w:type="character" w:customStyle="1" w:styleId="Char0">
    <w:name w:val="页脚 Char"/>
    <w:link w:val="Footer"/>
    <w:uiPriority w:val="99"/>
    <w:qFormat/>
    <w:rPr>
      <w:rFonts w:ascii="仿宋_GB2312" w:eastAsia="仿宋_GB2312"/>
      <w:sz w:val="18"/>
      <w:szCs w:val="18"/>
    </w:rPr>
  </w:style>
  <w:style w:type="character" w:customStyle="1" w:styleId="Char1">
    <w:name w:val="文档结构图 Char"/>
    <w:link w:val="DocumentMap"/>
    <w:uiPriority w:val="99"/>
    <w:semiHidden/>
    <w:qFormat/>
    <w:rPr>
      <w:rFonts w:ascii="宋体" w:eastAsia="宋体"/>
      <w:sz w:val="18"/>
      <w:szCs w:val="18"/>
    </w:rPr>
  </w:style>
  <w:style w:type="character" w:customStyle="1" w:styleId="Char2">
    <w:name w:val="日期 Char"/>
    <w:link w:val="Date"/>
    <w:uiPriority w:val="99"/>
    <w:semiHidden/>
    <w:qFormat/>
    <w:rPr>
      <w:rFonts w:ascii="仿宋_GB2312" w:eastAsia="仿宋_GB2312"/>
      <w:sz w:val="32"/>
    </w:rPr>
  </w:style>
  <w:style w:type="character" w:customStyle="1" w:styleId="5Char">
    <w:name w:val="标题 5 Char"/>
    <w:link w:val="Heading5"/>
    <w:uiPriority w:val="9"/>
    <w:qFormat/>
    <w:rPr>
      <w:rFonts w:ascii="仿宋_GB2312" w:eastAsia="仿宋_GB2312"/>
      <w:bCs/>
      <w:kern w:val="2"/>
      <w:sz w:val="32"/>
      <w:szCs w:val="28"/>
    </w:rPr>
  </w:style>
  <w:style w:type="character" w:customStyle="1" w:styleId="6Char">
    <w:name w:val="标题 6 Char"/>
    <w:link w:val="Heading6"/>
    <w:uiPriority w:val="9"/>
    <w:qFormat/>
    <w:rPr>
      <w:rFonts w:ascii="宋体" w:eastAsia="宋体" w:hAnsi="Cambria" w:cs="Times New Roman"/>
      <w:b/>
      <w:bCs/>
      <w:sz w:val="24"/>
      <w:szCs w:val="24"/>
    </w:rPr>
  </w:style>
  <w:style w:type="character" w:customStyle="1" w:styleId="7Char">
    <w:name w:val="标题 7 Char"/>
    <w:link w:val="Heading7"/>
    <w:uiPriority w:val="9"/>
    <w:semiHidden/>
    <w:qFormat/>
    <w:rPr>
      <w:rFonts w:ascii="仿宋_GB2312" w:eastAsia="仿宋_GB2312"/>
      <w:b/>
      <w:bCs/>
      <w:sz w:val="24"/>
      <w:szCs w:val="24"/>
    </w:rPr>
  </w:style>
  <w:style w:type="paragraph" w:customStyle="1" w:styleId="zwChar">
    <w:name w:val="zw Char"/>
    <w:basedOn w:val="Normal"/>
    <w:link w:val="zwCharChar"/>
    <w:qFormat/>
    <w:pPr>
      <w:spacing w:line="240" w:lineRule="auto"/>
      <w:ind w:firstLine="420"/>
    </w:pPr>
    <w:rPr>
      <w:rFonts w:ascii="Times New Roman" w:eastAsia="宋体" w:hAnsi="Times New Roman"/>
      <w:sz w:val="21"/>
    </w:rPr>
  </w:style>
  <w:style w:type="paragraph" w:customStyle="1" w:styleId="bt1">
    <w:name w:val="bt1"/>
    <w:basedOn w:val="Normal"/>
    <w:qFormat/>
    <w:pPr>
      <w:spacing w:line="360" w:lineRule="auto"/>
      <w:ind w:firstLine="0" w:firstLineChars="0"/>
      <w:jc w:val="center"/>
    </w:pPr>
    <w:rPr>
      <w:rFonts w:ascii="Times New Roman" w:eastAsia="黑体" w:hAnsi="Times New Roman"/>
      <w:b/>
      <w:sz w:val="28"/>
      <w:szCs w:val="28"/>
    </w:rPr>
  </w:style>
  <w:style w:type="paragraph" w:customStyle="1" w:styleId="bt2">
    <w:name w:val="bt2"/>
    <w:basedOn w:val="Normal"/>
    <w:link w:val="bt2Char"/>
    <w:qFormat/>
    <w:pPr>
      <w:keepNext/>
      <w:autoSpaceDE w:val="0"/>
      <w:autoSpaceDN w:val="0"/>
      <w:adjustRightInd w:val="0"/>
      <w:spacing w:beforeLines="50" w:afterLines="50" w:line="360" w:lineRule="auto"/>
      <w:ind w:firstLine="0" w:firstLineChars="0"/>
      <w:jc w:val="center"/>
    </w:pPr>
    <w:rPr>
      <w:rFonts w:ascii="Times New Roman" w:eastAsia="黑体" w:hAnsi="Times New Roman"/>
      <w:b/>
      <w:sz w:val="21"/>
    </w:rPr>
  </w:style>
  <w:style w:type="paragraph" w:customStyle="1" w:styleId="h">
    <w:name w:val="h"/>
    <w:basedOn w:val="zwChar"/>
    <w:link w:val="hChar"/>
    <w:qFormat/>
  </w:style>
  <w:style w:type="character" w:customStyle="1" w:styleId="zwCharChar">
    <w:name w:val="zw Char Char"/>
    <w:link w:val="zwChar"/>
    <w:qFormat/>
    <w:rPr>
      <w:rFonts w:ascii="Times New Roman" w:eastAsia="宋体" w:hAnsi="Times New Roman" w:cs="Times New Roman"/>
    </w:rPr>
  </w:style>
  <w:style w:type="character" w:customStyle="1" w:styleId="hChar">
    <w:name w:val="h Char"/>
    <w:link w:val="h"/>
    <w:qFormat/>
    <w:rPr>
      <w:rFonts w:ascii="Times New Roman" w:eastAsia="宋体" w:hAnsi="Times New Roman" w:cs="Times New Roman"/>
    </w:rPr>
  </w:style>
  <w:style w:type="paragraph" w:customStyle="1" w:styleId="0z">
    <w:name w:val="0z"/>
    <w:basedOn w:val="zwChar"/>
    <w:qFormat/>
  </w:style>
  <w:style w:type="character" w:customStyle="1" w:styleId="XChar">
    <w:name w:val="第X条 Char"/>
    <w:semiHidden/>
    <w:qFormat/>
    <w:rPr>
      <w:rFonts w:ascii="黑体" w:eastAsia="黑体"/>
      <w:b/>
      <w:kern w:val="2"/>
      <w:sz w:val="21"/>
      <w:szCs w:val="21"/>
      <w:lang w:val="en-US" w:eastAsia="zh-CN" w:bidi="ar-SA"/>
    </w:rPr>
  </w:style>
  <w:style w:type="character" w:customStyle="1" w:styleId="bt2Char">
    <w:name w:val="bt2 Char"/>
    <w:link w:val="bt2"/>
    <w:qFormat/>
    <w:rPr>
      <w:rFonts w:ascii="Times New Roman" w:eastAsia="黑体" w:hAnsi="Times New Roman" w:cs="Times New Roman"/>
      <w:b/>
    </w:rPr>
  </w:style>
  <w:style w:type="character" w:customStyle="1" w:styleId="Char3">
    <w:name w:val="批注框文本 Char"/>
    <w:link w:val="BalloonText"/>
    <w:semiHidden/>
    <w:qFormat/>
    <w:rPr>
      <w:rFonts w:ascii="Times New Roman" w:eastAsia="宋体" w:hAnsi="Times New Roman" w:cs="Times New Roman"/>
      <w:sz w:val="18"/>
      <w:szCs w:val="18"/>
    </w:rPr>
  </w:style>
  <w:style w:type="character" w:customStyle="1" w:styleId="Char4">
    <w:name w:val="批注文字 Char"/>
    <w:link w:val="CommentText"/>
    <w:semiHidden/>
    <w:qFormat/>
    <w:rPr>
      <w:rFonts w:ascii="Times New Roman" w:eastAsia="宋体" w:hAnsi="Times New Roman" w:cs="Times New Roman"/>
      <w:szCs w:val="24"/>
    </w:rPr>
  </w:style>
  <w:style w:type="character" w:customStyle="1" w:styleId="Char5">
    <w:name w:val="批注主题 Char"/>
    <w:link w:val="CommentSubject"/>
    <w:semiHidden/>
    <w:qFormat/>
    <w:rPr>
      <w:rFonts w:ascii="Times New Roman" w:eastAsia="宋体" w:hAnsi="Times New Roman" w:cs="Times New Roman"/>
      <w:b/>
      <w:bCs/>
      <w:szCs w:val="24"/>
    </w:rPr>
  </w:style>
  <w:style w:type="paragraph" w:customStyle="1" w:styleId="zw">
    <w:name w:val="zw"/>
    <w:basedOn w:val="Normal"/>
    <w:qFormat/>
    <w:pPr>
      <w:spacing w:line="240" w:lineRule="auto"/>
      <w:ind w:firstLine="420"/>
    </w:pPr>
    <w:rPr>
      <w:rFonts w:ascii="Times New Roman" w:eastAsia="宋体" w:hAnsi="Times New Roman"/>
      <w:sz w:val="21"/>
    </w:rPr>
  </w:style>
  <w:style w:type="paragraph" w:customStyle="1" w:styleId="a0">
    <w:name w:val="章节"/>
    <w:basedOn w:val="a"/>
    <w:qFormat/>
    <w:pPr>
      <w:spacing w:line="600" w:lineRule="exact"/>
      <w:outlineLvl w:val="0"/>
    </w:pPr>
    <w:rPr>
      <w:rFonts w:ascii="黑体" w:eastAsia="黑体" w:hAnsi="黑体"/>
      <w:b w:val="0"/>
      <w:sz w:val="32"/>
      <w:szCs w:val="52"/>
    </w:rPr>
  </w:style>
  <w:style w:type="paragraph" w:customStyle="1" w:styleId="1">
    <w:name w:val="修订1"/>
    <w:hidden/>
    <w:uiPriority w:val="99"/>
    <w:semiHidden/>
    <w:qFormat/>
    <w:rPr>
      <w:rFonts w:ascii="仿宋_GB2312" w:eastAsia="仿宋_GB2312"/>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footer" Target="footer7.xml" /><Relationship Id="rId23" Type="http://schemas.openxmlformats.org/officeDocument/2006/relationships/footer" Target="footer8.xml" /><Relationship Id="rId24" Type="http://schemas.openxmlformats.org/officeDocument/2006/relationships/header" Target="header9.xml" /><Relationship Id="rId25" Type="http://schemas.openxmlformats.org/officeDocument/2006/relationships/footer" Target="footer9.xml" /><Relationship Id="rId26" Type="http://schemas.openxmlformats.org/officeDocument/2006/relationships/header" Target="header10.xml" /><Relationship Id="rId27" Type="http://schemas.openxmlformats.org/officeDocument/2006/relationships/header" Target="header11.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settings" Target="settings.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header" Target="header17.xml" /><Relationship Id="rId4" Type="http://schemas.openxmlformats.org/officeDocument/2006/relationships/webSettings" Target="webSettings.xml" /><Relationship Id="rId40" Type="http://schemas.openxmlformats.org/officeDocument/2006/relationships/footer" Target="footer16.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header" Target="header19.xml" /><Relationship Id="rId45" Type="http://schemas.openxmlformats.org/officeDocument/2006/relationships/header" Target="header20.xml" /><Relationship Id="rId46" Type="http://schemas.openxmlformats.org/officeDocument/2006/relationships/footer" Target="footer19.xml" /><Relationship Id="rId47" Type="http://schemas.openxmlformats.org/officeDocument/2006/relationships/footer" Target="footer20.xml" /><Relationship Id="rId48" Type="http://schemas.openxmlformats.org/officeDocument/2006/relationships/header" Target="header21.xml" /><Relationship Id="rId49" Type="http://schemas.openxmlformats.org/officeDocument/2006/relationships/footer" Target="footer21.xml" /><Relationship Id="rId5" Type="http://schemas.openxmlformats.org/officeDocument/2006/relationships/fontTable" Target="fontTable.xml" /><Relationship Id="rId50" Type="http://schemas.openxmlformats.org/officeDocument/2006/relationships/header" Target="header22.xml" /><Relationship Id="rId51" Type="http://schemas.openxmlformats.org/officeDocument/2006/relationships/header" Target="header23.xml" /><Relationship Id="rId52" Type="http://schemas.openxmlformats.org/officeDocument/2006/relationships/footer" Target="footer22.xml" /><Relationship Id="rId53" Type="http://schemas.openxmlformats.org/officeDocument/2006/relationships/footer" Target="footer23.xml" /><Relationship Id="rId54" Type="http://schemas.openxmlformats.org/officeDocument/2006/relationships/header" Target="header24.xml" /><Relationship Id="rId55" Type="http://schemas.openxmlformats.org/officeDocument/2006/relationships/footer" Target="footer24.xml" /><Relationship Id="rId56" Type="http://schemas.openxmlformats.org/officeDocument/2006/relationships/header" Target="header25.xml" /><Relationship Id="rId57" Type="http://schemas.openxmlformats.org/officeDocument/2006/relationships/header" Target="header26.xml" /><Relationship Id="rId58" Type="http://schemas.openxmlformats.org/officeDocument/2006/relationships/footer" Target="footer25.xml" /><Relationship Id="rId59" Type="http://schemas.openxmlformats.org/officeDocument/2006/relationships/footer" Target="footer26.xml" /><Relationship Id="rId6" Type="http://schemas.openxmlformats.org/officeDocument/2006/relationships/customXml" Target="../customXml/item1.xml" /><Relationship Id="rId60" Type="http://schemas.openxmlformats.org/officeDocument/2006/relationships/header" Target="header27.xml" /><Relationship Id="rId61" Type="http://schemas.openxmlformats.org/officeDocument/2006/relationships/footer" Target="footer27.xml" /><Relationship Id="rId62" Type="http://schemas.openxmlformats.org/officeDocument/2006/relationships/header" Target="header28.xml" /><Relationship Id="rId63" Type="http://schemas.openxmlformats.org/officeDocument/2006/relationships/header" Target="header29.xml" /><Relationship Id="rId64" Type="http://schemas.openxmlformats.org/officeDocument/2006/relationships/footer" Target="footer28.xml" /><Relationship Id="rId65" Type="http://schemas.openxmlformats.org/officeDocument/2006/relationships/footer" Target="footer29.xml" /><Relationship Id="rId66" Type="http://schemas.openxmlformats.org/officeDocument/2006/relationships/header" Target="header30.xml" /><Relationship Id="rId67" Type="http://schemas.openxmlformats.org/officeDocument/2006/relationships/footer" Target="footer30.xml" /><Relationship Id="rId68" Type="http://schemas.openxmlformats.org/officeDocument/2006/relationships/hyperlink" Target="https://d.book118.com/167066160064006025" TargetMode="External" /><Relationship Id="rId69" Type="http://schemas.openxmlformats.org/officeDocument/2006/relationships/header" Target="header31.xml" /><Relationship Id="rId7" Type="http://schemas.openxmlformats.org/officeDocument/2006/relationships/image" Target="media/image1.png" /><Relationship Id="rId70" Type="http://schemas.openxmlformats.org/officeDocument/2006/relationships/header" Target="header32.xml" /><Relationship Id="rId71" Type="http://schemas.openxmlformats.org/officeDocument/2006/relationships/footer" Target="footer31.xml" /><Relationship Id="rId72" Type="http://schemas.openxmlformats.org/officeDocument/2006/relationships/footer" Target="footer32.xml" /><Relationship Id="rId73" Type="http://schemas.openxmlformats.org/officeDocument/2006/relationships/header" Target="header33.xml" /><Relationship Id="rId74" Type="http://schemas.openxmlformats.org/officeDocument/2006/relationships/footer" Target="footer33.xml" /><Relationship Id="rId75" Type="http://schemas.openxmlformats.org/officeDocument/2006/relationships/theme" Target="theme/theme1.xml" /><Relationship Id="rId76" Type="http://schemas.openxmlformats.org/officeDocument/2006/relationships/numbering" Target="numbering.xml" /><Relationship Id="rId77" Type="http://schemas.openxmlformats.org/officeDocument/2006/relationships/styles" Target="styles.xml" /><Relationship Id="rId8" Type="http://schemas.openxmlformats.org/officeDocument/2006/relationships/header" Target="header1.xml" /><Relationship Id="rId9" Type="http://schemas.openxmlformats.org/officeDocument/2006/relationships/header" Target="header2.xml"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s>
</file>

<file path=word/_rels/header17.xml.rels><?xml version="1.0" encoding="utf-8" standalone="yes"?><Relationships xmlns="http://schemas.openxmlformats.org/package/2006/relationships"><Relationship Id="rId1" Type="http://schemas.openxmlformats.org/officeDocument/2006/relationships/image" Target="media/image2.png"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header20.xml.rels><?xml version="1.0" encoding="utf-8" standalone="yes"?><Relationships xmlns="http://schemas.openxmlformats.org/package/2006/relationships"><Relationship Id="rId1" Type="http://schemas.openxmlformats.org/officeDocument/2006/relationships/image" Target="media/image2.png" /></Relationships>
</file>

<file path=word/_rels/header23.xml.rels><?xml version="1.0" encoding="utf-8" standalone="yes"?><Relationships xmlns="http://schemas.openxmlformats.org/package/2006/relationships"><Relationship Id="rId1" Type="http://schemas.openxmlformats.org/officeDocument/2006/relationships/image" Target="media/image2.png" /></Relationships>
</file>

<file path=word/_rels/header26.xml.rels><?xml version="1.0" encoding="utf-8" standalone="yes"?><Relationships xmlns="http://schemas.openxmlformats.org/package/2006/relationships"><Relationship Id="rId1" Type="http://schemas.openxmlformats.org/officeDocument/2006/relationships/image" Target="media/image2.png" /></Relationships>
</file>

<file path=word/_rels/header29.xml.rels><?xml version="1.0" encoding="utf-8" standalone="yes"?><Relationships xmlns="http://schemas.openxmlformats.org/package/2006/relationships"><Relationship Id="rId1" Type="http://schemas.openxmlformats.org/officeDocument/2006/relationships/image" Target="media/image2.png" /></Relationships>
</file>

<file path=word/_rels/header32.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1AF71-D909-4E9B-BDD9-4E02AABA0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3821</TotalTime>
  <Pages>13</Pages>
  <Words>1758</Words>
  <Characters>10022</Characters>
  <Application>Microsoft Office Word</Application>
  <DocSecurity>0</DocSecurity>
  <Lines>83</Lines>
  <Paragraphs>23</Paragraphs>
  <ScaleCrop>false</ScaleCrop>
  <Company>qh-PC</Company>
  <LinksUpToDate>false</LinksUpToDate>
  <CharactersWithSpaces>11757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金东哲</dc:creator>
  <cp:lastModifiedBy>NTKO</cp:lastModifiedBy>
  <cp:revision>102</cp:revision>
  <cp:lastPrinted>2023-09-12T01:23:00Z</cp:lastPrinted>
  <dcterms:created xsi:type="dcterms:W3CDTF">2019-10-24T01:51:00Z</dcterms:created>
  <dcterms:modified xsi:type="dcterms:W3CDTF">2023-09-13T08:24:00Z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B3447617C3904494810A1A2D8CD2B211</vt:lpwstr>
  </property>
  <property fmtid="{D5CDD505-2E9C-101B-9397-08002B2CF9AE}" pid="3" name="KSOProductBuildVer">
    <vt:lpwstr>2052-11.1.0.11830</vt:lpwstr>
  </property>
</Properties>
</file>