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395490" w:rsidP="00395490" w14:paraId="6F962805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395490">
        <w:rPr>
          <w:rFonts w:ascii="华文中宋" w:eastAsia="华文中宋" w:hAnsi="华文中宋"/>
          <w:b/>
          <w:sz w:val="30"/>
        </w:rPr>
        <w:t>2023</w:t>
      </w:r>
      <w:r w:rsidRPr="00395490">
        <w:rPr>
          <w:rFonts w:ascii="华文中宋" w:eastAsia="华文中宋" w:hAnsi="华文中宋"/>
          <w:b/>
          <w:sz w:val="30"/>
        </w:rPr>
        <w:t>四川南充市营山发展投资（控股）有限责任公司等国有企业招聘拟聘人员笔试模拟试题及答案解析</w:t>
      </w:r>
    </w:p>
    <w:p w:rsidR="00A77B3E" w14:paraId="6E8A4C5D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4AA07210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AD1216" w14:paraId="0844A76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1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《党政机关公文处理工作条例》规定，公文办理包括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4CD7013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、发文办理、收文办理、整理归档</w:t>
      </w:r>
    </w:p>
    <w:p w:rsidR="00AD1216" w14:paraId="6F56A34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、起草、审核、签发</w:t>
      </w:r>
    </w:p>
    <w:p w:rsidR="00AD1216" w14:paraId="69C29DC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、交拟、拟议、签发</w:t>
      </w:r>
    </w:p>
    <w:p w:rsidR="00AD1216" w14:paraId="6A2BC41E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、登记、承办、分发</w:t>
      </w:r>
    </w:p>
    <w:p w:rsidR="00AD1216" w14:paraId="2C0F912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A</w:t>
      </w:r>
    </w:p>
    <w:p w:rsidR="00AD1216" w14:paraId="6C4098B3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公文办理包括收文办理、发文办理和整理归档。故选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052EFDD2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2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一切影响沟通的消极、负面、阻碍因素，在管理学中称为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76CC1F4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、沟通失真</w:t>
      </w:r>
    </w:p>
    <w:p w:rsidR="00AD1216" w14:paraId="0FD7E2C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、沟通损耗</w:t>
      </w:r>
    </w:p>
    <w:p w:rsidR="00AD1216" w14:paraId="6823779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、沟通噪音</w:t>
      </w:r>
    </w:p>
    <w:p w:rsidR="00AD1216" w14:paraId="33B05F8F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、背景噪音</w:t>
      </w:r>
    </w:p>
    <w:p w:rsidR="00AD1216" w14:paraId="104EBA2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C</w:t>
      </w:r>
    </w:p>
    <w:p w:rsidR="00AD1216" w14:paraId="374855C4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噪音是影响沟通的一切消极、负面因素。通常可以把沟通噪音定义为妨碍资讯沟通的任何因素。它存在于沟通过程的各个环节，并有可能造成资讯损耗或失真。典型的噪音主要包括发送噪音、传输噪音、接受噪音、系统噪音、环境噪音和背景噪音及数量噪音七大噪音。故选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6D0F13B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3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我国现行立法采取的是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立法观点。</w:t>
      </w:r>
    </w:p>
    <w:p w:rsidR="00AD1216" w14:paraId="7675748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、民商分立</w:t>
      </w:r>
    </w:p>
    <w:p w:rsidR="00AD1216" w14:paraId="13045FD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、民商合一</w:t>
      </w:r>
    </w:p>
    <w:p w:rsidR="00AD1216" w14:paraId="29DDC49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、民法优先</w:t>
      </w:r>
    </w:p>
    <w:p w:rsidR="00AD1216" w14:paraId="3BCC075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、商事优先</w:t>
      </w:r>
    </w:p>
    <w:p w:rsidR="00AD1216" w14:paraId="1D423B5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B</w:t>
      </w:r>
    </w:p>
    <w:p w:rsidR="00AD1216" w14:paraId="10EB754A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项错误，民商分立是指在民法典之外，另行制定商法典，民法典与商法典并存。采用民商分立的国家主要有法国、德国、日本以及以它们为模板的许多大陆法系国家。我国并未采取民商分立的立法观点。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项正确，民商合一是指民事和商事统一立法，将商事方面的内容编入民法典中，或以单行法规的形式出现。我国采取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民商合一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的立法形式，其理由在于：</w:t>
      </w:r>
      <w:r w:rsidRPr="00AD1216">
        <w:rPr>
          <w:rFonts w:ascii="微软雅黑" w:eastAsia="微软雅黑" w:cs="微软雅黑"/>
          <w:szCs w:val="14"/>
        </w:rPr>
        <w:t>1.</w:t>
      </w:r>
      <w:r w:rsidRPr="00AD1216">
        <w:rPr>
          <w:rFonts w:ascii="微软雅黑" w:eastAsia="微软雅黑" w:cs="微软雅黑"/>
          <w:szCs w:val="14"/>
        </w:rPr>
        <w:t>由于民法的商事化和商法的民事化，已经使得民商法的关系愈加密切</w:t>
      </w:r>
      <w:r w:rsidRPr="00AD1216">
        <w:rPr>
          <w:rFonts w:ascii="微软雅黑" w:eastAsia="微软雅黑" w:cs="微软雅黑"/>
          <w:szCs w:val="14"/>
        </w:rPr>
        <w:t>;2.</w:t>
      </w:r>
      <w:r w:rsidRPr="00AD1216">
        <w:rPr>
          <w:rFonts w:ascii="微软雅黑" w:eastAsia="微软雅黑" w:cs="微软雅黑"/>
          <w:szCs w:val="14"/>
        </w:rPr>
        <w:t>世界和中国的立法实践证明民商合一是可行的</w:t>
      </w:r>
      <w:r w:rsidRPr="00AD1216">
        <w:rPr>
          <w:rFonts w:ascii="微软雅黑" w:eastAsia="微软雅黑" w:cs="微软雅黑"/>
          <w:szCs w:val="14"/>
        </w:rPr>
        <w:t>;3.</w:t>
      </w:r>
      <w:r w:rsidRPr="00AD1216">
        <w:rPr>
          <w:rFonts w:ascii="微软雅黑" w:eastAsia="微软雅黑" w:cs="微软雅黑"/>
          <w:szCs w:val="14"/>
        </w:rPr>
        <w:t>建立社会主义市场经济法律体系的需要。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项、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项错误，一般法系中都不存在民法优先和商事优先观点。目前的主流观点为民商分立和民商合一两种。故选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33FF54F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4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王芳将自己所有的一套房子卖给陆七，但王芳由于孩子上学还想再住一段时间，遂又与陆七达成协议，暂时租住两个月，陆七表示应允，陆七取得该房子所有权的交付方法为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656AC98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、简易交付</w:t>
      </w:r>
    </w:p>
    <w:p w:rsidR="00AD1216" w14:paraId="4CC2961D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、指示交付</w:t>
      </w:r>
    </w:p>
    <w:p w:rsidR="00AD1216" w14:paraId="6005AE5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、占有改定</w:t>
      </w:r>
    </w:p>
    <w:p w:rsidR="00AD1216" w14:paraId="54FE880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、拟制交付</w:t>
      </w:r>
    </w:p>
    <w:p w:rsidR="00AD1216" w14:paraId="43B5BD3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C</w:t>
      </w:r>
    </w:p>
    <w:p w:rsidR="00AD1216" w14:paraId="2E283800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《中华人民共和国物权法》规定：不动产物权的设立、变更、转让和消灭，应当依照法律规定登记。动产物权的设立和转让，应当依照法律规定交付。交付包括现实交付与拟制交付。现实交付是指动产物权的让与人，将其对于动产的现实的直接支配力，移转于受让人。拟制交付包括简易交付、占有改定及指示交付。简易交付是指在买卖合同订立前买受人已经实际占有标的物时，则合同一经成立即视为交付完成，此前买受人虽然占有标的物，但不享有所有权，合同成立时转移的只是所有权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指示交付是指在标的物由第三人占有的情况下，出卖人将要求第三人返还标的物的请求权让与买受人，以此代替标的物的实际交付，这种返还请求权正是标的物所有权的体现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占有改定是指买卖合同约定，买受人取得标的物的所有权，但标的物在约定的期间仍由出卖人占有，此种交付中虽不转移占有，仅转移所有权，但仍能完成交付。本案中，王芳将房子卖给陆七，陆七取得房子所有权，但约定由王芳继续租用两个月。符合占有改定的构成要件。故选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。</w:t>
      </w:r>
      <w:r>
        <w:rPr>
          <w:color w:val="4066F4"/>
        </w:rPr>
        <w:br/>
      </w:r>
      <w:r>
        <w:rPr>
          <w:color w:val="4066F4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https://d.book118.com/167101141061006040</w:t>
        </w:r>
      </w:hyperlink>
    </w:p>
    <w:p w:rsidR="00AD1216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490" w:rsidP="00966D7E" w14:paraId="43A8207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95490" w14:paraId="7FD9FFE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490" w:rsidP="00966D7E" w14:paraId="23F37BC2" w14:textId="79872E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395490" w14:paraId="183CBBB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490" w14:paraId="25621EFB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490" w:rsidP="00966D7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95490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490" w:rsidP="00966D7E" w14:textId="79872E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395490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490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490" w:rsidP="00966D7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95490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490" w:rsidP="00966D7E" w14:textId="79872E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395490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49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490" w14:paraId="5C8F30C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490" w14:paraId="25D438F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490" w14:paraId="68F5E07A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490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490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490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490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490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49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95490"/>
    <w:rsid w:val="00966D7E"/>
    <w:rsid w:val="00A77B3E"/>
    <w:rsid w:val="00AD1216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F3DF4A6"/>
  <w15:docId w15:val="{024CF05B-A864-4ADC-8E7B-BD4F86C2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autoRedefine/>
    <w:qFormat/>
    <w:rsid w:val="00AD1216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AD1216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3954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395490"/>
    <w:rPr>
      <w:sz w:val="18"/>
      <w:szCs w:val="18"/>
    </w:rPr>
  </w:style>
  <w:style w:type="paragraph" w:styleId="Footer">
    <w:name w:val="footer"/>
    <w:basedOn w:val="Normal"/>
    <w:link w:val="a0"/>
    <w:rsid w:val="0039549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395490"/>
    <w:rPr>
      <w:sz w:val="18"/>
      <w:szCs w:val="18"/>
    </w:rPr>
  </w:style>
  <w:style w:type="character" w:styleId="PageNumber">
    <w:name w:val="page number"/>
    <w:basedOn w:val="DefaultParagraphFont"/>
    <w:rsid w:val="00395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167101141061006040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3336</Words>
  <Characters>19018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2024-02-06T13:32:00Z</dcterms:created>
  <dcterms:modified xsi:type="dcterms:W3CDTF">2024-02-06T13:32:00Z</dcterms:modified>
</cp:coreProperties>
</file>