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机械化农业及园艺机具行业相关公司设立可行性研究报告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三、机械化农业及园艺机具项目概况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(二)、机械化农业及园艺机具项目提出的理由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(三)、机械化农业及园艺机具项目选址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(六)、机械化农业及园艺机具项目投资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(七)、机械化农业及园艺机具项目进度规划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(九)、机械化农业及园艺机具项目综合评价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(一)、机械化农业及园艺机具项目进度安排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(二)、机械化农业及园艺机具项目实施保障措施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(一)、机械化农业及园艺机具项目背景分析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(二)、机械化农业及园艺机具项目建设必要性分析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九、机械化农业及园艺机具项目风险分析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(一)、机械化农业及园艺机具项目风险分析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(二)、机械化农业及园艺机具项目风险对策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4" w:history="1">
        <w:r>
          <w:rPr>
            <w:rFonts w:ascii="仿宋" w:eastAsia="仿宋" w:hAnsi="仿宋" w:cs="仿宋" w:hint="eastAsia"/>
            <w:lang w:eastAsia="zh-CN"/>
          </w:rPr>
          <w:t>十、机械化农业及园艺机具项目经济效益</w:t>
        </w:r>
        <w:r>
          <w:tab/>
        </w:r>
        <w:r>
          <w:fldChar w:fldCharType="begin"/>
        </w:r>
        <w:r>
          <w:instrText xml:space="preserve"> PAGEREF _Toc29864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(三)、机械化农业及园艺机具项目盈利能力分析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_Toc20570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(二)、合作机械化农业及园艺机具项目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6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7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https://d.book118.com/167103144056006034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机械化农业及园艺机具行业相关公司设立可行性研究报告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机械化农业及园艺机具行业相关公司设立可行性研究报告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机械化农业及园艺机具行业相关公司设立可行性研究报告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机械化农业及园艺机具行业相关公司设立可行性研究报告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机械化农业及园艺机具行业相关公司设立可行性研究报告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103144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2024-01-17T06:34:00Z</dcterms:created>
  <dcterms:modified xsi:type="dcterms:W3CDTF">2024-01-17T06:34:34Z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D36A4FC86AA1445BAAC360207E58C7A9_11</vt:lpwstr>
  </property>
  <property fmtid="{D5CDD505-2E9C-101B-9397-08002B2CF9AE}" pid="3" name="KSOProductBuildVer">
    <vt:lpwstr>2052-12.1.0.16120</vt:lpwstr>
  </property>
</Properties>
</file>