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2018-2023年武威职业学院高职单招（数学／语文／英语）历年常考试题库含答案解析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关于大同世界的美好理想源自（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A.儒家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B.法家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C.道家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《马伶传》的作者是（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B.侯方域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鲁迅用“史家之绝唱，无韵之《离骚》”赞美（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B.《春秋》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下列诗作中，属于乐府旧题的是（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A.《关山月》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1921年7月，郭沫若和谁在日本创建了文学社团“创造社”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B.周作人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D.郁达夫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《日出》中的小职员黄省三是（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A.20世纪30年代中国社会底层的弱者和小人物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B.20世纪20年代中国新崛起的民族资本家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C.20世纪30年代中国城市里的银行家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D.20世纪40年代中国城市里的投机商人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《山居秋暝》是一首（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A.五律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B.七律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C.五古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D.七古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下列作品中，属于汉代乐府民歌的是（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A.《陌上桑》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B.《氓》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D.《杜陵叟》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下列词句中，运用了比喻手法的是（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徐志摩以康桥为题写的诗作有（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B.《沙扬娜拉》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C.《雪花的快乐》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D.《再别康桥》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小说中麦琪的礼物的象征含义是（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A.指西方圣诞节馈赠的礼物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B.指年轻夫妇德拉和吉姆所购买的表链和梳子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C.指主人公的真挚的情感及他们美好的心灵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D.指首创了节日互赠礼品的风俗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“天下为公”“狡兔三窟”两个成语依次出自（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A.《礼记·大同》《冯谖客孟尝君》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B.《季氏将伐颛臾》《李将军列传》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C.《冯谖客孟尝君》《季氏将伐颛失》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D.《李将军列传》《礼记·大同》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下列关于作家、作品的搭配，完全正确的是（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A.鲁迅——《坟》《灯下漫笔》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B.茅盾——《故都的秋》《子夜》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C.朱自清——《背影》《香市》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D.钱钟书——《围城》《论毅力》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A.《罗亭》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B.《猎人笔记》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C.《木木》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https://d.book118.com/167110042156006044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167110042156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