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27" w:lineRule="auto"/>
        <w:rPr>
          <w:rFonts w:ascii="Arial"/>
          <w:sz w:val="2"/>
        </w:rPr>
      </w:pPr>
      <w:r>
        <w:pict>
          <v:rect id="_x0000_s1025" style="width:120.8pt;height:6.1pt;margin-top:317.94pt;margin-left:42.9pt;mso-position-horizontal-relative:page;mso-position-vertical-relative:page;position:absolute;z-index:251660288" o:allowincell="f" filled="t" fillcolor="#93d5f8" stroked="f"/>
        </w:pict>
      </w:r>
      <w:r>
        <w:pict>
          <v:rect id="_x0000_s1026" style="width:0.5pt;height:794.8pt;margin-top:21.36pt;margin-left:20.64pt;mso-position-horizontal-relative:page;mso-position-vertical-relative:page;position:absolute;z-index:251661312" o:allowincell="f" filled="t" fillcolor="#bfbfbf" stroked="f"/>
        </w:pict>
      </w:r>
      <w:r>
        <w:pict>
          <v:rect id="_x0000_s1027" style="width:504.25pt;height:1.5pt;margin-top:784.62pt;margin-left:37.44pt;mso-position-horizontal-relative:page;mso-position-vertical-relative:page;position:absolute;z-index:251659264" o:allowincell="f" filled="t" fillcolor="#a6a6a6" stroked="f"/>
        </w:pict>
      </w:r>
      <w:r>
        <w:pict>
          <v:rect id="_x0000_s1028" style="width:523.75pt;height:1.5pt;margin-top:59.1pt;margin-left:42.6pt;mso-position-horizontal-relative:page;mso-position-vertical-relative:page;position:absolute;z-index:251658240" o:allowincell="f" filled="t" fillcolor="#a6a6a6" stroked="f"/>
        </w:pict>
      </w:r>
    </w:p>
    <w:tbl>
      <w:tblPr>
        <w:tblStyle w:val="TableNormal"/>
        <w:tblW w:w="5125" w:type="dxa"/>
        <w:tblInd w:w="65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shd w:val="clear" w:color="auto" w:fill="FFFFFF"/>
        <w:tblLayout w:type="fixed"/>
      </w:tblPr>
      <w:tblGrid>
        <w:gridCol w:w="5125"/>
      </w:tblGrid>
      <w:tr>
        <w:tblPrEx>
          <w:tblW w:w="5125" w:type="dxa"/>
          <w:tblInd w:w="654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blBorders>
          <w:shd w:val="clear" w:color="auto" w:fill="FFFFFF"/>
          <w:tblLayout w:type="fixed"/>
        </w:tblPrEx>
        <w:trPr>
          <w:trHeight w:val="637"/>
        </w:trPr>
        <w:tc>
          <w:tcPr>
            <w:tcW w:w="5125" w:type="dxa"/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271" w:line="185" w:lineRule="auto"/>
        <w:ind w:left="862"/>
        <w:outlineLvl w:val="0"/>
        <w:rPr>
          <w:rFonts w:ascii="Microsoft YaHei" w:eastAsia="Microsoft YaHei" w:hAnsi="Microsoft YaHei" w:cs="Microsoft YaHei"/>
          <w:sz w:val="63"/>
          <w:szCs w:val="63"/>
        </w:rPr>
      </w:pPr>
      <w:r>
        <w:rPr>
          <w:rFonts w:ascii="Microsoft YaHei" w:eastAsia="Microsoft YaHei" w:hAnsi="Microsoft YaHei" w:cs="Microsoft YaHei"/>
          <w:b/>
          <w:bCs/>
          <w:spacing w:val="9"/>
          <w:sz w:val="63"/>
          <w:szCs w:val="63"/>
        </w:rPr>
        <w:t>结构成本优化管理指引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4"/>
          <w:pgSz w:w="11905" w:h="16840"/>
          <w:pgMar w:top="400" w:right="4" w:bottom="0" w:left="0" w:header="0" w:footer="0" w:gutter="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30" w:lineRule="exact"/>
        <w:ind w:firstLine="789"/>
      </w:pPr>
      <w:r>
        <w:drawing>
          <wp:inline distT="0" distB="0" distL="0" distR="0">
            <wp:extent cx="6403848" cy="190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3848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8" w:line="186" w:lineRule="auto"/>
        <w:ind w:left="9830"/>
        <w:rPr>
          <w:rFonts w:ascii="SimHei" w:eastAsia="SimHei" w:hAnsi="SimHei" w:cs="SimHei"/>
          <w:sz w:val="51"/>
          <w:szCs w:val="51"/>
        </w:rPr>
      </w:pPr>
      <w: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-589483</wp:posOffset>
                </wp:positionV>
                <wp:extent cx="7557134" cy="2590164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-589483"/>
                          <a:ext cx="7557134" cy="2590164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29" style="width:595.05pt;height:203.95pt;margin-top:-46.42pt;margin-left:0;mso-wrap-distance-bottom:0;mso-wrap-distance-left:0;mso-wrap-distance-right:0;mso-wrap-distance-top:0;position:absolute;v-text-anchor:top;z-index:-251654144" fillcolor="#d9d9d9" stroked="f"/>
            </w:pict>
          </mc:Fallback>
        </mc:AlternateContent>
      </w:r>
      <w:r>
        <w:rPr>
          <w:rFonts w:ascii="SimHei" w:eastAsia="SimHei" w:hAnsi="SimHei" w:cs="SimHei"/>
          <w:spacing w:val="-2"/>
          <w:sz w:val="51"/>
          <w:szCs w:val="51"/>
          <w14:textOutline w14:w="6502">
            <w14:solidFill>
              <w14:srgbClr w14:val="000000"/>
            </w14:solidFill>
            <w14:prstDash w14:val="solid"/>
            <w14:miter w14:lim="1"/>
          </w14:textOutline>
        </w:rPr>
        <w:t>2019</w:t>
      </w:r>
    </w:p>
    <w:p>
      <w:pPr>
        <w:spacing w:before="9" w:line="72" w:lineRule="exact"/>
        <w:ind w:left="5625"/>
      </w:pPr>
      <w:r>
        <w:rPr>
          <w:position w:val="-1"/>
        </w:rPr>
        <w:drawing>
          <wp:inline distT="0" distB="0" distL="0" distR="0">
            <wp:extent cx="15368" cy="4590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68" cy="4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8" w:line="208" w:lineRule="auto"/>
        <w:ind w:left="5918"/>
        <w:rPr>
          <w:sz w:val="15"/>
          <w:szCs w:val="15"/>
        </w:rPr>
      </w:pPr>
      <w:r>
        <w:rPr>
          <w:spacing w:val="6"/>
          <w:sz w:val="15"/>
          <w:szCs w:val="15"/>
        </w:rPr>
        <w:t>THESE STANDARDS ARE THE CONFIDENTIAL AND</w:t>
      </w:r>
      <w:r>
        <w:rPr>
          <w:spacing w:val="16"/>
          <w:w w:val="101"/>
          <w:sz w:val="15"/>
          <w:szCs w:val="15"/>
        </w:rPr>
        <w:t xml:space="preserve"> </w:t>
      </w:r>
      <w:r>
        <w:rPr>
          <w:spacing w:val="6"/>
          <w:sz w:val="15"/>
          <w:szCs w:val="15"/>
        </w:rPr>
        <w:t>PROPRIETY</w:t>
      </w:r>
    </w:p>
    <w:p>
      <w:pPr>
        <w:pStyle w:val="BodyText"/>
        <w:spacing w:before="42" w:line="253" w:lineRule="auto"/>
        <w:ind w:left="5725" w:right="1086" w:firstLine="2846"/>
        <w:jc w:val="right"/>
        <w:rPr>
          <w:sz w:val="15"/>
          <w:szCs w:val="15"/>
        </w:rPr>
      </w:pPr>
      <w:r>
        <w:rPr>
          <w:spacing w:val="4"/>
          <w:sz w:val="15"/>
          <w:szCs w:val="15"/>
        </w:rPr>
        <w:t>PROPERTY</w:t>
      </w:r>
      <w:r>
        <w:rPr>
          <w:spacing w:val="30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OF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 xml:space="preserve">GREENLAND, </w:t>
      </w:r>
      <w:r>
        <w:rPr>
          <w:spacing w:val="5"/>
          <w:sz w:val="15"/>
          <w:szCs w:val="15"/>
        </w:rPr>
        <w:t>AND</w:t>
      </w:r>
      <w:r>
        <w:rPr>
          <w:spacing w:val="16"/>
          <w:sz w:val="15"/>
          <w:szCs w:val="15"/>
        </w:rPr>
        <w:t xml:space="preserve"> </w:t>
      </w:r>
      <w:r>
        <w:rPr>
          <w:spacing w:val="5"/>
          <w:sz w:val="15"/>
          <w:szCs w:val="15"/>
        </w:rPr>
        <w:t>MAY</w:t>
      </w:r>
      <w:r>
        <w:rPr>
          <w:spacing w:val="16"/>
          <w:w w:val="101"/>
          <w:sz w:val="15"/>
          <w:szCs w:val="15"/>
        </w:rPr>
        <w:t xml:space="preserve"> </w:t>
      </w:r>
      <w:r>
        <w:rPr>
          <w:spacing w:val="5"/>
          <w:sz w:val="15"/>
          <w:szCs w:val="15"/>
        </w:rPr>
        <w:t>NOT</w:t>
      </w:r>
      <w:r>
        <w:rPr>
          <w:spacing w:val="16"/>
          <w:w w:val="102"/>
          <w:sz w:val="15"/>
          <w:szCs w:val="15"/>
        </w:rPr>
        <w:t xml:space="preserve"> </w:t>
      </w:r>
      <w:r>
        <w:rPr>
          <w:spacing w:val="5"/>
          <w:sz w:val="15"/>
          <w:szCs w:val="15"/>
        </w:rPr>
        <w:t>BE COPIED</w:t>
      </w:r>
      <w:r>
        <w:rPr>
          <w:spacing w:val="13"/>
          <w:w w:val="102"/>
          <w:sz w:val="15"/>
          <w:szCs w:val="15"/>
        </w:rPr>
        <w:t xml:space="preserve"> </w:t>
      </w:r>
      <w:r>
        <w:rPr>
          <w:spacing w:val="5"/>
          <w:sz w:val="15"/>
          <w:szCs w:val="15"/>
        </w:rPr>
        <w:t>OR</w:t>
      </w:r>
      <w:r>
        <w:rPr>
          <w:spacing w:val="17"/>
          <w:w w:val="102"/>
          <w:sz w:val="15"/>
          <w:szCs w:val="15"/>
        </w:rPr>
        <w:t xml:space="preserve"> </w:t>
      </w:r>
      <w:r>
        <w:rPr>
          <w:spacing w:val="5"/>
          <w:sz w:val="15"/>
          <w:szCs w:val="15"/>
        </w:rPr>
        <w:t>DISTRIBUTED WITHOUT CONSENT.</w:t>
      </w:r>
    </w:p>
    <w:p>
      <w:pPr>
        <w:spacing w:line="253" w:lineRule="auto"/>
        <w:rPr>
          <w:sz w:val="15"/>
          <w:szCs w:val="15"/>
        </w:rPr>
        <w:sectPr>
          <w:headerReference w:type="default" r:id="rId7"/>
          <w:type w:val="nextPage"/>
          <w:pgSz w:w="11905" w:h="16840"/>
          <w:pgMar w:top="400" w:right="4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01" w:line="226" w:lineRule="auto"/>
        <w:ind w:left="377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摘</w:t>
      </w:r>
      <w:r>
        <w:rPr>
          <w:rFonts w:ascii="SimSun" w:eastAsia="SimSun" w:hAnsi="SimSun" w:cs="SimSun"/>
          <w:spacing w:val="2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要</w:t>
      </w: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68" w:line="411" w:lineRule="auto"/>
        <w:ind w:left="22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为响应集团成本控制战略，更好的贯彻集团降本</w:t>
      </w:r>
      <w:r>
        <w:rPr>
          <w:rFonts w:ascii="SimSun" w:eastAsia="SimSun" w:hAnsi="SimSun" w:cs="SimSun"/>
          <w:spacing w:val="-7"/>
          <w:sz w:val="21"/>
          <w:szCs w:val="21"/>
        </w:rPr>
        <w:t>增效的思想，同时提高房地产项目利润，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特编写面向甲方结构设计管理人员的结构成本优化的</w:t>
      </w:r>
      <w:r>
        <w:rPr>
          <w:rFonts w:ascii="SimSun" w:eastAsia="SimSun" w:hAnsi="SimSun" w:cs="SimSun"/>
          <w:spacing w:val="-3"/>
          <w:sz w:val="21"/>
          <w:szCs w:val="21"/>
        </w:rPr>
        <w:t>管理指引。本指引对集团主流产品开发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全过程中与结构成本相关的决策点与敏感点进行分析</w:t>
      </w:r>
      <w:r>
        <w:rPr>
          <w:rFonts w:ascii="SimSun" w:eastAsia="SimSun" w:hAnsi="SimSun" w:cs="SimSun"/>
          <w:spacing w:val="-3"/>
          <w:sz w:val="21"/>
          <w:szCs w:val="21"/>
        </w:rPr>
        <w:t>汇总，并附以各种优化途径，为项目设</w:t>
      </w:r>
    </w:p>
    <w:p>
      <w:pPr>
        <w:spacing w:line="219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计管理人员提供技术支持。</w:t>
      </w:r>
    </w:p>
    <w:p>
      <w:pPr>
        <w:spacing w:before="217" w:line="412" w:lineRule="auto"/>
        <w:ind w:left="23" w:right="57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本指引分为“岩土工程</w:t>
      </w:r>
      <w:r>
        <w:rPr>
          <w:rFonts w:ascii="SimSun" w:eastAsia="SimSun" w:hAnsi="SimSun" w:cs="SimSun"/>
          <w:spacing w:val="-7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”、“基础与地下室</w:t>
      </w:r>
      <w:r>
        <w:rPr>
          <w:rFonts w:ascii="SimSun" w:eastAsia="SimSun" w:hAnsi="SimSun" w:cs="SimSun"/>
          <w:spacing w:val="-7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”、“地上结构</w:t>
      </w:r>
      <w:r>
        <w:rPr>
          <w:rFonts w:ascii="SimSun" w:eastAsia="SimSun" w:hAnsi="SimSun" w:cs="SimSun"/>
          <w:spacing w:val="-7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”三部分，每部分均包含“成本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敏感点”和“优化途径”两块内容。“成本敏感点”为甲方设计管理</w:t>
      </w:r>
      <w:r>
        <w:rPr>
          <w:rFonts w:ascii="SimSun" w:eastAsia="SimSun" w:hAnsi="SimSun" w:cs="SimSun"/>
          <w:spacing w:val="-4"/>
          <w:sz w:val="21"/>
          <w:szCs w:val="21"/>
        </w:rPr>
        <w:t>人员应判定的决策点，</w:t>
      </w:r>
    </w:p>
    <w:p>
      <w:pPr>
        <w:spacing w:before="1" w:line="219" w:lineRule="auto"/>
        <w:ind w:left="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“优化途径”为针对“成本敏感点”所提出的优化建议、途径、方法等，供管理者参考。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headerReference w:type="default" r:id="rId8"/>
          <w:pgSz w:w="11907" w:h="16839"/>
          <w:pgMar w:top="400" w:right="1735" w:bottom="0" w:left="1785" w:header="0" w:footer="0" w:gutter="0"/>
          <w:pgNumType w:start="3"/>
          <w:cols w:space="708"/>
        </w:sectPr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sdt>
      <w:sdtPr>
        <w:rPr>
          <w:rFonts w:ascii="SimSun" w:eastAsia="SimSun" w:hAnsi="SimSun" w:cs="SimSun"/>
          <w:sz w:val="31"/>
          <w:szCs w:val="31"/>
        </w:rPr>
        <w:id w:val="17950858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01" w:line="227" w:lineRule="auto"/>
            <w:ind w:left="3839"/>
            <w:rPr>
              <w:rFonts w:ascii="SimSun" w:eastAsia="SimSun" w:hAnsi="SimSun" w:cs="SimSun"/>
              <w:sz w:val="31"/>
              <w:szCs w:val="31"/>
            </w:rPr>
          </w:pPr>
          <w:r>
            <w:rPr>
              <w:rFonts w:ascii="SimSun" w:eastAsia="SimSun" w:hAnsi="SimSun" w:cs="SimSun"/>
              <w:spacing w:val="-33"/>
              <w:sz w:val="31"/>
              <w:szCs w:val="31"/>
              <w14:textOutline w14:w="579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Sun" w:eastAsia="SimSun" w:hAnsi="SimSun" w:cs="SimSun"/>
              <w:spacing w:val="25"/>
              <w:sz w:val="31"/>
              <w:szCs w:val="31"/>
            </w:rPr>
            <w:t xml:space="preserve"> </w:t>
          </w:r>
          <w:r>
            <w:rPr>
              <w:rFonts w:ascii="SimSun" w:eastAsia="SimSun" w:hAnsi="SimSun" w:cs="SimSun"/>
              <w:spacing w:val="-33"/>
              <w:sz w:val="31"/>
              <w:szCs w:val="31"/>
              <w14:textOutline w14:w="579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pStyle w:val="BodyText"/>
            <w:spacing w:line="460" w:lineRule="auto"/>
          </w:pPr>
        </w:p>
        <w:p>
          <w:pPr>
            <w:tabs>
              <w:tab w:val="right" w:leader="dot" w:pos="8314"/>
            </w:tabs>
            <w:spacing w:before="68" w:line="186" w:lineRule="auto"/>
            <w:ind w:left="26"/>
            <w:rPr>
              <w:rFonts w:ascii="Calibri" w:eastAsia="Calibri" w:hAnsi="Calibri" w:cs="Calibri"/>
              <w:sz w:val="21"/>
              <w:szCs w:val="21"/>
            </w:rPr>
          </w:pPr>
          <w:hyperlink w:anchor="bookmark1" w:history="1"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岩土工程</w:t>
            </w:r>
            <w:r>
              <w:rPr>
                <w:rFonts w:ascii="SimSun" w:eastAsia="SimSun" w:hAnsi="SimSun" w:cs="SimSun"/>
                <w:spacing w:val="-5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19"/>
                <w:w w:val="10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452"/>
            <w:rPr>
              <w:rFonts w:ascii="Calibri" w:eastAsia="Calibri" w:hAnsi="Calibri" w:cs="Calibri"/>
              <w:sz w:val="21"/>
              <w:szCs w:val="21"/>
            </w:rPr>
          </w:pPr>
          <w:hyperlink w:anchor="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1.1</w:t>
            </w:r>
            <w:r>
              <w:rPr>
                <w:rFonts w:ascii="Calibri" w:eastAsia="Calibri" w:hAnsi="Calibri" w:cs="Calibri"/>
                <w:spacing w:val="12"/>
                <w:w w:val="101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成本敏感点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872"/>
            <w:rPr>
              <w:rFonts w:ascii="Calibri" w:eastAsia="Calibri" w:hAnsi="Calibri" w:cs="Calibri"/>
              <w:sz w:val="21"/>
              <w:szCs w:val="21"/>
            </w:rPr>
          </w:pPr>
          <w:hyperlink w:anchor="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1.1.1</w:t>
            </w:r>
            <w:r>
              <w:rPr>
                <w:rFonts w:ascii="Calibri" w:eastAsia="Calibri" w:hAnsi="Calibri" w:cs="Calibri"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地质勘察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872"/>
            <w:rPr>
              <w:rFonts w:ascii="Calibri" w:eastAsia="Calibri" w:hAnsi="Calibri" w:cs="Calibri"/>
              <w:sz w:val="21"/>
              <w:szCs w:val="21"/>
            </w:rPr>
          </w:pPr>
          <w:hyperlink w:anchor="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1.1.2</w:t>
            </w:r>
            <w:r>
              <w:rPr>
                <w:rFonts w:ascii="Calibri" w:eastAsia="Calibri" w:hAnsi="Calibri" w:cs="Calibri"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地基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14"/>
            </w:tabs>
            <w:spacing w:before="257" w:line="186" w:lineRule="auto"/>
            <w:ind w:left="872"/>
            <w:rPr>
              <w:rFonts w:ascii="Calibri" w:eastAsia="Calibri" w:hAnsi="Calibri" w:cs="Calibri"/>
              <w:sz w:val="21"/>
              <w:szCs w:val="21"/>
            </w:rPr>
          </w:pPr>
          <w:hyperlink w:anchor="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1.1.3</w:t>
            </w:r>
            <w:r>
              <w:rPr>
                <w:rFonts w:ascii="Calibri" w:eastAsia="Calibri" w:hAnsi="Calibri" w:cs="Calibri"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基坑支护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452"/>
            <w:rPr>
              <w:rFonts w:ascii="Calibri" w:eastAsia="Calibri" w:hAnsi="Calibri" w:cs="Calibri"/>
              <w:sz w:val="21"/>
              <w:szCs w:val="21"/>
            </w:rPr>
          </w:pPr>
          <w:hyperlink w:anchor="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1.2</w:t>
            </w:r>
            <w:r>
              <w:rPr>
                <w:rFonts w:ascii="Calibri" w:eastAsia="Calibri" w:hAnsi="Calibri" w:cs="Calibri"/>
                <w:spacing w:val="8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优化途径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14"/>
            </w:tabs>
            <w:spacing w:before="257" w:line="186" w:lineRule="auto"/>
            <w:ind w:left="872"/>
            <w:rPr>
              <w:rFonts w:ascii="Calibri" w:eastAsia="Calibri" w:hAnsi="Calibri" w:cs="Calibri"/>
              <w:sz w:val="21"/>
              <w:szCs w:val="21"/>
            </w:rPr>
          </w:pPr>
          <w:hyperlink w:anchor="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1.2.1</w:t>
            </w:r>
            <w:r>
              <w:rPr>
                <w:rFonts w:ascii="Calibri" w:eastAsia="Calibri" w:hAnsi="Calibri" w:cs="Calibri"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地质勘察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14"/>
            </w:tabs>
            <w:spacing w:before="257" w:line="186" w:lineRule="auto"/>
            <w:ind w:left="872"/>
            <w:rPr>
              <w:rFonts w:ascii="Calibri" w:eastAsia="Calibri" w:hAnsi="Calibri" w:cs="Calibri"/>
              <w:sz w:val="21"/>
              <w:szCs w:val="21"/>
            </w:rPr>
          </w:pPr>
          <w:hyperlink w:anchor="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1.2.2</w:t>
            </w:r>
            <w:r>
              <w:rPr>
                <w:rFonts w:ascii="Calibri" w:eastAsia="Calibri" w:hAnsi="Calibri" w:cs="Calibri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地基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872"/>
            <w:rPr>
              <w:rFonts w:ascii="Calibri" w:eastAsia="Calibri" w:hAnsi="Calibri" w:cs="Calibri"/>
              <w:sz w:val="21"/>
              <w:szCs w:val="21"/>
            </w:rPr>
          </w:pPr>
          <w:hyperlink w:anchor="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1.2.3</w:t>
            </w:r>
            <w:r>
              <w:rPr>
                <w:rFonts w:ascii="Calibri" w:eastAsia="Calibri" w:hAnsi="Calibri" w:cs="Calibri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基坑支护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26"/>
            <w:rPr>
              <w:rFonts w:ascii="Calibri" w:eastAsia="Calibri" w:hAnsi="Calibri" w:cs="Calibri"/>
              <w:sz w:val="21"/>
              <w:szCs w:val="21"/>
            </w:rPr>
          </w:pPr>
          <w:hyperlink w:anchor="bookmark10" w:history="1"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二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基础与地下室结构</w:t>
            </w:r>
            <w:r>
              <w:rPr>
                <w:rFonts w:ascii="SimSun" w:eastAsia="SimSun" w:hAnsi="SimSun" w:cs="SimSun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16"/>
                <w:w w:val="1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14"/>
            </w:tabs>
            <w:spacing w:before="257" w:line="186" w:lineRule="auto"/>
            <w:ind w:left="446"/>
            <w:rPr>
              <w:rFonts w:ascii="Calibri" w:eastAsia="Calibri" w:hAnsi="Calibri" w:cs="Calibri"/>
              <w:sz w:val="21"/>
              <w:szCs w:val="21"/>
            </w:rPr>
          </w:pPr>
          <w:hyperlink w:anchor="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2.1</w:t>
            </w:r>
            <w:r>
              <w:rPr>
                <w:rFonts w:ascii="Calibri" w:eastAsia="Calibri" w:hAnsi="Calibri" w:cs="Calibri"/>
                <w:spacing w:val="11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成本敏感点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866"/>
            <w:rPr>
              <w:rFonts w:ascii="Calibri" w:eastAsia="Calibri" w:hAnsi="Calibri" w:cs="Calibri"/>
              <w:sz w:val="21"/>
              <w:szCs w:val="21"/>
            </w:rPr>
          </w:pPr>
          <w:hyperlink w:anchor="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2.1.1</w:t>
            </w:r>
            <w:r>
              <w:rPr>
                <w:rFonts w:ascii="Calibri" w:eastAsia="Calibri" w:hAnsi="Calibri" w:cs="Calibri"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基础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14"/>
            </w:tabs>
            <w:spacing w:before="257" w:line="186" w:lineRule="auto"/>
            <w:ind w:left="866"/>
            <w:rPr>
              <w:rFonts w:ascii="Calibri" w:eastAsia="Calibri" w:hAnsi="Calibri" w:cs="Calibri"/>
              <w:sz w:val="21"/>
              <w:szCs w:val="21"/>
            </w:rPr>
          </w:pPr>
          <w:hyperlink w:anchor="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2.1.2</w:t>
            </w:r>
            <w:r>
              <w:rPr>
                <w:rFonts w:ascii="Calibri" w:eastAsia="Calibri" w:hAnsi="Calibri" w:cs="Calibri"/>
                <w:spacing w:val="8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地下室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446"/>
            <w:rPr>
              <w:rFonts w:ascii="Calibri" w:eastAsia="Calibri" w:hAnsi="Calibri" w:cs="Calibri"/>
              <w:sz w:val="21"/>
              <w:szCs w:val="21"/>
            </w:rPr>
          </w:pPr>
          <w:hyperlink w:anchor="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2.2</w:t>
            </w:r>
            <w:r>
              <w:rPr>
                <w:rFonts w:ascii="Calibri" w:eastAsia="Calibri" w:hAnsi="Calibri" w:cs="Calibri"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优化途径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14"/>
            </w:tabs>
            <w:spacing w:before="257" w:line="186" w:lineRule="auto"/>
            <w:ind w:left="866"/>
            <w:rPr>
              <w:rFonts w:ascii="Calibri" w:eastAsia="Calibri" w:hAnsi="Calibri" w:cs="Calibri"/>
              <w:sz w:val="21"/>
              <w:szCs w:val="21"/>
            </w:rPr>
          </w:pPr>
          <w:hyperlink w:anchor="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2.2.1</w:t>
            </w:r>
            <w:r>
              <w:rPr>
                <w:rFonts w:ascii="Calibri" w:eastAsia="Calibri" w:hAnsi="Calibri" w:cs="Calibri"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基础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866"/>
            <w:rPr>
              <w:rFonts w:ascii="Calibri" w:eastAsia="Calibri" w:hAnsi="Calibri" w:cs="Calibri"/>
              <w:sz w:val="21"/>
              <w:szCs w:val="21"/>
            </w:rPr>
          </w:pPr>
          <w:hyperlink w:anchor="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2.2.2</w:t>
            </w:r>
            <w:r>
              <w:rPr>
                <w:rFonts w:ascii="Calibri" w:eastAsia="Calibri" w:hAnsi="Calibri" w:cs="Calibri"/>
                <w:spacing w:val="8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地下室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14"/>
            </w:tabs>
            <w:spacing w:before="257" w:line="186" w:lineRule="auto"/>
            <w:ind w:left="22"/>
            <w:rPr>
              <w:rFonts w:ascii="Calibri" w:eastAsia="Calibri" w:hAnsi="Calibri" w:cs="Calibri"/>
              <w:sz w:val="21"/>
              <w:szCs w:val="21"/>
            </w:rPr>
          </w:pPr>
          <w:hyperlink w:anchor="bookmark17" w:history="1"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三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地上结构</w:t>
            </w:r>
            <w:r>
              <w:rPr>
                <w:rFonts w:ascii="SimSun" w:eastAsia="SimSun" w:hAnsi="SimSun" w:cs="SimSun"/>
                <w:spacing w:val="-5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19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445"/>
            <w:rPr>
              <w:rFonts w:ascii="Calibri" w:eastAsia="Calibri" w:hAnsi="Calibri" w:cs="Calibri"/>
              <w:sz w:val="21"/>
              <w:szCs w:val="21"/>
            </w:rPr>
          </w:pPr>
          <w:hyperlink w:anchor="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3.1</w:t>
            </w:r>
            <w:r>
              <w:rPr>
                <w:rFonts w:ascii="Calibri" w:eastAsia="Calibri" w:hAnsi="Calibri" w:cs="Calibri"/>
                <w:spacing w:val="12"/>
                <w:w w:val="101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成本敏感点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14"/>
            </w:tabs>
            <w:spacing w:before="257" w:line="186" w:lineRule="auto"/>
            <w:ind w:left="445"/>
            <w:rPr>
              <w:rFonts w:ascii="Calibri" w:eastAsia="Calibri" w:hAnsi="Calibri" w:cs="Calibri"/>
              <w:sz w:val="21"/>
              <w:szCs w:val="21"/>
            </w:rPr>
          </w:pPr>
          <w:hyperlink w:anchor="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3.2</w:t>
            </w:r>
            <w:r>
              <w:rPr>
                <w:rFonts w:ascii="Calibri" w:eastAsia="Calibri" w:hAnsi="Calibri" w:cs="Calibri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优化途径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14"/>
            </w:tabs>
            <w:spacing w:before="256" w:line="186" w:lineRule="auto"/>
            <w:ind w:left="865"/>
            <w:rPr>
              <w:rFonts w:ascii="Calibri" w:eastAsia="Calibri" w:hAnsi="Calibri" w:cs="Calibri"/>
              <w:sz w:val="21"/>
              <w:szCs w:val="21"/>
            </w:rPr>
          </w:pPr>
          <w:hyperlink w:anchor="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3.2.1</w:t>
            </w:r>
            <w:r>
              <w:rPr>
                <w:rFonts w:ascii="Calibri" w:eastAsia="Calibri" w:hAnsi="Calibri" w:cs="Calibri"/>
                <w:spacing w:val="17"/>
                <w:w w:val="10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通用优化途径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14"/>
            </w:tabs>
            <w:spacing w:before="257" w:line="186" w:lineRule="auto"/>
            <w:ind w:left="865"/>
            <w:rPr>
              <w:rFonts w:ascii="Calibri" w:eastAsia="Calibri" w:hAnsi="Calibri" w:cs="Calibri"/>
              <w:sz w:val="21"/>
              <w:szCs w:val="21"/>
            </w:rPr>
          </w:pPr>
          <w:hyperlink w:anchor="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 xml:space="preserve">3.2.2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超高层结构（建筑高度</w:t>
            </w:r>
            <w:r>
              <w:rPr>
                <w:rFonts w:ascii="SimSun" w:eastAsia="SimSun" w:hAnsi="SimSun" w:cs="SimSun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 xml:space="preserve">200m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以上）</w:t>
            </w:r>
            <w:r>
              <w:rPr>
                <w:rFonts w:ascii="SimSun" w:eastAsia="SimSun" w:hAnsi="SimSun" w:cs="SimSun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14"/>
            </w:tabs>
            <w:spacing w:before="257" w:line="221" w:lineRule="auto"/>
            <w:ind w:left="865"/>
            <w:rPr>
              <w:rFonts w:ascii="Calibri" w:eastAsia="Calibri" w:hAnsi="Calibri" w:cs="Calibri"/>
              <w:sz w:val="21"/>
              <w:szCs w:val="21"/>
            </w:rPr>
          </w:pPr>
          <w:hyperlink w:anchor="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3.2.3</w:t>
            </w:r>
            <w:r>
              <w:rPr>
                <w:rFonts w:ascii="Calibri" w:eastAsia="Calibri" w:hAnsi="Calibri" w:cs="Calibri"/>
                <w:spacing w:val="1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大跨结构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Calibri" w:eastAsia="Calibri" w:hAnsi="Calibri" w:cs="Calibri"/>
                <w:spacing w:val="5"/>
                <w:sz w:val="21"/>
                <w:szCs w:val="21"/>
              </w:rPr>
              <w:t>17</w:t>
            </w:r>
          </w:hyperlink>
        </w:p>
      </w:sdtContent>
    </w:sdt>
    <w:p>
      <w:pPr>
        <w:spacing w:line="221" w:lineRule="auto"/>
        <w:rPr>
          <w:rFonts w:ascii="Calibri" w:eastAsia="Calibri" w:hAnsi="Calibri" w:cs="Calibri"/>
          <w:sz w:val="21"/>
          <w:szCs w:val="21"/>
        </w:rPr>
        <w:sectPr>
          <w:headerReference w:type="default" r:id="rId9"/>
          <w:pgSz w:w="11907" w:h="16839"/>
          <w:pgMar w:top="400" w:right="1785" w:bottom="0" w:left="1785" w:header="0" w:footer="0" w:gutter="0"/>
          <w:pgNumType w:start="4"/>
          <w:cols w:space="708"/>
        </w:sectPr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101" w:line="226" w:lineRule="auto"/>
        <w:ind w:left="3315"/>
        <w:rPr>
          <w:rFonts w:ascii="SimSun" w:eastAsia="SimSun" w:hAnsi="SimSun" w:cs="SimSun"/>
          <w:sz w:val="31"/>
          <w:szCs w:val="31"/>
        </w:rPr>
      </w:pPr>
      <w:bookmarkStart w:id="0" w:name="bookmark1"/>
      <w:bookmarkEnd w:id="0"/>
      <w:bookmarkStart w:id="1" w:name="bookmark2"/>
      <w:bookmarkEnd w:id="1"/>
      <w:bookmarkStart w:id="2" w:name="bookmark3"/>
      <w:bookmarkEnd w:id="2"/>
      <w:r>
        <w:rPr>
          <w:rFonts w:ascii="SimSun" w:eastAsia="SimSun" w:hAnsi="SimSun" w:cs="SimSun"/>
          <w:spacing w:val="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2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岩土工程</w:t>
      </w:r>
    </w:p>
    <w:p>
      <w:pPr>
        <w:spacing w:before="265" w:line="581" w:lineRule="exact"/>
        <w:ind w:left="54"/>
        <w:rPr>
          <w:rFonts w:ascii="SimSun" w:eastAsia="SimSun" w:hAnsi="SimSun" w:cs="SimSun"/>
          <w:sz w:val="28"/>
          <w:szCs w:val="28"/>
        </w:rPr>
      </w:pPr>
      <w:r>
        <w:rPr>
          <w:rFonts w:ascii="Calibri" w:eastAsia="Calibri" w:hAnsi="Calibri" w:cs="Calibri"/>
          <w:spacing w:val="-5"/>
          <w:position w:val="22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1.1</w:t>
      </w:r>
      <w:r>
        <w:rPr>
          <w:rFonts w:ascii="Calibri" w:eastAsia="Calibri" w:hAnsi="Calibri" w:cs="Calibri"/>
          <w:spacing w:val="12"/>
          <w:position w:val="2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position w:val="22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成本敏感点</w:t>
      </w:r>
    </w:p>
    <w:p>
      <w:pPr>
        <w:spacing w:line="220" w:lineRule="auto"/>
        <w:ind w:left="4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1.1.1</w:t>
      </w:r>
      <w:r>
        <w:rPr>
          <w:rFonts w:ascii="Calibri" w:eastAsia="Calibri" w:hAnsi="Calibri" w:cs="Calibri"/>
          <w:spacing w:val="1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  <w14:textOutline w14:w="3835">
            <w14:solidFill>
              <w14:srgbClr w14:val="000000"/>
            </w14:solidFill>
            <w14:prstDash w14:val="solid"/>
            <w14:miter w14:lim="10"/>
          </w14:textOutline>
        </w:rPr>
        <w:t>地质勘察</w:t>
      </w:r>
    </w:p>
    <w:p>
      <w:pPr>
        <w:spacing w:before="217" w:line="222" w:lineRule="auto"/>
        <w:ind w:left="46"/>
        <w:rPr>
          <w:rFonts w:ascii="SimSun" w:eastAsia="SimSun" w:hAnsi="SimSun" w:cs="SimSun"/>
          <w:sz w:val="21"/>
          <w:szCs w:val="21"/>
        </w:rPr>
      </w:pPr>
      <w:hyperlink r:id="rId10" w:history="1">
        <w:r>
          <w:rPr>
            <w:rFonts w:ascii="Calibri" w:eastAsia="Calibri" w:hAnsi="Calibri" w:cs="Calibri"/>
            <w:spacing w:val="-2"/>
            <w:sz w:val="21"/>
            <w:szCs w:val="21"/>
          </w:rPr>
          <w:t>1.1.1.1</w:t>
        </w:r>
      </w:hyperlink>
      <w:r>
        <w:rPr>
          <w:rFonts w:ascii="Calibri" w:eastAsia="Calibri" w:hAnsi="Calibri" w:cs="Calibri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钻孔平面图</w:t>
      </w:r>
    </w:p>
    <w:p>
      <w:pPr>
        <w:spacing w:before="214" w:line="221" w:lineRule="auto"/>
        <w:ind w:left="4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6"/>
          <w:sz w:val="21"/>
          <w:szCs w:val="21"/>
        </w:rPr>
        <w:t>1</w:t>
      </w:r>
      <w:r>
        <w:rPr>
          <w:rFonts w:ascii="SimSun" w:eastAsia="SimSun" w:hAnsi="SimSun" w:cs="SimSun"/>
          <w:spacing w:val="-6"/>
          <w:sz w:val="21"/>
          <w:szCs w:val="21"/>
        </w:rPr>
        <w:t>）钻孔孔位、钻孔类别、 间距与深度判定</w:t>
      </w:r>
    </w:p>
    <w:p>
      <w:pPr>
        <w:pStyle w:val="BodyText"/>
        <w:spacing w:line="306" w:lineRule="auto"/>
      </w:pPr>
    </w:p>
    <w:p>
      <w:pPr>
        <w:pStyle w:val="BodyText"/>
        <w:spacing w:line="307" w:lineRule="auto"/>
      </w:pPr>
    </w:p>
    <w:p>
      <w:pPr>
        <w:spacing w:before="69" w:line="468" w:lineRule="exact"/>
        <w:ind w:left="46"/>
        <w:rPr>
          <w:rFonts w:ascii="SimSun" w:eastAsia="SimSun" w:hAnsi="SimSun" w:cs="SimSun"/>
          <w:sz w:val="21"/>
          <w:szCs w:val="21"/>
        </w:rPr>
      </w:pPr>
      <w:hyperlink r:id="rId11" w:history="1">
        <w:r>
          <w:rPr>
            <w:rFonts w:ascii="Calibri" w:eastAsia="Calibri" w:hAnsi="Calibri" w:cs="Calibri"/>
            <w:spacing w:val="-3"/>
            <w:position w:val="19"/>
            <w:sz w:val="21"/>
            <w:szCs w:val="21"/>
          </w:rPr>
          <w:t>1.1.1.2</w:t>
        </w:r>
      </w:hyperlink>
      <w:r>
        <w:rPr>
          <w:rFonts w:ascii="Calibri" w:eastAsia="Calibri" w:hAnsi="Calibri" w:cs="Calibri"/>
          <w:spacing w:val="12"/>
          <w:w w:val="101"/>
          <w:position w:val="1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position w:val="19"/>
          <w:sz w:val="21"/>
          <w:szCs w:val="21"/>
        </w:rPr>
        <w:t>勘察报告</w:t>
      </w:r>
    </w:p>
    <w:p>
      <w:pPr>
        <w:spacing w:line="220" w:lineRule="auto"/>
        <w:ind w:left="4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>）勘察分级判定</w:t>
      </w:r>
    </w:p>
    <w:p>
      <w:pPr>
        <w:spacing w:before="218" w:line="468" w:lineRule="exact"/>
        <w:ind w:left="4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position w:val="19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）抗浮高水位与低水位（常水位）判定</w:t>
      </w:r>
    </w:p>
    <w:p>
      <w:pPr>
        <w:spacing w:before="1" w:line="220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3</w:t>
      </w:r>
      <w:r>
        <w:rPr>
          <w:rFonts w:ascii="SimSun" w:eastAsia="SimSun" w:hAnsi="SimSun" w:cs="SimSun"/>
          <w:spacing w:val="-1"/>
          <w:sz w:val="21"/>
          <w:szCs w:val="21"/>
        </w:rPr>
        <w:t>）地震烈度、场地类别、特征周期判定</w:t>
      </w:r>
    </w:p>
    <w:p>
      <w:pPr>
        <w:spacing w:before="216" w:line="221" w:lineRule="auto"/>
        <w:ind w:left="3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1"/>
          <w:sz w:val="21"/>
          <w:szCs w:val="21"/>
        </w:rPr>
        <w:t>）竖向各土层力学指标判定</w:t>
      </w:r>
    </w:p>
    <w:p>
      <w:pPr>
        <w:spacing w:before="217" w:line="221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5</w:t>
      </w:r>
      <w:r>
        <w:rPr>
          <w:rFonts w:ascii="SimSun" w:eastAsia="SimSun" w:hAnsi="SimSun" w:cs="SimSun"/>
          <w:spacing w:val="-2"/>
          <w:sz w:val="21"/>
          <w:szCs w:val="21"/>
        </w:rPr>
        <w:t>）周边项目勘察情况与资料判定</w:t>
      </w:r>
    </w:p>
    <w:p>
      <w:pPr>
        <w:pStyle w:val="BodyText"/>
        <w:spacing w:line="306" w:lineRule="auto"/>
      </w:pPr>
    </w:p>
    <w:p>
      <w:pPr>
        <w:pStyle w:val="BodyText"/>
        <w:spacing w:line="307" w:lineRule="auto"/>
      </w:pPr>
    </w:p>
    <w:p>
      <w:pPr>
        <w:spacing w:before="68" w:line="227" w:lineRule="auto"/>
        <w:ind w:left="44"/>
        <w:outlineLvl w:val="0"/>
        <w:rPr>
          <w:rFonts w:ascii="SimSun" w:eastAsia="SimSun" w:hAnsi="SimSun" w:cs="SimSun"/>
          <w:sz w:val="21"/>
          <w:szCs w:val="21"/>
        </w:rPr>
      </w:pPr>
      <w:bookmarkStart w:id="3" w:name="bookmark4"/>
      <w:bookmarkEnd w:id="3"/>
      <w:r>
        <w:rPr>
          <w:rFonts w:ascii="Calibri" w:eastAsia="Calibri" w:hAnsi="Calibri" w:cs="Calibri"/>
          <w:spacing w:val="-2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1.1.2</w:t>
      </w:r>
      <w:r>
        <w:rPr>
          <w:rFonts w:ascii="Calibri" w:eastAsia="Calibri" w:hAnsi="Calibri" w:cs="Calibri"/>
          <w:spacing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  <w14:textOutline w14:w="3835">
            <w14:solidFill>
              <w14:srgbClr w14:val="000000"/>
            </w14:solidFill>
            <w14:prstDash w14:val="solid"/>
            <w14:miter w14:lim="10"/>
          </w14:textOutline>
        </w:rPr>
        <w:t>地基</w:t>
      </w:r>
    </w:p>
    <w:p>
      <w:pPr>
        <w:spacing w:before="210" w:line="227" w:lineRule="auto"/>
        <w:ind w:left="46"/>
        <w:rPr>
          <w:rFonts w:ascii="SimSun" w:eastAsia="SimSun" w:hAnsi="SimSun" w:cs="SimSun"/>
          <w:sz w:val="21"/>
          <w:szCs w:val="21"/>
        </w:rPr>
      </w:pPr>
      <w:hyperlink r:id="rId12" w:history="1">
        <w:r>
          <w:rPr>
            <w:rFonts w:ascii="Calibri" w:eastAsia="Calibri" w:hAnsi="Calibri" w:cs="Calibri"/>
            <w:spacing w:val="-3"/>
            <w:sz w:val="21"/>
            <w:szCs w:val="21"/>
          </w:rPr>
          <w:t>1.1.2.1</w:t>
        </w:r>
      </w:hyperlink>
      <w:r>
        <w:rPr>
          <w:rFonts w:ascii="Calibri" w:eastAsia="Calibri" w:hAnsi="Calibri" w:cs="Calibri"/>
          <w:spacing w:val="1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地基土</w:t>
      </w:r>
    </w:p>
    <w:p>
      <w:pPr>
        <w:spacing w:before="210" w:line="468" w:lineRule="exact"/>
        <w:ind w:left="4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position w:val="19"/>
          <w:sz w:val="21"/>
          <w:szCs w:val="21"/>
        </w:rPr>
        <w:t>1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）地基土不利因素判定（腐蚀性等级、液化等级、湿陷性等级）</w:t>
      </w:r>
    </w:p>
    <w:p>
      <w:pPr>
        <w:spacing w:before="1" w:line="220" w:lineRule="auto"/>
        <w:ind w:left="4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）地基土承载力特征值判定</w:t>
      </w:r>
    </w:p>
    <w:p>
      <w:pPr>
        <w:spacing w:before="217" w:line="221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3"/>
          <w:sz w:val="21"/>
          <w:szCs w:val="21"/>
        </w:rPr>
        <w:t>3</w:t>
      </w:r>
      <w:r>
        <w:rPr>
          <w:rFonts w:ascii="SimSun" w:eastAsia="SimSun" w:hAnsi="SimSun" w:cs="SimSun"/>
          <w:spacing w:val="-3"/>
          <w:sz w:val="21"/>
          <w:szCs w:val="21"/>
        </w:rPr>
        <w:t>）地基处理方式比选（预压法、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强夯法、换填垫层法、复合地基、桩基等）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68" w:line="221" w:lineRule="auto"/>
        <w:ind w:left="46"/>
        <w:rPr>
          <w:rFonts w:ascii="SimSun" w:eastAsia="SimSun" w:hAnsi="SimSun" w:cs="SimSun"/>
          <w:sz w:val="21"/>
          <w:szCs w:val="21"/>
        </w:rPr>
      </w:pPr>
      <w:hyperlink r:id="rId13" w:history="1">
        <w:r>
          <w:rPr>
            <w:rFonts w:ascii="Calibri" w:eastAsia="Calibri" w:hAnsi="Calibri" w:cs="Calibri"/>
            <w:spacing w:val="-3"/>
            <w:sz w:val="21"/>
            <w:szCs w:val="21"/>
          </w:rPr>
          <w:t>1.1.2.2</w:t>
        </w:r>
      </w:hyperlink>
      <w:r>
        <w:rPr>
          <w:rFonts w:ascii="Calibri" w:eastAsia="Calibri" w:hAnsi="Calibri" w:cs="Calibri"/>
          <w:spacing w:val="1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桩基</w:t>
      </w:r>
    </w:p>
    <w:p>
      <w:pPr>
        <w:spacing w:before="218" w:line="468" w:lineRule="exact"/>
        <w:ind w:left="4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position w:val="19"/>
          <w:sz w:val="21"/>
          <w:szCs w:val="21"/>
        </w:rPr>
        <w:t>1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）桩基与其他地基处理方式（如复合地基、强夯、换填等）经济性比选</w:t>
      </w:r>
    </w:p>
    <w:p>
      <w:pPr>
        <w:spacing w:line="220" w:lineRule="auto"/>
        <w:ind w:left="4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）桩基设计参数判定</w:t>
      </w:r>
    </w:p>
    <w:p>
      <w:pPr>
        <w:spacing w:before="217" w:line="468" w:lineRule="exact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position w:val="19"/>
          <w:sz w:val="21"/>
          <w:szCs w:val="21"/>
        </w:rPr>
        <w:t>3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）桩型、桩径、桩长、布桩形式、施工工艺比选</w:t>
      </w:r>
    </w:p>
    <w:p>
      <w:pPr>
        <w:spacing w:before="1" w:line="220" w:lineRule="auto"/>
        <w:ind w:left="3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1"/>
          <w:sz w:val="21"/>
          <w:szCs w:val="21"/>
        </w:rPr>
        <w:t>）桩端持力层判定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https://d.book118.com/167116033050006045</w:t>
        </w:r>
      </w:hyperlink>
    </w:p>
    <w:p>
      <w:pPr>
        <w:spacing w:before="1" w:line="220" w:lineRule="auto"/>
        <w:ind w:left="33"/>
        <w:rPr>
          <w:rFonts w:ascii="SimSun" w:eastAsia="SimSun" w:hAnsi="SimSun" w:cs="SimSun"/>
          <w:sz w:val="21"/>
          <w:szCs w:val="21"/>
        </w:rPr>
      </w:pPr>
    </w:p>
    <w:sectPr>
      <w:headerReference w:type="default" r:id="rId15"/>
      <w:footerReference w:type="default" r:id="rId16"/>
      <w:pgSz w:w="11907" w:h="16839"/>
      <w:pgMar w:top="988" w:right="1769" w:bottom="1091" w:left="1771" w:header="974" w:footer="931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6" w:lineRule="auto"/>
      <w:rPr>
        <w:sz w:val="2"/>
      </w:rPr>
    </w:pPr>
    <w:r>
      <w:pict>
        <v:rect id="_x0000_s2049" style="width:418.3pt;height:0.75pt;margin-top:48.72pt;margin-left:88.58pt;mso-position-horizontal-relative:page;mso-position-vertical-relative:page;position:absolute;z-index:251658240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1.1.1.1" TargetMode="External" /><Relationship Id="rId11" Type="http://schemas.openxmlformats.org/officeDocument/2006/relationships/hyperlink" Target="1.1.1.2" TargetMode="External" /><Relationship Id="rId12" Type="http://schemas.openxmlformats.org/officeDocument/2006/relationships/hyperlink" Target="1.1.2.1" TargetMode="External" /><Relationship Id="rId13" Type="http://schemas.openxmlformats.org/officeDocument/2006/relationships/hyperlink" Target="1.1.2.2" TargetMode="External" /><Relationship Id="rId14" Type="http://schemas.openxmlformats.org/officeDocument/2006/relationships/hyperlink" Target="https://d.book118.com/167116033050006045" TargetMode="External" /><Relationship Id="rId15" Type="http://schemas.openxmlformats.org/officeDocument/2006/relationships/header" Target="header5.xml" /><Relationship Id="rId16" Type="http://schemas.openxmlformats.org/officeDocument/2006/relationships/footer" Target="footer1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Shaoping Luo</dc:creator>
  <cp:revision>0</cp:revision>
  <dcterms:created xsi:type="dcterms:W3CDTF">2023-10-26T09:06:05Z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2024-02-29T19:52:46Z</vt:filetime>
  </property>
  <property fmtid="{D5CDD505-2E9C-101B-9397-08002B2CF9AE}" pid="3" name="CRO">
    <vt:lpwstr>wqlLaW5nc29mdCBQREYgdG8gV1BTIDkw</vt:lpwstr>
  </property>
</Properties>
</file>