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宋体" w:hAnsi="宋体" w:cs="宋体"/>
          <w:sz w:val="24"/>
        </w:rPr>
      </w:pPr>
      <w:r>
        <w:rPr>
          <w:rFonts w:ascii="宋体" w:eastAsia="宋体" w:hAnsi="宋体" w:cs="宋体"/>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04.14pt;height:269.45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中国会展经济发展报告》(以下简称《报告》)自2004年以来每年以中、英文出版，并在中国会展经济国际合作论坛（CEFCO）上发布。经过数年的持续努力，《中国会展经济发展报告》不断提升全面性、科学性，已经成为中国有关政府部门、展览业界以及国际同行了解中国展览经济发展状况和趋势的重要参考工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在编写《中国展览经济发展报告（2012）》（以下简称《报告》）的过程中，我们通过调整完善编委会机制、整合利用贸促系统资源、建设系统内展览信息搜集制度等努力，力图进一步提高《报告》的准确性、科学性和实用性。编者在以下几个方面，特别予以说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一、体例的设计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pgSz w:w="11906" w:h="16838"/>
          <w:pgMar w:top="1440" w:right="1800" w:bottom="1440" w:left="1800" w:header="851" w:footer="992" w:gutter="0"/>
          <w:cols w:space="708"/>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《报告》书名由</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中国会展经济发展报告</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改为</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中国展览经济发展报告</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。一字之差，是为体现对于展览经济更为精确的限定。</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会</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所指代的会议业概念从《报告》中剥离，应另作研究。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报告》分为2012年中国展览业宏观发展态势、境内展览业发展报告、京沪穗展览市场研究报告、2012年出国展览发展情况、出国展览民营企业调研报告等几个章节，既有结合国内外经济形势的宏观概述，又结合展览业内具体案例作了微观调研，力图全面反映当年中国展览行业总体状况，并基于此对行业的未来发展做出预期评估。在篇末，还附录了统计数据汇总，以便读者对中国展览业的展览项目、展馆运营、办展主体等核心元素能有一个总体判断和具象把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二、为提升数据科学性的努力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数据是《报告》准确性、科学性、公信力的基础。中国贸促会的展览信息搜集、整理、数据库建设工作已经持续了近二十年。编者依托贸促会系统单位的工作网络，全面搜集全国展览会信息和展览产业政策法规、专业文章，还与国内外展览主办机构、展览馆、展览专业媒体等保持广泛的直接合作。2012年，中国贸促会在系统内建立了展览信息搜集制度，为《报告》的数据工作提供了制度化的长效保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报告》的数据来源于中国国际展览中心集团、中国贸促会展览部、中国贸易报、各地方贸促分支会、行业贸促分会和其他展览主办机构、展览馆的统计以及通过国内公开媒体信息（网络及纸媒）的自主采集，较全面地反映了全国主要城市的经贸展览活动、展览设施和办展主体单位的信息。编委会的专家基于这些数据信息，加之对国内外宏观经济和展览经济的长期研究，形成报告主体文字内容。执笔者均为在中国展览行业从事分析、调研、管理、服务、教育工作多年的专业人士。</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三、局限性与真实性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受到数据提供方对数据公开的不同态度影响，以及搜集工作的人力、时间限制，编者所搜集的国内展览信息不可能完全涵盖全国所有地区的所有展览活动。文中</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全国</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仅指代截止日期为2012年9月30日收集到有效信息的30个省、自治区、直辖市，97个城市（详见随附《境内展览报告涉及省、自治区、直辖市列表》、《境内展览报告涉及城市列表》）。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编者收集到2012年全国共举办2697个展览会，其中约三分之二采集到展览会面积信息，总面积为5269万平方米，据此按比例估算全国展览会总面积约为7000万平方米。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在编者收集的展览会信息中，经济贸易展览会共计2185个，占全部展览会的比例约为81%，其余包括人才招聘会、展销会、艺术展览、庆典等其他展览活动。经济贸易展览会是展览经济的主要组成部分，也是拉动地方经济贡献最大的展会类型，更能代表展览经济发展的核心内容。因此，《报告》所称</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展览会</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限定为经济贸易展览会，不包含文化、艺术、节庆、人才、科技等其他公共展示活动。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3"/>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为客观反映中国展览业的市场运营特征，《报告》发布了北京第二外国语学院会展研究中心、华东理工大学和中山大学旅游学院合作完成的中国展览市场研究报告。其中主要内容和结论是基于课题组通过对京、沪、穗三地的28个展览会进行调研做出的，是对这28个展览会样本的分析与说明。由于京、沪、穗已经成为中国展览业排名前三位的热点城市，形成了三足鼎立的市场格局，在中国展览业中占据了主导地位，我们认为通过对三地有代表性的展览项目的调研，应能够较客观地反映中国展览市场的运营状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报告》中出国举办经济贸易展览会部分的研究，主要是基于中国贸促会依照行政许可法对全国出国办展进行项目审批和管理过程中所掌握的情况，以及通过与出国办展机构、国外展览主办方的广泛接触与合作所了解和总结的情况进行统计研究的结果。贸促会作为全国出国展览项目审批和管理部门，十分关注民营出展企业的发展。根据现行的出国展览审批管理办法，民营展览公司还不完全具备展览项目申报条件，因而不在贸促会受理出国办展项目审批和管理范围之内。但从行业发展的角度而言，民营企业近年来市场表现活跃，是出国展览工作中一支不可忽视的力量。为此，贸促会展览管理办公室委托《进出口经理人》杂志社，开展了有关民营出展企业情况的专项调查，并将部分调研结果纳入《报告》的出国展览部分，以期全面、客观地描述全国出国展览工作的发展状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对于《报告》中所涉数据，编者已通过网络、纸媒、电话、电子邮件等多种渠道对展览信息加以核实，尽所能确保信息准确真实。但限于信息搜集时间较早，展览主办方在筹备中对展览日期、地点等信息或有更改，或对展览项目有变更、取消、增加，《报告》无法一一予以更新。因此，《报告》所列信息及基于此形成的分析判断仅为编者竭尽所能接近真实情况的最大努力，或有谬误在所难免，敬希谅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4"/>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四、发行与共享</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本《报告》在2013年1月份中国会展经济国际合作论坛（CEFCO）上正式公开发布。报告文本和纸版《报告》均为非营利公共服务产品，不得由任何机构或个人用于商业目的。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中国贸促会致力于建设展览信息共享的网络化、数字化平台。自2013年开始，使用者可访问中国展览信息网（www.fair123.cn）取得有关本书和展览行业的更多信息。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中国展览经济年度报告》和《中国博览会与展览会》、《中国展览年鉴》是中国贸促会主持编写的系列展览专业出版物。从数据搜集、框架设计、编撰录入到定稿付梓，得到了贸促会系统单位及各界力量的支持与协助。在此，《报告》编辑委员会对给予我们帮助的单位和个人表示衷心的感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报告》编写团队为促进中国展览行业的信息共享化、市场透明化和全面、协调、可持续发展竭尽所能，力求完美。但限于自身水平和外部条件的制约，《报告》在编辑过程中，不免会有疏漏或不足之处，恳请读者批评指正，并提出宝贵意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《中国展览经济发展报告（2012）》编委会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第一章 2012年中国展览业回顾与展望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5"/>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2012年对于中国来说是经济形势异常复杂的一年。从国际上看，世界经济复苏势头放缓，下行风险加大。发达国家失业率居高不下，私人需求疲弱；新兴市场和发展中国家增速回落，宏观调控面临的局面更加复杂；欧洲主权债务危机持续升级，美国长期主权信用评级被下调，国际金融市场反复大幅波动；与此同时，大宗商品价格高位震荡，全球通胀压力依然较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从国内来看，经济增速回落呈现长期性，运用传统宏观调控思路来调节经济增长的效果正在日益削弱，</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稳增长</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调结构</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与</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控通胀</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之间出现矛盾。另一方面，在国际利益格局的调整期中，中国有机会争取更大的话语权，而在宏观调控多重目标的压力下，政府也更加积极地以市场为主导，紧握加快转变经济增长方式的主线，实施稳健积极的财政货币政策，确保国内经济总体保持健康持续增长的态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在这样的背景下，本章将以2012年中国展览业发生的重要事件以及获取的第一手调研资料为基础，对2012年中国展览业的总体运行状况进行简要回顾与展望。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第一节 中国展览业宏观发展态势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通过对2012年中国展览业中重要事件的梳理和总结，我们认为本年度中国展览市场在宏观层面上具有如下八个特征：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1. 国内展览市场总量稳中有升，市场结构初步呈现转型趋势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6"/>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据不完全统计，2012年全国共举办2185个经贸类展览会，展览会总面积约为6500万平方米，涉及组展单位数量约1300家，与往年相比略有提升。从展览会规模上看，全国10万平方米以上的大型展览会达到71个，约占已知面积展览会总数量的4%；面积在5万到10万平方米的共有176个，约占已知面积展览会总数量的10%，许多展览会规模不断扩大；制造业、信息产业、文化产业、服务业等行业的展览会数量增多，其中服务业展览会总面积达到约739万平方米，约占全国展览会总面积的14%，体现出初步转型升级的态势；办展单位规模不断壮大，展会之间的优化整合以及办展单位之间的交流联合方兴未艾。总体来说，</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转型升级</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成为2012年中国展览市场的关键词，这对于中国展览市场的可持续发展具有积极的意义。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2. 出国展览市场平稳过渡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出国展览作为促进商业贸易的平台，其发展与国际市场和中国经济的总体状况息息相关。与国内展览相比，出国展览受到国际经济形势的消极影响更为直接，但发达经济体在技术创新方面的优势、对中国商品的刚性需求以及展览会本身的专业组织水平使得中国企业对于出国参展仍然具备持续的需求和发展空间。另外，新兴经济体和广大发展中国家市场也越来越受到中国企业的重视。通过展览会了解、开发这些地区市场潜力对以往以传统欧美市场为主要目标的企业来说具备一定的吸引力，而那些已经在这些地区打拼多年的中国企业，则开始注意利用这些地区的展览会树立自主品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根据中国贸促会展览管理办公室提供的数据，2012年我国出展项目规模平稳上升；地域格局分布稳定，欧美市场仍占主导地位；行业分布出现变化，机电产品类的展览项目所占比例上升；自办展和品牌展效果进一步提升。2012年出国展览市场也在总量平稳上升中体现出</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转型升级</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的发展趋势。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7"/>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3. 政府继续对展览业保持较高的关注和支持力度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近年来展览市场迅速发展，许多品牌展览会建立了示范效应，取得了良好的经济和社会成果。在中国经济发展放缓的背景下，作为重要贸易平台和对相关产业具有重要拉动作用的特殊社会经济活动，展览业在促消费、扩内需的过程中更是受到了前所未有的重视。各级政府都在政策、硬件设施、人才培养等方面加大了对展览活动的指导和支持。《中共中央关于深化文化体制改革推动社会主义文化大发展大繁荣若干重大问题的决定》提出要</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发展壮大会展等传统文化产业</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；商务部《关于</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十二五</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期间促进会展业发展的指导意见》提出把会展业培育成我国现代服务业的战略先导性产业；北京市出台《</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十二五</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时期会展发展规划》，提出将北京建设成为亚洲会展之都；武汉市的《</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十二五</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发展规划》将发展会展经济作为打造商贸物流中心、建设国家中心城市的重要途径；南京市出台《南京市会展业国际化建设三年行动计划（2013-2015）》讨论稿，提出将建立会展友好城市合作机制，持续引进国际品牌展会，扩大自主品牌项目的国际化程度；成都市规划发布了《成都市会展博览业布局规划方案公告》，计划在2020年之前将成都市域的室内展场总规模提升到60万平方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4. 办展主体呈现多元化发展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8"/>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随着展览行业结构优化调整的不断深入，我国展览目前已形成政府、行业商协会、国有企业、民营企业和外资企业几大办展主体。据不完全统计，2012年全国组展单位市场办展主体中共有国内企业型组展单位820个，约占全国组展单位总数量的63%，从数量上看是最主要的组展单位类型。行业商协会型组展单位、政府型组展单位和外资企业型组展单位（含海外组展单位、外商独资企业、外商合资企业）分别占23%、9%和5%。从展会内容上来看，企业所举办的展览会以中小型居多，质量良莠不齐，而政府部门和行业商协会举办的展览会多为规模和影响较大的展览会。随着我国展览业的市场化步伐逐步加快和开放程度不断增强，企业、行业商协会正在成为展览市场主体，这也是中国展览业逐步与国际展览市场接轨的重要体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5. 民营中小企业成为参展主体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根据北京第二外国语学院会展研究中心等机构对京、沪、穗展览项目的抽样调查，民营企业在国内参展商和海外参展商中均占有较大比重。就国内参展商而言，民营企业占参展公司的68%，成为参展绝对主力，其次是股份公司和外资企业，分别占13%和10%；就海外参展商而言，民营企业占47%；股份公司占22%。民营中小企业已成为境内外展览的参展主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6. 展览市场服务不断深化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9"/>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2012年，展览市场服务向着社会化、多元化的层面深入发展。我国展览业还是一个处在发展中的行业，市场服务的体制和措施正在不断健全。有关部门比以往更多地关注组展主体和参展企业的需求，为他们提供广泛、深入的指导和服务。2012年1月，财政部、国家税务总局、贸促会展览管理办公室和部分出国办展组展单位座谈，积极研究对组织出国举办经济贸易展览会减免税收的问题。7月10日至13日，中国贸促会先后在长沙、福州、深圳举办</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2012年出国展览知识产权及相关法律与参展实务培训</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，近400家出国参展企业参加了培训。11月14日，中国贸促会与进出口经理人杂志社联合主办民营出展企业调查沟通会，着手开展民营出展企业数据统计和调研。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7. 场馆建设继续升温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我国的场馆建设自2010年进入新一轮的投资周期后，始终热度不减。在地区政府积极的财政政策以及信贷支持下，不但京沪穗等核心展览城市的大型展馆正在加快展馆改扩建的步伐，一些二、三线城市更是纷纷将兴建展览中心作为推动当地会展业发展、拉动社会经济和城市建设的核心项目。据了解，各地展馆建设多以</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高标准设计</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超大规模建设</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和</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全产业链配套</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为特征，新建成一批展览面积10万平方米以上，展览、会议、酒店、商场等服务设施完备的现代化新型展览中心。据不完全统计，2012年全国室内可租用面积大于等于5000平方米、且举办2个以上经贸类展览会的展览馆共有98个，合计室内可租用总面积约为459万平方米，其中有10个展览馆室内可租用面积达到10万平方米以上。在建的展览馆项目中，虹桥商务区国家会展项目和天津国家会展项目规划展览面积均达50万平方米，重庆会议展览馆和成都中国西部博览城规划展览面积也达20万平方米。武汉自2011年建成面积居华中第一，全国第三的武汉国际博览中心后，会议中心也于2012年底竣工。南京市会展办向市政府建议在南京禄口国际机场周边预留建设50万平方米的展览场馆土地，为未来南京展览业的发展留出更大的发展空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8. 会展教育培训突飞猛进，但仍需完善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sectPr>
          <w:type w:val="nextPage"/>
          <w:pgSz w:w="11906" w:h="16838"/>
          <w:pgMar w:top="1440" w:right="1800" w:bottom="1440" w:left="1800" w:header="851" w:footer="992" w:gutter="0"/>
          <w:pgNumType w:start="10"/>
          <w:cols w:space="708"/>
          <w:titlePg w:val="0"/>
          <w:docGrid w:type="lines" w:linePitch="312"/>
        </w:sect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自2003年教育部正式批准招收会展经济与管理本科学生以来，中国会展教育取得了突飞猛进的发展。但与此同时，中国会展业依然在遭遇人才短缺的瓶颈。造成这种情况的原因不仅是会展人才数量的不足，还包括高校理论与企业实践之间的脱节。为此，会展教育界正在努力打破这种差异。2012年，国家会议中心在北京第二外国语学院设立会展专项奖学金，鼓励学生在拓展专业学习的同时加强理论与实践相结合，突出实际操作以及观察创新能力。2012年5月9日，南京市举办了</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部分高校和会展企业人才培养对接会</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诸多展览公司的专业人士和会展专业学生齐聚一堂，就企业工作的实际特点和会展教育现状展开交流。11月17日，北京第二外国语学院主办的第五届中国会展教育年会在京召开，吸引了来自南开大学、中山大学、四川大学等全国30余所高校的40余位会展教师参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90" w:afterAutospacing="0"/>
        <w:ind w:left="0" w:right="0" w:firstLine="0"/>
        <w:jc w:val="left"/>
        <w:rPr>
          <w:rFonts w:ascii="Microsoft YaHei UI" w:eastAsia="Microsoft YaHei UI" w:hAnsi="Microsoft YaHei UI" w:cs="Microsoft YaHei UI"/>
          <w:i w:val="0"/>
          <w:iCs w:val="0"/>
          <w:caps w:val="0"/>
          <w:spacing w:val="8"/>
          <w:sz w:val="24"/>
        </w:rPr>
      </w:pP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pict>
          <v:shape id="图片 3" o:spid="_x0000_i1026" type="#_x0000_t75" style="width:393pt;height:264pt" filled="f">
            <v:imagedata r:id="rId5"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11"/>
          <w:cols w:space="708"/>
          <w:titlePg w:val="0"/>
          <w:docGrid w:type="lines" w:linePitch="312"/>
        </w:sectPr>
      </w:pPr>
      <w:r>
        <w:rPr>
          <w:rFonts w:ascii="Microsoft YaHei UI" w:eastAsia="Microsoft YaHei UI" w:hAnsi="Microsoft YaHei UI" w:cs="Microsoft YaHei UI" w:hint="eastAsia"/>
          <w:i w:val="0"/>
          <w:iCs w:val="0"/>
          <w:caps w:val="0"/>
          <w:spacing w:val="8"/>
          <w:bdr w:val="none" w:sz="0" w:space="0" w:color="auto"/>
          <w:shd w:val="clear" w:color="auto" w:fill="FFFFFF"/>
        </w:rPr>
        <w:t xml:space="preserve">第二节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2013年中国展览业前景展望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随着国内外经济不确定因素的增多，加之展览业本身涵盖广泛和边界交叉，预测展览业未来发展已经成为一项难度很大的工作。在此，我们将继续沿袭以往的风格，根据事物固有的因果关系和我们的长期跟踪研究，对2013年中国展览市场的可能发展态势做出一些合理的预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1. 中国展览业将在国内外经济低速增长中进一步转型升级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2013年不仅是中国迈向新结构、超越新常态的关键年，也是多重因素叠加充满不确定性的一年。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从国际经济环境角度看，2013年世界经济增速仍然黯淡。欧债危机是最近三年内全球经济领域的最重要事件。根据世界货币基金组织（IMF）提供的数据，受危机影响，全球经济增长率由2010年的5.1%下降至2011年的3.8%，进而下降至2012年的3.3%。无论是发达经济体还是新兴市场经济体在此期间内均经历了经济增长的减速。根据IMF的最新预测，2013年全球经济增长率仅为3.6%。</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审视中国国内经济现实，各方对2013年中国经济走势的预测观点存在较大的分歧，最为乐观的预测认为2013年中国经济增长能达到9%以上，最为悲观的预测认为有可能在7%以下。根据媒体报道，将于12月中旬召开的2012年中央经济工作会议可能将2013年中国GDP增速目标设定为7.5%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12"/>
          <w:cols w:space="708"/>
          <w:titlePg w:val="0"/>
          <w:docGrid w:type="lines" w:linePitch="312"/>
        </w:sectPr>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维稳</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将成为2013年中国展览市场的主线。部分实力较弱的展览企业和质量不高的展览项目将遭遇市场的淘汰和重组。具备行业根基、专业化管理和品牌优势的展览项目将力求在企业普遍预算紧缩的时期维持项目各项指标稳定和增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2012年11月召开的中国共产党第十八次全国代表大会确立了中央新的领导核心，也传递了新一届政府审慎推进经济改革的决心和具体着眼点所在。</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十八大</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报告要求</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全面提高开放型经济水平</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，展览经济在科技创新、经济结构优化、生态环境改善等方面将大有可为。业界应苦练内功，增强创新驱动发展新动力，加快微观转型升级，增长长期发展后劲。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2. 政府进一步调整在展览业发展中的地位和职能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政府与市场互动关系在中国展览经济中是尤为重要的问题。政府主导型展览发展战略为当今世界许多国家和地方政府所采纳，其核心就是在坚持政府对展览经济起主导作用的同时，充分重视市场机制的作用，实现市场资源的合理配置和优化组合。中国行政体制的特殊性决定了政府在展览业发展过程中不但是管理者、指导者，也是具体项目的设计者和参与者。这种特点一方面推动中国展览业以举世瞩目的步伐前进，另一方面也出现个别地方政府以政府资金和行政手段揠苗助长，导致一些项目缺乏可持续性的良性发展空间。中共</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十八大</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在论述经济体制改革的核心问题时指出：</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经济体制改革的核心问题是处理好政府和市场的关系，必须更加尊重市场规律，更好发挥政府作用。</w:t>
      </w:r>
      <w:r>
        <w:rPr>
          <w:rFonts w:ascii="Microsoft YaHei UI" w:eastAsia="Microsoft YaHei UI" w:hAnsi="Microsoft YaHei UI" w:cs="Microsoft YaHei UI" w:hint="eastAsia"/>
          <w:i w:val="0"/>
          <w:iCs w:val="0"/>
          <w:caps w:val="0"/>
          <w:spacing w:val="8"/>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13"/>
          <w:cols w:space="708"/>
          <w:titlePg w:val="0"/>
          <w:docGrid w:type="lines" w:linePitch="312"/>
        </w:sectPr>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近年来，许多政府部门开始重新思考在展览业发展中的地位和职能，尝试在</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无为</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和</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有为</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之间寻找平衡点，在政策、硬件设施、人才培养等方面提供指导和支持，市场自行配置资源的功能则交给行业协会和企业等市场主体。考虑到展览会在发展和引导市场消费等方面发挥的重要作用和方兴未艾的</w:t>
      </w:r>
      <w:r>
        <w:rPr>
          <w:rFonts w:ascii="Microsoft YaHei UI" w:eastAsia="Microsoft YaHei UI" w:hAnsi="Microsoft YaHei UI" w:cs="Microsoft YaHei UI"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t>后世博</w:t>
      </w:r>
      <w:r>
        <w:rPr>
          <w:rFonts w:ascii="Microsoft YaHei UI" w:eastAsia="Microsoft YaHei UI" w:hAnsi="Microsoft YaHei UI" w:cs="Microsoft YaHei UI" w:hint="eastAsia"/>
          <w:i w:val="0"/>
          <w:iCs w:val="0"/>
          <w:caps w:val="0"/>
          <w:spacing w:val="8"/>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效应，中央及各级地方政府仍将继续出台展览业扶持政策、规范展览市场秩序，许多地方政府仍将直接参与展览会操作。同时，展览业起步较早的地方政府将进一步研究推动展会的市场化进程，寻找适当时机从具体的展览事务中退出，为中国展览业的健康发展营造良好氛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3. 展览与会议相结合的趋势更加明显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现代意义上的展览业多指展览与会议的综合体。会议可以为展览带来高层次的观众和强有力的潜在买家，而展览活动也会使会议更加直观和富有吸引力。许多传统展览国家的展览会都与一系列学术会议、专业论坛相结合，不仅贸易效果好，还成为了业界发布最新技术和产品的前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中国的会议市场和展览市场都很庞大，为展览与会议的融合提供了客观条件。随着中国展览业与国际市场的不断接轨，近年来许多国内大型展览会也与会议、节庆等活动结合起来，形成规模效应，成为拉动当地经济发展和业界交流合作、扩大城市影响力的引擎。考虑到中国展览市场的国际化程度仍在不断提高，我们有理由认为2013年中国展览与会议相结合这一趋势将更为明显，展览会的边界将得到进一步的拓展，与各种行业的发展更为紧密地联系在一起，以展促会，以会带展，在拉动内需的过程中发挥突出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4. 展览场馆竞争更加激烈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rPr>
          <w:rFonts w:ascii="Microsoft YaHei UI" w:eastAsia="Microsoft YaHei UI" w:hAnsi="Microsoft YaHei UI" w:cs="Microsoft YaHei UI" w:hint="eastAsia"/>
          <w:i w:val="0"/>
          <w:iCs w:val="0"/>
          <w:caps w:val="0"/>
          <w:spacing w:val="8"/>
          <w:bdr w:val="none" w:sz="0" w:space="0" w:color="auto"/>
          <w:shd w:val="clear" w:color="auto" w:fill="FFFFFF"/>
        </w:rPr>
        <w:sectPr>
          <w:type w:val="nextPage"/>
          <w:pgSz w:w="11906" w:h="16838"/>
          <w:pgMar w:top="1440" w:right="1800" w:bottom="1440" w:left="1800" w:header="851" w:footer="992" w:gutter="0"/>
          <w:pgNumType w:start="14"/>
          <w:cols w:space="708"/>
          <w:titlePg w:val="0"/>
          <w:docGrid w:type="lines" w:linePitch="312"/>
        </w:sectPr>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rPr>
          <w:rFonts w:ascii="Microsoft YaHei UI" w:eastAsia="Microsoft YaHei UI" w:hAnsi="Microsoft YaHei UI" w:cs="Microsoft YaHei UI" w:hint="eastAsia"/>
          <w:i w:val="0"/>
          <w:iCs w:val="0"/>
          <w:caps w:val="0"/>
          <w:spacing w:val="8"/>
          <w:bdr w:val="none" w:sz="0" w:space="0" w:color="auto"/>
          <w:shd w:val="clear" w:color="auto" w:fill="FFFFFF"/>
        </w:rPr>
      </w:pPr>
      <w:r>
        <w:rPr>
          <w:rFonts w:ascii="Microsoft YaHei UI" w:eastAsia="Microsoft YaHei UI" w:hAnsi="Microsoft YaHei UI" w:cs="Microsoft YaHei UI" w:hint="eastAsia"/>
          <w:i w:val="0"/>
          <w:iCs w:val="0"/>
          <w:caps w:val="0"/>
          <w:spacing w:val="8"/>
          <w:bdr w:val="none" w:sz="0" w:space="0" w:color="auto"/>
          <w:shd w:val="clear" w:color="auto" w:fill="FFFFFF"/>
        </w:rPr>
        <w:t>近年来场馆建设重拾升势，各地对展馆投资急剧升温。在积极的财政政策以及宽松的货币政策支持下，一些大型展馆项目将在今明两年相继上马开工建设，昆明、成都、上海虹桥等许多展馆项目在投资金额和建设规模等方面已经远远超过现有场馆。据不完全统计，2012年全国2-5万平方米展览馆中仅有约四分之一租馆率能达到20%以上，5-10万平方米展览馆中有约二分之一租馆率能达到20%以上。随着大型展览场馆的不断落成，10万平方米以上展览馆也将面临越来越大的经营压力，展览场馆将面临更加严峻的竞争态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rPr>
          <w:rFonts w:ascii="Microsoft YaHei UI" w:eastAsia="Microsoft YaHei UI" w:hAnsi="Microsoft YaHei UI" w:cs="Microsoft YaHei UI" w:hint="eastAsia"/>
          <w:i w:val="0"/>
          <w:iCs w:val="0"/>
          <w:caps w:val="0"/>
          <w:spacing w:val="8"/>
          <w:bdr w:val="none" w:sz="0" w:space="0" w:color="auto"/>
          <w:shd w:val="clear" w:color="auto" w:fill="FFFFFF"/>
        </w:r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90" w:afterAutospacing="0"/>
        <w:ind w:left="0" w:right="0" w:firstLine="0"/>
        <w:jc w:val="left"/>
        <w:rPr>
          <w:rFonts w:ascii="Microsoft YaHei UI" w:eastAsia="Microsoft YaHei UI" w:hAnsi="Microsoft YaHei UI" w:cs="Microsoft YaHei UI"/>
          <w:i w:val="0"/>
          <w:iCs w:val="0"/>
          <w:caps w:val="0"/>
          <w:spacing w:val="8"/>
          <w:sz w:val="24"/>
        </w:rPr>
      </w:pP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pict>
          <v:shape id="图片 4" o:spid="_x0000_i1027" type="#_x0000_t75" style="width:451.56pt;height:300pt" filled="f">
            <v:imagedata r:id="rId6" o:title="IMG_256"/>
            <v:path o:extrusionok="f"/>
            <o:lock v:ext="edit" aspectratio="t"/>
          </v:shape>
        </w:pict>
      </w:r>
    </w:p>
    <w:tbl>
      <w:tblPr>
        <w:tblStyle w:val="TableNormal"/>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0" w:type="dxa"/>
          <w:bottom w:w="0" w:type="dxa"/>
          <w:right w:w="0" w:type="dxa"/>
        </w:tblCellMar>
        <w:tblLook w:val="0000"/>
      </w:tblPr>
      <w:tblGrid>
        <w:gridCol w:w="10155"/>
      </w:tblGrid>
      <w:tr>
        <w:tblPrEx>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0" w:type="dxa"/>
            <w:bottom w:w="0" w:type="dxa"/>
            <w:right w:w="0" w:type="dxa"/>
          </w:tblCellMar>
          <w:tblLook w:val="0000"/>
        </w:tblPrEx>
        <w:trPr>
          <w:trHeight w:val="450"/>
        </w:trPr>
        <w:tc>
          <w:tcPr>
            <w:tcW w:w="0" w:type="auto"/>
            <w:tcBorders>
              <w:top w:val="dashed" w:sz="6" w:space="0" w:color="DDDDDD"/>
              <w:left w:val="dashed" w:sz="6" w:space="0" w:color="DDDDDD"/>
              <w:bottom w:val="dashed" w:sz="6" w:space="0" w:color="DDDDDD"/>
              <w:right w:val="dashed" w:sz="6" w:space="0" w:color="DDDDDD"/>
            </w:tcBorders>
            <w:shd w:val="clear" w:color="auto" w:fill="FFFFFF"/>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第二章中国境内展览业市场报告</w:t>
            </w:r>
          </w:p>
        </w:tc>
      </w:tr>
    </w:tbl>
    <w:p>
      <w:pPr>
        <w:sectPr>
          <w:type w:val="nextPage"/>
          <w:pgSz w:w="11906" w:h="16838"/>
          <w:pgMar w:top="1440" w:right="1800" w:bottom="1440" w:left="1800" w:header="851" w:footer="992" w:gutter="0"/>
          <w:pgNumType w:start="15"/>
          <w:cols w:space="708"/>
          <w:titlePg w:val="0"/>
          <w:docGrid w:type="lines" w:linePitch="312"/>
        </w:sectPr>
      </w:pPr>
    </w:p>
    <w:tbl>
      <w:tblPr>
        <w:tblStyle w:val="TableNormal"/>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0" w:type="dxa"/>
          <w:bottom w:w="0" w:type="dxa"/>
          <w:right w:w="0" w:type="dxa"/>
        </w:tblCellMar>
        <w:tblLook w:val="0000"/>
      </w:tblPr>
      <w:tblGrid>
        <w:gridCol w:w="10155"/>
      </w:tblGrid>
      <w:tr>
        <w:tblPrEx>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0" w:type="dxa"/>
            <w:left w:w="0" w:type="dxa"/>
            <w:bottom w:w="0" w:type="dxa"/>
            <w:right w:w="0" w:type="dxa"/>
          </w:tblCellMar>
          <w:tblLook w:val="0000"/>
        </w:tblPrEx>
        <w:trPr>
          <w:trHeight w:val="6750"/>
        </w:trPr>
        <w:tc>
          <w:tcPr>
            <w:tcW w:w="0" w:type="auto"/>
            <w:tcBorders>
              <w:top w:val="dashed" w:sz="6" w:space="0" w:color="DDDDDD"/>
              <w:left w:val="dashed" w:sz="6" w:space="0" w:color="DDDDDD"/>
              <w:bottom w:val="dashed" w:sz="6" w:space="0" w:color="DDDDDD"/>
              <w:right w:val="dashed" w:sz="6" w:space="0" w:color="DDDDDD"/>
            </w:tcBorders>
            <w:shd w:val="clear" w:color="auto" w:fill="FFFFFF"/>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前言</w:t>
            </w:r>
            <w:r>
              <w:rPr>
                <w:bdr w:val="none" w:sz="0" w:space="0" w:color="auto"/>
              </w:rPr>
              <w:br/>
            </w:r>
            <w:r>
              <w:rPr>
                <w:bdr w:val="none" w:sz="0" w:space="0" w:color="auto"/>
              </w:rPr>
              <w:t>   </w:t>
            </w:r>
            <w:r>
              <w:rPr>
                <w:rFonts w:ascii="宋体" w:eastAsia="宋体" w:hAnsi="宋体" w:cs="宋体" w:hint="eastAsia"/>
                <w:bdr w:val="none" w:sz="0" w:space="0" w:color="auto"/>
              </w:rPr>
              <w:t>本章报告共汇集全国</w:t>
            </w:r>
            <w:r>
              <w:rPr>
                <w:bdr w:val="none" w:sz="0" w:space="0" w:color="auto"/>
              </w:rPr>
              <w:t>30</w:t>
            </w:r>
            <w:r>
              <w:rPr>
                <w:rFonts w:ascii="宋体" w:eastAsia="宋体" w:hAnsi="宋体" w:cs="宋体" w:hint="eastAsia"/>
                <w:bdr w:val="none" w:sz="0" w:space="0" w:color="auto"/>
              </w:rPr>
              <w:t>个省直辖市、</w:t>
            </w:r>
            <w:r>
              <w:rPr>
                <w:bdr w:val="none" w:sz="0" w:space="0" w:color="auto"/>
              </w:rPr>
              <w:t>97</w:t>
            </w:r>
            <w:r>
              <w:rPr>
                <w:rFonts w:ascii="宋体" w:eastAsia="宋体" w:hAnsi="宋体" w:cs="宋体" w:hint="eastAsia"/>
                <w:bdr w:val="none" w:sz="0" w:space="0" w:color="auto"/>
              </w:rPr>
              <w:t>个城市举办的展览会信息，数据来源于各地贸促系统会员单位征集以及国内公开媒体信息（网络及纸媒）自主采集。数据采集截止日期为</w:t>
            </w:r>
            <w:r>
              <w:rPr>
                <w:bdr w:val="none" w:sz="0" w:space="0" w:color="auto"/>
              </w:rPr>
              <w:t>2012</w:t>
            </w:r>
            <w:r>
              <w:rPr>
                <w:rFonts w:ascii="宋体" w:eastAsia="宋体" w:hAnsi="宋体" w:cs="宋体" w:hint="eastAsia"/>
                <w:bdr w:val="none" w:sz="0" w:space="0" w:color="auto"/>
              </w:rPr>
              <w:t>年</w:t>
            </w:r>
            <w:r>
              <w:rPr>
                <w:bdr w:val="none" w:sz="0" w:space="0" w:color="auto"/>
              </w:rPr>
              <w:t>9</w:t>
            </w:r>
            <w:r>
              <w:rPr>
                <w:rFonts w:ascii="宋体" w:eastAsia="宋体" w:hAnsi="宋体" w:cs="宋体" w:hint="eastAsia"/>
                <w:bdr w:val="none" w:sz="0" w:space="0" w:color="auto"/>
              </w:rPr>
              <w:t>月</w:t>
            </w:r>
            <w:r>
              <w:rPr>
                <w:bdr w:val="none" w:sz="0" w:space="0" w:color="auto"/>
              </w:rPr>
              <w:t>30</w:t>
            </w:r>
            <w:r>
              <w:rPr>
                <w:rFonts w:ascii="宋体" w:eastAsia="宋体" w:hAnsi="宋体" w:cs="宋体" w:hint="eastAsia"/>
                <w:bdr w:val="none" w:sz="0" w:space="0" w:color="auto"/>
              </w:rPr>
              <w:t>日。展览会信息较全面地反映了全国主要展览城市举办的经贸类展览会、人才招聘会、展销会和在专业展览场地举办的其他类型展览会的展览会信息以及相关展览馆信息和主办单位信息，反映了各地区展览市场发展概况，但未能完全涵盖全国所有地区各种类形的展览会信息。下文中</w:t>
            </w:r>
            <w:r>
              <w:rPr>
                <w:rFonts w:ascii="宋体" w:eastAsia="宋体" w:hAnsi="宋体" w:cs="宋体" w:hint="eastAsia"/>
                <w:bdr w:val="none" w:sz="0" w:space="0" w:color="auto"/>
              </w:rPr>
              <w:t>“</w:t>
            </w:r>
            <w:r>
              <w:rPr>
                <w:rFonts w:ascii="宋体" w:eastAsia="宋体" w:hAnsi="宋体" w:cs="宋体" w:hint="eastAsia"/>
                <w:bdr w:val="none" w:sz="0" w:space="0" w:color="auto"/>
              </w:rPr>
              <w:t>全国</w:t>
            </w:r>
            <w:r>
              <w:rPr>
                <w:rFonts w:ascii="宋体" w:eastAsia="宋体" w:hAnsi="宋体" w:cs="宋体" w:hint="eastAsia"/>
                <w:bdr w:val="none" w:sz="0" w:space="0" w:color="auto"/>
              </w:rPr>
              <w:t>”</w:t>
            </w:r>
            <w:r>
              <w:rPr>
                <w:rFonts w:ascii="宋体" w:eastAsia="宋体" w:hAnsi="宋体" w:cs="宋体" w:hint="eastAsia"/>
                <w:bdr w:val="none" w:sz="0" w:space="0" w:color="auto"/>
              </w:rPr>
              <w:t>仅指代上述</w:t>
            </w:r>
            <w:r>
              <w:rPr>
                <w:bdr w:val="none" w:sz="0" w:space="0" w:color="auto"/>
              </w:rPr>
              <w:t>30</w:t>
            </w:r>
            <w:r>
              <w:rPr>
                <w:rFonts w:ascii="宋体" w:eastAsia="宋体" w:hAnsi="宋体" w:cs="宋体" w:hint="eastAsia"/>
                <w:bdr w:val="none" w:sz="0" w:space="0" w:color="auto"/>
              </w:rPr>
              <w:t>个省直辖市、</w:t>
            </w:r>
            <w:r>
              <w:rPr>
                <w:bdr w:val="none" w:sz="0" w:space="0" w:color="auto"/>
              </w:rPr>
              <w:t>97</w:t>
            </w:r>
            <w:r>
              <w:rPr>
                <w:rFonts w:ascii="宋体" w:eastAsia="宋体" w:hAnsi="宋体" w:cs="宋体" w:hint="eastAsia"/>
                <w:bdr w:val="none" w:sz="0" w:space="0" w:color="auto"/>
              </w:rPr>
              <w:t>个城市（详见随附《本报告涉及省、直辖市列表》、《本报告涉及城市列表》），文中各项统计数字仅限于本报告所汇集的展览会信息，特此说明。</w:t>
            </w:r>
            <w:r>
              <w:rPr>
                <w:bdr w:val="none" w:sz="0" w:space="0" w:color="auto"/>
              </w:rPr>
              <w:br/>
            </w:r>
            <w:r>
              <w:rPr>
                <w:bdr w:val="none" w:sz="0" w:space="0" w:color="auto"/>
              </w:rPr>
              <w:t>   2012</w:t>
            </w:r>
            <w:r>
              <w:rPr>
                <w:rFonts w:ascii="宋体" w:eastAsia="宋体" w:hAnsi="宋体" w:cs="宋体" w:hint="eastAsia"/>
                <w:bdr w:val="none" w:sz="0" w:space="0" w:color="auto"/>
              </w:rPr>
              <w:t>年全国共举办</w:t>
            </w:r>
            <w:r>
              <w:rPr>
                <w:bdr w:val="none" w:sz="0" w:space="0" w:color="auto"/>
              </w:rPr>
              <w:t>2697</w:t>
            </w:r>
            <w:r>
              <w:rPr>
                <w:rFonts w:ascii="宋体" w:eastAsia="宋体" w:hAnsi="宋体" w:cs="宋体" w:hint="eastAsia"/>
                <w:bdr w:val="none" w:sz="0" w:space="0" w:color="auto"/>
              </w:rPr>
              <w:t>个展览会，其中约三分之二采集到展览会面积信息，汇总展览会总面积</w:t>
            </w:r>
            <w:r>
              <w:rPr>
                <w:bdr w:val="none" w:sz="0" w:space="0" w:color="auto"/>
              </w:rPr>
              <w:t>5269</w:t>
            </w:r>
            <w:r>
              <w:rPr>
                <w:rFonts w:ascii="宋体" w:eastAsia="宋体" w:hAnsi="宋体" w:cs="宋体" w:hint="eastAsia"/>
                <w:bdr w:val="none" w:sz="0" w:space="0" w:color="auto"/>
              </w:rPr>
              <w:t>万平方米，估算全国展览会总面积约</w:t>
            </w:r>
            <w:r>
              <w:rPr>
                <w:bdr w:val="none" w:sz="0" w:space="0" w:color="auto"/>
              </w:rPr>
              <w:t>7000</w:t>
            </w:r>
            <w:r>
              <w:rPr>
                <w:rFonts w:ascii="宋体" w:eastAsia="宋体" w:hAnsi="宋体" w:cs="宋体" w:hint="eastAsia"/>
                <w:bdr w:val="none" w:sz="0" w:space="0" w:color="auto"/>
              </w:rPr>
              <w:t>万平方米。其中经贸类展览会共计</w:t>
            </w:r>
            <w:r>
              <w:rPr>
                <w:bdr w:val="none" w:sz="0" w:space="0" w:color="auto"/>
              </w:rPr>
              <w:t>2185</w:t>
            </w:r>
            <w:r>
              <w:rPr>
                <w:rFonts w:ascii="宋体" w:eastAsia="宋体" w:hAnsi="宋体" w:cs="宋体" w:hint="eastAsia"/>
                <w:bdr w:val="none" w:sz="0" w:space="0" w:color="auto"/>
              </w:rPr>
              <w:t>个，占全部展览会的比例约为</w:t>
            </w:r>
            <w:r>
              <w:rPr>
                <w:bdr w:val="none" w:sz="0" w:space="0" w:color="auto"/>
              </w:rPr>
              <w:t>81%</w:t>
            </w:r>
            <w:r>
              <w:rPr>
                <w:rFonts w:ascii="宋体" w:eastAsia="宋体" w:hAnsi="宋体" w:cs="宋体" w:hint="eastAsia"/>
                <w:bdr w:val="none" w:sz="0" w:space="0" w:color="auto"/>
              </w:rPr>
              <w:t>；人才招聘会共计</w:t>
            </w:r>
            <w:r>
              <w:rPr>
                <w:bdr w:val="none" w:sz="0" w:space="0" w:color="auto"/>
              </w:rPr>
              <w:t>319</w:t>
            </w:r>
            <w:r>
              <w:rPr>
                <w:rFonts w:ascii="宋体" w:eastAsia="宋体" w:hAnsi="宋体" w:cs="宋体" w:hint="eastAsia"/>
                <w:bdr w:val="none" w:sz="0" w:space="0" w:color="auto"/>
              </w:rPr>
              <w:t>个，占全部展览会的比例约为</w:t>
            </w:r>
            <w:r>
              <w:rPr>
                <w:bdr w:val="none" w:sz="0" w:space="0" w:color="auto"/>
              </w:rPr>
              <w:t>12%</w:t>
            </w:r>
            <w:r>
              <w:rPr>
                <w:rFonts w:ascii="宋体" w:eastAsia="宋体" w:hAnsi="宋体" w:cs="宋体" w:hint="eastAsia"/>
                <w:bdr w:val="none" w:sz="0" w:space="0" w:color="auto"/>
              </w:rPr>
              <w:t>；展销会共计</w:t>
            </w:r>
            <w:r>
              <w:rPr>
                <w:bdr w:val="none" w:sz="0" w:space="0" w:color="auto"/>
              </w:rPr>
              <w:t>149</w:t>
            </w:r>
            <w:r>
              <w:rPr>
                <w:rFonts w:ascii="宋体" w:eastAsia="宋体" w:hAnsi="宋体" w:cs="宋体" w:hint="eastAsia"/>
                <w:bdr w:val="none" w:sz="0" w:space="0" w:color="auto"/>
              </w:rPr>
              <w:t>个，占全部展览会的比例约为</w:t>
            </w:r>
            <w:r>
              <w:rPr>
                <w:bdr w:val="none" w:sz="0" w:space="0" w:color="auto"/>
              </w:rPr>
              <w:t>5%</w:t>
            </w:r>
            <w:r>
              <w:rPr>
                <w:rFonts w:ascii="宋体" w:eastAsia="宋体" w:hAnsi="宋体" w:cs="宋体" w:hint="eastAsia"/>
                <w:bdr w:val="none" w:sz="0" w:space="0" w:color="auto"/>
              </w:rPr>
              <w:t>；此外还有</w:t>
            </w:r>
            <w:r>
              <w:rPr>
                <w:bdr w:val="none" w:sz="0" w:space="0" w:color="auto"/>
              </w:rPr>
              <w:t>44</w:t>
            </w:r>
            <w:r>
              <w:rPr>
                <w:rFonts w:ascii="宋体" w:eastAsia="宋体" w:hAnsi="宋体" w:cs="宋体" w:hint="eastAsia"/>
                <w:bdr w:val="none" w:sz="0" w:space="0" w:color="auto"/>
              </w:rPr>
              <w:t>个其他类型展览会包括各种画展、庆典、活动等，占全部展览会的比例约为</w:t>
            </w:r>
            <w:r>
              <w:rPr>
                <w:bdr w:val="none" w:sz="0" w:space="0" w:color="auto"/>
              </w:rPr>
              <w:t>2%</w:t>
            </w:r>
            <w:r>
              <w:rPr>
                <w:rFonts w:ascii="宋体" w:eastAsia="宋体" w:hAnsi="宋体" w:cs="宋体" w:hint="eastAsia"/>
                <w:bdr w:val="none" w:sz="0" w:space="0" w:color="auto"/>
              </w:rPr>
              <w:t>。</w:t>
            </w:r>
            <w:r>
              <w:rPr>
                <w:bdr w:val="none" w:sz="0" w:space="0" w:color="auto"/>
              </w:rPr>
              <w:br/>
            </w:r>
            <w:r>
              <w:rPr>
                <w:bdr w:val="none" w:sz="0" w:space="0" w:color="auto"/>
              </w:rPr>
              <w:t>   </w:t>
            </w:r>
            <w:r>
              <w:rPr>
                <w:rFonts w:ascii="宋体" w:eastAsia="宋体" w:hAnsi="宋体" w:cs="宋体" w:hint="eastAsia"/>
                <w:bdr w:val="none" w:sz="0" w:space="0" w:color="auto"/>
              </w:rPr>
              <w:t>由于经贸类展览会是各地区会展经济的主要组成部分，也是对拉动地方经济贡献最大的展览会类型，因此也能更为准确地反映各地展览会市场发展概况，下文仅对经贸类展览会信息进行归类统计分析，下文中</w:t>
            </w:r>
            <w:r>
              <w:rPr>
                <w:rFonts w:ascii="宋体" w:eastAsia="宋体" w:hAnsi="宋体" w:cs="宋体" w:hint="eastAsia"/>
                <w:bdr w:val="none" w:sz="0" w:space="0" w:color="auto"/>
              </w:rPr>
              <w:t>“</w:t>
            </w:r>
            <w:r>
              <w:rPr>
                <w:rFonts w:ascii="宋体" w:eastAsia="宋体" w:hAnsi="宋体" w:cs="宋体" w:hint="eastAsia"/>
                <w:bdr w:val="none" w:sz="0" w:space="0" w:color="auto"/>
              </w:rPr>
              <w:t>展览会</w:t>
            </w:r>
            <w:r>
              <w:rPr>
                <w:rFonts w:ascii="宋体" w:eastAsia="宋体" w:hAnsi="宋体" w:cs="宋体" w:hint="eastAsia"/>
                <w:bdr w:val="none" w:sz="0" w:space="0" w:color="auto"/>
              </w:rPr>
              <w:t>”</w:t>
            </w:r>
            <w:r>
              <w:rPr>
                <w:rFonts w:ascii="宋体" w:eastAsia="宋体" w:hAnsi="宋体" w:cs="宋体" w:hint="eastAsia"/>
                <w:bdr w:val="none" w:sz="0" w:space="0" w:color="auto"/>
              </w:rPr>
              <w:t>仅指经贸类展览会，特此说明。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pict>
                <v:shape id="图片 5" o:spid="_x0000_i1028" type="#_x0000_t75" style="width:422.25pt;height:246pt" filled="f">
                  <v:imagedata r:id="rId7" o:title="IMG_257"/>
                  <v:path o:extrusionok="f"/>
                  <o:lock v:ext="edit" aspectratio="t"/>
                </v:shape>
              </w:pic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bdr w:val="none" w:sz="0" w:space="0" w:color="auto"/>
          <w:shd w:val="clear" w:color="auto" w:fill="FFFFFF"/>
        </w:rPr>
        <w:t>《本报告涉及省、直辖市列表》</w:t>
      </w:r>
    </w:p>
    <w:tbl>
      <w:tblPr>
        <w:tblStyle w:val="TableNormal"/>
        <w:tblW w:w="540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
      <w:tblGrid>
        <w:gridCol w:w="1080"/>
        <w:gridCol w:w="1080"/>
        <w:gridCol w:w="1080"/>
        <w:gridCol w:w="1080"/>
        <w:gridCol w:w="1080"/>
      </w:tblGrid>
      <w:tr>
        <w:tblPrEx>
          <w:tblW w:w="540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安徽</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贵州</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湖南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宁夏</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四川</w:t>
            </w:r>
          </w:p>
        </w:tc>
      </w:tr>
      <w:tr>
        <w:tblPrEx>
          <w:tblW w:w="5400"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北京</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海南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吉林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青海</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天津</w:t>
            </w:r>
          </w:p>
        </w:tc>
      </w:tr>
      <w:tr>
        <w:tblPrEx>
          <w:tblW w:w="5400"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福建</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河北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江苏</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山东</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新疆</w:t>
            </w:r>
          </w:p>
        </w:tc>
      </w:tr>
      <w:tr>
        <w:tblPrEx>
          <w:tblW w:w="5400"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甘肃</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河南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江西</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山西</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云南</w:t>
            </w:r>
          </w:p>
        </w:tc>
      </w:tr>
      <w:tr>
        <w:tblPrEx>
          <w:tblW w:w="5400"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广东</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黑龙江</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辽宁</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陕西</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浙江</w:t>
            </w:r>
          </w:p>
        </w:tc>
      </w:tr>
      <w:tr>
        <w:tblPrEx>
          <w:tblW w:w="5400"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广西</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湖北</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内蒙古</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上海</w:t>
            </w:r>
          </w:p>
        </w:tc>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重庆</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color w:val="333333"/>
          <w:spacing w:val="8"/>
          <w:sz w:val="18"/>
          <w:szCs w:val="18"/>
          <w:bdr w:val="none" w:sz="0" w:space="0" w:color="auto"/>
          <w:shd w:val="clear" w:color="auto" w:fill="FFFFFF"/>
        </w:rPr>
        <w:t>《本报告涉及城市列表》</w:t>
      </w:r>
    </w:p>
    <w:tbl>
      <w:tblPr>
        <w:tblStyle w:val="TableNormal"/>
        <w:tblW w:w="523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
      <w:tblGrid>
        <w:gridCol w:w="420"/>
        <w:gridCol w:w="405"/>
        <w:gridCol w:w="555"/>
        <w:gridCol w:w="525"/>
        <w:gridCol w:w="600"/>
        <w:gridCol w:w="600"/>
        <w:gridCol w:w="600"/>
        <w:gridCol w:w="525"/>
        <w:gridCol w:w="525"/>
        <w:gridCol w:w="480"/>
      </w:tblGrid>
      <w:tr>
        <w:tblPrEx>
          <w:tblW w:w="523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line="330" w:lineRule="atLeast"/>
              <w:ind w:left="0" w:right="0"/>
              <w:jc w:val="center"/>
            </w:pPr>
            <w:r>
              <w:rPr>
                <w:rFonts w:ascii="宋体" w:eastAsia="宋体" w:hAnsi="宋体" w:cs="宋体" w:hint="eastAsia"/>
                <w:color w:val="333333"/>
                <w:sz w:val="18"/>
                <w:szCs w:val="18"/>
                <w:bdr w:val="none" w:sz="0" w:space="0" w:color="auto"/>
              </w:rPr>
              <w:t>安平</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大连</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贵阳</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葫芦岛</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克拉玛依</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南京</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日照</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台州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武汉</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余姚</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蚌埠</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大庆</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哈尔滨</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淮安</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昆明</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南宁</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三门峡</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太原</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西安</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郑州</w:t>
            </w:r>
          </w:p>
        </w:tc>
      </w:tr>
    </w:tbl>
    <w:p>
      <w:pPr>
        <w:sectPr>
          <w:type w:val="nextPage"/>
          <w:pgSz w:w="11906" w:h="16838"/>
          <w:pgMar w:top="1440" w:right="1800" w:bottom="1440" w:left="1800" w:header="851" w:footer="992" w:gutter="0"/>
          <w:pgNumType w:start="16"/>
          <w:cols w:space="708"/>
          <w:titlePg w:val="0"/>
          <w:docGrid w:type="lines" w:linePitch="312"/>
        </w:sectPr>
      </w:pPr>
    </w:p>
    <w:tbl>
      <w:tblPr>
        <w:tblStyle w:val="TableNormal"/>
        <w:tblW w:w="523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
      <w:tblGrid>
        <w:gridCol w:w="420"/>
        <w:gridCol w:w="405"/>
        <w:gridCol w:w="555"/>
        <w:gridCol w:w="525"/>
        <w:gridCol w:w="600"/>
        <w:gridCol w:w="600"/>
        <w:gridCol w:w="600"/>
        <w:gridCol w:w="525"/>
        <w:gridCol w:w="525"/>
        <w:gridCol w:w="480"/>
      </w:tblGrid>
      <w:tr>
        <w:tblPrEx>
          <w:tblW w:w="523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包头</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丹东</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海口</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惠州</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昆山</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宁波</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汕头</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唐山</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西宁</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中山</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北京</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东营</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海宁</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济南</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莱芜</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宁德</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上海</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天津</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厦门</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重庆</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沧州</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东莞</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杭州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嘉兴</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兰州</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七台河</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绍兴</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威海</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徐州</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珠海</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常州</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佛山</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毫州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晋城</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廊坊</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齐齐哈尔</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深圳</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潍坊</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烟台</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淄博</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长春</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福州</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荷泽</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晋江</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辽阳</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青岛</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沈阳</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温州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伊春</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鄯善</w:t>
            </w: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长沙</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广饶</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合肥</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景德镇</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临沂</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清河</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石家庄</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乌鲁木齐</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义乌</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keepNext w:val="0"/>
              <w:keepLines w:val="0"/>
              <w:widowControl/>
              <w:suppressLineNumbers w:val="0"/>
              <w:wordWrap w:val="0"/>
              <w:spacing w:before="0" w:beforeAutospacing="0" w:after="0" w:afterAutospacing="0"/>
              <w:ind w:left="0" w:right="0"/>
              <w:jc w:val="left"/>
            </w:pP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成都</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广州</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黑河</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酒泉</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牡丹江</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曲阜</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朔州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芜湖</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银川</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keepNext w:val="0"/>
              <w:keepLines w:val="0"/>
              <w:widowControl/>
              <w:suppressLineNumbers w:val="0"/>
              <w:wordWrap w:val="0"/>
              <w:spacing w:before="0" w:beforeAutospacing="0" w:after="0" w:afterAutospacing="0"/>
              <w:ind w:left="0" w:right="0"/>
              <w:jc w:val="left"/>
            </w:pPr>
          </w:p>
        </w:tc>
      </w:tr>
      <w:tr>
        <w:tblPrEx>
          <w:tblW w:w="5235" w:type="dxa"/>
          <w:shd w:val="clear" w:color="auto" w:fill="FFFFFF"/>
          <w:tblCellMar>
            <w:top w:w="0" w:type="dxa"/>
            <w:left w:w="0" w:type="dxa"/>
            <w:bottom w:w="0" w:type="dxa"/>
            <w:right w:w="0" w:type="dxa"/>
          </w:tblCellMar>
          <w:tblLook w:val="0000"/>
        </w:tblPrEx>
        <w:trPr>
          <w:trHeight w:val="330"/>
        </w:trPr>
        <w:tc>
          <w:tcPr>
            <w:tcW w:w="42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慈溪</w:t>
            </w:r>
          </w:p>
        </w:tc>
        <w:tc>
          <w:tcPr>
            <w:tcW w:w="4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桂林</w:t>
            </w:r>
          </w:p>
        </w:tc>
        <w:tc>
          <w:tcPr>
            <w:tcW w:w="55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呼和浩特</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喀什</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南昌</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泉州</w:t>
            </w:r>
          </w:p>
        </w:tc>
        <w:tc>
          <w:tcPr>
            <w:tcW w:w="60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苏州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梧州</w:t>
            </w:r>
          </w:p>
        </w:tc>
        <w:tc>
          <w:tcPr>
            <w:tcW w:w="52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color w:val="333333"/>
                <w:sz w:val="18"/>
                <w:szCs w:val="18"/>
                <w:bdr w:val="none" w:sz="0" w:space="0" w:color="auto"/>
              </w:rPr>
              <w:t>永康</w:t>
            </w:r>
          </w:p>
        </w:tc>
        <w:tc>
          <w:tcPr>
            <w:tcW w:w="4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keepNext w:val="0"/>
              <w:keepLines w:val="0"/>
              <w:widowControl/>
              <w:suppressLineNumbers w:val="0"/>
              <w:wordWrap w:val="0"/>
              <w:spacing w:before="0" w:beforeAutospacing="0" w:after="0" w:afterAutospacing="0"/>
              <w:ind w:left="0" w:right="0"/>
              <w:jc w:val="left"/>
            </w:pP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sz w:val="21"/>
          <w:szCs w:val="21"/>
          <w:bdr w:val="none" w:sz="0" w:space="0" w:color="auto"/>
          <w:shd w:val="clear" w:color="auto" w:fill="FFFFFF"/>
        </w:rPr>
        <w:t>全国展览会市场概况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 xml:space="preserve"> </w:t>
      </w:r>
      <w:r>
        <w:rPr>
          <w:rFonts w:ascii="宋体" w:eastAsia="宋体" w:hAnsi="宋体" w:cs="宋体" w:hint="eastAsia"/>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根据不完全统计，</w:t>
      </w: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sz w:val="21"/>
          <w:szCs w:val="21"/>
          <w:bdr w:val="none" w:sz="0" w:space="0" w:color="auto"/>
          <w:shd w:val="clear" w:color="auto" w:fill="FFFFFF"/>
        </w:rPr>
        <w:t>年全国共举办</w:t>
      </w:r>
      <w:r>
        <w:rPr>
          <w:rFonts w:ascii="Microsoft YaHei UI" w:eastAsia="Microsoft YaHei UI" w:hAnsi="Microsoft YaHei UI" w:cs="Microsoft YaHei UI" w:hint="eastAsia"/>
          <w:i w:val="0"/>
          <w:iCs w:val="0"/>
          <w:caps w:val="0"/>
          <w:spacing w:val="8"/>
          <w:bdr w:val="none" w:sz="0" w:space="0" w:color="auto"/>
          <w:shd w:val="clear" w:color="auto" w:fill="FFFFFF"/>
        </w:rPr>
        <w:t>2185</w:t>
      </w:r>
      <w:r>
        <w:rPr>
          <w:rFonts w:ascii="宋体" w:eastAsia="宋体" w:hAnsi="宋体" w:cs="宋体" w:hint="eastAsia"/>
          <w:i w:val="0"/>
          <w:iCs w:val="0"/>
          <w:caps w:val="0"/>
          <w:spacing w:val="8"/>
          <w:sz w:val="21"/>
          <w:szCs w:val="21"/>
          <w:bdr w:val="none" w:sz="0" w:space="0" w:color="auto"/>
          <w:shd w:val="clear" w:color="auto" w:fill="FFFFFF"/>
        </w:rPr>
        <w:t>个展览会，其中约</w:t>
      </w:r>
      <w:r>
        <w:rPr>
          <w:rFonts w:ascii="Microsoft YaHei UI" w:eastAsia="Microsoft YaHei UI" w:hAnsi="Microsoft YaHei UI" w:cs="Microsoft YaHei UI" w:hint="eastAsia"/>
          <w:i w:val="0"/>
          <w:iCs w:val="0"/>
          <w:caps w:val="0"/>
          <w:spacing w:val="8"/>
          <w:bdr w:val="none" w:sz="0" w:space="0" w:color="auto"/>
          <w:shd w:val="clear" w:color="auto" w:fill="FFFFFF"/>
        </w:rPr>
        <w:t>80%</w:t>
      </w:r>
      <w:r>
        <w:rPr>
          <w:rFonts w:ascii="宋体" w:eastAsia="宋体" w:hAnsi="宋体" w:cs="宋体" w:hint="eastAsia"/>
          <w:i w:val="0"/>
          <w:iCs w:val="0"/>
          <w:caps w:val="0"/>
          <w:spacing w:val="8"/>
          <w:sz w:val="21"/>
          <w:szCs w:val="21"/>
          <w:bdr w:val="none" w:sz="0" w:space="0" w:color="auto"/>
          <w:shd w:val="clear" w:color="auto" w:fill="FFFFFF"/>
        </w:rPr>
        <w:t>的展览会采集到展览会面积信息，汇总展览会总面积约</w:t>
      </w:r>
      <w:r>
        <w:rPr>
          <w:rFonts w:ascii="Microsoft YaHei UI" w:eastAsia="Microsoft YaHei UI" w:hAnsi="Microsoft YaHei UI" w:cs="Microsoft YaHei UI" w:hint="eastAsia"/>
          <w:i w:val="0"/>
          <w:iCs w:val="0"/>
          <w:caps w:val="0"/>
          <w:spacing w:val="8"/>
          <w:bdr w:val="none" w:sz="0" w:space="0" w:color="auto"/>
          <w:shd w:val="clear" w:color="auto" w:fill="FFFFFF"/>
        </w:rPr>
        <w:t>5212</w:t>
      </w:r>
      <w:r>
        <w:rPr>
          <w:rFonts w:ascii="宋体" w:eastAsia="宋体" w:hAnsi="宋体" w:cs="宋体" w:hint="eastAsia"/>
          <w:i w:val="0"/>
          <w:iCs w:val="0"/>
          <w:caps w:val="0"/>
          <w:spacing w:val="8"/>
          <w:sz w:val="21"/>
          <w:szCs w:val="21"/>
          <w:bdr w:val="none" w:sz="0" w:space="0" w:color="auto"/>
          <w:shd w:val="clear" w:color="auto" w:fill="FFFFFF"/>
        </w:rPr>
        <w:t>万平方米，估算全国展览会总面积约为</w:t>
      </w:r>
      <w:r>
        <w:rPr>
          <w:rFonts w:ascii="Microsoft YaHei UI" w:eastAsia="Microsoft YaHei UI" w:hAnsi="Microsoft YaHei UI" w:cs="Microsoft YaHei UI" w:hint="eastAsia"/>
          <w:i w:val="0"/>
          <w:iCs w:val="0"/>
          <w:caps w:val="0"/>
          <w:spacing w:val="8"/>
          <w:bdr w:val="none" w:sz="0" w:space="0" w:color="auto"/>
          <w:shd w:val="clear" w:color="auto" w:fill="FFFFFF"/>
        </w:rPr>
        <w:t>6500</w:t>
      </w:r>
      <w:r>
        <w:rPr>
          <w:rFonts w:ascii="宋体" w:eastAsia="宋体" w:hAnsi="宋体" w:cs="宋体" w:hint="eastAsia"/>
          <w:i w:val="0"/>
          <w:iCs w:val="0"/>
          <w:caps w:val="0"/>
          <w:spacing w:val="8"/>
          <w:sz w:val="21"/>
          <w:szCs w:val="21"/>
          <w:bdr w:val="none" w:sz="0" w:space="0" w:color="auto"/>
          <w:shd w:val="clear" w:color="auto" w:fill="FFFFFF"/>
        </w:rPr>
        <w:t>万平方米。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br/>
      </w:r>
      <w:r>
        <w:rPr>
          <w:rFonts w:ascii="宋体" w:eastAsia="宋体" w:hAnsi="宋体" w:cs="宋体" w:hint="eastAsia"/>
          <w:i w:val="0"/>
          <w:iCs w:val="0"/>
          <w:caps w:val="0"/>
          <w:spacing w:val="8"/>
          <w:sz w:val="21"/>
          <w:szCs w:val="21"/>
          <w:bdr w:val="none" w:sz="0" w:space="0" w:color="auto"/>
          <w:shd w:val="clear" w:color="auto" w:fill="FFFFFF"/>
        </w:rPr>
        <w:t>展览会省份分布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17"/>
          <w:cols w:space="708"/>
          <w:titlePg w:val="0"/>
          <w:docGrid w:type="lines" w:linePitch="312"/>
        </w:sectPr>
      </w:pP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从展览会数量上看，上海市</w:t>
      </w: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sz w:val="21"/>
          <w:szCs w:val="21"/>
          <w:bdr w:val="none" w:sz="0" w:space="0" w:color="auto"/>
          <w:shd w:val="clear" w:color="auto" w:fill="FFFFFF"/>
        </w:rPr>
        <w:t>年共举办</w:t>
      </w:r>
      <w:r>
        <w:rPr>
          <w:rFonts w:ascii="Microsoft YaHei UI" w:eastAsia="Microsoft YaHei UI" w:hAnsi="Microsoft YaHei UI" w:cs="Microsoft YaHei UI" w:hint="eastAsia"/>
          <w:i w:val="0"/>
          <w:iCs w:val="0"/>
          <w:caps w:val="0"/>
          <w:spacing w:val="8"/>
          <w:bdr w:val="none" w:sz="0" w:space="0" w:color="auto"/>
          <w:shd w:val="clear" w:color="auto" w:fill="FFFFFF"/>
        </w:rPr>
        <w:t>344</w:t>
      </w:r>
      <w:r>
        <w:rPr>
          <w:rFonts w:ascii="宋体" w:eastAsia="宋体" w:hAnsi="宋体" w:cs="宋体" w:hint="eastAsia"/>
          <w:i w:val="0"/>
          <w:iCs w:val="0"/>
          <w:caps w:val="0"/>
          <w:spacing w:val="8"/>
          <w:sz w:val="21"/>
          <w:szCs w:val="21"/>
          <w:bdr w:val="none" w:sz="0" w:space="0" w:color="auto"/>
          <w:shd w:val="clear" w:color="auto" w:fill="FFFFFF"/>
        </w:rPr>
        <w:t>个展览会，占全国展览会总数量的</w:t>
      </w:r>
      <w:r>
        <w:rPr>
          <w:rFonts w:ascii="Microsoft YaHei UI" w:eastAsia="Microsoft YaHei UI" w:hAnsi="Microsoft YaHei UI" w:cs="Microsoft YaHei UI" w:hint="eastAsia"/>
          <w:i w:val="0"/>
          <w:iCs w:val="0"/>
          <w:caps w:val="0"/>
          <w:spacing w:val="8"/>
          <w:bdr w:val="none" w:sz="0" w:space="0" w:color="auto"/>
          <w:shd w:val="clear" w:color="auto" w:fill="FFFFFF"/>
        </w:rPr>
        <w:t>16%</w:t>
      </w:r>
      <w:r>
        <w:rPr>
          <w:rFonts w:ascii="宋体" w:eastAsia="宋体" w:hAnsi="宋体" w:cs="宋体" w:hint="eastAsia"/>
          <w:i w:val="0"/>
          <w:iCs w:val="0"/>
          <w:caps w:val="0"/>
          <w:spacing w:val="8"/>
          <w:sz w:val="21"/>
          <w:szCs w:val="21"/>
          <w:bdr w:val="none" w:sz="0" w:space="0" w:color="auto"/>
          <w:shd w:val="clear" w:color="auto" w:fill="FFFFFF"/>
        </w:rPr>
        <w:t>，居于全国首位；广东省</w:t>
      </w: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sz w:val="21"/>
          <w:szCs w:val="21"/>
          <w:bdr w:val="none" w:sz="0" w:space="0" w:color="auto"/>
          <w:shd w:val="clear" w:color="auto" w:fill="FFFFFF"/>
        </w:rPr>
        <w:t>年共举办</w:t>
      </w:r>
      <w:r>
        <w:rPr>
          <w:rFonts w:ascii="Microsoft YaHei UI" w:eastAsia="Microsoft YaHei UI" w:hAnsi="Microsoft YaHei UI" w:cs="Microsoft YaHei UI" w:hint="eastAsia"/>
          <w:i w:val="0"/>
          <w:iCs w:val="0"/>
          <w:caps w:val="0"/>
          <w:spacing w:val="8"/>
          <w:bdr w:val="none" w:sz="0" w:space="0" w:color="auto"/>
          <w:shd w:val="clear" w:color="auto" w:fill="FFFFFF"/>
        </w:rPr>
        <w:t>285</w:t>
      </w:r>
      <w:r>
        <w:rPr>
          <w:rFonts w:ascii="宋体" w:eastAsia="宋体" w:hAnsi="宋体" w:cs="宋体" w:hint="eastAsia"/>
          <w:i w:val="0"/>
          <w:iCs w:val="0"/>
          <w:caps w:val="0"/>
          <w:spacing w:val="8"/>
          <w:sz w:val="21"/>
          <w:szCs w:val="21"/>
          <w:bdr w:val="none" w:sz="0" w:space="0" w:color="auto"/>
          <w:shd w:val="clear" w:color="auto" w:fill="FFFFFF"/>
        </w:rPr>
        <w:t>个展览会，占全国展览会总数量的</w:t>
      </w:r>
      <w:r>
        <w:rPr>
          <w:rFonts w:ascii="Microsoft YaHei UI" w:eastAsia="Microsoft YaHei UI" w:hAnsi="Microsoft YaHei UI" w:cs="Microsoft YaHei UI" w:hint="eastAsia"/>
          <w:i w:val="0"/>
          <w:iCs w:val="0"/>
          <w:caps w:val="0"/>
          <w:spacing w:val="8"/>
          <w:bdr w:val="none" w:sz="0" w:space="0" w:color="auto"/>
          <w:shd w:val="clear" w:color="auto" w:fill="FFFFFF"/>
        </w:rPr>
        <w:t>13%</w:t>
      </w:r>
      <w:r>
        <w:rPr>
          <w:rFonts w:ascii="宋体" w:eastAsia="宋体" w:hAnsi="宋体" w:cs="宋体" w:hint="eastAsia"/>
          <w:i w:val="0"/>
          <w:iCs w:val="0"/>
          <w:caps w:val="0"/>
          <w:spacing w:val="8"/>
          <w:sz w:val="21"/>
          <w:szCs w:val="21"/>
          <w:bdr w:val="none" w:sz="0" w:space="0" w:color="auto"/>
          <w:shd w:val="clear" w:color="auto" w:fill="FFFFFF"/>
        </w:rPr>
        <w:t>，居于全国第二位；北京市</w:t>
      </w: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sz w:val="21"/>
          <w:szCs w:val="21"/>
          <w:bdr w:val="none" w:sz="0" w:space="0" w:color="auto"/>
          <w:shd w:val="clear" w:color="auto" w:fill="FFFFFF"/>
        </w:rPr>
        <w:t>年共举办</w:t>
      </w:r>
      <w:r>
        <w:rPr>
          <w:rFonts w:ascii="Microsoft YaHei UI" w:eastAsia="Microsoft YaHei UI" w:hAnsi="Microsoft YaHei UI" w:cs="Microsoft YaHei UI" w:hint="eastAsia"/>
          <w:i w:val="0"/>
          <w:iCs w:val="0"/>
          <w:caps w:val="0"/>
          <w:spacing w:val="8"/>
          <w:bdr w:val="none" w:sz="0" w:space="0" w:color="auto"/>
          <w:shd w:val="clear" w:color="auto" w:fill="FFFFFF"/>
        </w:rPr>
        <w:t>232</w:t>
      </w:r>
      <w:r>
        <w:rPr>
          <w:rFonts w:ascii="宋体" w:eastAsia="宋体" w:hAnsi="宋体" w:cs="宋体" w:hint="eastAsia"/>
          <w:i w:val="0"/>
          <w:iCs w:val="0"/>
          <w:caps w:val="0"/>
          <w:spacing w:val="8"/>
          <w:sz w:val="21"/>
          <w:szCs w:val="21"/>
          <w:bdr w:val="none" w:sz="0" w:space="0" w:color="auto"/>
          <w:shd w:val="clear" w:color="auto" w:fill="FFFFFF"/>
        </w:rPr>
        <w:t>个展览会，占全国展览会总数量的</w:t>
      </w:r>
      <w:r>
        <w:rPr>
          <w:rFonts w:ascii="Microsoft YaHei UI" w:eastAsia="Microsoft YaHei UI" w:hAnsi="Microsoft YaHei UI" w:cs="Microsoft YaHei UI" w:hint="eastAsia"/>
          <w:i w:val="0"/>
          <w:iCs w:val="0"/>
          <w:caps w:val="0"/>
          <w:spacing w:val="8"/>
          <w:bdr w:val="none" w:sz="0" w:space="0" w:color="auto"/>
          <w:shd w:val="clear" w:color="auto" w:fill="FFFFFF"/>
        </w:rPr>
        <w:t>11%</w:t>
      </w:r>
      <w:r>
        <w:rPr>
          <w:rFonts w:ascii="宋体" w:eastAsia="宋体" w:hAnsi="宋体" w:cs="宋体" w:hint="eastAsia"/>
          <w:i w:val="0"/>
          <w:iCs w:val="0"/>
          <w:caps w:val="0"/>
          <w:spacing w:val="8"/>
          <w:sz w:val="21"/>
          <w:szCs w:val="21"/>
          <w:bdr w:val="none" w:sz="0" w:space="0" w:color="auto"/>
          <w:shd w:val="clear" w:color="auto" w:fill="FFFFFF"/>
        </w:rPr>
        <w:t>，居于全国第三位。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sz w:val="21"/>
          <w:szCs w:val="21"/>
          <w:bdr w:val="none" w:sz="0" w:space="0" w:color="auto"/>
          <w:shd w:val="clear" w:color="auto" w:fill="FFFFFF"/>
        </w:rPr>
        <w:pict>
          <v:shape id="图片 6" o:spid="_x0000_i1029" type="#_x0000_t75" style="width:422.25pt;height:347.25pt" filled="f">
            <v:imagedata r:id="rId8"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18"/>
          <w:cols w:space="708"/>
          <w:titlePg w:val="0"/>
          <w:docGrid w:type="lines" w:linePitch="312"/>
        </w:sectPr>
      </w:pPr>
      <w:r>
        <w:rPr>
          <w:rFonts w:ascii="宋体" w:eastAsia="宋体" w:hAnsi="宋体" w:cs="宋体" w:hint="eastAsia"/>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 xml:space="preserve"> </w:t>
      </w:r>
      <w:r>
        <w:rPr>
          <w:rFonts w:ascii="宋体" w:eastAsia="宋体" w:hAnsi="宋体" w:cs="宋体" w:hint="eastAsia"/>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据不完全统计，</w:t>
      </w:r>
      <w:r>
        <w:rPr>
          <w:rFonts w:ascii="Calibri" w:eastAsia="Calibri" w:hAnsi="Calibri" w:cs="Calibri"/>
          <w:i w:val="0"/>
          <w:iCs w:val="0"/>
          <w:caps w:val="0"/>
          <w:spacing w:val="8"/>
          <w:sz w:val="21"/>
          <w:szCs w:val="21"/>
          <w:bdr w:val="none" w:sz="0" w:space="0" w:color="auto"/>
          <w:shd w:val="clear" w:color="auto" w:fill="FFFFFF"/>
        </w:rPr>
        <w:t>2012</w:t>
      </w:r>
      <w:r>
        <w:rPr>
          <w:rFonts w:ascii="宋体" w:eastAsia="宋体" w:hAnsi="宋体" w:cs="宋体" w:hint="eastAsia"/>
          <w:i w:val="0"/>
          <w:iCs w:val="0"/>
          <w:caps w:val="0"/>
          <w:spacing w:val="8"/>
          <w:sz w:val="21"/>
          <w:szCs w:val="21"/>
          <w:bdr w:val="none" w:sz="0" w:space="0" w:color="auto"/>
          <w:shd w:val="clear" w:color="auto" w:fill="FFFFFF"/>
        </w:rPr>
        <w:t>年全国共有</w:t>
      </w:r>
      <w:r>
        <w:rPr>
          <w:rFonts w:ascii="Calibri" w:eastAsia="Calibri" w:hAnsi="Calibri" w:cs="Calibri" w:hint="default"/>
          <w:i w:val="0"/>
          <w:iCs w:val="0"/>
          <w:caps w:val="0"/>
          <w:spacing w:val="8"/>
          <w:sz w:val="21"/>
          <w:szCs w:val="21"/>
          <w:bdr w:val="none" w:sz="0" w:space="0" w:color="auto"/>
          <w:shd w:val="clear" w:color="auto" w:fill="FFFFFF"/>
        </w:rPr>
        <w:t>6</w:t>
      </w:r>
      <w:r>
        <w:rPr>
          <w:rFonts w:ascii="宋体" w:eastAsia="宋体" w:hAnsi="宋体" w:cs="宋体" w:hint="eastAsia"/>
          <w:i w:val="0"/>
          <w:iCs w:val="0"/>
          <w:caps w:val="0"/>
          <w:spacing w:val="8"/>
          <w:sz w:val="21"/>
          <w:szCs w:val="21"/>
          <w:bdr w:val="none" w:sz="0" w:space="0" w:color="auto"/>
          <w:shd w:val="clear" w:color="auto" w:fill="FFFFFF"/>
        </w:rPr>
        <w:t>个省、直辖市举办展览会总数量超过</w:t>
      </w:r>
      <w:r>
        <w:rPr>
          <w:rFonts w:ascii="Calibri" w:eastAsia="Calibri" w:hAnsi="Calibri" w:cs="Calibri" w:hint="default"/>
          <w:i w:val="0"/>
          <w:iCs w:val="0"/>
          <w:caps w:val="0"/>
          <w:spacing w:val="8"/>
          <w:sz w:val="21"/>
          <w:szCs w:val="21"/>
          <w:bdr w:val="none" w:sz="0" w:space="0" w:color="auto"/>
          <w:shd w:val="clear" w:color="auto" w:fill="FFFFFF"/>
        </w:rPr>
        <w:t>100</w:t>
      </w:r>
      <w:r>
        <w:rPr>
          <w:rFonts w:ascii="宋体" w:eastAsia="宋体" w:hAnsi="宋体" w:cs="宋体" w:hint="eastAsia"/>
          <w:i w:val="0"/>
          <w:iCs w:val="0"/>
          <w:caps w:val="0"/>
          <w:spacing w:val="8"/>
          <w:sz w:val="21"/>
          <w:szCs w:val="21"/>
          <w:bdr w:val="none" w:sz="0" w:space="0" w:color="auto"/>
          <w:shd w:val="clear" w:color="auto" w:fill="FFFFFF"/>
        </w:rPr>
        <w:t>个，分别是上海、广东、北京、山东、浙江和辽宁，合计举办</w:t>
      </w:r>
      <w:r>
        <w:rPr>
          <w:rFonts w:ascii="Calibri" w:eastAsia="Calibri" w:hAnsi="Calibri" w:cs="Calibri" w:hint="default"/>
          <w:i w:val="0"/>
          <w:iCs w:val="0"/>
          <w:caps w:val="0"/>
          <w:spacing w:val="8"/>
          <w:sz w:val="21"/>
          <w:szCs w:val="21"/>
          <w:bdr w:val="none" w:sz="0" w:space="0" w:color="auto"/>
          <w:shd w:val="clear" w:color="auto" w:fill="FFFFFF"/>
        </w:rPr>
        <w:t>1275</w:t>
      </w:r>
      <w:r>
        <w:rPr>
          <w:rFonts w:ascii="宋体" w:eastAsia="宋体" w:hAnsi="宋体" w:cs="宋体" w:hint="eastAsia"/>
          <w:i w:val="0"/>
          <w:iCs w:val="0"/>
          <w:caps w:val="0"/>
          <w:spacing w:val="8"/>
          <w:sz w:val="21"/>
          <w:szCs w:val="21"/>
          <w:bdr w:val="none" w:sz="0" w:space="0" w:color="auto"/>
          <w:shd w:val="clear" w:color="auto" w:fill="FFFFFF"/>
        </w:rPr>
        <w:t>个展览会，约占全国展览会总数量的</w:t>
      </w:r>
      <w:r>
        <w:rPr>
          <w:rFonts w:ascii="Calibri" w:eastAsia="Calibri" w:hAnsi="Calibri" w:cs="Calibri" w:hint="default"/>
          <w:i w:val="0"/>
          <w:iCs w:val="0"/>
          <w:caps w:val="0"/>
          <w:spacing w:val="8"/>
          <w:sz w:val="21"/>
          <w:szCs w:val="21"/>
          <w:bdr w:val="none" w:sz="0" w:space="0" w:color="auto"/>
          <w:shd w:val="clear" w:color="auto" w:fill="FFFFFF"/>
        </w:rPr>
        <w:t>58%</w:t>
      </w:r>
      <w:r>
        <w:rPr>
          <w:rFonts w:ascii="宋体" w:eastAsia="宋体" w:hAnsi="宋体" w:cs="宋体" w:hint="eastAsia"/>
          <w:i w:val="0"/>
          <w:iCs w:val="0"/>
          <w:caps w:val="0"/>
          <w:spacing w:val="8"/>
          <w:sz w:val="21"/>
          <w:szCs w:val="21"/>
          <w:bdr w:val="none" w:sz="0" w:space="0" w:color="auto"/>
          <w:shd w:val="clear" w:color="auto" w:fill="FFFFFF"/>
        </w:rPr>
        <w:t>；有</w:t>
      </w:r>
      <w:r>
        <w:rPr>
          <w:rFonts w:ascii="Calibri" w:eastAsia="Calibri" w:hAnsi="Calibri" w:cs="Calibri" w:hint="default"/>
          <w:i w:val="0"/>
          <w:iCs w:val="0"/>
          <w:caps w:val="0"/>
          <w:spacing w:val="8"/>
          <w:sz w:val="21"/>
          <w:szCs w:val="21"/>
          <w:bdr w:val="none" w:sz="0" w:space="0" w:color="auto"/>
          <w:shd w:val="clear" w:color="auto" w:fill="FFFFFF"/>
        </w:rPr>
        <w:t>15</w:t>
      </w:r>
      <w:r>
        <w:rPr>
          <w:rFonts w:ascii="宋体" w:eastAsia="宋体" w:hAnsi="宋体" w:cs="宋体" w:hint="eastAsia"/>
          <w:i w:val="0"/>
          <w:iCs w:val="0"/>
          <w:caps w:val="0"/>
          <w:spacing w:val="8"/>
          <w:sz w:val="21"/>
          <w:szCs w:val="21"/>
          <w:bdr w:val="none" w:sz="0" w:space="0" w:color="auto"/>
          <w:shd w:val="clear" w:color="auto" w:fill="FFFFFF"/>
        </w:rPr>
        <w:t>个省、直辖市举办展览会总数量在</w:t>
      </w:r>
      <w:r>
        <w:rPr>
          <w:rFonts w:ascii="Calibri" w:eastAsia="Calibri" w:hAnsi="Calibri" w:cs="Calibri" w:hint="default"/>
          <w:i w:val="0"/>
          <w:iCs w:val="0"/>
          <w:caps w:val="0"/>
          <w:spacing w:val="8"/>
          <w:sz w:val="21"/>
          <w:szCs w:val="21"/>
          <w:bdr w:val="none" w:sz="0" w:space="0" w:color="auto"/>
          <w:shd w:val="clear" w:color="auto" w:fill="FFFFFF"/>
        </w:rPr>
        <w:t>30-100</w:t>
      </w:r>
      <w:r>
        <w:rPr>
          <w:rFonts w:ascii="宋体" w:eastAsia="宋体" w:hAnsi="宋体" w:cs="宋体" w:hint="eastAsia"/>
          <w:i w:val="0"/>
          <w:iCs w:val="0"/>
          <w:caps w:val="0"/>
          <w:spacing w:val="8"/>
          <w:sz w:val="21"/>
          <w:szCs w:val="21"/>
          <w:bdr w:val="none" w:sz="0" w:space="0" w:color="auto"/>
          <w:shd w:val="clear" w:color="auto" w:fill="FFFFFF"/>
        </w:rPr>
        <w:t>个之间，合计举办</w:t>
      </w:r>
      <w:r>
        <w:rPr>
          <w:rFonts w:ascii="Calibri" w:eastAsia="Calibri" w:hAnsi="Calibri" w:cs="Calibri" w:hint="default"/>
          <w:i w:val="0"/>
          <w:iCs w:val="0"/>
          <w:caps w:val="0"/>
          <w:spacing w:val="8"/>
          <w:sz w:val="21"/>
          <w:szCs w:val="21"/>
          <w:bdr w:val="none" w:sz="0" w:space="0" w:color="auto"/>
          <w:shd w:val="clear" w:color="auto" w:fill="FFFFFF"/>
        </w:rPr>
        <w:t>753</w:t>
      </w:r>
      <w:r>
        <w:rPr>
          <w:rFonts w:ascii="宋体" w:eastAsia="宋体" w:hAnsi="宋体" w:cs="宋体" w:hint="eastAsia"/>
          <w:i w:val="0"/>
          <w:iCs w:val="0"/>
          <w:caps w:val="0"/>
          <w:spacing w:val="8"/>
          <w:sz w:val="21"/>
          <w:szCs w:val="21"/>
          <w:bdr w:val="none" w:sz="0" w:space="0" w:color="auto"/>
          <w:shd w:val="clear" w:color="auto" w:fill="FFFFFF"/>
        </w:rPr>
        <w:t>个展览会，约占全国展览会总数量的</w:t>
      </w:r>
      <w:r>
        <w:rPr>
          <w:rFonts w:ascii="Calibri" w:eastAsia="Calibri" w:hAnsi="Calibri" w:cs="Calibri" w:hint="default"/>
          <w:i w:val="0"/>
          <w:iCs w:val="0"/>
          <w:caps w:val="0"/>
          <w:spacing w:val="8"/>
          <w:sz w:val="21"/>
          <w:szCs w:val="21"/>
          <w:bdr w:val="none" w:sz="0" w:space="0" w:color="auto"/>
          <w:shd w:val="clear" w:color="auto" w:fill="FFFFFF"/>
        </w:rPr>
        <w:t>34%</w:t>
      </w:r>
      <w:r>
        <w:rPr>
          <w:rFonts w:ascii="宋体" w:eastAsia="宋体" w:hAnsi="宋体" w:cs="宋体" w:hint="eastAsia"/>
          <w:i w:val="0"/>
          <w:iCs w:val="0"/>
          <w:caps w:val="0"/>
          <w:spacing w:val="8"/>
          <w:sz w:val="21"/>
          <w:szCs w:val="21"/>
          <w:bdr w:val="none" w:sz="0" w:space="0" w:color="auto"/>
          <w:shd w:val="clear" w:color="auto" w:fill="FFFFFF"/>
        </w:rPr>
        <w:t>；另有</w:t>
      </w:r>
      <w:r>
        <w:rPr>
          <w:rFonts w:ascii="Calibri" w:eastAsia="Calibri" w:hAnsi="Calibri" w:cs="Calibri" w:hint="default"/>
          <w:i w:val="0"/>
          <w:iCs w:val="0"/>
          <w:caps w:val="0"/>
          <w:spacing w:val="8"/>
          <w:sz w:val="21"/>
          <w:szCs w:val="21"/>
          <w:bdr w:val="none" w:sz="0" w:space="0" w:color="auto"/>
          <w:shd w:val="clear" w:color="auto" w:fill="FFFFFF"/>
        </w:rPr>
        <w:t>9</w:t>
      </w:r>
      <w:r>
        <w:rPr>
          <w:rFonts w:ascii="宋体" w:eastAsia="宋体" w:hAnsi="宋体" w:cs="宋体" w:hint="eastAsia"/>
          <w:i w:val="0"/>
          <w:iCs w:val="0"/>
          <w:caps w:val="0"/>
          <w:spacing w:val="8"/>
          <w:sz w:val="21"/>
          <w:szCs w:val="21"/>
          <w:bdr w:val="none" w:sz="0" w:space="0" w:color="auto"/>
          <w:shd w:val="clear" w:color="auto" w:fill="FFFFFF"/>
        </w:rPr>
        <w:t>个省举办展览会总数量在</w:t>
      </w:r>
      <w:r>
        <w:rPr>
          <w:rFonts w:ascii="Calibri" w:eastAsia="Calibri" w:hAnsi="Calibri" w:cs="Calibri" w:hint="default"/>
          <w:i w:val="0"/>
          <w:iCs w:val="0"/>
          <w:caps w:val="0"/>
          <w:spacing w:val="8"/>
          <w:sz w:val="21"/>
          <w:szCs w:val="21"/>
          <w:bdr w:val="none" w:sz="0" w:space="0" w:color="auto"/>
          <w:shd w:val="clear" w:color="auto" w:fill="FFFFFF"/>
        </w:rPr>
        <w:t>30</w:t>
      </w:r>
      <w:r>
        <w:rPr>
          <w:rFonts w:ascii="宋体" w:eastAsia="宋体" w:hAnsi="宋体" w:cs="宋体" w:hint="eastAsia"/>
          <w:i w:val="0"/>
          <w:iCs w:val="0"/>
          <w:caps w:val="0"/>
          <w:spacing w:val="8"/>
          <w:sz w:val="21"/>
          <w:szCs w:val="21"/>
          <w:bdr w:val="none" w:sz="0" w:space="0" w:color="auto"/>
          <w:shd w:val="clear" w:color="auto" w:fill="FFFFFF"/>
        </w:rPr>
        <w:t>个以下，合计举办</w:t>
      </w:r>
      <w:r>
        <w:rPr>
          <w:rFonts w:ascii="Calibri" w:eastAsia="Calibri" w:hAnsi="Calibri" w:cs="Calibri" w:hint="default"/>
          <w:i w:val="0"/>
          <w:iCs w:val="0"/>
          <w:caps w:val="0"/>
          <w:spacing w:val="8"/>
          <w:sz w:val="21"/>
          <w:szCs w:val="21"/>
          <w:bdr w:val="none" w:sz="0" w:space="0" w:color="auto"/>
          <w:shd w:val="clear" w:color="auto" w:fill="FFFFFF"/>
        </w:rPr>
        <w:t>157</w:t>
      </w:r>
      <w:r>
        <w:rPr>
          <w:rFonts w:ascii="宋体" w:eastAsia="宋体" w:hAnsi="宋体" w:cs="宋体" w:hint="eastAsia"/>
          <w:i w:val="0"/>
          <w:iCs w:val="0"/>
          <w:caps w:val="0"/>
          <w:spacing w:val="8"/>
          <w:sz w:val="21"/>
          <w:szCs w:val="21"/>
          <w:bdr w:val="none" w:sz="0" w:space="0" w:color="auto"/>
          <w:shd w:val="clear" w:color="auto" w:fill="FFFFFF"/>
        </w:rPr>
        <w:t>个展览会，约占全国展览会总数量的</w:t>
      </w:r>
      <w:r>
        <w:rPr>
          <w:rFonts w:ascii="Calibri" w:eastAsia="Calibri" w:hAnsi="Calibri" w:cs="Calibri" w:hint="default"/>
          <w:i w:val="0"/>
          <w:iCs w:val="0"/>
          <w:caps w:val="0"/>
          <w:spacing w:val="8"/>
          <w:sz w:val="21"/>
          <w:szCs w:val="21"/>
          <w:bdr w:val="none" w:sz="0" w:space="0" w:color="auto"/>
          <w:shd w:val="clear" w:color="auto" w:fill="FFFFFF"/>
        </w:rPr>
        <w:t>7%</w:t>
      </w:r>
      <w:r>
        <w:rPr>
          <w:rFonts w:ascii="宋体" w:eastAsia="宋体" w:hAnsi="宋体" w:cs="宋体" w:hint="eastAsia"/>
          <w:i w:val="0"/>
          <w:iCs w:val="0"/>
          <w:caps w:val="0"/>
          <w:spacing w:val="8"/>
          <w:sz w:val="21"/>
          <w:szCs w:val="21"/>
          <w:bdr w:val="none" w:sz="0" w:space="0" w:color="auto"/>
          <w:shd w:val="clear" w:color="auto" w:fill="FFFFFF"/>
        </w:rPr>
        <w:t>。</w:t>
      </w:r>
      <w:r>
        <w:rPr>
          <w:rFonts w:ascii="宋体" w:eastAsia="宋体" w:hAnsi="宋体" w:cs="宋体" w:hint="eastAsia"/>
          <w:i w:val="0"/>
          <w:iCs w:val="0"/>
          <w:caps w:val="0"/>
          <w:spacing w:val="8"/>
          <w:sz w:val="21"/>
          <w:szCs w:val="21"/>
          <w:bdr w:val="none" w:sz="0" w:space="0" w:color="auto"/>
          <w:shd w:val="clear" w:color="auto" w:fill="FFFFFF"/>
        </w:rPr>
        <w:pict>
          <v:shape id="图片 7" o:spid="_x0000_i1030" type="#_x0000_t75" style="width:417.75pt;height:243pt" filled="f">
            <v:imagedata r:id="rId9"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从展览会数量角度分析可以看出，全国各省直辖市的展览会数量分布呈现</w:t>
      </w:r>
      <w:r>
        <w:rPr>
          <w:rFonts w:ascii="宋体" w:eastAsia="宋体" w:hAnsi="宋体" w:cs="宋体" w:hint="eastAsia"/>
          <w:i w:val="0"/>
          <w:iCs w:val="0"/>
          <w:caps w:val="0"/>
          <w:spacing w:val="8"/>
          <w:sz w:val="21"/>
          <w:szCs w:val="21"/>
          <w:bdr w:val="none" w:sz="0" w:space="0" w:color="auto"/>
          <w:shd w:val="clear" w:color="auto" w:fill="FFFFFF"/>
        </w:rPr>
        <w:t>“</w:t>
      </w:r>
      <w:r>
        <w:rPr>
          <w:rFonts w:ascii="宋体" w:eastAsia="宋体" w:hAnsi="宋体" w:cs="宋体" w:hint="eastAsia"/>
          <w:i w:val="0"/>
          <w:iCs w:val="0"/>
          <w:caps w:val="0"/>
          <w:spacing w:val="8"/>
          <w:sz w:val="21"/>
          <w:szCs w:val="21"/>
          <w:bdr w:val="none" w:sz="0" w:space="0" w:color="auto"/>
          <w:shd w:val="clear" w:color="auto" w:fill="FFFFFF"/>
        </w:rPr>
        <w:t>两头小中间大</w:t>
      </w:r>
      <w:r>
        <w:rPr>
          <w:rFonts w:ascii="宋体" w:eastAsia="宋体" w:hAnsi="宋体" w:cs="宋体" w:hint="eastAsia"/>
          <w:i w:val="0"/>
          <w:iCs w:val="0"/>
          <w:caps w:val="0"/>
          <w:spacing w:val="8"/>
          <w:sz w:val="21"/>
          <w:szCs w:val="21"/>
          <w:bdr w:val="none" w:sz="0" w:space="0" w:color="auto"/>
          <w:shd w:val="clear" w:color="auto" w:fill="FFFFFF"/>
        </w:rPr>
        <w:t>”</w:t>
      </w:r>
      <w:r>
        <w:rPr>
          <w:rFonts w:ascii="宋体" w:eastAsia="宋体" w:hAnsi="宋体" w:cs="宋体" w:hint="eastAsia"/>
          <w:i w:val="0"/>
          <w:iCs w:val="0"/>
          <w:caps w:val="0"/>
          <w:spacing w:val="8"/>
          <w:sz w:val="21"/>
          <w:szCs w:val="21"/>
          <w:bdr w:val="none" w:sz="0" w:space="0" w:color="auto"/>
          <w:shd w:val="clear" w:color="auto" w:fill="FFFFFF"/>
        </w:rPr>
        <w:t>橄榄球形态分布，即由少数发达展览会经济地区、多数发展中展览会经济地区和少数欠展览会经济地区构成。</w:t>
      </w:r>
      <w:r>
        <w:rPr>
          <w:rFonts w:ascii="Calibri" w:eastAsia="Calibri" w:hAnsi="Calibri" w:cs="Calibri" w:hint="default"/>
          <w:i w:val="0"/>
          <w:iCs w:val="0"/>
          <w:caps w:val="0"/>
          <w:spacing w:val="8"/>
          <w:sz w:val="21"/>
          <w:szCs w:val="21"/>
          <w:bdr w:val="none" w:sz="0" w:space="0" w:color="auto"/>
          <w:shd w:val="clear" w:color="auto" w:fill="FFFFFF"/>
        </w:rPr>
        <w:br/>
      </w: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Calibri" w:eastAsia="Calibri" w:hAnsi="Calibri" w:cs="Calibri" w:hint="default"/>
          <w:i w:val="0"/>
          <w:iCs w:val="0"/>
          <w:caps w:val="0"/>
          <w:spacing w:val="8"/>
          <w:sz w:val="21"/>
          <w:szCs w:val="21"/>
          <w:bdr w:val="none" w:sz="0" w:space="0" w:color="auto"/>
          <w:shd w:val="clear" w:color="auto" w:fill="FFFFFF"/>
        </w:rPr>
        <w:t xml:space="preserve"> </w:t>
      </w:r>
      <w:r>
        <w:rPr>
          <w:rFonts w:ascii="Calibri" w:eastAsia="Calibri" w:hAnsi="Calibri" w:cs="Calibri" w:hint="default"/>
          <w:i w:val="0"/>
          <w:iCs w:val="0"/>
          <w:caps w:val="0"/>
          <w:spacing w:val="8"/>
          <w:sz w:val="21"/>
          <w:szCs w:val="21"/>
          <w:bdr w:val="none" w:sz="0" w:space="0" w:color="auto"/>
          <w:shd w:val="clear" w:color="auto" w:fill="FFFFFF"/>
        </w:rPr>
        <w:t>  </w:t>
      </w:r>
      <w:r>
        <w:rPr>
          <w:rFonts w:ascii="宋体" w:eastAsia="宋体" w:hAnsi="宋体" w:cs="宋体" w:hint="eastAsia"/>
          <w:i w:val="0"/>
          <w:iCs w:val="0"/>
          <w:caps w:val="0"/>
          <w:spacing w:val="8"/>
          <w:sz w:val="21"/>
          <w:szCs w:val="21"/>
          <w:bdr w:val="none" w:sz="0" w:space="0" w:color="auto"/>
          <w:shd w:val="clear" w:color="auto" w:fill="FFFFFF"/>
        </w:rPr>
        <w:t>而从展览会项目资源在全国各省直辖市的分布则呈现</w:t>
      </w:r>
      <w:r>
        <w:rPr>
          <w:rFonts w:ascii="宋体" w:eastAsia="宋体" w:hAnsi="宋体" w:cs="宋体" w:hint="eastAsia"/>
          <w:i w:val="0"/>
          <w:iCs w:val="0"/>
          <w:caps w:val="0"/>
          <w:spacing w:val="8"/>
          <w:sz w:val="21"/>
          <w:szCs w:val="21"/>
          <w:bdr w:val="none" w:sz="0" w:space="0" w:color="auto"/>
          <w:shd w:val="clear" w:color="auto" w:fill="FFFFFF"/>
        </w:rPr>
        <w:t>“</w:t>
      </w:r>
      <w:r>
        <w:rPr>
          <w:rFonts w:ascii="宋体" w:eastAsia="宋体" w:hAnsi="宋体" w:cs="宋体" w:hint="eastAsia"/>
          <w:i w:val="0"/>
          <w:iCs w:val="0"/>
          <w:caps w:val="0"/>
          <w:spacing w:val="8"/>
          <w:sz w:val="21"/>
          <w:szCs w:val="21"/>
          <w:bdr w:val="none" w:sz="0" w:space="0" w:color="auto"/>
          <w:shd w:val="clear" w:color="auto" w:fill="FFFFFF"/>
        </w:rPr>
        <w:t>一头大一头小</w:t>
      </w:r>
      <w:r>
        <w:rPr>
          <w:rFonts w:ascii="宋体" w:eastAsia="宋体" w:hAnsi="宋体" w:cs="宋体" w:hint="eastAsia"/>
          <w:i w:val="0"/>
          <w:iCs w:val="0"/>
          <w:caps w:val="0"/>
          <w:spacing w:val="8"/>
          <w:sz w:val="21"/>
          <w:szCs w:val="21"/>
          <w:bdr w:val="none" w:sz="0" w:space="0" w:color="auto"/>
          <w:shd w:val="clear" w:color="auto" w:fill="FFFFFF"/>
        </w:rPr>
        <w:t>”</w:t>
      </w:r>
      <w:r>
        <w:rPr>
          <w:rFonts w:ascii="宋体" w:eastAsia="宋体" w:hAnsi="宋体" w:cs="宋体" w:hint="eastAsia"/>
          <w:i w:val="0"/>
          <w:iCs w:val="0"/>
          <w:caps w:val="0"/>
          <w:spacing w:val="8"/>
          <w:sz w:val="21"/>
          <w:szCs w:val="21"/>
          <w:bdr w:val="none" w:sz="0" w:space="0" w:color="auto"/>
          <w:shd w:val="clear" w:color="auto" w:fill="FFFFFF"/>
        </w:rPr>
        <w:t>的倒金字塔形态分布，举办</w:t>
      </w:r>
      <w:r>
        <w:rPr>
          <w:rFonts w:ascii="Calibri" w:eastAsia="Calibri" w:hAnsi="Calibri" w:cs="Calibri" w:hint="default"/>
          <w:i w:val="0"/>
          <w:iCs w:val="0"/>
          <w:caps w:val="0"/>
          <w:spacing w:val="8"/>
          <w:sz w:val="21"/>
          <w:szCs w:val="21"/>
          <w:bdr w:val="none" w:sz="0" w:space="0" w:color="auto"/>
          <w:shd w:val="clear" w:color="auto" w:fill="FFFFFF"/>
        </w:rPr>
        <w:t>100</w:t>
      </w:r>
      <w:r>
        <w:rPr>
          <w:rFonts w:ascii="宋体" w:eastAsia="宋体" w:hAnsi="宋体" w:cs="宋体" w:hint="eastAsia"/>
          <w:i w:val="0"/>
          <w:iCs w:val="0"/>
          <w:caps w:val="0"/>
          <w:spacing w:val="8"/>
          <w:sz w:val="21"/>
          <w:szCs w:val="21"/>
          <w:bdr w:val="none" w:sz="0" w:space="0" w:color="auto"/>
          <w:shd w:val="clear" w:color="auto" w:fill="FFFFFF"/>
        </w:rPr>
        <w:t>个以上展览会的少数发达展览会经济地区汇集了主要展览会项目资源，发展中展览会经济地区只能分享约三分之一的展览会项目资源，而欠发达展览会经济地区的展览会项目资源更少。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sz w:val="21"/>
          <w:szCs w:val="21"/>
          <w:bdr w:val="none" w:sz="0" w:space="0" w:color="auto"/>
          <w:shd w:val="clear" w:color="auto" w:fill="FFFFFF"/>
        </w:rPr>
        <w:pict>
          <v:shape id="图片 8" o:spid="_x0000_i1031" type="#_x0000_t75" style="width:422.25pt;height:246pt" filled="f">
            <v:imagedata r:id="rId7" o:title="IMG_260"/>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color w:val="333333"/>
          <w:spacing w:val="8"/>
          <w:sz w:val="18"/>
          <w:szCs w:val="18"/>
          <w:bdr w:val="none" w:sz="0" w:space="0" w:color="auto"/>
          <w:shd w:val="clear" w:color="auto" w:fill="FFFFFF"/>
        </w:rPr>
        <w:t>2012年举办50个以上展览会省直辖市列表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color w:val="333333"/>
          <w:spacing w:val="8"/>
          <w:sz w:val="18"/>
          <w:szCs w:val="18"/>
          <w:bdr w:val="none" w:sz="0" w:space="0" w:color="auto"/>
          <w:shd w:val="clear" w:color="auto" w:fill="FFFFFF"/>
        </w:rPr>
        <w:t> </w:t>
      </w:r>
    </w:p>
    <w:tbl>
      <w:tblPr>
        <w:tblStyle w:val="TableNormal"/>
        <w:tblW w:w="358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
      <w:tblGrid>
        <w:gridCol w:w="855"/>
        <w:gridCol w:w="1320"/>
        <w:gridCol w:w="1410"/>
      </w:tblGrid>
      <w:tr>
        <w:tblPrEx>
          <w:tblW w:w="358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Ex>
        <w:trPr>
          <w:trHeight w:val="615"/>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br/>
            </w:r>
            <w:r>
              <w:rPr>
                <w:rFonts w:ascii="宋体" w:eastAsia="宋体" w:hAnsi="宋体" w:cs="宋体" w:hint="eastAsia"/>
                <w:bdr w:val="none" w:sz="0" w:space="0" w:color="auto"/>
              </w:rPr>
              <w:t>序号</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省直辖市</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展览会数量</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上海</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344</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广东</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285</w:t>
            </w:r>
          </w:p>
        </w:tc>
      </w:tr>
      <w:tr>
        <w:tblPrEx>
          <w:tblW w:w="3585" w:type="dxa"/>
          <w:tblCellMar>
            <w:top w:w="0" w:type="dxa"/>
            <w:left w:w="0" w:type="dxa"/>
            <w:bottom w:w="0" w:type="dxa"/>
            <w:right w:w="0" w:type="dxa"/>
          </w:tblCellMar>
          <w:tblLook w:val="0000"/>
        </w:tblPrEx>
        <w:trPr>
          <w:trHeight w:val="301"/>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3</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北京</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232</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4</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山东</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161</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浙江</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140</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6</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辽宁</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113</w:t>
            </w:r>
          </w:p>
        </w:tc>
      </w:tr>
      <w:tr>
        <w:tblPrEx>
          <w:tblW w:w="3585" w:type="dxa"/>
          <w:tblCellMar>
            <w:top w:w="0" w:type="dxa"/>
            <w:left w:w="0" w:type="dxa"/>
            <w:bottom w:w="0" w:type="dxa"/>
            <w:right w:w="0" w:type="dxa"/>
          </w:tblCellMar>
          <w:tblLook w:val="0000"/>
        </w:tblPrEx>
        <w:trPr>
          <w:trHeight w:val="301"/>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7</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江苏</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89</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8</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河南</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84</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9</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四川</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82</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10</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黑龙江</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56</w:t>
            </w:r>
          </w:p>
        </w:tc>
      </w:tr>
      <w:tr>
        <w:tblPrEx>
          <w:tblW w:w="3585" w:type="dxa"/>
          <w:tblCellMar>
            <w:top w:w="0" w:type="dxa"/>
            <w:left w:w="0" w:type="dxa"/>
            <w:bottom w:w="0" w:type="dxa"/>
            <w:right w:w="0" w:type="dxa"/>
          </w:tblCellMar>
          <w:tblLook w:val="0000"/>
        </w:tblPrEx>
        <w:trPr>
          <w:trHeight w:val="301"/>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11</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陕西</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52</w:t>
            </w:r>
          </w:p>
        </w:tc>
      </w:tr>
      <w:tr>
        <w:tblPrEx>
          <w:tblW w:w="3585" w:type="dxa"/>
          <w:tblCellMar>
            <w:top w:w="0" w:type="dxa"/>
            <w:left w:w="0" w:type="dxa"/>
            <w:bottom w:w="0" w:type="dxa"/>
            <w:right w:w="0" w:type="dxa"/>
          </w:tblCellMar>
          <w:tblLook w:val="0000"/>
        </w:tblPrEx>
        <w:trPr>
          <w:trHeight w:val="316"/>
        </w:trPr>
        <w:tc>
          <w:tcPr>
            <w:tcW w:w="85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12</w:t>
            </w:r>
          </w:p>
        </w:tc>
        <w:tc>
          <w:tcPr>
            <w:tcW w:w="132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天津</w:t>
            </w:r>
          </w:p>
        </w:tc>
        <w:tc>
          <w:tcPr>
            <w:tcW w:w="141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50</w:t>
            </w:r>
          </w:p>
        </w:tc>
      </w:tr>
    </w:tbl>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rPr>
        <w:sectPr>
          <w:type w:val="nextPage"/>
          <w:pgSz w:w="11906" w:h="16838"/>
          <w:pgMar w:top="1440" w:right="1800" w:bottom="1440" w:left="1800" w:header="851" w:footer="992" w:gutter="0"/>
          <w:pgNumType w:start="19"/>
          <w:cols w:space="708"/>
          <w:titlePg w:val="0"/>
          <w:docGrid w:type="lines" w:linePitch="312"/>
        </w:sectPr>
      </w:pP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 </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 xml:space="preserve"> </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 </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从展览会总面积上看，广东省</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2012</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年展览会总面积为</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1235</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万平方米，占全国展览会总面积的</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24%</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，居于全国首位；上海市</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2012</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rPr>
      </w:pP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年展览会总面积为</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938</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万平方米，占全国展览会总面积的</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18%</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，居于全国第二位；北京市</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2012</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年展览会总面积为</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524</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万平方米，占全国展览会总面积的</w:t>
      </w:r>
      <w:r>
        <w:rPr>
          <w:rFonts w:ascii="Microsoft YaHei UI" w:eastAsia="Microsoft YaHei UI" w:hAnsi="Microsoft YaHei UI" w:cs="Microsoft YaHei UI" w:hint="eastAsia"/>
          <w:i w:val="0"/>
          <w:iCs w:val="0"/>
          <w:caps w:val="0"/>
          <w:spacing w:val="8"/>
          <w:kern w:val="0"/>
          <w:sz w:val="24"/>
          <w:szCs w:val="24"/>
          <w:bdr w:val="none" w:sz="0" w:space="0" w:color="auto"/>
          <w:shd w:val="clear" w:color="auto" w:fill="FFFFFF"/>
          <w:lang w:val="en-US" w:eastAsia="zh-CN" w:bidi="ar"/>
        </w:rPr>
        <w:t>10%</w:t>
      </w:r>
      <w:r>
        <w:rPr>
          <w:rFonts w:ascii="宋体" w:eastAsia="宋体" w:hAnsi="宋体" w:cs="宋体" w:hint="eastAsia"/>
          <w:i w:val="0"/>
          <w:iCs w:val="0"/>
          <w:caps w:val="0"/>
          <w:spacing w:val="8"/>
          <w:kern w:val="0"/>
          <w:sz w:val="24"/>
          <w:szCs w:val="24"/>
          <w:bdr w:val="none" w:sz="0" w:space="0" w:color="auto"/>
          <w:shd w:val="clear" w:color="auto" w:fill="FFFFFF"/>
          <w:lang w:val="en-US" w:eastAsia="zh-CN" w:bidi="ar"/>
        </w:rPr>
        <w:t>，居于全国第三位。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sz w:val="21"/>
          <w:szCs w:val="21"/>
          <w:bdr w:val="none" w:sz="0" w:space="0" w:color="auto"/>
          <w:shd w:val="clear" w:color="auto" w:fill="FFFFFF"/>
        </w:rPr>
        <w:pict>
          <v:shape id="图片 9" o:spid="_x0000_i1032" type="#_x0000_t75" style="width:422.25pt;height:347.25pt" filled="f">
            <v:imagedata r:id="rId10" o:title="IMG_261"/>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sectPr>
          <w:type w:val="nextPage"/>
          <w:pgSz w:w="11906" w:h="16838"/>
          <w:pgMar w:top="1440" w:right="1800" w:bottom="1440" w:left="1800" w:header="851" w:footer="992" w:gutter="0"/>
          <w:pgNumType w:start="20"/>
          <w:cols w:space="708"/>
          <w:titlePg w:val="0"/>
          <w:docGrid w:type="lines" w:linePitch="312"/>
        </w:sectPr>
      </w:pPr>
      <w:r>
        <w:rPr>
          <w:rFonts w:ascii="宋体" w:eastAsia="宋体" w:hAnsi="宋体" w:cs="宋体" w:hint="eastAsia"/>
          <w:i w:val="0"/>
          <w:iCs w:val="0"/>
          <w:caps w:val="0"/>
          <w:spacing w:val="8"/>
          <w:bdr w:val="none" w:sz="0" w:space="0" w:color="auto"/>
          <w:shd w:val="clear" w:color="auto" w:fill="FFFFFF"/>
        </w:rPr>
        <w:t> </w:t>
      </w:r>
      <w:r>
        <w:rPr>
          <w:rFonts w:ascii="宋体" w:eastAsia="宋体" w:hAnsi="宋体" w:cs="宋体" w:hint="eastAsia"/>
          <w:i w:val="0"/>
          <w:iCs w:val="0"/>
          <w:caps w:val="0"/>
          <w:spacing w:val="8"/>
          <w:bdr w:val="none" w:sz="0" w:space="0" w:color="auto"/>
          <w:shd w:val="clear" w:color="auto" w:fill="FFFFFF"/>
        </w:rPr>
        <w:t xml:space="preserve"> </w:t>
      </w:r>
      <w:r>
        <w:rPr>
          <w:rFonts w:ascii="宋体" w:eastAsia="宋体" w:hAnsi="宋体" w:cs="宋体" w:hint="eastAsia"/>
          <w:i w:val="0"/>
          <w:iCs w:val="0"/>
          <w:caps w:val="0"/>
          <w:spacing w:val="8"/>
          <w:bdr w:val="none" w:sz="0" w:space="0" w:color="auto"/>
          <w:shd w:val="clear" w:color="auto" w:fill="FFFFFF"/>
        </w:rPr>
        <w:t> </w:t>
      </w:r>
      <w:r>
        <w:rPr>
          <w:rFonts w:ascii="宋体" w:eastAsia="宋体" w:hAnsi="宋体" w:cs="宋体" w:hint="eastAsia"/>
          <w:i w:val="0"/>
          <w:iCs w:val="0"/>
          <w:caps w:val="0"/>
          <w:spacing w:val="8"/>
          <w:bdr w:val="none" w:sz="0" w:space="0" w:color="auto"/>
          <w:shd w:val="clear" w:color="auto" w:fill="FFFFFF"/>
        </w:rPr>
        <w:t>据不完全统计，</w:t>
      </w: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bdr w:val="none" w:sz="0" w:space="0" w:color="auto"/>
          <w:shd w:val="clear" w:color="auto" w:fill="FFFFFF"/>
        </w:rPr>
        <w:t>年全国共有</w:t>
      </w:r>
      <w:r>
        <w:rPr>
          <w:rFonts w:ascii="Microsoft YaHei UI" w:eastAsia="Microsoft YaHei UI" w:hAnsi="Microsoft YaHei UI" w:cs="Microsoft YaHei UI" w:hint="eastAsia"/>
          <w:i w:val="0"/>
          <w:iCs w:val="0"/>
          <w:caps w:val="0"/>
          <w:spacing w:val="8"/>
          <w:bdr w:val="none" w:sz="0" w:space="0" w:color="auto"/>
          <w:shd w:val="clear" w:color="auto" w:fill="FFFFFF"/>
        </w:rPr>
        <w:t>3</w:t>
      </w:r>
      <w:r>
        <w:rPr>
          <w:rFonts w:ascii="宋体" w:eastAsia="宋体" w:hAnsi="宋体" w:cs="宋体" w:hint="eastAsia"/>
          <w:i w:val="0"/>
          <w:iCs w:val="0"/>
          <w:caps w:val="0"/>
          <w:spacing w:val="8"/>
          <w:bdr w:val="none" w:sz="0" w:space="0" w:color="auto"/>
          <w:shd w:val="clear" w:color="auto" w:fill="FFFFFF"/>
        </w:rPr>
        <w:t>个省、直辖市举办展览会总面积超过</w:t>
      </w:r>
      <w:r>
        <w:rPr>
          <w:rFonts w:ascii="Microsoft YaHei UI" w:eastAsia="Microsoft YaHei UI" w:hAnsi="Microsoft YaHei UI" w:cs="Microsoft YaHei UI" w:hint="eastAsia"/>
          <w:i w:val="0"/>
          <w:iCs w:val="0"/>
          <w:caps w:val="0"/>
          <w:spacing w:val="8"/>
          <w:bdr w:val="none" w:sz="0" w:space="0" w:color="auto"/>
          <w:shd w:val="clear" w:color="auto" w:fill="FFFFFF"/>
        </w:rPr>
        <w:t>500</w:t>
      </w:r>
      <w:r>
        <w:rPr>
          <w:rFonts w:ascii="宋体" w:eastAsia="宋体" w:hAnsi="宋体" w:cs="宋体" w:hint="eastAsia"/>
          <w:i w:val="0"/>
          <w:iCs w:val="0"/>
          <w:caps w:val="0"/>
          <w:spacing w:val="8"/>
          <w:bdr w:val="none" w:sz="0" w:space="0" w:color="auto"/>
          <w:shd w:val="clear" w:color="auto" w:fill="FFFFFF"/>
        </w:rPr>
        <w:t>万平方米，分别是广东、上海和北京，合计展览会总面积</w:t>
      </w:r>
      <w:r>
        <w:rPr>
          <w:rFonts w:ascii="Microsoft YaHei UI" w:eastAsia="Microsoft YaHei UI" w:hAnsi="Microsoft YaHei UI" w:cs="Microsoft YaHei UI" w:hint="eastAsia"/>
          <w:i w:val="0"/>
          <w:iCs w:val="0"/>
          <w:caps w:val="0"/>
          <w:spacing w:val="8"/>
          <w:bdr w:val="none" w:sz="0" w:space="0" w:color="auto"/>
          <w:shd w:val="clear" w:color="auto" w:fill="FFFFFF"/>
        </w:rPr>
        <w:t>2698</w:t>
      </w:r>
      <w:r>
        <w:rPr>
          <w:rFonts w:ascii="宋体" w:eastAsia="宋体" w:hAnsi="宋体" w:cs="宋体" w:hint="eastAsia"/>
          <w:i w:val="0"/>
          <w:iCs w:val="0"/>
          <w:caps w:val="0"/>
          <w:spacing w:val="8"/>
          <w:bdr w:val="none" w:sz="0" w:space="0" w:color="auto"/>
          <w:shd w:val="clear" w:color="auto" w:fill="FFFFFF"/>
        </w:rPr>
        <w:t>万平方米，约占全国展览会总面积的</w:t>
      </w:r>
      <w:r>
        <w:rPr>
          <w:rFonts w:ascii="Microsoft YaHei UI" w:eastAsia="Microsoft YaHei UI" w:hAnsi="Microsoft YaHei UI" w:cs="Microsoft YaHei UI" w:hint="eastAsia"/>
          <w:i w:val="0"/>
          <w:iCs w:val="0"/>
          <w:caps w:val="0"/>
          <w:spacing w:val="8"/>
          <w:bdr w:val="none" w:sz="0" w:space="0" w:color="auto"/>
          <w:shd w:val="clear" w:color="auto" w:fill="FFFFFF"/>
        </w:rPr>
        <w:t>52%</w:t>
      </w:r>
      <w:r>
        <w:rPr>
          <w:rFonts w:ascii="宋体" w:eastAsia="宋体" w:hAnsi="宋体" w:cs="宋体" w:hint="eastAsia"/>
          <w:i w:val="0"/>
          <w:iCs w:val="0"/>
          <w:caps w:val="0"/>
          <w:spacing w:val="8"/>
          <w:bdr w:val="none" w:sz="0" w:space="0" w:color="auto"/>
          <w:shd w:val="clear" w:color="auto" w:fill="FFFFFF"/>
        </w:rPr>
        <w:t>；有</w:t>
      </w:r>
      <w:r>
        <w:rPr>
          <w:rFonts w:ascii="Microsoft YaHei UI" w:eastAsia="Microsoft YaHei UI" w:hAnsi="Microsoft YaHei UI" w:cs="Microsoft YaHei UI" w:hint="eastAsia"/>
          <w:i w:val="0"/>
          <w:iCs w:val="0"/>
          <w:caps w:val="0"/>
          <w:spacing w:val="8"/>
          <w:bdr w:val="none" w:sz="0" w:space="0" w:color="auto"/>
          <w:shd w:val="clear" w:color="auto" w:fill="FFFFFF"/>
        </w:rPr>
        <w:t>10</w:t>
      </w:r>
      <w:r>
        <w:rPr>
          <w:rFonts w:ascii="宋体" w:eastAsia="宋体" w:hAnsi="宋体" w:cs="宋体" w:hint="eastAsia"/>
          <w:i w:val="0"/>
          <w:iCs w:val="0"/>
          <w:caps w:val="0"/>
          <w:spacing w:val="8"/>
          <w:bdr w:val="none" w:sz="0" w:space="0" w:color="auto"/>
          <w:shd w:val="clear" w:color="auto" w:fill="FFFFFF"/>
        </w:rPr>
        <w:t>个省、直辖市举办展览会总面积在</w:t>
      </w:r>
      <w:r>
        <w:rPr>
          <w:rFonts w:ascii="Microsoft YaHei UI" w:eastAsia="Microsoft YaHei UI" w:hAnsi="Microsoft YaHei UI" w:cs="Microsoft YaHei UI" w:hint="eastAsia"/>
          <w:i w:val="0"/>
          <w:iCs w:val="0"/>
          <w:caps w:val="0"/>
          <w:spacing w:val="8"/>
          <w:bdr w:val="none" w:sz="0" w:space="0" w:color="auto"/>
          <w:shd w:val="clear" w:color="auto" w:fill="FFFFFF"/>
        </w:rPr>
        <w:t>100-500</w:t>
      </w:r>
      <w:r>
        <w:rPr>
          <w:rFonts w:ascii="宋体" w:eastAsia="宋体" w:hAnsi="宋体" w:cs="宋体" w:hint="eastAsia"/>
          <w:i w:val="0"/>
          <w:iCs w:val="0"/>
          <w:caps w:val="0"/>
          <w:spacing w:val="8"/>
          <w:bdr w:val="none" w:sz="0" w:space="0" w:color="auto"/>
          <w:shd w:val="clear" w:color="auto" w:fill="FFFFFF"/>
        </w:rPr>
        <w:t>万平方米之间，合计展览会总面积</w:t>
      </w:r>
      <w:r>
        <w:rPr>
          <w:rFonts w:ascii="Microsoft YaHei UI" w:eastAsia="Microsoft YaHei UI" w:hAnsi="Microsoft YaHei UI" w:cs="Microsoft YaHei UI" w:hint="eastAsia"/>
          <w:i w:val="0"/>
          <w:iCs w:val="0"/>
          <w:caps w:val="0"/>
          <w:spacing w:val="8"/>
          <w:bdr w:val="none" w:sz="0" w:space="0" w:color="auto"/>
          <w:shd w:val="clear" w:color="auto" w:fill="FFFFFF"/>
        </w:rPr>
        <w:t>1823</w:t>
      </w:r>
      <w:r>
        <w:rPr>
          <w:rFonts w:ascii="宋体" w:eastAsia="宋体" w:hAnsi="宋体" w:cs="宋体" w:hint="eastAsia"/>
          <w:i w:val="0"/>
          <w:iCs w:val="0"/>
          <w:caps w:val="0"/>
          <w:spacing w:val="8"/>
          <w:bdr w:val="none" w:sz="0" w:space="0" w:color="auto"/>
          <w:shd w:val="clear" w:color="auto" w:fill="FFFFFF"/>
        </w:rPr>
        <w:t>万平方米，约占全国展览会总数量的</w:t>
      </w:r>
      <w:r>
        <w:rPr>
          <w:rFonts w:ascii="Microsoft YaHei UI" w:eastAsia="Microsoft YaHei UI" w:hAnsi="Microsoft YaHei UI" w:cs="Microsoft YaHei UI" w:hint="eastAsia"/>
          <w:i w:val="0"/>
          <w:iCs w:val="0"/>
          <w:caps w:val="0"/>
          <w:spacing w:val="8"/>
          <w:bdr w:val="none" w:sz="0" w:space="0" w:color="auto"/>
          <w:shd w:val="clear" w:color="auto" w:fill="FFFFFF"/>
        </w:rPr>
        <w:t>35%</w:t>
      </w:r>
      <w:r>
        <w:rPr>
          <w:rFonts w:ascii="宋体" w:eastAsia="宋体" w:hAnsi="宋体" w:cs="宋体" w:hint="eastAsia"/>
          <w:i w:val="0"/>
          <w:iCs w:val="0"/>
          <w:caps w:val="0"/>
          <w:spacing w:val="8"/>
          <w:bdr w:val="none" w:sz="0" w:space="0" w:color="auto"/>
          <w:shd w:val="clear" w:color="auto" w:fill="FFFFFF"/>
        </w:rPr>
        <w:t>；另有</w:t>
      </w:r>
      <w:r>
        <w:rPr>
          <w:rFonts w:ascii="Microsoft YaHei UI" w:eastAsia="Microsoft YaHei UI" w:hAnsi="Microsoft YaHei UI" w:cs="Microsoft YaHei UI" w:hint="eastAsia"/>
          <w:i w:val="0"/>
          <w:iCs w:val="0"/>
          <w:caps w:val="0"/>
          <w:spacing w:val="8"/>
          <w:bdr w:val="none" w:sz="0" w:space="0" w:color="auto"/>
          <w:shd w:val="clear" w:color="auto" w:fill="FFFFFF"/>
        </w:rPr>
        <w:t>17</w:t>
      </w:r>
      <w:r>
        <w:rPr>
          <w:rFonts w:ascii="宋体" w:eastAsia="宋体" w:hAnsi="宋体" w:cs="宋体" w:hint="eastAsia"/>
          <w:i w:val="0"/>
          <w:iCs w:val="0"/>
          <w:caps w:val="0"/>
          <w:spacing w:val="8"/>
          <w:bdr w:val="none" w:sz="0" w:space="0" w:color="auto"/>
          <w:shd w:val="clear" w:color="auto" w:fill="FFFFFF"/>
        </w:rPr>
        <w:t>个省举办展览会总面积在</w:t>
      </w:r>
      <w:r>
        <w:rPr>
          <w:rFonts w:ascii="Microsoft YaHei UI" w:eastAsia="Microsoft YaHei UI" w:hAnsi="Microsoft YaHei UI" w:cs="Microsoft YaHei UI" w:hint="eastAsia"/>
          <w:i w:val="0"/>
          <w:iCs w:val="0"/>
          <w:caps w:val="0"/>
          <w:spacing w:val="8"/>
          <w:bdr w:val="none" w:sz="0" w:space="0" w:color="auto"/>
          <w:shd w:val="clear" w:color="auto" w:fill="FFFFFF"/>
        </w:rPr>
        <w:t>70</w:t>
      </w:r>
      <w:r>
        <w:rPr>
          <w:rFonts w:ascii="宋体" w:eastAsia="宋体" w:hAnsi="宋体" w:cs="宋体" w:hint="eastAsia"/>
          <w:i w:val="0"/>
          <w:iCs w:val="0"/>
          <w:caps w:val="0"/>
          <w:spacing w:val="8"/>
          <w:bdr w:val="none" w:sz="0" w:space="0" w:color="auto"/>
          <w:shd w:val="clear" w:color="auto" w:fill="FFFFFF"/>
        </w:rPr>
        <w:t>万平方米以下，合计展览会总面积</w:t>
      </w:r>
      <w:r>
        <w:rPr>
          <w:rFonts w:ascii="Microsoft YaHei UI" w:eastAsia="Microsoft YaHei UI" w:hAnsi="Microsoft YaHei UI" w:cs="Microsoft YaHei UI" w:hint="eastAsia"/>
          <w:i w:val="0"/>
          <w:iCs w:val="0"/>
          <w:caps w:val="0"/>
          <w:spacing w:val="8"/>
          <w:bdr w:val="none" w:sz="0" w:space="0" w:color="auto"/>
          <w:shd w:val="clear" w:color="auto" w:fill="FFFFFF"/>
        </w:rPr>
        <w:t>692</w:t>
      </w:r>
      <w:r>
        <w:rPr>
          <w:rFonts w:ascii="宋体" w:eastAsia="宋体" w:hAnsi="宋体" w:cs="宋体" w:hint="eastAsia"/>
          <w:i w:val="0"/>
          <w:iCs w:val="0"/>
          <w:caps w:val="0"/>
          <w:spacing w:val="8"/>
          <w:bdr w:val="none" w:sz="0" w:space="0" w:color="auto"/>
          <w:shd w:val="clear" w:color="auto" w:fill="FFFFFF"/>
        </w:rPr>
        <w:t>万平方米，约占全国展览会总面积的</w:t>
      </w:r>
      <w:r>
        <w:rPr>
          <w:rFonts w:ascii="Microsoft YaHei UI" w:eastAsia="Microsoft YaHei UI" w:hAnsi="Microsoft YaHei UI" w:cs="Microsoft YaHei UI" w:hint="eastAsia"/>
          <w:i w:val="0"/>
          <w:iCs w:val="0"/>
          <w:caps w:val="0"/>
          <w:spacing w:val="8"/>
          <w:bdr w:val="none" w:sz="0" w:space="0" w:color="auto"/>
          <w:shd w:val="clear" w:color="auto" w:fill="FFFFFF"/>
        </w:rPr>
        <w:t>13%</w:t>
      </w:r>
      <w:r>
        <w:rPr>
          <w:rFonts w:ascii="宋体" w:eastAsia="宋体" w:hAnsi="宋体" w:cs="宋体" w:hint="eastAsia"/>
          <w:i w:val="0"/>
          <w:iCs w:val="0"/>
          <w:caps w:val="0"/>
          <w:spacing w:val="8"/>
          <w:bdr w:val="none" w:sz="0" w:space="0" w:color="auto"/>
          <w:shd w:val="clear" w:color="auto" w:fill="FFFFFF"/>
        </w:rPr>
        <w:t>。</w:t>
      </w:r>
      <w:r>
        <w:rPr>
          <w:rFonts w:ascii="Microsoft YaHei UI" w:eastAsia="Microsoft YaHei UI" w:hAnsi="Microsoft YaHei UI" w:cs="Microsoft YaHei UI" w:hint="eastAsia"/>
          <w:i w:val="0"/>
          <w:iCs w:val="0"/>
          <w:caps w:val="0"/>
          <w:spacing w:val="8"/>
          <w:bdr w:val="none" w:sz="0" w:space="0" w:color="auto"/>
          <w:shd w:val="clear" w:color="auto" w:fill="FFFFFF"/>
        </w:rPr>
        <w:br/>
      </w:r>
      <w:r>
        <w:rPr>
          <w:rFonts w:ascii="Microsoft YaHei UI" w:eastAsia="Microsoft YaHei UI" w:hAnsi="Microsoft YaHei UI" w:cs="Microsoft YaHei UI" w:hint="eastAsia"/>
          <w:i w:val="0"/>
          <w:iCs w:val="0"/>
          <w:caps w:val="0"/>
          <w:spacing w:val="8"/>
          <w:bdr w:val="none" w:sz="0" w:space="0" w:color="auto"/>
          <w:shd w:val="clear" w:color="auto" w:fill="FFFFFF"/>
        </w:rPr>
        <w:t> </w:t>
      </w:r>
      <w:r>
        <w:rPr>
          <w:rFonts w:ascii="Microsoft YaHei UI" w:eastAsia="Microsoft YaHei UI" w:hAnsi="Microsoft YaHei UI" w:cs="Microsoft YaHei UI" w:hint="eastAsia"/>
          <w:i w:val="0"/>
          <w:iCs w:val="0"/>
          <w:caps w:val="0"/>
          <w:spacing w:val="8"/>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bdr w:val="none" w:sz="0" w:space="0" w:color="auto"/>
          <w:shd w:val="clear" w:color="auto" w:fill="FFFFFF"/>
        </w:rPr>
        <w:t>从展览会总面积的角度分析，全国各省直辖市的展览会经济发展水平的分布以及展览会规模资源在全国各省直辖市的分布分别呈现</w:t>
      </w:r>
      <w:r>
        <w:rPr>
          <w:rFonts w:ascii="宋体" w:eastAsia="宋体" w:hAnsi="宋体" w:cs="宋体" w:hint="eastAsia"/>
          <w:i w:val="0"/>
          <w:iCs w:val="0"/>
          <w:caps w:val="0"/>
          <w:spacing w:val="8"/>
          <w:bdr w:val="none" w:sz="0" w:space="0" w:color="auto"/>
          <w:shd w:val="clear" w:color="auto" w:fill="FFFFFF"/>
        </w:rPr>
        <w:t>“</w:t>
      </w:r>
      <w:r>
        <w:rPr>
          <w:rFonts w:ascii="宋体" w:eastAsia="宋体" w:hAnsi="宋体" w:cs="宋体" w:hint="eastAsia"/>
          <w:i w:val="0"/>
          <w:iCs w:val="0"/>
          <w:caps w:val="0"/>
          <w:spacing w:val="8"/>
          <w:bdr w:val="none" w:sz="0" w:space="0" w:color="auto"/>
          <w:shd w:val="clear" w:color="auto" w:fill="FFFFFF"/>
        </w:rPr>
        <w:t>正金字塔</w:t>
      </w:r>
      <w:r>
        <w:rPr>
          <w:rFonts w:ascii="宋体" w:eastAsia="宋体" w:hAnsi="宋体" w:cs="宋体" w:hint="eastAsia"/>
          <w:i w:val="0"/>
          <w:iCs w:val="0"/>
          <w:caps w:val="0"/>
          <w:spacing w:val="8"/>
          <w:bdr w:val="none" w:sz="0" w:space="0" w:color="auto"/>
          <w:shd w:val="clear" w:color="auto" w:fill="FFFFFF"/>
        </w:rPr>
        <w:t>”</w:t>
      </w:r>
      <w:r>
        <w:rPr>
          <w:rFonts w:ascii="宋体" w:eastAsia="宋体" w:hAnsi="宋体" w:cs="宋体" w:hint="eastAsia"/>
          <w:i w:val="0"/>
          <w:iCs w:val="0"/>
          <w:caps w:val="0"/>
          <w:spacing w:val="8"/>
          <w:bdr w:val="none" w:sz="0" w:space="0" w:color="auto"/>
          <w:shd w:val="clear" w:color="auto" w:fill="FFFFFF"/>
        </w:rPr>
        <w:t>和</w:t>
      </w:r>
      <w:r>
        <w:rPr>
          <w:rFonts w:ascii="宋体" w:eastAsia="宋体" w:hAnsi="宋体" w:cs="宋体" w:hint="eastAsia"/>
          <w:i w:val="0"/>
          <w:iCs w:val="0"/>
          <w:caps w:val="0"/>
          <w:spacing w:val="8"/>
          <w:bdr w:val="none" w:sz="0" w:space="0" w:color="auto"/>
          <w:shd w:val="clear" w:color="auto" w:fill="FFFFFF"/>
        </w:rPr>
        <w:t>“</w:t>
      </w:r>
      <w:r>
        <w:rPr>
          <w:rFonts w:ascii="宋体" w:eastAsia="宋体" w:hAnsi="宋体" w:cs="宋体" w:hint="eastAsia"/>
          <w:i w:val="0"/>
          <w:iCs w:val="0"/>
          <w:caps w:val="0"/>
          <w:spacing w:val="8"/>
          <w:bdr w:val="none" w:sz="0" w:space="0" w:color="auto"/>
          <w:shd w:val="clear" w:color="auto" w:fill="FFFFFF"/>
        </w:rPr>
        <w:t>倒金字塔</w:t>
      </w:r>
      <w:r>
        <w:rPr>
          <w:rFonts w:ascii="宋体" w:eastAsia="宋体" w:hAnsi="宋体" w:cs="宋体" w:hint="eastAsia"/>
          <w:i w:val="0"/>
          <w:iCs w:val="0"/>
          <w:caps w:val="0"/>
          <w:spacing w:val="8"/>
          <w:bdr w:val="none" w:sz="0" w:space="0" w:color="auto"/>
          <w:shd w:val="clear" w:color="auto" w:fill="FFFFFF"/>
        </w:rPr>
        <w:t>”</w:t>
      </w:r>
      <w:r>
        <w:rPr>
          <w:rFonts w:ascii="宋体" w:eastAsia="宋体" w:hAnsi="宋体" w:cs="宋体" w:hint="eastAsia"/>
          <w:i w:val="0"/>
          <w:iCs w:val="0"/>
          <w:caps w:val="0"/>
          <w:spacing w:val="8"/>
          <w:bdr w:val="none" w:sz="0" w:space="0" w:color="auto"/>
          <w:shd w:val="clear" w:color="auto" w:fill="FFFFFF"/>
        </w:rPr>
        <w:t>形态。即少数省直辖市（京沪穗）作为发达展览会经济地区汇集了过半展览会规模资源，部分发展中展览会经济地区（</w:t>
      </w:r>
      <w:r>
        <w:rPr>
          <w:rFonts w:ascii="Microsoft YaHei UI" w:eastAsia="Microsoft YaHei UI" w:hAnsi="Microsoft YaHei UI" w:cs="Microsoft YaHei UI" w:hint="eastAsia"/>
          <w:i w:val="0"/>
          <w:iCs w:val="0"/>
          <w:caps w:val="0"/>
          <w:spacing w:val="8"/>
          <w:bdr w:val="none" w:sz="0" w:space="0" w:color="auto"/>
          <w:shd w:val="clear" w:color="auto" w:fill="FFFFFF"/>
        </w:rPr>
        <w:t>10</w:t>
      </w:r>
      <w:r>
        <w:rPr>
          <w:rFonts w:ascii="宋体" w:eastAsia="宋体" w:hAnsi="宋体" w:cs="宋体" w:hint="eastAsia"/>
          <w:i w:val="0"/>
          <w:iCs w:val="0"/>
          <w:caps w:val="0"/>
          <w:spacing w:val="8"/>
          <w:bdr w:val="none" w:sz="0" w:space="0" w:color="auto"/>
          <w:shd w:val="clear" w:color="auto" w:fill="FFFFFF"/>
        </w:rPr>
        <w:t>省直辖市）占据约三分之一展览会规模资源，而数量上占多数的欠发达展览会经济地区（</w:t>
      </w:r>
      <w:r>
        <w:rPr>
          <w:rFonts w:ascii="Microsoft YaHei UI" w:eastAsia="Microsoft YaHei UI" w:hAnsi="Microsoft YaHei UI" w:cs="Microsoft YaHei UI" w:hint="eastAsia"/>
          <w:i w:val="0"/>
          <w:iCs w:val="0"/>
          <w:caps w:val="0"/>
          <w:spacing w:val="8"/>
          <w:bdr w:val="none" w:sz="0" w:space="0" w:color="auto"/>
          <w:shd w:val="clear" w:color="auto" w:fill="FFFFFF"/>
        </w:rPr>
        <w:t>17</w:t>
      </w:r>
      <w:r>
        <w:rPr>
          <w:rFonts w:ascii="宋体" w:eastAsia="宋体" w:hAnsi="宋体" w:cs="宋体" w:hint="eastAsia"/>
          <w:i w:val="0"/>
          <w:iCs w:val="0"/>
          <w:caps w:val="0"/>
          <w:spacing w:val="8"/>
          <w:bdr w:val="none" w:sz="0" w:space="0" w:color="auto"/>
          <w:shd w:val="clear" w:color="auto" w:fill="FFFFFF"/>
        </w:rPr>
        <w:t>省）仅能支配少量展览会规模资源。）</w:t>
      </w:r>
      <w:r>
        <w:rPr>
          <w:rFonts w:ascii="Microsoft YaHei UI" w:eastAsia="Microsoft YaHei UI" w:hAnsi="Microsoft YaHei UI" w:cs="Microsoft YaHei UI" w:hint="eastAsia"/>
          <w:i w:val="0"/>
          <w:iCs w:val="0"/>
          <w:caps w:val="0"/>
          <w:spacing w:val="8"/>
          <w:bdr w:val="none" w:sz="0" w:space="0" w:color="auto"/>
          <w:shd w:val="clear" w:color="auto" w:fill="FFFFFF"/>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pict>
          <v:shape id="图片 10" o:spid="_x0000_i1033" type="#_x0000_t75" style="width:429.75pt;height:234pt" filled="f">
            <v:imagedata r:id="rId11" o:title="IMG_262"/>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pict>
          <v:shape id="图片 11" o:spid="_x0000_i1034" type="#_x0000_t75" style="width:429.75pt;height:241.5pt" filled="f">
            <v:imagedata r:id="rId12" o:title="IMG_263"/>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2012</w:t>
      </w:r>
      <w:r>
        <w:rPr>
          <w:rFonts w:ascii="宋体" w:eastAsia="宋体" w:hAnsi="宋体" w:cs="宋体" w:hint="eastAsia"/>
          <w:i w:val="0"/>
          <w:iCs w:val="0"/>
          <w:caps w:val="0"/>
          <w:spacing w:val="8"/>
          <w:bdr w:val="none" w:sz="0" w:space="0" w:color="auto"/>
          <w:shd w:val="clear" w:color="auto" w:fill="FFFFFF"/>
        </w:rPr>
        <w:t>年举办</w:t>
      </w:r>
      <w:r>
        <w:rPr>
          <w:rFonts w:ascii="Microsoft YaHei UI" w:eastAsia="Microsoft YaHei UI" w:hAnsi="Microsoft YaHei UI" w:cs="Microsoft YaHei UI" w:hint="eastAsia"/>
          <w:i w:val="0"/>
          <w:iCs w:val="0"/>
          <w:caps w:val="0"/>
          <w:spacing w:val="8"/>
          <w:bdr w:val="none" w:sz="0" w:space="0" w:color="auto"/>
          <w:shd w:val="clear" w:color="auto" w:fill="FFFFFF"/>
        </w:rPr>
        <w:t>100</w:t>
      </w:r>
      <w:r>
        <w:rPr>
          <w:rFonts w:ascii="宋体" w:eastAsia="宋体" w:hAnsi="宋体" w:cs="宋体" w:hint="eastAsia"/>
          <w:i w:val="0"/>
          <w:iCs w:val="0"/>
          <w:caps w:val="0"/>
          <w:spacing w:val="8"/>
          <w:bdr w:val="none" w:sz="0" w:space="0" w:color="auto"/>
          <w:shd w:val="clear" w:color="auto" w:fill="FFFFFF"/>
        </w:rPr>
        <w:t>万平方米以上展览会省直辖市列表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Microsoft YaHei UI" w:eastAsia="Microsoft YaHei UI" w:hAnsi="Microsoft YaHei UI" w:cs="Microsoft YaHei UI" w:hint="eastAsia"/>
          <w:i w:val="0"/>
          <w:iCs w:val="0"/>
          <w:caps w:val="0"/>
          <w:spacing w:val="8"/>
          <w:bdr w:val="none" w:sz="0" w:space="0" w:color="auto"/>
          <w:shd w:val="clear" w:color="auto" w:fill="FFFFFF"/>
        </w:rPr>
        <w:t> </w:t>
      </w:r>
    </w:p>
    <w:tbl>
      <w:tblPr>
        <w:tblStyle w:val="TableNormal"/>
        <w:tblW w:w="457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
      <w:tblGrid>
        <w:gridCol w:w="1080"/>
        <w:gridCol w:w="1695"/>
        <w:gridCol w:w="1800"/>
      </w:tblGrid>
      <w:tr>
        <w:tblPrEx>
          <w:tblW w:w="457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br/>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省直辖市</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展览会总面积</w:t>
            </w:r>
          </w:p>
        </w:tc>
      </w:tr>
    </w:tbl>
    <w:p>
      <w:pPr>
        <w:sectPr>
          <w:type w:val="nextPage"/>
          <w:pgSz w:w="11906" w:h="16838"/>
          <w:pgMar w:top="1440" w:right="1800" w:bottom="1440" w:left="1800" w:header="851" w:footer="992" w:gutter="0"/>
          <w:pgNumType w:start="21"/>
          <w:cols w:space="708"/>
          <w:titlePg w:val="0"/>
          <w:docGrid w:type="lines" w:linePitch="312"/>
        </w:sectPr>
      </w:pPr>
    </w:p>
    <w:tbl>
      <w:tblPr>
        <w:tblStyle w:val="TableNormal"/>
        <w:tblW w:w="457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
      <w:tblGrid>
        <w:gridCol w:w="1080"/>
        <w:gridCol w:w="1695"/>
        <w:gridCol w:w="1800"/>
      </w:tblGrid>
      <w:tr>
        <w:tblPrEx>
          <w:tblW w:w="457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序号</w:t>
            </w:r>
          </w:p>
        </w:tc>
        <w:tc>
          <w:tcPr>
            <w:tcW w:w="1695" w:type="dxa"/>
            <w:tcBorders>
              <w:top w:val="single" w:sz="6" w:space="0" w:color="DDDDDD"/>
              <w:left w:val="single" w:sz="6" w:space="0" w:color="DDDDDD"/>
              <w:bottom w:val="single" w:sz="6" w:space="0" w:color="DDDDDD"/>
              <w:right w:val="single" w:sz="6" w:space="0" w:color="DDDDDD"/>
            </w:tcBorders>
            <w:noWrap/>
            <w:vAlign w:val="center"/>
          </w:tcPr>
          <w:p/>
        </w:tc>
        <w:tc>
          <w:tcPr>
            <w:tcW w:w="1800" w:type="dxa"/>
            <w:tcBorders>
              <w:top w:val="single" w:sz="6" w:space="0" w:color="DDDDDD"/>
              <w:left w:val="single" w:sz="6" w:space="0" w:color="DDDDDD"/>
              <w:bottom w:val="single" w:sz="6" w:space="0" w:color="DDDDDD"/>
              <w:right w:val="single" w:sz="6" w:space="0" w:color="DDDDDD"/>
            </w:tcBorders>
            <w:noWrap/>
            <w:vAlign w:val="center"/>
          </w:tcP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广东</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12354467</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上海</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9382878</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3</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北京</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5243019</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4</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山东</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3510422</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5</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浙江</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2750928</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6</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辽宁</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2091700</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7</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四川</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2008900</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8</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江苏</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1874750</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9</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河南</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1413580</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10</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天津</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1359237</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11</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陕西</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1101012</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12</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黑龙江</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1078915</w:t>
            </w:r>
          </w:p>
        </w:tc>
      </w:tr>
      <w:tr>
        <w:tblPrEx>
          <w:tblW w:w="4575" w:type="dxa"/>
          <w:tblCellMar>
            <w:top w:w="0" w:type="dxa"/>
            <w:left w:w="0" w:type="dxa"/>
            <w:bottom w:w="0" w:type="dxa"/>
            <w:right w:w="0" w:type="dxa"/>
          </w:tblCellMar>
          <w:tblLook w:val="0000"/>
        </w:tblPrEx>
        <w:tc>
          <w:tcPr>
            <w:tcW w:w="108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13</w:t>
            </w:r>
          </w:p>
        </w:tc>
        <w:tc>
          <w:tcPr>
            <w:tcW w:w="1695"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rFonts w:ascii="宋体" w:eastAsia="宋体" w:hAnsi="宋体" w:cs="宋体" w:hint="eastAsia"/>
                <w:bdr w:val="none" w:sz="0" w:space="0" w:color="auto"/>
              </w:rPr>
              <w:t>福建</w:t>
            </w:r>
          </w:p>
        </w:tc>
        <w:tc>
          <w:tcPr>
            <w:tcW w:w="1800" w:type="dxa"/>
            <w:tcBorders>
              <w:top w:val="single" w:sz="6" w:space="0" w:color="DDDDDD"/>
              <w:left w:val="single" w:sz="6" w:space="0" w:color="DDDDDD"/>
              <w:bottom w:val="single" w:sz="6" w:space="0" w:color="DDDDDD"/>
              <w:right w:val="single" w:sz="6" w:space="0" w:color="DDDDDD"/>
            </w:tcBorders>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ind w:left="0" w:right="0"/>
            </w:pPr>
            <w:r>
              <w:rPr>
                <w:bdr w:val="none" w:sz="0" w:space="0" w:color="auto"/>
              </w:rPr>
              <w:t>1048803</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both"/>
      </w:pPr>
      <w:r>
        <w:rPr>
          <w:rFonts w:ascii="宋体" w:eastAsia="宋体" w:hAnsi="宋体" w:cs="宋体" w:hint="eastAsia"/>
          <w:i w:val="0"/>
          <w:iCs w:val="0"/>
          <w:caps w:val="0"/>
          <w:spacing w:val="8"/>
          <w:bdr w:val="none" w:sz="0" w:space="0" w:color="auto"/>
          <w:shd w:val="clear" w:color="auto" w:fill="FFFFFF"/>
        </w:rPr>
        <w:t> </w:t>
      </w:r>
      <w:r>
        <w:rPr>
          <w:rFonts w:ascii="宋体" w:eastAsia="宋体" w:hAnsi="宋体" w:cs="宋体" w:hint="eastAsia"/>
          <w:i w:val="0"/>
          <w:iCs w:val="0"/>
          <w:caps w:val="0"/>
          <w:spacing w:val="8"/>
          <w:bdr w:val="none" w:sz="0" w:space="0" w:color="auto"/>
          <w:shd w:val="clear" w:color="auto" w:fill="FFFFFF"/>
        </w:rPr>
        <w:t xml:space="preserve"> </w:t>
      </w:r>
      <w:r>
        <w:rPr>
          <w:rFonts w:ascii="宋体" w:eastAsia="宋体" w:hAnsi="宋体" w:cs="宋体" w:hint="eastAsia"/>
          <w:i w:val="0"/>
          <w:iCs w:val="0"/>
          <w:caps w:val="0"/>
          <w:spacing w:val="8"/>
          <w:bdr w:val="none" w:sz="0" w:space="0" w:color="auto"/>
          <w:shd w:val="clear" w:color="auto" w:fill="FFFFFF"/>
        </w:rPr>
        <w:t> </w:t>
      </w:r>
      <w:r>
        <w:rPr>
          <w:rFonts w:ascii="宋体" w:eastAsia="宋体" w:hAnsi="宋体" w:cs="宋体" w:hint="eastAsia"/>
          <w:i w:val="0"/>
          <w:iCs w:val="0"/>
          <w:caps w:val="0"/>
          <w:spacing w:val="8"/>
          <w:bdr w:val="none" w:sz="0" w:space="0" w:color="auto"/>
          <w:shd w:val="clear" w:color="auto" w:fill="FFFFFF"/>
        </w:rPr>
        <w:t>可以看出，广东、上海和北京无论在展览会总数量还是展览会总面积方面均在全国居于领先地位，而山东、浙江、辽宁在展览会总数量还是展览会总面积方面均处于全国</w:t>
      </w:r>
      <w:r>
        <w:rPr>
          <w:rFonts w:ascii="Microsoft YaHei UI" w:eastAsia="Microsoft YaHei UI" w:hAnsi="Microsoft YaHei UI" w:cs="Microsoft YaHei UI" w:hint="eastAsia"/>
          <w:i w:val="0"/>
          <w:iCs w:val="0"/>
          <w:caps w:val="0"/>
          <w:spacing w:val="8"/>
          <w:bdr w:val="none" w:sz="0" w:space="0" w:color="auto"/>
          <w:shd w:val="clear" w:color="auto" w:fill="FFFFFF"/>
        </w:rPr>
        <w:t>4-6</w:t>
      </w:r>
      <w:r>
        <w:rPr>
          <w:rFonts w:ascii="宋体" w:eastAsia="宋体" w:hAnsi="宋体" w:cs="宋体" w:hint="eastAsia"/>
          <w:i w:val="0"/>
          <w:iCs w:val="0"/>
          <w:caps w:val="0"/>
          <w:spacing w:val="8"/>
          <w:bdr w:val="none" w:sz="0" w:space="0" w:color="auto"/>
          <w:shd w:val="clear" w:color="auto" w:fill="FFFFFF"/>
        </w:rPr>
        <w:t>位，四川、江苏、河南、天津、陕西和黑龙江等省直辖市在展览会总数量和展览会总面积方面均处于全国</w:t>
      </w:r>
      <w:r>
        <w:rPr>
          <w:rFonts w:ascii="Microsoft YaHei UI" w:eastAsia="Microsoft YaHei UI" w:hAnsi="Microsoft YaHei UI" w:cs="Microsoft YaHei UI" w:hint="eastAsia"/>
          <w:i w:val="0"/>
          <w:iCs w:val="0"/>
          <w:caps w:val="0"/>
          <w:spacing w:val="8"/>
          <w:bdr w:val="none" w:sz="0" w:space="0" w:color="auto"/>
          <w:shd w:val="clear" w:color="auto" w:fill="FFFFFF"/>
        </w:rPr>
        <w:t>7-12</w:t>
      </w:r>
      <w:r>
        <w:rPr>
          <w:rFonts w:ascii="宋体" w:eastAsia="宋体" w:hAnsi="宋体" w:cs="宋体" w:hint="eastAsia"/>
          <w:i w:val="0"/>
          <w:iCs w:val="0"/>
          <w:caps w:val="0"/>
          <w:spacing w:val="8"/>
          <w:bdr w:val="none" w:sz="0" w:space="0" w:color="auto"/>
          <w:shd w:val="clear" w:color="auto" w:fill="FFFFFF"/>
        </w:rPr>
        <w:t>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i w:val="0"/>
          <w:iCs w:val="0"/>
          <w:caps w:val="0"/>
          <w:spacing w:val="8"/>
          <w:sz w:val="25"/>
          <w:szCs w:val="25"/>
        </w:rPr>
      </w:pPr>
      <w:r>
        <w:rPr>
          <w:rFonts w:ascii="仿宋_gb2312" w:eastAsia="仿宋_gb2312" w:hAnsi="仿宋_gb2312" w:cs="仿宋_gb2312"/>
          <w:i w:val="0"/>
          <w:iCs w:val="0"/>
          <w:caps w:val="0"/>
          <w:spacing w:val="8"/>
          <w:sz w:val="27"/>
          <w:szCs w:val="27"/>
          <w:bdr w:val="none" w:sz="0" w:space="0" w:color="auto"/>
          <w:shd w:val="clear" w:color="auto" w:fill="FFFFFF"/>
        </w:rPr>
        <w:t>中国展览经济发展报告2012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1.1</w:t>
      </w:r>
      <w:r>
        <w:rPr>
          <w:rFonts w:ascii="仿宋_gb2312" w:eastAsia="仿宋_gb2312" w:hAnsi="仿宋_gb2312" w:cs="仿宋_gb2312" w:hint="default"/>
          <w:i w:val="0"/>
          <w:iCs w:val="0"/>
          <w:caps w:val="0"/>
          <w:spacing w:val="8"/>
          <w:sz w:val="27"/>
          <w:szCs w:val="27"/>
          <w:bdr w:val="none" w:sz="0" w:space="0" w:color="auto"/>
          <w:shd w:val="clear" w:color="auto" w:fill="FFFFFF"/>
        </w:rPr>
        <w:t> </w:t>
      </w:r>
      <w:r>
        <w:rPr>
          <w:rFonts w:ascii="仿宋_gb2312" w:eastAsia="仿宋_gb2312" w:hAnsi="仿宋_gb2312" w:cs="仿宋_gb2312" w:hint="default"/>
          <w:i w:val="0"/>
          <w:iCs w:val="0"/>
          <w:caps w:val="0"/>
          <w:spacing w:val="8"/>
          <w:sz w:val="27"/>
          <w:szCs w:val="27"/>
          <w:bdr w:val="none" w:sz="0" w:space="0" w:color="auto"/>
          <w:shd w:val="clear" w:color="auto" w:fill="FFFFFF"/>
        </w:rPr>
        <w:t xml:space="preserve">展览会城市分布 </w:t>
      </w:r>
      <w:r>
        <w:rPr>
          <w:rFonts w:ascii="仿宋_gb2312" w:eastAsia="仿宋_gb2312" w:hAnsi="仿宋_gb2312" w:cs="仿宋_gb2312" w:hint="default"/>
          <w:i w:val="0"/>
          <w:iCs w:val="0"/>
          <w:caps w:val="0"/>
          <w:spacing w:val="8"/>
          <w:sz w:val="27"/>
          <w:szCs w:val="27"/>
          <w:bdr w:val="none" w:sz="0" w:space="0" w:color="auto"/>
          <w:shd w:val="clear" w:color="auto" w:fill="FFFFFF"/>
        </w:rPr>
        <w:t> </w:t>
      </w:r>
      <w:r>
        <w:rPr>
          <w:rFonts w:ascii="仿宋_gb2312" w:eastAsia="仿宋_gb2312" w:hAnsi="仿宋_gb2312" w:cs="仿宋_gb2312" w:hint="default"/>
          <w:i w:val="0"/>
          <w:iCs w:val="0"/>
          <w:caps w:val="0"/>
          <w:spacing w:val="8"/>
          <w:sz w:val="27"/>
          <w:szCs w:val="27"/>
          <w:bdr w:val="none" w:sz="0" w:space="0" w:color="auto"/>
          <w:shd w:val="clear" w:color="auto" w:fill="FFFFFF"/>
        </w:rPr>
        <w:t xml:space="preserve"> </w:t>
      </w:r>
      <w:r>
        <w:rPr>
          <w:rFonts w:ascii="仿宋_gb2312" w:eastAsia="仿宋_gb2312" w:hAnsi="仿宋_gb2312" w:cs="仿宋_gb2312" w:hint="default"/>
          <w:i w:val="0"/>
          <w:iCs w:val="0"/>
          <w:caps w:val="0"/>
          <w:spacing w:val="8"/>
          <w:sz w:val="27"/>
          <w:szCs w:val="27"/>
          <w:bdr w:val="none" w:sz="0" w:space="0" w:color="auto"/>
          <w:shd w:val="clear" w:color="auto" w:fill="FFFFFF"/>
        </w:rPr>
        <w:t> </w:t>
      </w:r>
    </w:p>
    <w:p>
      <w:pPr>
        <w:keepNext w:val="0"/>
        <w:keepLines w:val="0"/>
        <w:widowControl/>
        <w:suppressLineNumbers w:val="0"/>
        <w:jc w:val="left"/>
        <w:sectPr>
          <w:type w:val="nextPage"/>
          <w:pgSz w:w="11906" w:h="16838"/>
          <w:pgMar w:top="1440" w:right="1800" w:bottom="1440" w:left="1800" w:header="851" w:footer="992" w:gutter="0"/>
          <w:pgNumType w:start="22"/>
          <w:cols w:space="708"/>
          <w:titlePg w:val="0"/>
          <w:docGrid w:type="lines" w:linePitch="312"/>
        </w:sectPr>
      </w:pPr>
      <w:r>
        <w:rPr>
          <w:rFonts w:ascii="仿宋_gb2312" w:eastAsia="仿宋_gb2312" w:hAnsi="仿宋_gb2312" w:cs="仿宋_gb2312" w:hint="default"/>
          <w:i w:val="0"/>
          <w:iCs w:val="0"/>
          <w:caps w:val="0"/>
          <w:spacing w:val="8"/>
          <w:kern w:val="0"/>
          <w:sz w:val="27"/>
          <w:szCs w:val="27"/>
          <w:bdr w:val="none" w:sz="0" w:space="0" w:color="auto"/>
          <w:shd w:val="clear" w:color="auto" w:fill="FFFFFF"/>
          <w:lang w:val="en-US" w:eastAsia="zh-CN" w:bidi="ar"/>
        </w:rPr>
        <w:t> </w:t>
      </w:r>
      <w:r>
        <w:rPr>
          <w:rFonts w:ascii="仿宋_gb2312" w:eastAsia="仿宋_gb2312" w:hAnsi="仿宋_gb2312" w:cs="仿宋_gb2312" w:hint="default"/>
          <w:i w:val="0"/>
          <w:iCs w:val="0"/>
          <w:caps w:val="0"/>
          <w:spacing w:val="8"/>
          <w:kern w:val="0"/>
          <w:sz w:val="27"/>
          <w:szCs w:val="27"/>
          <w:bdr w:val="none" w:sz="0" w:space="0" w:color="auto"/>
          <w:shd w:val="clear" w:color="auto" w:fill="FFFFFF"/>
          <w:lang w:val="en-US" w:eastAsia="zh-CN" w:bidi="ar"/>
        </w:rPr>
        <w:t xml:space="preserve"> </w:t>
      </w:r>
      <w:r>
        <w:rPr>
          <w:rFonts w:ascii="仿宋_gb2312" w:eastAsia="仿宋_gb2312" w:hAnsi="仿宋_gb2312" w:cs="仿宋_gb2312" w:hint="default"/>
          <w:i w:val="0"/>
          <w:iCs w:val="0"/>
          <w:caps w:val="0"/>
          <w:spacing w:val="8"/>
          <w:kern w:val="0"/>
          <w:sz w:val="27"/>
          <w:szCs w:val="27"/>
          <w:bdr w:val="none" w:sz="0" w:space="0" w:color="auto"/>
          <w:shd w:val="clear" w:color="auto" w:fill="FFFFFF"/>
          <w:lang w:val="en-US" w:eastAsia="zh-CN" w:bidi="ar"/>
        </w:rPr>
        <w:t> </w:t>
      </w:r>
      <w:r>
        <w:rPr>
          <w:rFonts w:ascii="仿宋_gb2312" w:eastAsia="仿宋_gb2312" w:hAnsi="仿宋_gb2312" w:cs="仿宋_gb2312" w:hint="default"/>
          <w:i w:val="0"/>
          <w:iCs w:val="0"/>
          <w:caps w:val="0"/>
          <w:spacing w:val="8"/>
          <w:kern w:val="0"/>
          <w:sz w:val="27"/>
          <w:szCs w:val="27"/>
          <w:bdr w:val="none" w:sz="0" w:space="0" w:color="auto"/>
          <w:shd w:val="clear" w:color="auto" w:fill="FFFFFF"/>
          <w:lang w:val="en-US" w:eastAsia="zh-CN" w:bidi="ar"/>
        </w:rPr>
        <w:t xml:space="preserve">从展览会数量上看，上海市2012年共举办344个展览会，约占全国展览会总数量的16%，居于全国首位；北京市2012年共举办232个展览会，约占全国展览会总数量的11%，居于全国第二位；广州市2012年共举办167个展览会，约占全国展览会总数量的8%，居于全国第三位。 </w:t>
      </w:r>
      <w:r>
        <w:rPr>
          <w:rFonts w:ascii="仿宋_gb2312" w:eastAsia="仿宋_gb2312" w:hAnsi="仿宋_gb2312" w:cs="仿宋_gb2312" w:hint="default"/>
          <w:i w:val="0"/>
          <w:iCs w:val="0"/>
          <w:caps w:val="0"/>
          <w:spacing w:val="8"/>
          <w:kern w:val="0"/>
          <w:sz w:val="27"/>
          <w:szCs w:val="27"/>
          <w:bdr w:val="none" w:sz="0" w:space="0" w:color="auto"/>
          <w:shd w:val="clear" w:color="auto" w:fill="FFFFFF"/>
          <w:lang w:val="en-US" w:eastAsia="zh-CN" w:bidi="ar"/>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pict>
          <v:shape id="图片 12" o:spid="_x0000_i1035" type="#_x0000_t75" style="width:422.25pt;height:347.25pt" filled="f">
            <v:imagedata r:id="rId13"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3"/>
          <w:cols w:space="708"/>
          <w:titlePg w:val="0"/>
          <w:docGrid w:type="lines" w:linePitch="312"/>
        </w:sectPr>
      </w:pPr>
      <w:r>
        <w:rPr>
          <w:rFonts w:ascii="仿宋_gb2312" w:eastAsia="仿宋_gb2312" w:hAnsi="仿宋_gb2312" w:cs="仿宋_gb2312" w:hint="default"/>
          <w:i w:val="0"/>
          <w:iCs w:val="0"/>
          <w:caps w:val="0"/>
          <w:spacing w:val="8"/>
          <w:sz w:val="27"/>
          <w:szCs w:val="27"/>
          <w:bdr w:val="none" w:sz="0" w:space="0" w:color="auto"/>
          <w:shd w:val="clear" w:color="auto" w:fill="FFFFFF"/>
        </w:rPr>
        <w:t>据不完全统计，2012年全国有三个城市年举办展览会数量超过100个，分别是上海、北京和广州，另有10个城市的展览会数量在50-100个之间，有16个城市的展览会数量在20-50个之间，有12个城市的展览会数量在10-20个之间，有55个城市的展览会数量在10个以下。可以看出，由于各城市经济发展水平不同，展览会经济发展水平差距较大：上海、北京和广州从数量上看仅占城市数量的3.13%，但合计占全国展览会项目资源的比例为34%；而年举办展览会不到10个的城市共有55个，占展览城市总量的57.29%，但合计仅能分享5.31%的全国展览会项目资源。下图反映了展览会项目资源在不同城市的分布情况。</w:t>
      </w:r>
    </w:p>
    <w:p>
      <w:pPr>
        <w:keepNext w:val="0"/>
        <w:keepLines w:val="0"/>
        <w:widowControl/>
        <w:suppressLineNumbers w:val="0"/>
        <w:jc w:val="left"/>
      </w:pPr>
      <w:r>
        <w:rPr>
          <w:rFonts w:ascii="Microsoft YaHei UI" w:eastAsia="Microsoft YaHei UI" w:hAnsi="Microsoft YaHei UI" w:cs="Microsoft YaHei UI" w:hint="eastAsia"/>
          <w:i w:val="0"/>
          <w:iCs w:val="0"/>
          <w:caps w:val="0"/>
          <w:spacing w:val="8"/>
          <w:kern w:val="0"/>
          <w:sz w:val="25"/>
          <w:szCs w:val="25"/>
          <w:bdr w:val="none" w:sz="0" w:space="0" w:color="auto"/>
          <w:shd w:val="clear" w:color="auto" w:fill="FFFFFF"/>
          <w:lang w:val="en-US" w:eastAsia="zh-CN" w:bidi="ar"/>
        </w:rPr>
        <w:pict>
          <v:shape id="图片 13" o:spid="_x0000_i1036" type="#_x0000_t75" style="width:417.75pt;height:243pt" filled="f">
            <v:imagedata r:id="rId14" o:title="IMG_257"/>
            <v:path o:extrusionok="f"/>
            <o:lock v:ext="edit" aspectratio="t"/>
          </v:shape>
        </w:pict>
      </w: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left"/>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据不完全统计2012年共有13个城市年举办展览会数量在50个以上，合计展览会总数量为1386个，占全国展览会总数量的63.43%。</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left"/>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color w:val="333333"/>
          <w:spacing w:val="8"/>
          <w:sz w:val="18"/>
          <w:szCs w:val="18"/>
          <w:bdr w:val="none" w:sz="0" w:space="0" w:color="auto"/>
          <w:shd w:val="clear" w:color="auto" w:fill="FFFFFF"/>
        </w:rPr>
        <w:t>2012年举办50个以上展览会城市列表</w:t>
      </w:r>
    </w:p>
    <w:tbl>
      <w:tblPr>
        <w:tblStyle w:val="TableNormal"/>
        <w:tblW w:w="292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
      <w:tblGrid>
        <w:gridCol w:w="705"/>
        <w:gridCol w:w="1080"/>
        <w:gridCol w:w="1140"/>
      </w:tblGrid>
      <w:tr>
        <w:tblPrEx>
          <w:tblW w:w="292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Ex>
        <w:trPr>
          <w:trHeight w:val="705"/>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line="330" w:lineRule="atLeast"/>
              <w:ind w:left="0" w:right="0"/>
              <w:jc w:val="both"/>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line="330" w:lineRule="atLeast"/>
              <w:ind w:left="0" w:right="0"/>
              <w:jc w:val="both"/>
            </w:pPr>
            <w:r>
              <w:rPr>
                <w:rFonts w:ascii="宋体" w:eastAsia="宋体" w:hAnsi="宋体" w:cs="宋体" w:hint="eastAsia"/>
                <w:i w:val="0"/>
                <w:iCs w:val="0"/>
                <w:caps w:val="0"/>
                <w:color w:val="333333"/>
                <w:spacing w:val="8"/>
                <w:sz w:val="18"/>
                <w:szCs w:val="18"/>
                <w:bdr w:val="none" w:sz="0" w:space="0" w:color="auto"/>
              </w:rPr>
              <w:t>序号</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城市</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展览会数量</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上海</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344</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2</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北京</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232</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3</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广州</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167</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4</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深圳</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83</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5</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郑州</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83</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6</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成都</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82</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7</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济南</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78</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8</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大连</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57</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9</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南京</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55</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10</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沈阳</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52</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11</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西安</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52</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12</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杭州</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51</w:t>
            </w:r>
          </w:p>
        </w:tc>
      </w:tr>
      <w:tr>
        <w:tblPrEx>
          <w:tblW w:w="2925" w:type="dxa"/>
          <w:shd w:val="clear" w:color="auto" w:fill="FFFFFF"/>
          <w:tblCellMar>
            <w:top w:w="0" w:type="dxa"/>
            <w:left w:w="0" w:type="dxa"/>
            <w:bottom w:w="0" w:type="dxa"/>
            <w:right w:w="0" w:type="dxa"/>
          </w:tblCellMar>
          <w:tblLook w:val="0000"/>
        </w:tblPrEx>
        <w:trPr>
          <w:trHeight w:val="360"/>
        </w:trPr>
        <w:tc>
          <w:tcPr>
            <w:tcW w:w="70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13</w:t>
            </w:r>
          </w:p>
        </w:tc>
        <w:tc>
          <w:tcPr>
            <w:tcW w:w="108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天津</w:t>
            </w:r>
          </w:p>
        </w:tc>
        <w:tc>
          <w:tcPr>
            <w:tcW w:w="114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right"/>
            </w:pPr>
            <w:r>
              <w:rPr>
                <w:rFonts w:ascii="宋体" w:eastAsia="宋体" w:hAnsi="宋体" w:cs="宋体" w:hint="eastAsia"/>
                <w:i w:val="0"/>
                <w:iCs w:val="0"/>
                <w:caps w:val="0"/>
                <w:color w:val="333333"/>
                <w:spacing w:val="8"/>
                <w:sz w:val="18"/>
                <w:szCs w:val="18"/>
                <w:bdr w:val="none" w:sz="0" w:space="0" w:color="auto"/>
              </w:rPr>
              <w:t>50</w:t>
            </w:r>
          </w:p>
        </w:tc>
      </w:tr>
    </w:tbl>
    <w:p>
      <w:pPr>
        <w:sectPr>
          <w:type w:val="nextPage"/>
          <w:pgSz w:w="11906" w:h="16838"/>
          <w:pgMar w:top="1440" w:right="1800" w:bottom="1440" w:left="1800" w:header="851" w:footer="992" w:gutter="0"/>
          <w:pgNumType w:start="24"/>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从展览会总面积上看，2012年全国共有5个城市举办展览会总面积超过200万平方米，其中上海市2012年展览会总面积约为938万平方米，约占全国展览会总面积的18%，居于全国首位；广州市2012年展览会总面积约为832万平方米，约占全国展览会总面积的16%，居于全国第二位；北京市2012年展览会总面积约为524万平方米，约占全国展览会总数量的10%，居于全国第三位，深圳市2012年展览会总面积约为276万平方米，约占全国展览会总数量的5%，居于全国第四位，成都市2012年展览会总面积约为200万平方米，约占全国展览会总数量的4%，居于全国第五位。</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pict>
          <v:shape id="图片 14" o:spid="_x0000_i1037" type="#_x0000_t75" style="width:422.25pt;height:347.25pt" filled="f">
            <v:imagedata r:id="rId15"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5"/>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综合来看，2012年有5个城市举办展览会总面积在200万平方米以上，合计展览会总面积约为2772万平方米，约占全国展览会总面积的53%；有8个城市年举办展览会总面积在100-200万平方米之间，合计展览会总面积约为1030万平方米，约占全国展览会总面积的20%，分别是济南、郑州、天津、沈阳、青岛、南京、西安和东莞；有12个城市年举办展览会总面积在50-100万平方米之间，合计展览会总面积约为836万平方米，约占全国展览会总面积的16%，有16个城市年举办展览会总面积在10-50万平方米之间，合计展览会总面积约为433万平方米，约占全国展览会总面积的8%，有55个城市年举办展览会总面积在10万平方米以下，合计展览会总面积约为143万平方米，约占全国展览会总面积的3%。</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pict>
          <v:shape id="图片 15" o:spid="_x0000_i1038" type="#_x0000_t75" style="width:417.75pt;height:243pt" filled="f">
            <v:imagedata r:id="rId16"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据不完全统计，2012年共有13个城市年举办展览会总面积在100万平方米以上，合计展览会总面积约为3801万平方米，约占全国展览会总面积的四分之三。</w:t>
      </w:r>
    </w:p>
    <w:p>
      <w:pPr>
        <w:keepNext w:val="0"/>
        <w:keepLines w:val="0"/>
        <w:widowControl/>
        <w:suppressLineNumbers w:val="0"/>
        <w:jc w:val="left"/>
      </w:pP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w:t>
      </w: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xml:space="preserve"> </w:t>
      </w: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w:t>
      </w: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xml:space="preserve"> </w:t>
      </w:r>
      <w:r>
        <w:rPr>
          <w:rFonts w:ascii="Microsoft YaHei UI" w:eastAsia="Microsoft YaHei UI" w:hAnsi="Microsoft YaHei UI" w:cs="Microsoft YaHei UI" w:hint="eastAsia"/>
          <w:i w:val="0"/>
          <w:iCs w:val="0"/>
          <w:caps w:val="0"/>
          <w:spacing w:val="8"/>
          <w:kern w:val="0"/>
          <w:sz w:val="25"/>
          <w:szCs w:val="25"/>
          <w:shd w:val="clear" w:color="auto" w:fill="FFFFFF"/>
          <w:lang w:val="en-US" w:eastAsia="zh-CN" w:bidi="ar"/>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jc w:val="left"/>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6"/>
          <w:cols w:space="708"/>
          <w:titlePg w:val="0"/>
          <w:docGrid w:type="lines" w:linePitch="312"/>
        </w:sectPr>
      </w:pPr>
      <w:r>
        <w:rPr>
          <w:rFonts w:ascii="宋体" w:eastAsia="宋体" w:hAnsi="宋体" w:cs="宋体" w:hint="eastAsia"/>
          <w:i w:val="0"/>
          <w:iCs w:val="0"/>
          <w:caps w:val="0"/>
          <w:color w:val="333333"/>
          <w:spacing w:val="8"/>
          <w:sz w:val="18"/>
          <w:szCs w:val="18"/>
          <w:bdr w:val="none" w:sz="0" w:space="0" w:color="auto"/>
          <w:shd w:val="clear" w:color="auto" w:fill="FFFFFF"/>
        </w:rPr>
        <w:t>2012年举办100万平方米以上展览会城市列表</w:t>
      </w:r>
    </w:p>
    <w:tbl>
      <w:tblPr>
        <w:tblStyle w:val="TableNormal"/>
        <w:tblW w:w="399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
      <w:tblGrid>
        <w:gridCol w:w="948"/>
        <w:gridCol w:w="1475"/>
        <w:gridCol w:w="1566"/>
      </w:tblGrid>
      <w:tr>
        <w:tblPrEx>
          <w:tblW w:w="399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top w:w="0" w:type="dxa"/>
            <w:left w:w="0" w:type="dxa"/>
            <w:bottom w:w="0" w:type="dxa"/>
            <w:right w:w="0" w:type="dxa"/>
          </w:tblCellMar>
          <w:tblLook w:val="0000"/>
        </w:tblPrEx>
        <w:trPr>
          <w:trHeight w:val="66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br/>
            </w:r>
            <w:r>
              <w:rPr>
                <w:rFonts w:ascii="宋体" w:eastAsia="宋体" w:hAnsi="宋体" w:cs="宋体" w:hint="eastAsia"/>
                <w:i w:val="0"/>
                <w:iCs w:val="0"/>
                <w:caps w:val="0"/>
                <w:color w:val="333333"/>
                <w:spacing w:val="8"/>
                <w:sz w:val="18"/>
                <w:szCs w:val="18"/>
                <w:bdr w:val="none" w:sz="0" w:space="0" w:color="auto"/>
              </w:rPr>
              <w:t>序号</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城市</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展览会面积</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上海</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9382878</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2</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广州</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8317403</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3</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北京</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5243019</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4</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深圳</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2763800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5</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成都</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2008900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6</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济南</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1587300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7</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郑州</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1400580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8</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天津</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1359237</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9</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沈阳</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1356900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10</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青岛</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1247800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11</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南京</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1167950</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12</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西安</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1101012</w:t>
            </w:r>
          </w:p>
        </w:tc>
      </w:tr>
      <w:tr>
        <w:tblPrEx>
          <w:tblW w:w="3990" w:type="dxa"/>
          <w:shd w:val="clear" w:color="auto" w:fill="FFFFFF"/>
          <w:tblCellMar>
            <w:top w:w="0" w:type="dxa"/>
            <w:left w:w="0" w:type="dxa"/>
            <w:bottom w:w="0" w:type="dxa"/>
            <w:right w:w="0" w:type="dxa"/>
          </w:tblCellMar>
          <w:tblLook w:val="0000"/>
        </w:tblPrEx>
        <w:trPr>
          <w:trHeight w:val="330"/>
        </w:trPr>
        <w:tc>
          <w:tcPr>
            <w:tcW w:w="945"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13</w:t>
            </w:r>
          </w:p>
        </w:tc>
        <w:tc>
          <w:tcPr>
            <w:tcW w:w="147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东莞</w:t>
            </w:r>
          </w:p>
        </w:tc>
        <w:tc>
          <w:tcPr>
            <w:tcW w:w="1560" w:type="dxa"/>
            <w:tcBorders>
              <w:top w:val="single" w:sz="6" w:space="0" w:color="DDDDDD"/>
              <w:left w:val="single" w:sz="6" w:space="0" w:color="DDDDDD"/>
              <w:bottom w:val="single" w:sz="6" w:space="0" w:color="DDDDDD"/>
              <w:right w:val="single" w:sz="6" w:space="0" w:color="DDDDDD"/>
            </w:tcBorders>
            <w:shd w:val="clear" w:color="auto" w:fill="FFFFFF"/>
            <w:noWrap/>
            <w:vAlign w:val="center"/>
          </w:tcPr>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100" w:beforeAutospacing="1" w:after="100" w:afterAutospacing="1" w:line="330" w:lineRule="atLeast"/>
              <w:ind w:left="0" w:right="0"/>
              <w:jc w:val="center"/>
            </w:pPr>
            <w:r>
              <w:rPr>
                <w:rFonts w:ascii="宋体" w:eastAsia="宋体" w:hAnsi="宋体" w:cs="宋体" w:hint="eastAsia"/>
                <w:i w:val="0"/>
                <w:iCs w:val="0"/>
                <w:caps w:val="0"/>
                <w:color w:val="333333"/>
                <w:spacing w:val="8"/>
                <w:sz w:val="18"/>
                <w:szCs w:val="18"/>
                <w:bdr w:val="none" w:sz="0" w:space="0" w:color="auto"/>
              </w:rPr>
              <w:t>1076100</w:t>
            </w:r>
          </w:p>
        </w:tc>
      </w:tr>
    </w:tbl>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1.2</w:t>
      </w:r>
      <w:r>
        <w:rPr>
          <w:rFonts w:ascii="仿宋_gb2312" w:eastAsia="仿宋_gb2312" w:hAnsi="仿宋_gb2312" w:cs="仿宋_gb2312" w:hint="default"/>
          <w:i w:val="0"/>
          <w:iCs w:val="0"/>
          <w:caps w:val="0"/>
          <w:spacing w:val="8"/>
          <w:sz w:val="27"/>
          <w:szCs w:val="27"/>
          <w:bdr w:val="none" w:sz="0" w:space="0" w:color="auto"/>
          <w:shd w:val="clear" w:color="auto" w:fill="FFFFFF"/>
        </w:rPr>
        <w:t> </w:t>
      </w:r>
      <w:r>
        <w:rPr>
          <w:rFonts w:ascii="仿宋_gb2312" w:eastAsia="仿宋_gb2312" w:hAnsi="仿宋_gb2312" w:cs="仿宋_gb2312" w:hint="default"/>
          <w:i w:val="0"/>
          <w:iCs w:val="0"/>
          <w:caps w:val="0"/>
          <w:spacing w:val="8"/>
          <w:sz w:val="27"/>
          <w:szCs w:val="27"/>
          <w:bdr w:val="none" w:sz="0" w:space="0" w:color="auto"/>
          <w:shd w:val="clear" w:color="auto" w:fill="FFFFFF"/>
        </w:rPr>
        <w:t>展览会规模分布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展览会规模是评判展览会价值与地位的重要标准之一，其评价指标主要有展览会面积、展商数量、观众数量等，本报告采用展览会面积指标对2012年全国展览会规模进行测算。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7"/>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55" w:lineRule="atLeast"/>
        <w:ind w:left="0" w:right="0" w:firstLine="540"/>
        <w:jc w:val="both"/>
        <w:rPr>
          <w:rFonts w:ascii="Microsoft YaHei UI" w:eastAsia="Microsoft YaHei UI" w:hAnsi="Microsoft YaHei UI" w:cs="Microsoft YaHei UI" w:hint="eastAsia"/>
          <w:i w:val="0"/>
          <w:iCs w:val="0"/>
          <w:caps w:val="0"/>
          <w:spacing w:val="8"/>
          <w:sz w:val="25"/>
          <w:szCs w:val="25"/>
        </w:rPr>
      </w:pPr>
      <w:r>
        <w:rPr>
          <w:rFonts w:ascii="仿宋_gb2312" w:eastAsia="仿宋_gb2312" w:hAnsi="仿宋_gb2312" w:cs="仿宋_gb2312" w:hint="default"/>
          <w:i w:val="0"/>
          <w:iCs w:val="0"/>
          <w:caps w:val="0"/>
          <w:spacing w:val="8"/>
          <w:sz w:val="27"/>
          <w:szCs w:val="27"/>
          <w:bdr w:val="none" w:sz="0" w:space="0" w:color="auto"/>
          <w:shd w:val="clear" w:color="auto" w:fill="FFFFFF"/>
        </w:rPr>
        <w:t>据不完全统计，2012年全国展览会面积在1-3万平方米的共有845个，约占已知面积展览会总数量的49%；展览会面积在1万平方米以下的共有439个，约占已知面积展览会总数量的25%；从数量上看是我国最主要的两种展览会规模类型。二者相加，即3万平方米以下展览会总数量约占已知面积展览会总数量的四分之三。</w:t>
      </w:r>
      <w:r>
        <w:rPr>
          <w:rFonts w:ascii="仿宋_gb2312" w:eastAsia="仿宋_gb2312" w:hAnsi="仿宋_gb2312" w:cs="仿宋_gb2312" w:hint="default"/>
          <w:i w:val="0"/>
          <w:iCs w:val="0"/>
          <w:caps w:val="0"/>
          <w:spacing w:val="8"/>
          <w:sz w:val="27"/>
          <w:szCs w:val="27"/>
          <w:bdr w:val="none" w:sz="0" w:space="0" w:color="auto"/>
          <w:shd w:val="clear" w:color="auto" w:fill="FFFFFF"/>
        </w:rPr>
        <w:pict>
          <v:shape id="图片 16" o:spid="_x0000_i1039" type="#_x0000_t75" style="width:422.25pt;height:347.25pt" filled="f">
            <v:imagedata r:id="rId17" o:title="IMG_260"/>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xml:space="preserve"> </w:t>
      </w:r>
      <w:r>
        <w:rPr>
          <w:rFonts w:ascii="Microsoft YaHei UI" w:eastAsia="Microsoft YaHei UI" w:hAnsi="Microsoft YaHei UI" w:cs="Microsoft YaHei UI" w:hint="eastAsia"/>
          <w:i w:val="0"/>
          <w:iCs w:val="0"/>
          <w:caps w:val="0"/>
          <w:spacing w:val="8"/>
          <w:sz w:val="25"/>
          <w:szCs w:val="25"/>
          <w:bdr w:val="none" w:sz="0" w:space="0" w:color="auto"/>
          <w:shd w:val="clear" w:color="auto" w:fill="FFFFFF"/>
        </w:rPr>
        <w:t>  </w:t>
      </w:r>
      <w:r>
        <w:rPr>
          <w:rFonts w:ascii="仿宋_gb2312" w:eastAsia="仿宋_gb2312" w:hAnsi="仿宋_gb2312" w:cs="仿宋_gb2312" w:hint="default"/>
          <w:i w:val="0"/>
          <w:iCs w:val="0"/>
          <w:caps w:val="0"/>
          <w:spacing w:val="8"/>
          <w:sz w:val="27"/>
          <w:szCs w:val="27"/>
          <w:bdr w:val="none" w:sz="0" w:space="0" w:color="auto"/>
          <w:shd w:val="clear" w:color="auto" w:fill="FFFFFF"/>
        </w:rPr>
        <w:t>从展览会总面积角度看，1-3万平方米展览会总面积约为1644万平方米，约占已知面积展览会总面积的31%，是最主要的展览会规模类型。值得注意的是，5-10万平方米展览会总面积约为1179万平方米，10万平方米以上展览会总面积约为1238万平方米，分别约占已知面积展览会总面积的23%和24%，与其各自在规模展览会数量分布的比例（10%，4%）差距明显。如合并统计，即5万平方米以上展览会总面积约占已知面积展览会总面积的将近二分之一。也就是说2012年全国展览会接近50%的展览会面积规模是由5万平方米以上的展览会完成的。</w:t>
      </w:r>
      <w:r>
        <w:rPr>
          <w:rFonts w:ascii="Microsoft YaHei UI" w:eastAsia="Microsoft YaHei UI" w:hAnsi="Microsoft YaHei UI" w:cs="Microsoft YaHei UI" w:hint="eastAsia"/>
          <w:i w:val="0"/>
          <w:iCs w:val="0"/>
          <w:caps w:val="0"/>
          <w:spacing w:val="8"/>
          <w:sz w:val="25"/>
          <w:szCs w:val="25"/>
        </w:rPr>
        <w:br/>
      </w:r>
      <w:r>
        <w:rPr>
          <w:rFonts w:ascii="Microsoft YaHei UI" w:eastAsia="Microsoft YaHei UI" w:hAnsi="Microsoft YaHei UI" w:cs="Microsoft YaHei UI" w:hint="eastAsia"/>
          <w:i w:val="0"/>
          <w:iCs w:val="0"/>
          <w:caps w:val="0"/>
          <w:spacing w:val="8"/>
          <w:sz w:val="25"/>
          <w:szCs w:val="25"/>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https://d.book118.com/167163040056006051</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hint="eastAsia"/>
          <w:i w:val="0"/>
          <w:iCs w:val="0"/>
          <w:caps w:val="0"/>
          <w:spacing w:val="8"/>
          <w:sz w:val="25"/>
          <w:szCs w:val="25"/>
        </w:rPr>
      </w:pPr>
    </w:p>
    <w:sectPr>
      <w:type w:val="nextPage"/>
      <w:pgSz w:w="11906" w:h="16838"/>
      <w:pgMar w:top="1440" w:right="1800" w:bottom="1440" w:left="1800" w:header="851" w:footer="992" w:gutter="0"/>
      <w:pgNumType w:start="2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FE02641"/>
  </w:rsids>
  <w:docVars>
    <w:docVar w:name="commondata" w:val="eyJoZGlkIjoiODJmM2E0MDliZTMyNDFmNDJmZTE4NWQ5YWY4OTNmZW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hyperlink" Target="https://d.book118.com/167163040056006051" TargetMode="Externa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157270560</TotalTime>
  <Pages>35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宇</cp:lastModifiedBy>
  <cp:revision>0</cp:revision>
  <dcterms:created xsi:type="dcterms:W3CDTF">2024-03-09T06:08:15Z</dcterms:created>
  <dcterms:modified xsi:type="dcterms:W3CDTF">2024-03-09T06:20:12Z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485A7FB431A24D26887FF5C9D7C9BF69_12</vt:lpwstr>
  </property>
  <property fmtid="{D5CDD505-2E9C-101B-9397-08002B2CF9AE}" pid="3" name="KSOProductBuildVer">
    <vt:lpwstr>2052-12.1.0.16388</vt:lpwstr>
  </property>
</Properties>
</file>