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数控超精密车床行业相关公司筹备报告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二、数控超精密车床筹建公司基本信息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(七)、数控超精密车床项目建设必要性分析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五、数控超精密车床项目概况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(二)、数控超精密车床项目提出的理由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(三)、数控超精密车床项目选址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(六)、数控超精密车床项目投资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eastAsia="zh-CN"/>
          </w:rPr>
          <w:t>(七)、数控超精密车床项目进度规划</w:t>
        </w:r>
        <w:r>
          <w:tab/>
        </w:r>
        <w:r>
          <w:fldChar w:fldCharType="begin"/>
        </w:r>
        <w:r>
          <w:instrText xml:space="preserve"> PAGEREF _Toc3181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eastAsia="zh-CN"/>
          </w:rPr>
          <w:t>(九)、数控超精密车床项目综合评价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_Toc10155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八、数控超精密车床项目风险分析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(一)、数控超精密车床项目风险分析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9" w:history="1">
        <w:r>
          <w:rPr>
            <w:rFonts w:ascii="仿宋" w:eastAsia="仿宋" w:hAnsi="仿宋" w:cs="仿宋" w:hint="eastAsia"/>
            <w:lang w:eastAsia="zh-CN"/>
          </w:rPr>
          <w:t>(二)、数控超精密车床项目风险对策</w:t>
        </w:r>
        <w:r>
          <w:tab/>
        </w:r>
        <w:r>
          <w:fldChar w:fldCharType="begin"/>
        </w:r>
        <w:r>
          <w:instrText xml:space="preserve"> PAGEREF _Toc21659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(一)、数控超精密车床项目进度安排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(二)、数控超精密车床项目实施保障措施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(一)、数控超精密车床项目背景分析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(二)、数控超精密车床项目建设必要性分析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十二、数控超精密车床项目总结分析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_Toc31721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1" w:history="1">
        <w:r>
          <w:rPr>
            <w:rFonts w:ascii="仿宋" w:eastAsia="仿宋" w:hAnsi="仿宋" w:cs="仿宋" w:hint="eastAsia"/>
            <w:lang w:eastAsia="zh-CN"/>
          </w:rPr>
          <w:t>(二)、合作数控超精密车床项目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7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73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https://d.book118.com/168001032141006031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数控超精密车床行业相关公司筹备报告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数控超精密车床行业相关公司筹备报告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数控超精密车床行业相关公司筹备报告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数控超精密车床行业相关公司筹备报告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数控超精密车床行业相关公司筹备报告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8001032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2024-01-17T22:05:00Z</dcterms:created>
  <dcterms:modified xsi:type="dcterms:W3CDTF">2024-01-17T22:06:15Z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9F30859F80CD4E199C90E47F1452169A_11</vt:lpwstr>
  </property>
  <property fmtid="{D5CDD505-2E9C-101B-9397-08002B2CF9AE}" pid="3" name="KSOProductBuildVer">
    <vt:lpwstr>2052-12.1.0.16120</vt:lpwstr>
  </property>
</Properties>
</file>