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2018-2023年平顶山文化艺术职业学院高职单招（数学／语文／英语）历年常考试题库含答案解析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《背影》本文为刻画一个慈父形象所选取的描写重点是（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A.人物的面貌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B.人物的行动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C.人物的背影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D.人物的语言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中国第一篇现代白话文小说《狂人日记》是发表在（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A.《彷徨》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B.《新青年》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C.《野草》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《左传》是一部（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C.纪传体史书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43396" cy="209572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396" cy="20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《报刘一丈书》本文中“甘言媚词，作妇人状”是写（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A.门者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B.权者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C.客子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D.干谒者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侯方域是明末清初著名的（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A.诗文作家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B.政治家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C.思想家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D.教育家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《陌上桑》的主要内容是写（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A.刺史调戏罗敷并遭到拒绝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B.罗敷美貌并热爱劳动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C.陌上采桑的繁忙景象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D.采桑女罗敷夸夫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王实甫《西厢记》是一部（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A.元杂剧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C.说唱文学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D.传奇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苏轼《前赤壁赋》中“哀吾生之须臾，羡长江之无穷”所运用的手法有（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闻一多属于下列诗歌流派中的（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C.湖畔派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D.象征诗派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下列诗句中，表现了由“己之思彼”转写“彼之思己”的是（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A.问君能有几多愁，恰似一江春水向东流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C.想佳人、妆楼颙望，误几回、天际识归舟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D.起舞弄清影，何似在人间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https://d.book118.com/168024070132006040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168024070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