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Title"/>
        <w:spacing w:before="14"/>
        <w:ind w:right="3095"/>
      </w:pPr>
      <w:r>
        <w:t>G230</w:t>
      </w:r>
      <w:r>
        <w:rPr>
          <w:spacing w:val="79"/>
        </w:rPr>
        <w:t xml:space="preserve"> 开封至尉氏段改建工程</w:t>
      </w:r>
    </w:p>
    <w:p>
      <w:pPr>
        <w:pStyle w:val="BodyText"/>
        <w:spacing w:before="4"/>
        <w:rPr>
          <w:b/>
          <w:sz w:val="51"/>
        </w:rPr>
      </w:pPr>
    </w:p>
    <w:p>
      <w:pPr>
        <w:pStyle w:val="Title"/>
      </w:pPr>
      <w:r>
        <w:t>Mpp</w:t>
      </w:r>
      <w:r>
        <w:rPr>
          <w:spacing w:val="74"/>
        </w:rPr>
        <w:t xml:space="preserve"> 电力管开挖施工方案</w:t>
      </w:r>
    </w:p>
    <w:p>
      <w:pPr>
        <w:pStyle w:val="BodyText"/>
        <w:rPr>
          <w:b/>
          <w:sz w:val="20"/>
        </w:rPr>
      </w:pPr>
    </w:p>
    <w:p>
      <w:pPr>
        <w:pStyle w:val="BodyText"/>
        <w:spacing w:before="11"/>
        <w:rPr>
          <w:b/>
          <w:sz w:val="21"/>
        </w:rPr>
      </w:pPr>
    </w:p>
    <w:p>
      <w:pPr>
        <w:pStyle w:val="Heading1"/>
        <w:spacing w:before="42"/>
      </w:pPr>
      <w:r>
        <w:t>一、工程概况</w:t>
      </w:r>
    </w:p>
    <w:p>
      <w:pPr>
        <w:pStyle w:val="BodyText"/>
        <w:spacing w:before="5"/>
        <w:rPr>
          <w:b/>
          <w:sz w:val="34"/>
        </w:rPr>
      </w:pPr>
    </w:p>
    <w:p>
      <w:pPr>
        <w:pStyle w:val="BodyText"/>
        <w:spacing w:line="427" w:lineRule="auto"/>
        <w:ind w:left="201" w:right="184" w:firstLine="838"/>
      </w:pPr>
      <w:r>
        <w:t>G230</w:t>
      </w:r>
      <w:r>
        <w:rPr>
          <w:spacing w:val="-30"/>
        </w:rPr>
        <w:t xml:space="preserve"> 通武线是《国家公路网规划</w:t>
      </w:r>
      <w:r>
        <w:t>（2013</w:t>
      </w:r>
      <w:r>
        <w:rPr>
          <w:spacing w:val="-51"/>
        </w:rPr>
        <w:t xml:space="preserve"> 年</w:t>
      </w:r>
      <w:r>
        <w:t>～2030</w:t>
      </w:r>
      <w:r>
        <w:rPr>
          <w:spacing w:val="-49"/>
        </w:rPr>
        <w:t xml:space="preserve"> 年</w:t>
      </w:r>
      <w:r>
        <w:rPr>
          <w:spacing w:val="-209"/>
        </w:rPr>
        <w:t>）</w:t>
      </w:r>
      <w:r>
        <w:rPr>
          <w:spacing w:val="-21"/>
        </w:rPr>
        <w:t xml:space="preserve">》中新增国道， </w:t>
      </w:r>
      <w:r>
        <w:t>北起吉林通化，南至湖北省武汉，是连贯南北的一条国道主干线，是国</w:t>
      </w:r>
      <w:r>
        <w:rPr>
          <w:spacing w:val="-4"/>
        </w:rPr>
        <w:t>家公路网及河南省公路网主骨架的重要组成部分。本次拟建路段为开封</w:t>
      </w:r>
      <w:r>
        <w:rPr>
          <w:spacing w:val="2"/>
        </w:rPr>
        <w:t xml:space="preserve">境内市区至尉氏县段，分部起始里程： </w:t>
      </w:r>
      <w:r>
        <w:t>K28+982.6-K52+445.32，全长</w:t>
      </w:r>
    </w:p>
    <w:p>
      <w:pPr>
        <w:pStyle w:val="BodyText"/>
        <w:spacing w:before="11"/>
        <w:ind w:left="201"/>
      </w:pPr>
      <w:r>
        <w:t>23.462 公里。</w:t>
      </w:r>
    </w:p>
    <w:p>
      <w:pPr>
        <w:pStyle w:val="BodyText"/>
        <w:spacing w:before="4"/>
        <w:rPr>
          <w:sz w:val="38"/>
        </w:rPr>
      </w:pPr>
    </w:p>
    <w:p>
      <w:pPr>
        <w:pStyle w:val="BodyText"/>
        <w:spacing w:line="468" w:lineRule="auto"/>
        <w:ind w:left="201" w:right="563" w:firstLine="838"/>
      </w:pPr>
      <w:r>
        <w:t>本工程施工的范围为 K28+982.6-K52+445.32之间的电缆主线排管施工工作，本段共计施工3位管799m，4位管415m。</w:t>
      </w:r>
    </w:p>
    <w:p>
      <w:pPr>
        <w:pStyle w:val="Heading1"/>
        <w:spacing w:before="5"/>
      </w:pPr>
      <w:r>
        <w:t>二、编制依据</w:t>
      </w:r>
    </w:p>
    <w:p>
      <w:pPr>
        <w:pStyle w:val="BodyText"/>
        <w:spacing w:before="9"/>
        <w:rPr>
          <w:b/>
          <w:sz w:val="39"/>
        </w:rPr>
      </w:pPr>
    </w:p>
    <w:p>
      <w:pPr>
        <w:pStyle w:val="BodyText"/>
        <w:spacing w:before="1"/>
        <w:ind w:left="1039"/>
      </w:pPr>
      <w:r>
        <w:t>1、电缆排管施工图设计及建设单位提供的其它资料。</w:t>
      </w:r>
    </w:p>
    <w:p>
      <w:pPr>
        <w:pStyle w:val="BodyText"/>
        <w:rPr>
          <w:sz w:val="40"/>
        </w:rPr>
      </w:pPr>
    </w:p>
    <w:p>
      <w:pPr>
        <w:pStyle w:val="BodyText"/>
        <w:ind w:left="1039"/>
      </w:pPr>
      <w:r>
        <w:t>2、相关技术规范及验收规范。</w:t>
      </w:r>
    </w:p>
    <w:p>
      <w:pPr>
        <w:pStyle w:val="BodyText"/>
        <w:spacing w:before="1"/>
        <w:rPr>
          <w:sz w:val="40"/>
        </w:rPr>
      </w:pPr>
    </w:p>
    <w:p>
      <w:pPr>
        <w:pStyle w:val="BodyText"/>
        <w:spacing w:line="468" w:lineRule="auto"/>
        <w:ind w:left="201" w:right="528" w:firstLine="838"/>
      </w:pPr>
      <w:r>
        <w:t>3、其他有关的国家及地方强制性规范和标准、有关本项目的技术会议纪要。</w:t>
      </w:r>
    </w:p>
    <w:p>
      <w:pPr>
        <w:pStyle w:val="BodyText"/>
        <w:spacing w:before="1" w:line="468" w:lineRule="auto"/>
        <w:ind w:left="201" w:right="528" w:firstLine="838"/>
      </w:pPr>
      <w:r>
        <w:t>4、我公司现阶段施工能力、管理水平及历年来承担类似工程的施工经验。</w:t>
      </w:r>
    </w:p>
    <w:p>
      <w:pPr>
        <w:pStyle w:val="Heading1"/>
      </w:pPr>
      <w:r>
        <w:t>三、施工组织部署</w:t>
      </w:r>
    </w:p>
    <w:p>
      <w:pPr>
        <w:spacing w:after="0"/>
        <w:sectPr>
          <w:headerReference w:type="default" r:id="rId4"/>
          <w:footerReference w:type="default" r:id="rId5"/>
          <w:type w:val="continuous"/>
          <w:pgSz w:w="18360" w:h="23760"/>
          <w:pgMar w:top="1680" w:right="2140" w:bottom="2060" w:left="2640" w:header="1167" w:footer="1874"/>
          <w:cols w:space="708"/>
        </w:sectPr>
      </w:pPr>
    </w:p>
    <w:p>
      <w:pPr>
        <w:pStyle w:val="BodyText"/>
        <w:rPr>
          <w:b/>
          <w:sz w:val="20"/>
        </w:rPr>
      </w:pPr>
    </w:p>
    <w:p>
      <w:pPr>
        <w:pStyle w:val="BodyText"/>
        <w:spacing w:before="6"/>
        <w:rPr>
          <w:b/>
          <w:sz w:val="18"/>
        </w:rPr>
      </w:pPr>
    </w:p>
    <w:p>
      <w:pPr>
        <w:spacing w:before="42"/>
        <w:ind w:left="1043" w:right="0" w:firstLine="0"/>
        <w:jc w:val="left"/>
        <w:rPr>
          <w:b/>
          <w:sz w:val="42"/>
        </w:rPr>
      </w:pPr>
      <w:r>
        <w:rPr>
          <w:b/>
          <w:sz w:val="42"/>
        </w:rPr>
        <w:t>1、项目管理组织</w:t>
      </w:r>
    </w:p>
    <w:p>
      <w:pPr>
        <w:pStyle w:val="BodyText"/>
        <w:rPr>
          <w:b/>
          <w:sz w:val="40"/>
        </w:rPr>
      </w:pPr>
    </w:p>
    <w:p>
      <w:pPr>
        <w:pStyle w:val="Heading1"/>
        <w:ind w:left="1039"/>
      </w:pPr>
      <w:r>
        <w:t>根据本工程的实际情况，我项目分部成立专门施工队伍，负责 mpp</w:t>
      </w:r>
    </w:p>
    <w:p>
      <w:pPr>
        <w:pStyle w:val="BodyText"/>
        <w:spacing w:before="10"/>
        <w:rPr>
          <w:b/>
          <w:sz w:val="39"/>
        </w:rPr>
      </w:pPr>
    </w:p>
    <w:p>
      <w:pPr>
        <w:spacing w:before="0"/>
        <w:ind w:left="201" w:right="0" w:firstLine="0"/>
        <w:jc w:val="left"/>
        <w:rPr>
          <w:b/>
          <w:sz w:val="42"/>
        </w:rPr>
      </w:pPr>
      <w:r>
        <w:rPr>
          <w:b/>
          <w:sz w:val="42"/>
        </w:rPr>
        <w:t>电力管开挖施工。</w:t>
      </w:r>
    </w:p>
    <w:p>
      <w:pPr>
        <w:pStyle w:val="BodyText"/>
        <w:rPr>
          <w:b/>
          <w:sz w:val="40"/>
        </w:rPr>
      </w:pPr>
    </w:p>
    <w:p>
      <w:pPr>
        <w:pStyle w:val="Heading1"/>
        <w:spacing w:before="1"/>
        <w:ind w:left="2793" w:right="2171"/>
        <w:jc w:val="center"/>
      </w:pPr>
      <w:r>
        <w:t>工程项目管理组织机构图</w:t>
      </w:r>
    </w:p>
    <w:p>
      <w:pPr>
        <w:pStyle w:val="BodyText"/>
        <w:rPr>
          <w:b/>
          <w:sz w:val="20"/>
        </w:rPr>
      </w:pPr>
    </w:p>
    <w:p>
      <w:pPr>
        <w:pStyle w:val="BodyText"/>
        <w:spacing w:before="1"/>
        <w:rPr>
          <w:b/>
          <w:sz w:val="17"/>
        </w:rPr>
      </w:pPr>
      <w:r>
        <w:pict>
          <v:group id="_x0000_s1025" style="width:502pt;height:398pt;margin-top:12.9pt;margin-left:234pt;mso-position-horizontal-relative:page;mso-wrap-distance-left:0;mso-wrap-distance-right:0;position:absolute;z-index:-251657216" coordorigin="4680,258" coordsize="10040,79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10040;height:7960;left:4680;position:absolute;top:257" stroked="f">
              <v:imagedata r:id="rId6" o:title=""/>
            </v:shape>
            <v:shapetype id="_x0000_t202" coordsize="21600,21600" o:spt="202" path="m,l,21600r21600,l21600,xe">
              <v:stroke joinstyle="miter"/>
              <v:path gradientshapeok="t" o:connecttype="rect"/>
            </v:shapetype>
            <v:shape id="_x0000_s1027" type="#_x0000_t202" style="width:1705;height:422;left:8869;position:absolute;top:397" filled="f" stroked="f">
              <v:textbox inset="0,0,0,0">
                <w:txbxContent>
                  <w:p>
                    <w:pPr>
                      <w:spacing w:before="0" w:line="421" w:lineRule="exact"/>
                      <w:ind w:left="0" w:right="0" w:firstLine="0"/>
                      <w:jc w:val="left"/>
                      <w:rPr>
                        <w:rFonts w:ascii="宋体" w:eastAsia="宋体" w:hint="eastAsia"/>
                        <w:sz w:val="42"/>
                      </w:rPr>
                    </w:pPr>
                    <w:r>
                      <w:rPr>
                        <w:rFonts w:ascii="宋体" w:eastAsia="宋体" w:hint="eastAsia"/>
                        <w:sz w:val="42"/>
                      </w:rPr>
                      <w:t>项目经理</w:t>
                    </w:r>
                  </w:p>
                </w:txbxContent>
              </v:textbox>
            </v:shape>
            <v:shape id="_x0000_s1028" type="#_x0000_t202" style="width:2548;height:422;left:5177;position:absolute;top:2306" filled="f" stroked="f">
              <v:textbox inset="0,0,0,0">
                <w:txbxContent>
                  <w:p>
                    <w:pPr>
                      <w:spacing w:before="0" w:line="421" w:lineRule="exact"/>
                      <w:ind w:left="0" w:right="0" w:firstLine="0"/>
                      <w:jc w:val="left"/>
                      <w:rPr>
                        <w:rFonts w:ascii="宋体" w:eastAsia="宋体" w:hint="eastAsia"/>
                        <w:sz w:val="42"/>
                      </w:rPr>
                    </w:pPr>
                    <w:r>
                      <w:rPr>
                        <w:rFonts w:ascii="宋体" w:eastAsia="宋体" w:hint="eastAsia"/>
                        <w:sz w:val="42"/>
                      </w:rPr>
                      <w:t>项目总工程师</w:t>
                    </w:r>
                  </w:p>
                </w:txbxContent>
              </v:textbox>
            </v:shape>
            <v:shape id="_x0000_s1029" type="#_x0000_t202" style="width:1705;height:422;left:12108;position:absolute;top:2302" filled="f" stroked="f">
              <v:textbox inset="0,0,0,0">
                <w:txbxContent>
                  <w:p>
                    <w:pPr>
                      <w:spacing w:before="0" w:line="421" w:lineRule="exact"/>
                      <w:ind w:left="0" w:right="0" w:firstLine="0"/>
                      <w:jc w:val="left"/>
                      <w:rPr>
                        <w:rFonts w:ascii="宋体" w:eastAsia="宋体" w:hint="eastAsia"/>
                        <w:sz w:val="42"/>
                      </w:rPr>
                    </w:pPr>
                    <w:r>
                      <w:rPr>
                        <w:rFonts w:ascii="宋体" w:eastAsia="宋体" w:hint="eastAsia"/>
                        <w:sz w:val="42"/>
                      </w:rPr>
                      <w:t>生产经理</w:t>
                    </w:r>
                  </w:p>
                </w:txbxContent>
              </v:textbox>
            </v:shape>
            <v:shape id="_x0000_s1030" type="#_x0000_t202" style="width:1284;height:422;left:9045;position:absolute;top:4369" filled="f" stroked="f">
              <v:textbox inset="0,0,0,0">
                <w:txbxContent>
                  <w:p>
                    <w:pPr>
                      <w:spacing w:before="0" w:line="421" w:lineRule="exact"/>
                      <w:ind w:left="0" w:right="0" w:firstLine="0"/>
                      <w:jc w:val="left"/>
                      <w:rPr>
                        <w:rFonts w:ascii="宋体" w:eastAsia="宋体" w:hint="eastAsia"/>
                        <w:sz w:val="42"/>
                      </w:rPr>
                    </w:pPr>
                    <w:r>
                      <w:rPr>
                        <w:rFonts w:ascii="宋体" w:eastAsia="宋体" w:hint="eastAsia"/>
                        <w:sz w:val="42"/>
                      </w:rPr>
                      <w:t>工区长</w:t>
                    </w:r>
                  </w:p>
                </w:txbxContent>
              </v:textbox>
            </v:shape>
            <v:shape id="_x0000_s1031" type="#_x0000_t202" style="width:2969;height:422;left:8202;position:absolute;top:5942" filled="f" stroked="f">
              <v:textbox inset="0,0,0,0">
                <w:txbxContent>
                  <w:p>
                    <w:pPr>
                      <w:spacing w:before="0" w:line="421" w:lineRule="exact"/>
                      <w:ind w:left="0" w:right="0" w:firstLine="0"/>
                      <w:jc w:val="left"/>
                      <w:rPr>
                        <w:rFonts w:ascii="宋体" w:eastAsia="宋体" w:hint="eastAsia"/>
                        <w:sz w:val="42"/>
                      </w:rPr>
                    </w:pPr>
                    <w:r>
                      <w:rPr>
                        <w:rFonts w:ascii="宋体" w:eastAsia="宋体" w:hint="eastAsia"/>
                        <w:sz w:val="42"/>
                      </w:rPr>
                      <w:t>各分队施工队长</w:t>
                    </w:r>
                  </w:p>
                </w:txbxContent>
              </v:textbox>
            </v:shape>
            <v:shape id="_x0000_s1032" type="#_x0000_t202" style="width:2185;height:465;left:8594;position:absolute;top:7450" filled="f" stroked="f">
              <v:textbox inset="0,0,0,0">
                <w:txbxContent>
                  <w:p>
                    <w:pPr>
                      <w:spacing w:before="0" w:line="465" w:lineRule="exact"/>
                      <w:ind w:left="0" w:right="0" w:firstLine="0"/>
                      <w:jc w:val="left"/>
                      <w:rPr>
                        <w:rFonts w:ascii="宋体" w:eastAsia="宋体" w:hint="eastAsia"/>
                        <w:sz w:val="42"/>
                      </w:rPr>
                    </w:pPr>
                    <w:r>
                      <w:rPr>
                        <w:rFonts w:ascii="Times New Roman" w:eastAsia="Times New Roman"/>
                        <w:sz w:val="42"/>
                      </w:rPr>
                      <w:t xml:space="preserve">Mpp </w:t>
                    </w:r>
                    <w:r>
                      <w:rPr>
                        <w:rFonts w:ascii="宋体" w:eastAsia="宋体" w:hint="eastAsia"/>
                        <w:sz w:val="42"/>
                      </w:rPr>
                      <w:t>施工队</w:t>
                    </w:r>
                  </w:p>
                </w:txbxContent>
              </v:textbox>
            </v:shape>
            <w10:wrap type="topAndBottom"/>
          </v:group>
        </w:pict>
      </w:r>
    </w:p>
    <w:p>
      <w:pPr>
        <w:pStyle w:val="BodyText"/>
        <w:spacing w:before="9"/>
        <w:rPr>
          <w:b/>
          <w:sz w:val="28"/>
        </w:rPr>
      </w:pPr>
    </w:p>
    <w:p>
      <w:pPr>
        <w:spacing w:before="42"/>
        <w:ind w:left="1039" w:right="0" w:firstLine="0"/>
        <w:jc w:val="left"/>
        <w:rPr>
          <w:b/>
          <w:sz w:val="42"/>
        </w:rPr>
      </w:pPr>
      <w:r>
        <w:rPr>
          <w:b/>
          <w:sz w:val="42"/>
        </w:rPr>
        <w:t>2、施工人员配置</w:t>
      </w:r>
    </w:p>
    <w:p>
      <w:pPr>
        <w:pStyle w:val="BodyText"/>
        <w:rPr>
          <w:b/>
          <w:sz w:val="20"/>
        </w:rPr>
      </w:pPr>
    </w:p>
    <w:p>
      <w:pPr>
        <w:pStyle w:val="BodyText"/>
        <w:spacing w:before="10"/>
        <w:rPr>
          <w:b/>
          <w:sz w:val="16"/>
        </w:rPr>
      </w:pPr>
    </w:p>
    <w:p>
      <w:pPr>
        <w:pStyle w:val="Heading1"/>
        <w:spacing w:before="42"/>
        <w:ind w:left="2793" w:right="3003"/>
        <w:jc w:val="center"/>
      </w:pPr>
      <w:r>
        <w:drawing>
          <wp:anchor distT="0" distB="0" distL="0" distR="0" simplePos="0" relativeHeight="251658240" behindDoc="1" locked="0" layoutInCell="1" allowOverlap="1">
            <wp:simplePos x="0" y="0"/>
            <wp:positionH relativeFrom="page">
              <wp:posOffset>1778000</wp:posOffset>
            </wp:positionH>
            <wp:positionV relativeFrom="paragraph">
              <wp:posOffset>455167</wp:posOffset>
            </wp:positionV>
            <wp:extent cx="8272367" cy="2723673"/>
            <wp:effectExtent l="0" t="0" r="0" b="0"/>
            <wp:wrapNone/>
            <wp:docPr id="3"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3.png"/>
                    <pic:cNvPicPr/>
                  </pic:nvPicPr>
                  <pic:blipFill>
                    <a:blip xmlns:r="http://schemas.openxmlformats.org/officeDocument/2006/relationships" r:embed="rId7" cstate="print"/>
                    <a:stretch>
                      <a:fillRect/>
                    </a:stretch>
                  </pic:blipFill>
                  <pic:spPr>
                    <a:xfrm>
                      <a:off x="0" y="0"/>
                      <a:ext cx="8272367" cy="2723673"/>
                    </a:xfrm>
                    <a:prstGeom prst="rect">
                      <a:avLst/>
                    </a:prstGeom>
                  </pic:spPr>
                </pic:pic>
              </a:graphicData>
            </a:graphic>
          </wp:anchor>
        </w:drawing>
      </w:r>
      <w:r>
        <w:t>施工人员组织表</w:t>
      </w:r>
    </w:p>
    <w:p>
      <w:pPr>
        <w:pStyle w:val="BodyText"/>
        <w:rPr>
          <w:b/>
          <w:sz w:val="20"/>
        </w:rPr>
      </w:pPr>
    </w:p>
    <w:p>
      <w:pPr>
        <w:pStyle w:val="BodyText"/>
        <w:rPr>
          <w:b/>
          <w:sz w:val="20"/>
        </w:rPr>
      </w:pPr>
    </w:p>
    <w:p>
      <w:pPr>
        <w:pStyle w:val="BodyText"/>
        <w:spacing w:before="12"/>
        <w:rPr>
          <w:b/>
          <w:sz w:val="13"/>
        </w:rPr>
      </w:pPr>
    </w:p>
    <w:tbl>
      <w:tblPr>
        <w:tblStyle w:val="TableNormal0"/>
        <w:tblW w:w="0" w:type="auto"/>
        <w:jc w:val="left"/>
        <w:tblInd w:w="65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196"/>
        <w:gridCol w:w="7184"/>
        <w:gridCol w:w="1638"/>
      </w:tblGrid>
      <w:tr>
        <w:tblPrEx>
          <w:tblW w:w="0" w:type="auto"/>
          <w:jc w:val="left"/>
          <w:tblInd w:w="65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500"/>
          <w:jc w:val="left"/>
        </w:trPr>
        <w:tc>
          <w:tcPr>
            <w:tcW w:w="2196" w:type="dxa"/>
          </w:tcPr>
          <w:p>
            <w:pPr>
              <w:pStyle w:val="TableParagraph"/>
              <w:spacing w:line="411" w:lineRule="exact"/>
              <w:ind w:right="312"/>
              <w:rPr>
                <w:b/>
                <w:sz w:val="36"/>
              </w:rPr>
            </w:pPr>
            <w:r>
              <w:rPr>
                <w:b/>
                <w:sz w:val="36"/>
              </w:rPr>
              <w:t>岗位</w:t>
            </w:r>
          </w:p>
        </w:tc>
        <w:tc>
          <w:tcPr>
            <w:tcW w:w="7184" w:type="dxa"/>
          </w:tcPr>
          <w:p>
            <w:pPr>
              <w:pStyle w:val="TableParagraph"/>
              <w:spacing w:line="411" w:lineRule="exact"/>
              <w:ind w:left="413" w:right="934"/>
              <w:rPr>
                <w:b/>
                <w:sz w:val="36"/>
              </w:rPr>
            </w:pPr>
            <w:r>
              <w:rPr>
                <w:b/>
                <w:sz w:val="36"/>
              </w:rPr>
              <w:t>职责</w:t>
            </w:r>
          </w:p>
        </w:tc>
        <w:tc>
          <w:tcPr>
            <w:tcW w:w="1638" w:type="dxa"/>
          </w:tcPr>
          <w:p>
            <w:pPr>
              <w:pStyle w:val="TableParagraph"/>
              <w:spacing w:line="411" w:lineRule="exact"/>
              <w:ind w:left="846" w:right="29"/>
              <w:rPr>
                <w:b/>
                <w:sz w:val="36"/>
              </w:rPr>
            </w:pPr>
            <w:r>
              <w:rPr>
                <w:b/>
                <w:sz w:val="36"/>
              </w:rPr>
              <w:t>人数</w:t>
            </w:r>
          </w:p>
        </w:tc>
      </w:tr>
      <w:tr>
        <w:tblPrEx>
          <w:tblW w:w="0" w:type="auto"/>
          <w:jc w:val="left"/>
          <w:tblInd w:w="651" w:type="dxa"/>
          <w:tblLayout w:type="fixed"/>
          <w:tblCellMar>
            <w:top w:w="0" w:type="dxa"/>
            <w:left w:w="0" w:type="dxa"/>
            <w:bottom w:w="0" w:type="dxa"/>
            <w:right w:w="0" w:type="dxa"/>
          </w:tblCellMar>
          <w:tblLook w:val="01E0"/>
        </w:tblPrEx>
        <w:trPr>
          <w:trHeight w:val="1297"/>
          <w:jc w:val="left"/>
        </w:trPr>
        <w:tc>
          <w:tcPr>
            <w:tcW w:w="2196" w:type="dxa"/>
          </w:tcPr>
          <w:p>
            <w:pPr>
              <w:pStyle w:val="TableParagraph"/>
              <w:spacing w:before="11"/>
              <w:ind w:left="0"/>
              <w:jc w:val="left"/>
              <w:rPr>
                <w:b/>
                <w:sz w:val="39"/>
              </w:rPr>
            </w:pPr>
          </w:p>
          <w:p>
            <w:pPr>
              <w:pStyle w:val="TableParagraph"/>
              <w:ind w:right="321"/>
              <w:rPr>
                <w:b/>
                <w:sz w:val="36"/>
              </w:rPr>
            </w:pPr>
            <w:r>
              <w:rPr>
                <w:b/>
                <w:sz w:val="36"/>
              </w:rPr>
              <w:t>生产经理</w:t>
            </w:r>
          </w:p>
        </w:tc>
        <w:tc>
          <w:tcPr>
            <w:tcW w:w="7184" w:type="dxa"/>
          </w:tcPr>
          <w:p>
            <w:pPr>
              <w:pStyle w:val="TableParagraph"/>
              <w:spacing w:before="89" w:line="242" w:lineRule="auto"/>
              <w:ind w:left="803" w:right="867" w:hanging="458"/>
              <w:jc w:val="left"/>
              <w:rPr>
                <w:b/>
                <w:sz w:val="36"/>
              </w:rPr>
            </w:pPr>
            <w:r>
              <w:rPr>
                <w:b/>
                <w:spacing w:val="-15"/>
                <w:w w:val="95"/>
                <w:sz w:val="36"/>
              </w:rPr>
              <w:t>负责指挥组织生产，协调对外关系，对</w:t>
            </w:r>
            <w:r>
              <w:rPr>
                <w:b/>
                <w:sz w:val="36"/>
              </w:rPr>
              <w:t>工程质量、安全、进度全面管理</w:t>
            </w:r>
          </w:p>
        </w:tc>
        <w:tc>
          <w:tcPr>
            <w:tcW w:w="1638" w:type="dxa"/>
          </w:tcPr>
          <w:p>
            <w:pPr>
              <w:pStyle w:val="TableParagraph"/>
              <w:spacing w:before="11"/>
              <w:ind w:left="0"/>
              <w:jc w:val="left"/>
              <w:rPr>
                <w:b/>
                <w:sz w:val="39"/>
              </w:rPr>
            </w:pPr>
          </w:p>
          <w:p>
            <w:pPr>
              <w:pStyle w:val="TableParagraph"/>
              <w:ind w:left="824"/>
              <w:rPr>
                <w:b/>
                <w:sz w:val="36"/>
              </w:rPr>
            </w:pPr>
            <w:r>
              <w:rPr>
                <w:b/>
                <w:w w:val="99"/>
                <w:sz w:val="36"/>
              </w:rPr>
              <w:t>1</w:t>
            </w:r>
          </w:p>
        </w:tc>
      </w:tr>
      <w:tr>
        <w:tblPrEx>
          <w:tblW w:w="0" w:type="auto"/>
          <w:jc w:val="left"/>
          <w:tblInd w:w="651" w:type="dxa"/>
          <w:tblLayout w:type="fixed"/>
          <w:tblCellMar>
            <w:top w:w="0" w:type="dxa"/>
            <w:left w:w="0" w:type="dxa"/>
            <w:bottom w:w="0" w:type="dxa"/>
            <w:right w:w="0" w:type="dxa"/>
          </w:tblCellMar>
          <w:tblLook w:val="01E0"/>
        </w:tblPrEx>
        <w:trPr>
          <w:trHeight w:val="1042"/>
          <w:jc w:val="left"/>
        </w:trPr>
        <w:tc>
          <w:tcPr>
            <w:tcW w:w="2196" w:type="dxa"/>
          </w:tcPr>
          <w:p>
            <w:pPr>
              <w:pStyle w:val="TableParagraph"/>
              <w:spacing w:before="278"/>
              <w:ind w:right="321"/>
              <w:rPr>
                <w:b/>
                <w:sz w:val="36"/>
              </w:rPr>
            </w:pPr>
            <w:r>
              <w:rPr>
                <w:b/>
                <w:sz w:val="36"/>
              </w:rPr>
              <w:t>技术负责人</w:t>
            </w:r>
          </w:p>
        </w:tc>
        <w:tc>
          <w:tcPr>
            <w:tcW w:w="7184" w:type="dxa"/>
          </w:tcPr>
          <w:p>
            <w:pPr>
              <w:pStyle w:val="TableParagraph"/>
              <w:spacing w:before="278"/>
              <w:ind w:left="413" w:right="942"/>
              <w:rPr>
                <w:b/>
                <w:sz w:val="36"/>
              </w:rPr>
            </w:pPr>
            <w:r>
              <w:rPr>
                <w:b/>
                <w:sz w:val="36"/>
              </w:rPr>
              <w:t>负责工程技术工作</w:t>
            </w:r>
          </w:p>
        </w:tc>
        <w:tc>
          <w:tcPr>
            <w:tcW w:w="1638" w:type="dxa"/>
          </w:tcPr>
          <w:p>
            <w:pPr>
              <w:pStyle w:val="TableParagraph"/>
              <w:spacing w:before="278"/>
              <w:ind w:left="824"/>
              <w:rPr>
                <w:b/>
                <w:sz w:val="36"/>
              </w:rPr>
            </w:pPr>
            <w:r>
              <w:rPr>
                <w:b/>
                <w:w w:val="99"/>
                <w:sz w:val="36"/>
              </w:rPr>
              <w:t>1</w:t>
            </w:r>
          </w:p>
        </w:tc>
      </w:tr>
      <w:tr>
        <w:tblPrEx>
          <w:tblW w:w="0" w:type="auto"/>
          <w:jc w:val="left"/>
          <w:tblInd w:w="651" w:type="dxa"/>
          <w:tblLayout w:type="fixed"/>
          <w:tblCellMar>
            <w:top w:w="0" w:type="dxa"/>
            <w:left w:w="0" w:type="dxa"/>
            <w:bottom w:w="0" w:type="dxa"/>
            <w:right w:w="0" w:type="dxa"/>
          </w:tblCellMar>
          <w:tblLook w:val="01E0"/>
        </w:tblPrEx>
        <w:trPr>
          <w:trHeight w:val="712"/>
          <w:jc w:val="left"/>
        </w:trPr>
        <w:tc>
          <w:tcPr>
            <w:tcW w:w="2196" w:type="dxa"/>
          </w:tcPr>
          <w:p>
            <w:pPr>
              <w:pStyle w:val="TableParagraph"/>
              <w:spacing w:before="302" w:line="391" w:lineRule="exact"/>
              <w:ind w:right="321"/>
              <w:rPr>
                <w:b/>
                <w:sz w:val="36"/>
              </w:rPr>
            </w:pPr>
            <w:r>
              <w:rPr>
                <w:b/>
                <w:sz w:val="36"/>
              </w:rPr>
              <w:t>施工队长</w:t>
            </w:r>
          </w:p>
        </w:tc>
        <w:tc>
          <w:tcPr>
            <w:tcW w:w="7184" w:type="dxa"/>
          </w:tcPr>
          <w:p>
            <w:pPr>
              <w:pStyle w:val="TableParagraph"/>
              <w:spacing w:before="302" w:line="391" w:lineRule="exact"/>
              <w:ind w:left="413" w:right="948"/>
              <w:rPr>
                <w:b/>
                <w:sz w:val="36"/>
              </w:rPr>
            </w:pPr>
            <w:r>
              <w:rPr>
                <w:b/>
                <w:sz w:val="36"/>
              </w:rPr>
              <w:t>负责施工队施工，协调各工序间操作</w:t>
            </w:r>
          </w:p>
        </w:tc>
        <w:tc>
          <w:tcPr>
            <w:tcW w:w="1638" w:type="dxa"/>
          </w:tcPr>
          <w:p>
            <w:pPr>
              <w:pStyle w:val="TableParagraph"/>
              <w:spacing w:before="302" w:line="391" w:lineRule="exact"/>
              <w:ind w:left="824"/>
              <w:rPr>
                <w:b/>
                <w:sz w:val="36"/>
              </w:rPr>
            </w:pPr>
            <w:r>
              <w:rPr>
                <w:b/>
                <w:w w:val="99"/>
                <w:sz w:val="36"/>
              </w:rPr>
              <w:t>1</w:t>
            </w:r>
          </w:p>
        </w:tc>
      </w:tr>
    </w:tbl>
    <w:p>
      <w:pPr>
        <w:spacing w:after="0" w:line="391" w:lineRule="exact"/>
        <w:rPr>
          <w:sz w:val="36"/>
        </w:rPr>
        <w:sectPr>
          <w:headerReference w:type="default" r:id="rId8"/>
          <w:footerReference w:type="default" r:id="rId9"/>
          <w:pgSz w:w="18360" w:h="23760"/>
          <w:pgMar w:top="1680" w:right="2140" w:bottom="2060" w:left="2640" w:header="1167" w:footer="1874"/>
          <w:pgNumType w:start="2"/>
          <w:cols w:space="708"/>
        </w:sectPr>
      </w:pPr>
    </w:p>
    <w:p>
      <w:pPr>
        <w:pStyle w:val="BodyText"/>
        <w:spacing w:before="8"/>
        <w:rPr>
          <w:b/>
          <w:sz w:val="12"/>
        </w:rPr>
      </w:pPr>
    </w:p>
    <w:p>
      <w:pPr>
        <w:pStyle w:val="BodyText"/>
        <w:ind w:left="160"/>
        <w:rPr>
          <w:sz w:val="20"/>
        </w:rPr>
      </w:pPr>
      <w:r>
        <w:rPr>
          <w:sz w:val="20"/>
        </w:rPr>
        <w:pict>
          <v:group id="_x0000_i1033" style="width:653pt;height:109pt;mso-position-horizontal-relative:char;mso-position-vertical-relative:line" coordorigin="0,0" coordsize="13060,2180">
            <v:shape id="_x0000_s1034" type="#_x0000_t75" style="width:13060;height:2180;position:absolute" stroked="f">
              <v:imagedata r:id="rId10" o:title=""/>
            </v:shape>
            <v:shape id="_x0000_s1035" type="#_x0000_t202" style="width:740;height:360;left:1077;position:absolute;top:550" filled="f" stroked="f">
              <v:textbox inset="0,0,0,0">
                <w:txbxContent>
                  <w:p>
                    <w:pPr>
                      <w:spacing w:before="0" w:line="360" w:lineRule="exact"/>
                      <w:ind w:left="0" w:right="0" w:firstLine="0"/>
                      <w:jc w:val="left"/>
                      <w:rPr>
                        <w:b/>
                        <w:sz w:val="36"/>
                      </w:rPr>
                    </w:pPr>
                    <w:r>
                      <w:rPr>
                        <w:b/>
                        <w:sz w:val="36"/>
                      </w:rPr>
                      <w:t>技工</w:t>
                    </w:r>
                  </w:p>
                </w:txbxContent>
              </v:textbox>
            </v:shape>
            <v:shape id="_x0000_s1036" type="#_x0000_t202" style="width:4340;height:360;left:3843;position:absolute;top:550" filled="f" stroked="f">
              <v:textbox inset="0,0,0,0">
                <w:txbxContent>
                  <w:p>
                    <w:pPr>
                      <w:spacing w:before="0" w:line="360" w:lineRule="exact"/>
                      <w:ind w:left="0" w:right="0" w:firstLine="0"/>
                      <w:jc w:val="left"/>
                      <w:rPr>
                        <w:b/>
                        <w:sz w:val="36"/>
                      </w:rPr>
                    </w:pPr>
                    <w:r>
                      <w:rPr>
                        <w:b/>
                        <w:w w:val="95"/>
                        <w:sz w:val="36"/>
                      </w:rPr>
                      <w:t>负责对顶管进行热熔和安装</w:t>
                    </w:r>
                  </w:p>
                </w:txbxContent>
              </v:textbox>
            </v:shape>
            <v:shape id="_x0000_s1037" type="#_x0000_t202" style="width:200;height:360;left:11005;position:absolute;top:550" filled="f" stroked="f">
              <v:textbox inset="0,0,0,0">
                <w:txbxContent>
                  <w:p>
                    <w:pPr>
                      <w:spacing w:before="0" w:line="360" w:lineRule="exact"/>
                      <w:ind w:left="0" w:right="0" w:firstLine="0"/>
                      <w:jc w:val="left"/>
                      <w:rPr>
                        <w:b/>
                        <w:sz w:val="36"/>
                      </w:rPr>
                    </w:pPr>
                    <w:r>
                      <w:rPr>
                        <w:b/>
                        <w:w w:val="99"/>
                        <w:sz w:val="36"/>
                      </w:rPr>
                      <w:t>6</w:t>
                    </w:r>
                  </w:p>
                </w:txbxContent>
              </v:textbox>
            </v:shape>
            <v:shape id="_x0000_s1038" type="#_x0000_t202" style="width:740;height:360;left:1077;position:absolute;top:1615" filled="f" stroked="f">
              <v:textbox inset="0,0,0,0">
                <w:txbxContent>
                  <w:p>
                    <w:pPr>
                      <w:spacing w:before="0" w:line="360" w:lineRule="exact"/>
                      <w:ind w:left="0" w:right="0" w:firstLine="0"/>
                      <w:jc w:val="left"/>
                      <w:rPr>
                        <w:b/>
                        <w:sz w:val="36"/>
                      </w:rPr>
                    </w:pPr>
                    <w:r>
                      <w:rPr>
                        <w:b/>
                        <w:sz w:val="36"/>
                      </w:rPr>
                      <w:t>总计</w:t>
                    </w:r>
                  </w:p>
                </w:txbxContent>
              </v:textbox>
            </v:shape>
            <v:shape id="_x0000_s1039" type="#_x0000_t202" style="width:564;height:360;left:10821;position:absolute;top:1615" filled="f" stroked="f">
              <v:textbox inset="0,0,0,0">
                <w:txbxContent>
                  <w:p>
                    <w:pPr>
                      <w:spacing w:before="0" w:line="360" w:lineRule="exact"/>
                      <w:ind w:left="0" w:right="0" w:firstLine="0"/>
                      <w:jc w:val="left"/>
                      <w:rPr>
                        <w:b/>
                        <w:sz w:val="36"/>
                      </w:rPr>
                    </w:pPr>
                    <w:r>
                      <w:rPr>
                        <w:b/>
                        <w:sz w:val="36"/>
                      </w:rPr>
                      <w:t>9人</w:t>
                    </w:r>
                  </w:p>
                </w:txbxContent>
              </v:textbox>
            </v:shape>
            <w10:wrap type="none"/>
          </v:group>
        </w:pict>
      </w:r>
    </w:p>
    <w:p>
      <w:pPr>
        <w:pStyle w:val="BodyText"/>
        <w:spacing w:before="4"/>
        <w:rPr>
          <w:b/>
          <w:sz w:val="22"/>
        </w:rPr>
      </w:pPr>
    </w:p>
    <w:p>
      <w:pPr>
        <w:spacing w:before="42"/>
        <w:ind w:left="1043" w:right="0" w:firstLine="0"/>
        <w:jc w:val="left"/>
        <w:rPr>
          <w:b/>
          <w:sz w:val="42"/>
        </w:rPr>
      </w:pPr>
      <w:r>
        <w:rPr>
          <w:b/>
          <w:sz w:val="42"/>
        </w:rPr>
        <w:t>3、施工设备</w:t>
      </w:r>
    </w:p>
    <w:p>
      <w:pPr>
        <w:pStyle w:val="BodyText"/>
        <w:rPr>
          <w:b/>
          <w:sz w:val="40"/>
        </w:rPr>
      </w:pPr>
    </w:p>
    <w:p>
      <w:pPr>
        <w:pStyle w:val="BodyText"/>
        <w:spacing w:before="1" w:line="468" w:lineRule="auto"/>
        <w:ind w:left="201" w:right="403" w:firstLine="838"/>
        <w:jc w:val="both"/>
      </w:pPr>
      <w:r>
        <w:t>MPP</w:t>
      </w:r>
      <w:r>
        <w:rPr>
          <w:spacing w:val="-3"/>
        </w:rPr>
        <w:t>电力排管主要施工设备：挖机</w:t>
      </w:r>
      <w:r>
        <w:t>1</w:t>
      </w:r>
      <w:r>
        <w:rPr>
          <w:spacing w:val="-4"/>
        </w:rPr>
        <w:t>台、混凝土罐车</w:t>
      </w:r>
      <w:r>
        <w:t>2</w:t>
      </w:r>
      <w:r>
        <w:rPr>
          <w:spacing w:val="-9"/>
        </w:rPr>
        <w:t>辆、</w:t>
      </w:r>
      <w:r>
        <w:t>mpp</w:t>
      </w:r>
      <w:r>
        <w:rPr>
          <w:spacing w:val="-5"/>
        </w:rPr>
        <w:t>热熔机</w:t>
      </w:r>
      <w:r>
        <w:rPr>
          <w:spacing w:val="5"/>
        </w:rPr>
        <w:t>两台、</w:t>
      </w:r>
      <w:r>
        <w:t>20T</w:t>
      </w:r>
      <w:r>
        <w:rPr>
          <w:spacing w:val="-12"/>
        </w:rPr>
        <w:t xml:space="preserve">吊车一台，自卸车一台， </w:t>
      </w:r>
      <w:r>
        <w:t>50kw发电机一台、混凝土振动棒一个。</w:t>
      </w:r>
    </w:p>
    <w:p>
      <w:pPr>
        <w:pStyle w:val="BodyText"/>
        <w:spacing w:before="2"/>
        <w:ind w:left="1039"/>
      </w:pPr>
      <w:r>
        <w:t>4、材料进场</w:t>
      </w:r>
    </w:p>
    <w:p>
      <w:pPr>
        <w:pStyle w:val="BodyText"/>
        <w:spacing w:before="10"/>
        <w:rPr>
          <w:sz w:val="39"/>
        </w:rPr>
      </w:pPr>
    </w:p>
    <w:p>
      <w:pPr>
        <w:pStyle w:val="BodyText"/>
        <w:ind w:left="1039"/>
      </w:pPr>
      <w:r>
        <w:t>采用浙江飞龙生产的MPP电力排管，内径尺寸为175cm，环刚度大于</w:t>
      </w:r>
    </w:p>
    <w:p>
      <w:pPr>
        <w:pStyle w:val="BodyText"/>
        <w:spacing w:before="1"/>
        <w:rPr>
          <w:sz w:val="40"/>
        </w:rPr>
      </w:pPr>
    </w:p>
    <w:p>
      <w:pPr>
        <w:pStyle w:val="BodyText"/>
        <w:spacing w:line="468" w:lineRule="auto"/>
        <w:ind w:left="1039" w:right="1603" w:hanging="839"/>
        <w:rPr>
          <w:b/>
        </w:rPr>
      </w:pPr>
      <w:r>
        <w:t>24，其余指标均满足《DLT 802.7-2010电力电缆用导管》要求。</w:t>
      </w:r>
      <w:r>
        <w:rPr>
          <w:b/>
        </w:rPr>
        <w:t>四、施工技术方案</w:t>
      </w:r>
    </w:p>
    <w:p>
      <w:pPr>
        <w:pStyle w:val="BodyText"/>
        <w:ind w:left="1039"/>
      </w:pPr>
      <w:r>
        <w:t>施工施工流程如下：中线放样→沟槽开挖→浇筑底层混凝土→安装</w:t>
      </w:r>
    </w:p>
    <w:p>
      <w:pPr>
        <w:pStyle w:val="BodyText"/>
        <w:spacing w:before="1"/>
        <w:rPr>
          <w:sz w:val="40"/>
        </w:rPr>
      </w:pPr>
    </w:p>
    <w:p>
      <w:pPr>
        <w:pStyle w:val="BodyText"/>
        <w:spacing w:line="468" w:lineRule="auto"/>
        <w:ind w:left="1039" w:right="4218" w:hanging="839"/>
        <w:rPr>
          <w:b/>
        </w:rPr>
      </w:pPr>
      <w:r>
        <w:t>mpp</w:t>
      </w:r>
      <w:r>
        <w:rPr>
          <w:spacing w:val="-11"/>
        </w:rPr>
        <w:t xml:space="preserve"> 电力管→浇筑包封混凝土→砂砾回填至路床底</w:t>
      </w:r>
      <w:r>
        <w:rPr>
          <w:b/>
        </w:rPr>
        <w:t>1、中线测设</w:t>
      </w:r>
    </w:p>
    <w:p>
      <w:pPr>
        <w:pStyle w:val="BodyText"/>
        <w:spacing w:line="468" w:lineRule="auto"/>
        <w:ind w:left="201" w:right="319" w:firstLine="838"/>
        <w:jc w:val="both"/>
      </w:pPr>
      <w:r>
        <w:t>沟槽开挖前，应根据图纸提供的定线依据，施放管道中心线和检查井位置。每个检查井除钉桩外，还要在检查井位置的两侧设置控制桩， 并记录两桩至检查井中心的距离，以备校核。</w:t>
      </w:r>
    </w:p>
    <w:p>
      <w:pPr>
        <w:pStyle w:val="BodyText"/>
        <w:spacing w:before="3" w:line="468" w:lineRule="auto"/>
        <w:ind w:left="201" w:right="180" w:firstLine="838"/>
      </w:pPr>
      <w:r>
        <w:t>中线测设时，首先应根据图纸设计的管道起点、终点与转向点的坐</w:t>
      </w:r>
      <w:r>
        <w:rPr>
          <w:spacing w:val="-19"/>
        </w:rPr>
        <w:t>标，计算出这些点与附近控制点的关系，再使用全站仪测设定位的方法，</w:t>
      </w:r>
    </w:p>
    <w:p>
      <w:pPr>
        <w:spacing w:after="0" w:line="468" w:lineRule="auto"/>
        <w:sectPr>
          <w:headerReference w:type="default" r:id="rId11"/>
          <w:footerReference w:type="default" r:id="rId12"/>
          <w:pgSz w:w="18360" w:h="23760"/>
          <w:pgMar w:top="1680" w:right="2140" w:bottom="2060" w:left="2640" w:header="1167" w:footer="1874"/>
          <w:pgNumType w:start="3"/>
          <w:cols w:space="708"/>
        </w:sectPr>
      </w:pPr>
    </w:p>
    <w:p>
      <w:pPr>
        <w:pStyle w:val="BodyText"/>
        <w:rPr>
          <w:sz w:val="20"/>
        </w:rPr>
      </w:pPr>
    </w:p>
    <w:p>
      <w:pPr>
        <w:pStyle w:val="BodyText"/>
        <w:spacing w:before="6"/>
        <w:rPr>
          <w:sz w:val="18"/>
        </w:rPr>
      </w:pPr>
    </w:p>
    <w:p>
      <w:pPr>
        <w:pStyle w:val="BodyText"/>
        <w:spacing w:before="42" w:line="468" w:lineRule="auto"/>
        <w:ind w:left="201" w:right="319"/>
        <w:jc w:val="both"/>
      </w:pPr>
      <w:r>
        <w:t>通过坐标反算求出测设数据，将其标定于地面，并在起点、终点、平面折点处的沟槽外设置方向桩。在进行中线测量时，为了避免错误，距离要用钢尺丈量两次。</w:t>
      </w:r>
    </w:p>
    <w:p>
      <w:pPr>
        <w:pStyle w:val="BodyText"/>
        <w:spacing w:before="2" w:line="468" w:lineRule="auto"/>
        <w:ind w:left="201" w:right="323" w:firstLine="838"/>
      </w:pPr>
      <w:r>
        <w:t>中线测量完毕后，根据管道的埋深及管径，计算出管沟上口宽度， 用白灰粉定出沟槽边线。并确保中心桩及方向桩在开槽前不被破坏。</w:t>
      </w:r>
    </w:p>
    <w:p>
      <w:pPr>
        <w:pStyle w:val="Heading1"/>
        <w:spacing w:before="1"/>
        <w:ind w:left="1043"/>
      </w:pPr>
      <w:r>
        <w:t>2、沟槽开挖</w:t>
      </w:r>
    </w:p>
    <w:p>
      <w:pPr>
        <w:pStyle w:val="BodyText"/>
        <w:rPr>
          <w:b/>
          <w:sz w:val="40"/>
        </w:rPr>
      </w:pPr>
    </w:p>
    <w:p>
      <w:pPr>
        <w:pStyle w:val="BodyText"/>
        <w:spacing w:line="468" w:lineRule="auto"/>
        <w:ind w:left="201" w:right="319" w:firstLine="838"/>
        <w:jc w:val="both"/>
      </w:pPr>
      <w:r>
        <w:t>①、根据图纸及提供有关的资料，采用现场开挖探坑的方法，查明其情况，特殊情况时可根据产权单位及设计要求对管线进行加固。所施工工程与已建管道构筑物衔接时，在挖管沟前对其平面位置和高程进行校对，必要时开挖核实；若施工段的地下情况与施工图及有关资料提供的情况不符合时应及时通知设计单位予以处理。</w:t>
      </w:r>
    </w:p>
    <w:p>
      <w:pPr>
        <w:pStyle w:val="BodyText"/>
        <w:spacing w:before="3" w:line="468" w:lineRule="auto"/>
        <w:ind w:left="201" w:right="319" w:firstLine="838"/>
        <w:jc w:val="both"/>
      </w:pPr>
      <w:r>
        <w:t>②、电力管沟沟槽开挖：管沟开挖采用机械开挖，人工辅助。遇有地下管线时，为了保护地下管线采用人工开挖。管沟开挖前，应向机械司机详细交底，交底内容一般包括挖槽断面、堆土位置、现有地下构筑物情况及施工技术、安全要求等，并指定专人与司机配合，及时量测槽底高程和宽度，防止超挖。开挖厚度要求原地面下不小于1.5 米，挖方路段设计路面顶下不小于 1.5 米。</w:t>
      </w:r>
    </w:p>
    <w:p>
      <w:pPr>
        <w:pStyle w:val="BodyText"/>
        <w:spacing w:before="5"/>
        <w:ind w:left="1039"/>
      </w:pPr>
      <w:r>
        <w:rPr>
          <w:spacing w:val="-18"/>
        </w:rPr>
        <w:t>③、沟槽开挖时，先进行详细的测量定位并用石灰标示出开挖边线，</w:t>
      </w:r>
    </w:p>
    <w:p>
      <w:pPr>
        <w:spacing w:after="0"/>
        <w:sectPr>
          <w:headerReference w:type="default" r:id="rId13"/>
          <w:footerReference w:type="default" r:id="rId14"/>
          <w:pgSz w:w="18360" w:h="23760"/>
          <w:pgMar w:top="1680" w:right="2140" w:bottom="2060" w:left="2640" w:header="1167" w:footer="1874"/>
          <w:pgNumType w:start="4"/>
          <w:cols w:space="708"/>
        </w:sectPr>
      </w:pPr>
    </w:p>
    <w:p>
      <w:pPr>
        <w:pStyle w:val="BodyText"/>
        <w:rPr>
          <w:sz w:val="20"/>
        </w:rPr>
      </w:pPr>
    </w:p>
    <w:p>
      <w:pPr>
        <w:pStyle w:val="BodyText"/>
        <w:spacing w:before="6"/>
        <w:rPr>
          <w:sz w:val="18"/>
        </w:rPr>
      </w:pPr>
    </w:p>
    <w:p>
      <w:pPr>
        <w:pStyle w:val="BodyText"/>
        <w:spacing w:before="42" w:line="468" w:lineRule="auto"/>
        <w:ind w:left="201" w:right="345"/>
      </w:pPr>
      <w:r>
        <w:t>复核无误后可指挥挖掘机由临时便道进入管沟开挖范围进行开挖，挖掘机一边开挖一边后退，开挖出来的土堆于沟槽单侧，堆土坡脚距槽边1.0m 以外，堆土高度不超过 1.5m，堆土坡度不宜陡于自然休止角。</w:t>
      </w:r>
    </w:p>
    <w:p>
      <w:pPr>
        <w:pStyle w:val="BodyText"/>
        <w:spacing w:before="2" w:line="468" w:lineRule="auto"/>
        <w:ind w:left="201" w:right="323" w:firstLine="838"/>
        <w:jc w:val="both"/>
      </w:pPr>
      <w:r>
        <w:t>④、由于挖掘机不可能准确地将槽底按规定高程整平，所以为确保槽底土壤结构不被挠动或破坏，开挖管沟时应在设计槽底高程以上保留20cm 左右一层不用机械进行开挖，而用人工清底。</w:t>
      </w:r>
    </w:p>
    <w:p>
      <w:pPr>
        <w:pStyle w:val="BodyText"/>
        <w:spacing w:before="2" w:line="468" w:lineRule="auto"/>
        <w:ind w:left="201" w:right="319" w:firstLine="838"/>
        <w:jc w:val="both"/>
      </w:pPr>
      <w:r>
        <w:t>⑤、管沟开挖时，各级质安人员要加强巡视现场，密切注意周围土体的变形情况及管沟内可能出现的涌水、涌砂及坑底土反弹，一旦发现问题，应立即停止开挖，并通知监理工程师协同处理。</w:t>
      </w:r>
    </w:p>
    <w:p>
      <w:pPr>
        <w:pStyle w:val="Heading1"/>
        <w:spacing w:before="2"/>
        <w:ind w:left="1043"/>
      </w:pPr>
      <w:r>
        <w:t>3、混凝土垫层施工</w:t>
      </w:r>
    </w:p>
    <w:p>
      <w:pPr>
        <w:pStyle w:val="BodyText"/>
        <w:spacing w:before="1"/>
        <w:rPr>
          <w:b/>
          <w:sz w:val="40"/>
        </w:rPr>
      </w:pPr>
    </w:p>
    <w:p>
      <w:pPr>
        <w:pStyle w:val="BodyText"/>
        <w:spacing w:before="1" w:line="468" w:lineRule="auto"/>
        <w:ind w:left="201" w:right="379" w:firstLine="838"/>
      </w:pPr>
      <w:r>
        <w:rPr>
          <w:spacing w:val="-2"/>
        </w:rPr>
        <w:t>①、混凝土垫层施工：</w:t>
      </w:r>
      <w:r>
        <w:rPr>
          <w:spacing w:val="-11"/>
        </w:rPr>
        <w:t>C15</w:t>
      </w:r>
      <w:r>
        <w:rPr>
          <w:spacing w:val="-26"/>
        </w:rPr>
        <w:t xml:space="preserve"> 混凝土垫层厚 </w:t>
      </w:r>
      <w:r>
        <w:t>10cm</w:t>
      </w:r>
      <w:r>
        <w:rPr>
          <w:spacing w:val="-2"/>
        </w:rPr>
        <w:t>，混凝土采用商品混</w:t>
      </w:r>
      <w:r>
        <w:t>凝土。</w:t>
      </w:r>
    </w:p>
    <w:p>
      <w:pPr>
        <w:pStyle w:val="BodyText"/>
        <w:spacing w:line="419" w:lineRule="exact"/>
        <w:ind w:left="1187"/>
      </w:pPr>
      <w:r>
        <w:t>②、混凝土的运输：</w:t>
      </w:r>
    </w:p>
    <w:p>
      <w:pPr>
        <w:pStyle w:val="BodyText"/>
        <w:spacing w:before="361" w:line="400" w:lineRule="auto"/>
        <w:ind w:left="201" w:right="446" w:firstLine="986"/>
      </w:pPr>
      <w:r>
        <w:t>⑴、采用9m</w:t>
      </w:r>
      <w:r>
        <w:rPr>
          <w:position w:val="3"/>
          <w:sz w:val="29"/>
        </w:rPr>
        <w:t>3</w:t>
      </w:r>
      <w:r>
        <w:t>混凝土搅拌运输车运输，运输时间不超过混凝土初凝时间。在运输工序中，应控制混凝土运至浇筑地点后，不离析、不分层、组成成分不发生变化，并能保证施工所必需的坍落度。</w:t>
      </w:r>
    </w:p>
    <w:p>
      <w:pPr>
        <w:pStyle w:val="BodyText"/>
        <w:spacing w:before="124" w:line="468" w:lineRule="auto"/>
        <w:ind w:left="201" w:right="323" w:firstLine="838"/>
      </w:pPr>
      <w:r>
        <w:t>⑵、运送混凝土的容器和管道，应不吸水、不漏浆，并保证卸料及输送通畅。</w:t>
      </w:r>
    </w:p>
    <w:p>
      <w:pPr>
        <w:pStyle w:val="BodyText"/>
        <w:ind w:left="1039"/>
      </w:pPr>
      <w:r>
        <w:rPr>
          <w:spacing w:val="-18"/>
        </w:rPr>
        <w:t>⑶、混凝土运送至浇筑地点，如混凝土拌合物出现离析或分层现象，</w:t>
      </w:r>
    </w:p>
    <w:p>
      <w:pPr>
        <w:spacing w:after="0"/>
        <w:sectPr>
          <w:headerReference w:type="default" r:id="rId15"/>
          <w:footerReference w:type="default" r:id="rId16"/>
          <w:pgSz w:w="18360" w:h="23760"/>
          <w:pgMar w:top="1680" w:right="2140" w:bottom="2060" w:left="2640" w:header="1167" w:footer="1874"/>
          <w:pgNumType w:start="5"/>
          <w:cols w:space="708"/>
        </w:sectPr>
      </w:pPr>
    </w:p>
    <w:p>
      <w:pPr>
        <w:pStyle w:val="BodyText"/>
        <w:rPr>
          <w:sz w:val="20"/>
        </w:rPr>
      </w:pPr>
    </w:p>
    <w:p>
      <w:pPr>
        <w:pStyle w:val="BodyText"/>
        <w:spacing w:before="6"/>
        <w:rPr>
          <w:sz w:val="18"/>
        </w:rPr>
      </w:pPr>
    </w:p>
    <w:p>
      <w:pPr>
        <w:pStyle w:val="BodyText"/>
        <w:spacing w:before="42"/>
        <w:ind w:left="201"/>
      </w:pPr>
      <w:r>
        <w:t>应对混凝土拌合物进行二次搅拌；</w:t>
      </w:r>
    </w:p>
    <w:p>
      <w:pPr>
        <w:pStyle w:val="BodyText"/>
        <w:rPr>
          <w:sz w:val="40"/>
        </w:rPr>
      </w:pPr>
    </w:p>
    <w:p>
      <w:pPr>
        <w:pStyle w:val="BodyText"/>
        <w:spacing w:line="468" w:lineRule="auto"/>
        <w:ind w:left="201" w:right="323" w:firstLine="838"/>
      </w:pPr>
      <w:r>
        <w:rPr>
          <w:spacing w:val="-1"/>
        </w:rPr>
        <w:t>⑷、混凝土运至制定卸料地点时，应检测其坍落度。所测坍落度值</w:t>
      </w:r>
      <w:r>
        <w:t>应符合设计和施工要求。</w:t>
      </w:r>
    </w:p>
    <w:p>
      <w:pPr>
        <w:pStyle w:val="BodyText"/>
        <w:ind w:left="1039"/>
      </w:pPr>
      <w:r>
        <w:t>④、浇筑前的检查：</w:t>
      </w:r>
    </w:p>
    <w:p>
      <w:pPr>
        <w:pStyle w:val="BodyText"/>
        <w:spacing w:before="1"/>
        <w:rPr>
          <w:sz w:val="40"/>
        </w:rPr>
      </w:pPr>
    </w:p>
    <w:p>
      <w:pPr>
        <w:pStyle w:val="BodyText"/>
        <w:spacing w:line="468" w:lineRule="auto"/>
        <w:ind w:left="201" w:right="196" w:firstLine="838"/>
        <w:jc w:val="both"/>
      </w:pPr>
      <w:r>
        <w:t>浇筑混凝土前，应检查和控制模板尺寸、数量和位置，其偏差值应符合现行国家《混凝土结构工程施工及验收规范》的规定。此外，还应</w:t>
      </w:r>
      <w:r>
        <w:rPr>
          <w:spacing w:val="-16"/>
        </w:rPr>
        <w:t>检查模板支撑的稳定性及接缝的密合情况。符合要求时，方可进行浇筑。</w:t>
      </w:r>
    </w:p>
    <w:p>
      <w:pPr>
        <w:pStyle w:val="Heading1"/>
        <w:spacing w:before="3"/>
        <w:ind w:left="1043"/>
      </w:pPr>
      <w:r>
        <w:t>4、管道安装</w:t>
      </w:r>
    </w:p>
    <w:p>
      <w:pPr>
        <w:pStyle w:val="BodyText"/>
        <w:spacing w:before="9"/>
        <w:rPr>
          <w:b/>
          <w:sz w:val="39"/>
        </w:rPr>
      </w:pPr>
    </w:p>
    <w:p>
      <w:pPr>
        <w:pStyle w:val="BodyText"/>
        <w:spacing w:before="1"/>
        <w:ind w:left="1039"/>
      </w:pPr>
      <w:r>
        <w:rPr>
          <w:spacing w:val="-19"/>
        </w:rPr>
        <w:t>①、排管前要先对混凝土垫层高程复核，复核无误后铺设电力管道。</w:t>
      </w:r>
    </w:p>
    <w:p>
      <w:pPr>
        <w:pStyle w:val="BodyText"/>
        <w:rPr>
          <w:sz w:val="40"/>
        </w:rPr>
      </w:pPr>
    </w:p>
    <w:p>
      <w:pPr>
        <w:pStyle w:val="BodyText"/>
        <w:spacing w:line="468" w:lineRule="auto"/>
        <w:ind w:left="201" w:right="323" w:firstLine="838"/>
      </w:pPr>
      <w:r>
        <w:t>②、管节安装前应对管材按产品标准逐支检查，不符合标准不得使用。</w:t>
      </w:r>
    </w:p>
    <w:p>
      <w:pPr>
        <w:pStyle w:val="BodyText"/>
        <w:spacing w:before="1"/>
        <w:ind w:left="1039"/>
      </w:pPr>
      <w:r>
        <w:t>③、管道安装采用人工下管人工安装，管接口采用热熔对接方式。</w:t>
      </w:r>
    </w:p>
    <w:p>
      <w:pPr>
        <w:pStyle w:val="BodyText"/>
        <w:rPr>
          <w:sz w:val="40"/>
        </w:rPr>
      </w:pPr>
    </w:p>
    <w:p>
      <w:pPr>
        <w:pStyle w:val="BodyText"/>
        <w:spacing w:line="468" w:lineRule="auto"/>
        <w:ind w:left="201" w:right="323" w:firstLine="838"/>
      </w:pPr>
      <w:r>
        <w:t>④、调整管材长短时可用锯切割，断面应垂直平整，不应有损坏。排管由管枕固定，管枕间距 2m。</w:t>
      </w:r>
    </w:p>
    <w:p>
      <w:pPr>
        <w:pStyle w:val="Heading1"/>
        <w:spacing w:before="1"/>
        <w:ind w:left="1043"/>
      </w:pPr>
      <w:r>
        <w:t>5、混凝土包封浇筑</w:t>
      </w:r>
    </w:p>
    <w:p>
      <w:pPr>
        <w:pStyle w:val="BodyText"/>
        <w:spacing w:before="1"/>
        <w:rPr>
          <w:b/>
          <w:sz w:val="40"/>
        </w:rPr>
      </w:pPr>
    </w:p>
    <w:p>
      <w:pPr>
        <w:pStyle w:val="BodyText"/>
        <w:ind w:left="1039"/>
      </w:pPr>
      <w:r>
        <w:t>①、在浇筑工序中，应控制混凝土的均匀性和密实性。</w:t>
      </w:r>
    </w:p>
    <w:p>
      <w:pPr>
        <w:pStyle w:val="BodyText"/>
        <w:rPr>
          <w:sz w:val="40"/>
        </w:rPr>
      </w:pPr>
    </w:p>
    <w:p>
      <w:pPr>
        <w:pStyle w:val="BodyText"/>
        <w:spacing w:before="1" w:line="468" w:lineRule="auto"/>
        <w:ind w:left="201" w:right="323" w:firstLine="838"/>
      </w:pPr>
      <w:r>
        <w:t>②、混凝土拌合物运至浇筑地点后，应立即浇筑入模。在浇筑过程中，如混凝土拌合物的均匀性和稠度发生较大变化，应及时处理。</w:t>
      </w:r>
    </w:p>
    <w:p>
      <w:pPr>
        <w:spacing w:after="0" w:line="468" w:lineRule="auto"/>
        <w:sectPr>
          <w:headerReference w:type="default" r:id="rId17"/>
          <w:footerReference w:type="default" r:id="rId18"/>
          <w:pgSz w:w="18360" w:h="23760"/>
          <w:pgMar w:top="1680" w:right="2140" w:bottom="2060" w:left="2640" w:header="1167" w:footer="1874"/>
          <w:pgNumType w:start="6"/>
          <w:cols w:space="708"/>
        </w:sectPr>
      </w:pPr>
    </w:p>
    <w:p>
      <w:pPr>
        <w:pStyle w:val="BodyText"/>
        <w:rPr>
          <w:sz w:val="20"/>
        </w:rPr>
      </w:pPr>
    </w:p>
    <w:p>
      <w:pPr>
        <w:pStyle w:val="BodyText"/>
        <w:spacing w:before="6"/>
        <w:rPr>
          <w:sz w:val="18"/>
        </w:rPr>
      </w:pPr>
    </w:p>
    <w:p>
      <w:pPr>
        <w:pStyle w:val="BodyText"/>
        <w:spacing w:before="42" w:line="468" w:lineRule="auto"/>
        <w:ind w:left="201" w:right="323" w:firstLine="838"/>
      </w:pPr>
      <w:r>
        <w:t>③、混凝土应振捣成型，根据施工对象及混凝土拌合物性质应选择适当的振捣器，并确定振捣时间。</w:t>
      </w:r>
    </w:p>
    <w:p>
      <w:pPr>
        <w:pStyle w:val="BodyText"/>
        <w:spacing w:line="468" w:lineRule="auto"/>
        <w:ind w:left="201" w:right="323" w:firstLine="838"/>
      </w:pPr>
      <w:r>
        <w:rPr>
          <w:spacing w:val="-1"/>
        </w:rPr>
        <w:t>④、混凝土在浇筑过程中，应采取措施防止产生裂缝。由于混凝土</w:t>
      </w:r>
      <w:r>
        <w:t>的沉降及干缩产生的非结构性的表面裂缝，应在混凝土终凝前予以修 整。</w:t>
      </w:r>
    </w:p>
    <w:p>
      <w:pPr>
        <w:pStyle w:val="BodyText"/>
        <w:spacing w:before="3" w:line="468" w:lineRule="auto"/>
        <w:ind w:left="201" w:right="323" w:firstLine="838"/>
      </w:pPr>
      <w:r>
        <w:t>⑤、在浇筑混凝土时，应制作供结构或构件拆模、吊装和强度合格评定用的试件。</w:t>
      </w:r>
    </w:p>
    <w:p>
      <w:pPr>
        <w:pStyle w:val="Heading1"/>
        <w:spacing w:before="3"/>
        <w:ind w:left="1043"/>
      </w:pPr>
      <w:r>
        <w:t>6、管道周围砂砾回填</w:t>
      </w:r>
    </w:p>
    <w:p>
      <w:pPr>
        <w:pStyle w:val="BodyText"/>
        <w:spacing w:before="10"/>
        <w:rPr>
          <w:b/>
          <w:sz w:val="39"/>
        </w:rPr>
      </w:pPr>
    </w:p>
    <w:p>
      <w:pPr>
        <w:pStyle w:val="BodyText"/>
        <w:spacing w:line="468" w:lineRule="auto"/>
        <w:ind w:left="201" w:right="323" w:firstLine="838"/>
      </w:pPr>
      <w:r>
        <w:t>在沟槽回填，采用砂砾回填至路床底，之上采用周围同样路床结构回填至顶部。</w:t>
      </w:r>
    </w:p>
    <w:p>
      <w:pPr>
        <w:pStyle w:val="Heading1"/>
        <w:spacing w:before="4"/>
        <w:ind w:left="1043"/>
      </w:pPr>
      <w:r>
        <w:t>五、施工中应注意事项</w:t>
      </w:r>
    </w:p>
    <w:p>
      <w:pPr>
        <w:pStyle w:val="BodyText"/>
        <w:spacing w:before="10"/>
        <w:rPr>
          <w:b/>
          <w:sz w:val="39"/>
        </w:rPr>
      </w:pPr>
    </w:p>
    <w:p>
      <w:pPr>
        <w:pStyle w:val="BodyText"/>
        <w:spacing w:line="468" w:lineRule="auto"/>
        <w:ind w:left="201" w:right="323" w:firstLine="629"/>
      </w:pPr>
      <w:r>
        <w:t>（1）采用挖掘机开挖，人工配合的方法进行电缆沟槽基础施工，沟槽基础形成后由人工整平并进行底板砼的浇筑；</w:t>
      </w:r>
    </w:p>
    <w:p>
      <w:pPr>
        <w:pStyle w:val="ListParagraph"/>
        <w:numPr>
          <w:ilvl w:val="0"/>
          <w:numId w:val="2"/>
        </w:numPr>
        <w:tabs>
          <w:tab w:val="left" w:pos="1686"/>
        </w:tabs>
        <w:spacing w:before="4" w:after="0" w:line="468" w:lineRule="auto"/>
        <w:ind w:left="201" w:right="521" w:firstLine="421"/>
        <w:jc w:val="left"/>
        <w:rPr>
          <w:sz w:val="42"/>
        </w:rPr>
      </w:pPr>
      <w:r>
        <w:rPr>
          <w:spacing w:val="-1"/>
          <w:sz w:val="42"/>
        </w:rPr>
        <w:t>电缆排管的铺设全部由人工进行，逐层管间间距要求符合设计</w:t>
      </w:r>
      <w:r>
        <w:rPr>
          <w:sz w:val="42"/>
        </w:rPr>
        <w:t>尺寸；</w:t>
      </w:r>
    </w:p>
    <w:p>
      <w:pPr>
        <w:pStyle w:val="ListParagraph"/>
        <w:numPr>
          <w:ilvl w:val="0"/>
          <w:numId w:val="2"/>
        </w:numPr>
        <w:tabs>
          <w:tab w:val="left" w:pos="1675"/>
        </w:tabs>
        <w:spacing w:before="1" w:after="0" w:line="240" w:lineRule="auto"/>
        <w:ind w:left="1674" w:right="0" w:hanging="1053"/>
        <w:jc w:val="left"/>
        <w:rPr>
          <w:sz w:val="42"/>
        </w:rPr>
      </w:pPr>
      <w:r>
        <w:rPr>
          <w:sz w:val="42"/>
        </w:rPr>
        <w:t>排管埋设完毕后素混凝土包封回填，混凝土浇筑时振捣要密实。</w:t>
      </w:r>
    </w:p>
    <w:p>
      <w:pPr>
        <w:pStyle w:val="BodyText"/>
        <w:rPr>
          <w:sz w:val="40"/>
        </w:rPr>
      </w:pPr>
    </w:p>
    <w:p>
      <w:pPr>
        <w:pStyle w:val="ListParagraph"/>
        <w:numPr>
          <w:ilvl w:val="0"/>
          <w:numId w:val="2"/>
        </w:numPr>
        <w:tabs>
          <w:tab w:val="left" w:pos="1675"/>
        </w:tabs>
        <w:spacing w:before="1" w:after="0" w:line="240" w:lineRule="auto"/>
        <w:ind w:left="1674" w:right="0" w:hanging="1053"/>
        <w:jc w:val="left"/>
        <w:rPr>
          <w:sz w:val="42"/>
        </w:rPr>
      </w:pPr>
      <w:r>
        <w:rPr>
          <w:sz w:val="42"/>
        </w:rPr>
        <w:t>排管热熔时应保证熔接质量，热熔温度必须保证能够充分融化</w:t>
      </w:r>
    </w:p>
    <w:p>
      <w:pPr>
        <w:pStyle w:val="BodyText"/>
        <w:spacing w:before="9"/>
        <w:rPr>
          <w:sz w:val="39"/>
        </w:rPr>
      </w:pPr>
    </w:p>
    <w:p>
      <w:pPr>
        <w:pStyle w:val="BodyText"/>
        <w:ind w:left="201"/>
      </w:pPr>
      <w:r>
        <w:rPr>
          <w:spacing w:val="-1"/>
        </w:rPr>
        <w:t>mpp</w:t>
      </w:r>
      <w:r>
        <w:rPr>
          <w:spacing w:val="-4"/>
        </w:rPr>
        <w:t>电力管，热熔对接时间不得小于</w:t>
      </w:r>
      <w:r>
        <w:t>1分钟，热熔管接头处落锤试验应满</w:t>
      </w:r>
    </w:p>
    <w:p>
      <w:pPr>
        <w:spacing w:after="0"/>
        <w:sectPr>
          <w:headerReference w:type="default" r:id="rId19"/>
          <w:footerReference w:type="default" r:id="rId20"/>
          <w:pgSz w:w="18360" w:h="23760"/>
          <w:pgMar w:top="1680" w:right="2140" w:bottom="2060" w:left="2640" w:header="1167" w:footer="1874"/>
          <w:pgNumType w:start="7"/>
          <w:cols w:space="708"/>
        </w:sectPr>
      </w:pPr>
    </w:p>
    <w:p>
      <w:pPr>
        <w:pStyle w:val="BodyText"/>
        <w:rPr>
          <w:sz w:val="20"/>
        </w:rPr>
      </w:pPr>
    </w:p>
    <w:p>
      <w:pPr>
        <w:pStyle w:val="BodyText"/>
        <w:spacing w:before="6"/>
        <w:rPr>
          <w:sz w:val="18"/>
        </w:rPr>
      </w:pPr>
    </w:p>
    <w:p>
      <w:pPr>
        <w:pStyle w:val="BodyText"/>
        <w:spacing w:before="42"/>
        <w:ind w:left="201"/>
      </w:pPr>
      <w:r>
        <w:t>足规范要求。</w:t>
      </w:r>
    </w:p>
    <w:p>
      <w:pPr>
        <w:pStyle w:val="BodyText"/>
        <w:rPr>
          <w:sz w:val="40"/>
        </w:rPr>
      </w:pPr>
    </w:p>
    <w:p>
      <w:pPr>
        <w:pStyle w:val="Heading1"/>
        <w:ind w:left="413"/>
      </w:pPr>
      <w:r>
        <w:t>四、质量保证措施</w:t>
      </w:r>
    </w:p>
    <w:p>
      <w:pPr>
        <w:pStyle w:val="BodyText"/>
        <w:spacing w:before="10"/>
        <w:rPr>
          <w:b/>
          <w:sz w:val="39"/>
        </w:rPr>
      </w:pPr>
    </w:p>
    <w:p>
      <w:pPr>
        <w:pStyle w:val="BodyText"/>
        <w:ind w:left="1039"/>
      </w:pPr>
      <w:r>
        <w:t>（一）建立组织机构</w:t>
      </w:r>
    </w:p>
    <w:p>
      <w:pPr>
        <w:pStyle w:val="BodyText"/>
        <w:rPr>
          <w:sz w:val="40"/>
        </w:rPr>
      </w:pPr>
    </w:p>
    <w:p>
      <w:pPr>
        <w:pStyle w:val="BodyText"/>
        <w:spacing w:before="1" w:line="468" w:lineRule="auto"/>
        <w:ind w:left="201" w:right="323" w:firstLine="838"/>
      </w:pPr>
      <w:r>
        <w:t>为保证创优计划的全面实施，实现质量创优各项目标，项目经理部经研究决定，成立质量创优领导小组。</w:t>
      </w:r>
    </w:p>
    <w:p>
      <w:pPr>
        <w:pStyle w:val="BodyText"/>
        <w:spacing w:before="1"/>
        <w:ind w:left="1025"/>
      </w:pPr>
      <w:r>
        <w:t>（二</w:t>
      </w:r>
      <w:r>
        <w:rPr>
          <w:spacing w:val="-213"/>
        </w:rPr>
        <w:t>）</w:t>
      </w:r>
      <w:r>
        <w:t>、质量保证体系</w:t>
      </w:r>
    </w:p>
    <w:p>
      <w:pPr>
        <w:pStyle w:val="BodyText"/>
        <w:rPr>
          <w:sz w:val="40"/>
        </w:rPr>
      </w:pPr>
    </w:p>
    <w:p>
      <w:pPr>
        <w:pStyle w:val="BodyText"/>
        <w:spacing w:line="468" w:lineRule="auto"/>
        <w:ind w:left="201" w:right="177" w:firstLine="838"/>
      </w:pPr>
      <w:r>
        <w:t>建立以项目经理为首、项目总工程师分管、专职质检工程师具体负</w:t>
      </w:r>
      <w:r>
        <w:rPr>
          <w:spacing w:val="-18"/>
        </w:rPr>
        <w:t xml:space="preserve">责的质量管理组织体系，形成一个纵向“主管领导→职能部门→质检员” </w:t>
      </w:r>
      <w:r>
        <w:rPr>
          <w:spacing w:val="-1"/>
        </w:rPr>
        <w:t>的三级管理系统。具体见图</w:t>
      </w:r>
      <w:r>
        <w:t>7-1</w:t>
      </w:r>
      <w:r>
        <w:rPr>
          <w:spacing w:val="-23"/>
        </w:rPr>
        <w:t>《质量保证体系图》。</w:t>
      </w:r>
    </w:p>
    <w:p>
      <w:pPr>
        <w:spacing w:after="0" w:line="468" w:lineRule="auto"/>
        <w:sectPr>
          <w:headerReference w:type="default" r:id="rId21"/>
          <w:footerReference w:type="default" r:id="rId22"/>
          <w:pgSz w:w="18360" w:h="23760"/>
          <w:pgMar w:top="1680" w:right="2140" w:bottom="2060" w:left="2640" w:header="1167" w:footer="1874"/>
          <w:pgNumType w:start="8"/>
          <w:cols w:space="708"/>
        </w:sectPr>
      </w:pPr>
    </w:p>
    <w:p>
      <w:pPr>
        <w:pStyle w:val="BodyText"/>
        <w:rPr>
          <w:sz w:val="20"/>
        </w:rPr>
      </w:pPr>
      <w:r>
        <w:drawing>
          <wp:anchor distT="0" distB="0" distL="0" distR="0" simplePos="0" relativeHeight="251660288" behindDoc="1" locked="0" layoutInCell="1" allowOverlap="1">
            <wp:simplePos x="0" y="0"/>
            <wp:positionH relativeFrom="page">
              <wp:posOffset>1703070</wp:posOffset>
            </wp:positionH>
            <wp:positionV relativeFrom="page">
              <wp:posOffset>1942083</wp:posOffset>
            </wp:positionV>
            <wp:extent cx="8898255" cy="13145516"/>
            <wp:effectExtent l="0" t="0" r="0" b="0"/>
            <wp:wrapNone/>
            <wp:docPr id="7" name="image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5.jpeg"/>
                    <pic:cNvPicPr/>
                  </pic:nvPicPr>
                  <pic:blipFill>
                    <a:blip xmlns:r="http://schemas.openxmlformats.org/officeDocument/2006/relationships" r:embed="rId23" cstate="print"/>
                    <a:stretch>
                      <a:fillRect/>
                    </a:stretch>
                  </pic:blipFill>
                  <pic:spPr>
                    <a:xfrm>
                      <a:off x="0" y="0"/>
                      <a:ext cx="8898255" cy="13145516"/>
                    </a:xfrm>
                    <a:prstGeom prst="rect">
                      <a:avLst/>
                    </a:prstGeom>
                  </pic:spPr>
                </pic:pic>
              </a:graphicData>
            </a:graphic>
          </wp:anchor>
        </w:drawing>
      </w: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6"/>
        <w:rPr>
          <w:sz w:val="20"/>
        </w:rPr>
      </w:pPr>
    </w:p>
    <w:p>
      <w:pPr>
        <w:pStyle w:val="BodyText"/>
        <w:spacing w:before="42"/>
        <w:ind w:left="201"/>
      </w:pPr>
      <w:r>
        <w:rPr>
          <w:rFonts w:ascii="幼圆" w:eastAsia="幼圆" w:hint="eastAsia"/>
          <w:spacing w:val="-1"/>
        </w:rPr>
        <w:t>图</w:t>
      </w:r>
      <w:r>
        <w:t>7-1</w:t>
      </w:r>
    </w:p>
    <w:p>
      <w:pPr>
        <w:pStyle w:val="BodyText"/>
        <w:rPr>
          <w:sz w:val="44"/>
        </w:rPr>
      </w:pPr>
    </w:p>
    <w:p>
      <w:pPr>
        <w:pStyle w:val="BodyText"/>
        <w:rPr>
          <w:sz w:val="44"/>
        </w:rPr>
      </w:pPr>
    </w:p>
    <w:p>
      <w:pPr>
        <w:pStyle w:val="BodyText"/>
        <w:rPr>
          <w:sz w:val="44"/>
        </w:rPr>
      </w:pPr>
    </w:p>
    <w:p>
      <w:pPr>
        <w:pStyle w:val="BodyText"/>
        <w:rPr>
          <w:sz w:val="44"/>
        </w:rPr>
      </w:pPr>
    </w:p>
    <w:p>
      <w:pPr>
        <w:pStyle w:val="BodyText"/>
        <w:rPr>
          <w:sz w:val="44"/>
        </w:rPr>
      </w:pPr>
    </w:p>
    <w:p>
      <w:pPr>
        <w:pStyle w:val="BodyText"/>
        <w:rPr>
          <w:sz w:val="44"/>
        </w:rPr>
      </w:pPr>
    </w:p>
    <w:p>
      <w:pPr>
        <w:pStyle w:val="BodyText"/>
        <w:rPr>
          <w:sz w:val="44"/>
        </w:rPr>
      </w:pPr>
    </w:p>
    <w:p>
      <w:pPr>
        <w:pStyle w:val="BodyText"/>
        <w:rPr>
          <w:sz w:val="44"/>
        </w:rPr>
      </w:pPr>
    </w:p>
    <w:p>
      <w:pPr>
        <w:pStyle w:val="BodyText"/>
        <w:rPr>
          <w:sz w:val="44"/>
        </w:rPr>
      </w:pPr>
    </w:p>
    <w:p>
      <w:pPr>
        <w:pStyle w:val="BodyText"/>
        <w:rPr>
          <w:sz w:val="44"/>
        </w:rPr>
      </w:pPr>
    </w:p>
    <w:p>
      <w:pPr>
        <w:pStyle w:val="BodyText"/>
        <w:rPr>
          <w:sz w:val="44"/>
        </w:rPr>
      </w:pPr>
    </w:p>
    <w:p>
      <w:pPr>
        <w:pStyle w:val="BodyText"/>
        <w:rPr>
          <w:sz w:val="44"/>
        </w:rPr>
      </w:pPr>
    </w:p>
    <w:p>
      <w:pPr>
        <w:pStyle w:val="BodyText"/>
        <w:rPr>
          <w:sz w:val="44"/>
        </w:rPr>
      </w:pPr>
    </w:p>
    <w:p>
      <w:pPr>
        <w:pStyle w:val="BodyText"/>
        <w:rPr>
          <w:sz w:val="44"/>
        </w:rPr>
      </w:pPr>
    </w:p>
    <w:p>
      <w:pPr>
        <w:pStyle w:val="BodyText"/>
        <w:rPr>
          <w:sz w:val="44"/>
        </w:rPr>
      </w:pPr>
    </w:p>
    <w:p>
      <w:pPr>
        <w:pStyle w:val="BodyText"/>
        <w:rPr>
          <w:sz w:val="44"/>
        </w:rPr>
      </w:pPr>
    </w:p>
    <w:p>
      <w:pPr>
        <w:pStyle w:val="BodyText"/>
        <w:rPr>
          <w:sz w:val="44"/>
        </w:rPr>
      </w:pPr>
    </w:p>
    <w:p>
      <w:pPr>
        <w:pStyle w:val="BodyText"/>
        <w:rPr>
          <w:sz w:val="44"/>
        </w:rPr>
      </w:pPr>
    </w:p>
    <w:p>
      <w:pPr>
        <w:pStyle w:val="BodyText"/>
        <w:rPr>
          <w:sz w:val="44"/>
        </w:rPr>
      </w:pPr>
    </w:p>
    <w:p>
      <w:pPr>
        <w:pStyle w:val="BodyText"/>
        <w:rPr>
          <w:sz w:val="44"/>
        </w:rPr>
      </w:pPr>
    </w:p>
    <w:p>
      <w:pPr>
        <w:pStyle w:val="BodyText"/>
        <w:rPr>
          <w:sz w:val="44"/>
        </w:rPr>
      </w:pPr>
    </w:p>
    <w:p>
      <w:pPr>
        <w:pStyle w:val="BodyText"/>
        <w:rPr>
          <w:sz w:val="44"/>
        </w:rPr>
      </w:pPr>
    </w:p>
    <w:p>
      <w:pPr>
        <w:pStyle w:val="BodyText"/>
        <w:rPr>
          <w:sz w:val="44"/>
        </w:rPr>
      </w:pPr>
    </w:p>
    <w:p>
      <w:pPr>
        <w:pStyle w:val="BodyText"/>
        <w:rPr>
          <w:sz w:val="44"/>
        </w:rPr>
      </w:pPr>
    </w:p>
    <w:p>
      <w:pPr>
        <w:pStyle w:val="BodyText"/>
        <w:rPr>
          <w:sz w:val="44"/>
        </w:rPr>
      </w:pPr>
    </w:p>
    <w:p>
      <w:pPr>
        <w:pStyle w:val="BodyText"/>
        <w:rPr>
          <w:sz w:val="44"/>
        </w:rPr>
      </w:pPr>
    </w:p>
    <w:p>
      <w:pPr>
        <w:pStyle w:val="BodyText"/>
        <w:rPr>
          <w:sz w:val="44"/>
        </w:rPr>
      </w:pPr>
    </w:p>
    <w:p>
      <w:pPr>
        <w:pStyle w:val="BodyText"/>
        <w:rPr>
          <w:sz w:val="44"/>
        </w:rPr>
      </w:pPr>
    </w:p>
    <w:p>
      <w:pPr>
        <w:pStyle w:val="BodyText"/>
        <w:rPr>
          <w:sz w:val="44"/>
        </w:rPr>
      </w:pPr>
    </w:p>
    <w:p>
      <w:pPr>
        <w:pStyle w:val="BodyText"/>
        <w:rPr>
          <w:sz w:val="44"/>
        </w:rPr>
      </w:pPr>
    </w:p>
    <w:p>
      <w:pPr>
        <w:pStyle w:val="BodyText"/>
        <w:rPr>
          <w:sz w:val="44"/>
        </w:rPr>
      </w:pPr>
    </w:p>
    <w:p>
      <w:pPr>
        <w:spacing w:before="365"/>
        <w:ind w:left="201" w:right="0" w:firstLine="0"/>
        <w:jc w:val="left"/>
        <w:rPr>
          <w:rFonts w:ascii="宋体" w:eastAsia="宋体" w:hint="eastAsia"/>
          <w:sz w:val="27"/>
        </w:rPr>
      </w:pPr>
      <w:r>
        <w:rPr>
          <w:rFonts w:ascii="宋体" w:eastAsia="宋体" w:hint="eastAsia"/>
          <w:sz w:val="27"/>
        </w:rPr>
        <w:t>文案大全</w:t>
      </w:r>
    </w:p>
    <w:p>
      <w:pPr>
        <w:spacing w:after="0"/>
        <w:jc w:val="left"/>
        <w:rPr>
          <w:rFonts w:ascii="宋体" w:eastAsia="宋体" w:hint="eastAsia"/>
          <w:sz w:val="27"/>
        </w:rPr>
        <w:sectPr>
          <w:headerReference w:type="default" r:id="rId24"/>
          <w:footerReference w:type="default" r:id="rId25"/>
          <w:pgSz w:w="18360" w:h="23760"/>
          <w:pgMar w:top="1680" w:right="2140" w:bottom="0" w:left="2640" w:header="1167" w:footer="0"/>
          <w:pgNumType w:start="9"/>
          <w:cols w:space="708"/>
        </w:sect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spacing w:before="6"/>
        <w:rPr>
          <w:rFonts w:ascii="宋体"/>
          <w:sz w:val="20"/>
        </w:rPr>
      </w:pPr>
    </w:p>
    <w:p>
      <w:pPr>
        <w:pStyle w:val="Heading1"/>
        <w:spacing w:before="42"/>
      </w:pPr>
      <w:r>
        <w:t>五、确保质量保证体系有效运行</w:t>
      </w:r>
    </w:p>
    <w:p>
      <w:pPr>
        <w:pStyle w:val="BodyText"/>
        <w:spacing w:before="10"/>
        <w:rPr>
          <w:b/>
          <w:sz w:val="39"/>
        </w:rPr>
      </w:pPr>
    </w:p>
    <w:p>
      <w:pPr>
        <w:pStyle w:val="BodyText"/>
        <w:spacing w:line="468" w:lineRule="auto"/>
        <w:ind w:left="201" w:right="172" w:firstLine="838"/>
      </w:pPr>
      <w:r>
        <w:t>（一</w:t>
      </w:r>
      <w:r>
        <w:rPr>
          <w:spacing w:val="-134"/>
        </w:rPr>
        <w:t>）</w:t>
      </w:r>
      <w:r>
        <w:rPr>
          <w:spacing w:val="-14"/>
        </w:rPr>
        <w:t xml:space="preserve">组织保证：对各个部门全面推行质量管理和目标责任制管理， </w:t>
      </w:r>
      <w:r>
        <w:t>从组织措施上使创优计划真正落实到实处。</w:t>
      </w:r>
    </w:p>
    <w:p>
      <w:pPr>
        <w:pStyle w:val="BodyText"/>
        <w:spacing w:before="4" w:line="468" w:lineRule="auto"/>
        <w:ind w:left="201" w:right="192" w:firstLine="838"/>
      </w:pPr>
      <w:r>
        <w:t>（二</w:t>
      </w:r>
      <w:r>
        <w:rPr>
          <w:spacing w:val="-91"/>
        </w:rPr>
        <w:t>）</w:t>
      </w:r>
      <w:r>
        <w:rPr>
          <w:spacing w:val="-16"/>
        </w:rPr>
        <w:t xml:space="preserve">技术保证：建立以质量责任制为首的各种制度，并责任到人， </w:t>
      </w:r>
      <w:r>
        <w:t>从各个技术环节进行严格的控制。</w:t>
      </w:r>
    </w:p>
    <w:p>
      <w:pPr>
        <w:pStyle w:val="BodyText"/>
        <w:spacing w:before="1" w:line="468" w:lineRule="auto"/>
        <w:ind w:left="201" w:right="323" w:firstLine="838"/>
      </w:pPr>
      <w:r>
        <w:t>（三）施工保证：从施工准备、施工阶段、竣工阶段三个段进行控制，确保工程质量。</w:t>
      </w:r>
    </w:p>
    <w:p>
      <w:pPr>
        <w:pStyle w:val="Heading1"/>
      </w:pPr>
      <w:r>
        <w:t>六、事前、事中、事后的质量控制措施</w:t>
      </w:r>
    </w:p>
    <w:p>
      <w:pPr>
        <w:pStyle w:val="BodyText"/>
        <w:rPr>
          <w:b/>
          <w:sz w:val="40"/>
        </w:rPr>
      </w:pPr>
    </w:p>
    <w:p>
      <w:pPr>
        <w:pStyle w:val="BodyText"/>
        <w:ind w:left="1252"/>
      </w:pPr>
      <w:r>
        <w:t>1、严格执行质量检查程序，做好事前、事后控制。</w:t>
      </w:r>
    </w:p>
    <w:p>
      <w:pPr>
        <w:pStyle w:val="BodyText"/>
        <w:spacing w:before="1"/>
        <w:rPr>
          <w:sz w:val="40"/>
        </w:rPr>
      </w:pPr>
    </w:p>
    <w:p>
      <w:pPr>
        <w:pStyle w:val="ListParagraph"/>
        <w:numPr>
          <w:ilvl w:val="1"/>
          <w:numId w:val="2"/>
        </w:numPr>
        <w:tabs>
          <w:tab w:val="left" w:pos="2103"/>
        </w:tabs>
        <w:spacing w:before="1" w:after="0" w:line="468" w:lineRule="auto"/>
        <w:ind w:left="201" w:right="526" w:firstLine="838"/>
        <w:jc w:val="left"/>
        <w:rPr>
          <w:sz w:val="42"/>
        </w:rPr>
      </w:pPr>
      <w:r>
        <w:rPr>
          <w:spacing w:val="-1"/>
          <w:sz w:val="42"/>
        </w:rPr>
        <w:t>尊重和服从建设单位、监理工程师，认真履行合同条款，如</w:t>
      </w:r>
      <w:r>
        <w:rPr>
          <w:sz w:val="42"/>
        </w:rPr>
        <w:t>实汇报工程质量和工程进度。</w:t>
      </w:r>
    </w:p>
    <w:p>
      <w:pPr>
        <w:pStyle w:val="ListParagraph"/>
        <w:numPr>
          <w:ilvl w:val="1"/>
          <w:numId w:val="2"/>
        </w:numPr>
        <w:tabs>
          <w:tab w:val="left" w:pos="2103"/>
        </w:tabs>
        <w:spacing w:before="0" w:after="0" w:line="468" w:lineRule="auto"/>
        <w:ind w:left="201" w:right="526" w:firstLine="838"/>
        <w:jc w:val="left"/>
        <w:rPr>
          <w:sz w:val="42"/>
        </w:rPr>
      </w:pPr>
      <w:r>
        <w:rPr>
          <w:spacing w:val="-1"/>
          <w:sz w:val="42"/>
        </w:rPr>
        <w:t>建立形成文件和制度的检验和试验程序，按程序规定对施工</w:t>
      </w:r>
      <w:r>
        <w:rPr>
          <w:sz w:val="42"/>
        </w:rPr>
        <w:t>全过程进行检验和试验，并详细、完整地记录、归档。</w:t>
      </w:r>
    </w:p>
    <w:p>
      <w:pPr>
        <w:pStyle w:val="ListParagraph"/>
        <w:numPr>
          <w:ilvl w:val="1"/>
          <w:numId w:val="2"/>
        </w:numPr>
        <w:tabs>
          <w:tab w:val="left" w:pos="2103"/>
        </w:tabs>
        <w:spacing w:before="1" w:after="0" w:line="468" w:lineRule="auto"/>
        <w:ind w:left="201" w:right="319" w:firstLine="838"/>
        <w:jc w:val="left"/>
        <w:rPr>
          <w:sz w:val="42"/>
        </w:rPr>
      </w:pPr>
      <w:r>
        <w:rPr>
          <w:sz w:val="42"/>
        </w:rPr>
        <w:t>对准备开工的分项工程，填写开工申请单。开工报告中的施</w:t>
      </w:r>
      <w:r>
        <w:rPr>
          <w:spacing w:val="-1"/>
          <w:sz w:val="42"/>
        </w:rPr>
        <w:t>工方案，必须经全面质量领导小组审核，认定其方案有质量保证措施后</w:t>
      </w:r>
      <w:r>
        <w:rPr>
          <w:sz w:val="42"/>
        </w:rPr>
        <w:t>方可报监理工程师。</w:t>
      </w:r>
    </w:p>
    <w:p>
      <w:pPr>
        <w:pStyle w:val="ListParagraph"/>
        <w:numPr>
          <w:ilvl w:val="1"/>
          <w:numId w:val="2"/>
        </w:numPr>
        <w:tabs>
          <w:tab w:val="left" w:pos="2103"/>
        </w:tabs>
        <w:spacing w:before="2" w:after="0" w:line="240" w:lineRule="auto"/>
        <w:ind w:left="2102" w:right="0" w:hanging="1064"/>
        <w:jc w:val="left"/>
        <w:rPr>
          <w:sz w:val="42"/>
        </w:rPr>
      </w:pPr>
      <w:r>
        <w:rPr>
          <w:sz w:val="42"/>
        </w:rPr>
        <w:t>每一道工序完工后，应及时对施工现场进行清理，以免残留</w:t>
      </w:r>
    </w:p>
    <w:p>
      <w:pPr>
        <w:spacing w:after="0" w:line="240" w:lineRule="auto"/>
        <w:jc w:val="left"/>
        <w:rPr>
          <w:sz w:val="42"/>
        </w:rPr>
      </w:pPr>
      <w:r>
        <w:rPr>
          <w:sz w:val="42"/>
        </w:rPr>
        <w:br/>
      </w:r>
      <w:r>
        <w:rPr>
          <w:sz w:val="42"/>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26" w:history="1">
        <w:r>
          <w:rPr>
            <w:rFonts w:ascii="SimSun" w:eastAsia="SimSun" w:hAnsi="SimSun" w:cs="SimSun"/>
            <w:b/>
            <w:bCs/>
            <w:color w:val="0000EE"/>
            <w:sz w:val="30"/>
            <w:szCs w:val="30"/>
            <w:u w:val="single" w:color="0000EE"/>
          </w:rPr>
          <w:t>https://d.book118.com/168040036026006041</w:t>
        </w:r>
      </w:hyperlink>
    </w:p>
    <w:p>
      <w:pPr>
        <w:spacing w:after="0" w:line="240" w:lineRule="auto"/>
        <w:jc w:val="left"/>
        <w:rPr>
          <w:sz w:val="42"/>
        </w:rPr>
      </w:pPr>
    </w:p>
    <w:sectPr>
      <w:headerReference w:type="default" r:id="rId27"/>
      <w:footerReference w:type="default" r:id="rId28"/>
      <w:pgSz w:w="18360" w:h="23760"/>
      <w:pgMar w:top="1680" w:right="2140" w:bottom="2060" w:left="2640" w:header="1167" w:footer="1874"/>
      <w:pgNumType w:start="10"/>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黑体">
    <w:altName w:val="黑体"/>
    <w:charset w:val="86"/>
    <w:family w:val="modern"/>
    <w:pitch w:val="fixed"/>
    <w:sig w:usb0="00000000" w:usb1="00000000" w:usb2="00000000" w:usb3="00000000" w:csb0="00040000" w:csb1="00000000"/>
  </w:font>
  <w:font w:name="楷体">
    <w:altName w:val="楷体"/>
    <w:charset w:val="86"/>
    <w:family w:val="modern"/>
    <w:pitch w:val="fixed"/>
    <w:sig w:usb0="00000000" w:usb1="00000000" w:usb2="00000000" w:usb3="00000000" w:csb0="00040000" w:csb1="00000000"/>
  </w:font>
  <w:font w:name="幼圆">
    <w:altName w:val="幼圆"/>
    <w:charset w:val="86"/>
    <w:family w:val="modern"/>
    <w:pitch w:val="fixed"/>
    <w:sig w:usb0="00000000" w:usb1="0000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0" type="#_x0000_t202" style="width:56pt;height:15.5pt;margin-top:1083.31pt;margin-left:141.06pt;mso-position-horizontal-relative:page;mso-position-vertical-relative:page;position:absolute;z-index:-25165824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文案大全</w:t>
                </w:r>
              </w:p>
            </w:txbxContent>
          </v:textbox>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2" type="#_x0000_t202" style="width:56pt;height:15.5pt;margin-top:1083.31pt;margin-left:141.06pt;mso-position-horizontal-relative:page;mso-position-vertical-relative:page;position:absolute;z-index:-25165721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文案大全</w:t>
                </w:r>
              </w:p>
            </w:txbxContent>
          </v:textbox>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4" type="#_x0000_t202" style="width:56pt;height:15.5pt;margin-top:1083.31pt;margin-left:141.06pt;mso-position-horizontal-relative:page;mso-position-vertical-relative:page;position:absolute;z-index:-25165619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文案大全</w:t>
                </w:r>
              </w:p>
            </w:txbxContent>
          </v:textbox>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6" type="#_x0000_t202" style="width:56pt;height:15.5pt;margin-top:1083.31pt;margin-left:141.06pt;mso-position-horizontal-relative:page;mso-position-vertical-relative:page;position:absolute;z-index:-25165516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文案大全</w:t>
                </w:r>
              </w:p>
            </w:txbxContent>
          </v:textbox>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8" type="#_x0000_t202" style="width:56pt;height:15.5pt;margin-top:1083.31pt;margin-left:141.06pt;mso-position-horizontal-relative:page;mso-position-vertical-relative:page;position:absolute;z-index:-25165414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文案大全</w:t>
                </w:r>
              </w:p>
            </w:txbxContent>
          </v:textbox>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0" type="#_x0000_t202" style="width:56pt;height:15.5pt;margin-top:1083.31pt;margin-left:141.06pt;mso-position-horizontal-relative:page;mso-position-vertical-relative:page;position:absolute;z-index:-25165312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文案大全</w:t>
                </w:r>
              </w:p>
            </w:txbxContent>
          </v:textbox>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2" type="#_x0000_t202" style="width:56pt;height:15.5pt;margin-top:1083.31pt;margin-left:141.06pt;mso-position-horizontal-relative:page;mso-position-vertical-relative:page;position:absolute;z-index:-25165209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文案大全</w:t>
                </w:r>
              </w:p>
            </w:txbxContent>
          </v:textbox>
        </v:shape>
      </w:pic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4" type="#_x0000_t202" style="width:56pt;height:15.5pt;margin-top:1083.31pt;margin-left:141.06pt;mso-position-horizontal-relative:page;mso-position-vertical-relative:page;position:absolute;z-index:-25165107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文案大全</w:t>
                </w:r>
              </w:p>
            </w:txbxContent>
          </v:textbox>
        </v:shape>
      </w:pic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7" type="#_x0000_t202" style="width:56pt;height:15.5pt;margin-top:1083.31pt;margin-left:141.06pt;mso-position-horizontal-relative:page;mso-position-vertical-relative:page;position:absolute;z-index:-25165004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文案大全</w:t>
                </w:r>
              </w:p>
            </w:txbxContent>
          </v:textbox>
        </v:shape>
      </w:pic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58240" behindDoc="1" locked="0" layoutInCell="1" allowOverlap="1">
          <wp:simplePos x="0" y="0"/>
          <wp:positionH relativeFrom="page">
            <wp:posOffset>1765300</wp:posOffset>
          </wp:positionH>
          <wp:positionV relativeFrom="page">
            <wp:posOffset>914400</wp:posOffset>
          </wp:positionV>
          <wp:extent cx="8318500" cy="3810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1" cstate="print"/>
                  <a:stretch>
                    <a:fillRect/>
                  </a:stretch>
                </pic:blipFill>
                <pic:spPr>
                  <a:xfrm>
                    <a:off x="0" y="0"/>
                    <a:ext cx="83185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49" type="#_x0000_t202" style="width:56pt;height:15.5pt;margin-top:57.34pt;margin-left:438.27pt;mso-position-horizontal-relative:page;mso-position-vertical-relative:page;position:absolute;z-index:-25165721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实用文案</w:t>
                </w:r>
              </w:p>
            </w:txbxContent>
          </v:textbox>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0288" behindDoc="1" locked="0" layoutInCell="1" allowOverlap="1">
          <wp:simplePos x="0" y="0"/>
          <wp:positionH relativeFrom="page">
            <wp:posOffset>1765300</wp:posOffset>
          </wp:positionH>
          <wp:positionV relativeFrom="page">
            <wp:posOffset>914400</wp:posOffset>
          </wp:positionV>
          <wp:extent cx="8318500" cy="38100"/>
          <wp:effectExtent l="0" t="0" r="0" b="0"/>
          <wp:wrapNone/>
          <wp:docPr id="167968528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9685281" name="image1.png"/>
                  <pic:cNvPicPr/>
                </pic:nvPicPr>
                <pic:blipFill>
                  <a:blip xmlns:r="http://schemas.openxmlformats.org/officeDocument/2006/relationships" r:embed="rId1" cstate="print"/>
                  <a:stretch>
                    <a:fillRect/>
                  </a:stretch>
                </pic:blipFill>
                <pic:spPr>
                  <a:xfrm>
                    <a:off x="0" y="0"/>
                    <a:ext cx="83185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1" type="#_x0000_t202" style="width:56pt;height:15.5pt;margin-top:57.34pt;margin-left:438.27pt;mso-position-horizontal-relative:page;mso-position-vertical-relative:page;position:absolute;z-index:-25165516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实用文案</w:t>
                </w:r>
              </w:p>
            </w:txbxContent>
          </v:textbox>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2336" behindDoc="1" locked="0" layoutInCell="1" allowOverlap="1">
          <wp:simplePos x="0" y="0"/>
          <wp:positionH relativeFrom="page">
            <wp:posOffset>1765300</wp:posOffset>
          </wp:positionH>
          <wp:positionV relativeFrom="page">
            <wp:posOffset>914400</wp:posOffset>
          </wp:positionV>
          <wp:extent cx="8318500" cy="38100"/>
          <wp:effectExtent l="0" t="0" r="0" b="0"/>
          <wp:wrapNone/>
          <wp:docPr id="521891264"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1891264" name="image1.png"/>
                  <pic:cNvPicPr/>
                </pic:nvPicPr>
                <pic:blipFill>
                  <a:blip xmlns:r="http://schemas.openxmlformats.org/officeDocument/2006/relationships" r:embed="rId1" cstate="print"/>
                  <a:stretch>
                    <a:fillRect/>
                  </a:stretch>
                </pic:blipFill>
                <pic:spPr>
                  <a:xfrm>
                    <a:off x="0" y="0"/>
                    <a:ext cx="83185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3" type="#_x0000_t202" style="width:56pt;height:15.5pt;margin-top:57.34pt;margin-left:438.27pt;mso-position-horizontal-relative:page;mso-position-vertical-relative:page;position:absolute;z-index:-25165312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实用文案</w:t>
                </w:r>
              </w:p>
            </w:txbxContent>
          </v:textbox>
        </v:shape>
      </w:pic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4384" behindDoc="1" locked="0" layoutInCell="1" allowOverlap="1">
          <wp:simplePos x="0" y="0"/>
          <wp:positionH relativeFrom="page">
            <wp:posOffset>1765300</wp:posOffset>
          </wp:positionH>
          <wp:positionV relativeFrom="page">
            <wp:posOffset>914400</wp:posOffset>
          </wp:positionV>
          <wp:extent cx="8318500" cy="38100"/>
          <wp:effectExtent l="0" t="0" r="0" b="0"/>
          <wp:wrapNone/>
          <wp:docPr id="422726958"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2726958" name="image1.png"/>
                  <pic:cNvPicPr/>
                </pic:nvPicPr>
                <pic:blipFill>
                  <a:blip xmlns:r="http://schemas.openxmlformats.org/officeDocument/2006/relationships" r:embed="rId1" cstate="print"/>
                  <a:stretch>
                    <a:fillRect/>
                  </a:stretch>
                </pic:blipFill>
                <pic:spPr>
                  <a:xfrm>
                    <a:off x="0" y="0"/>
                    <a:ext cx="83185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5" type="#_x0000_t202" style="width:56pt;height:15.5pt;margin-top:57.34pt;margin-left:438.27pt;mso-position-horizontal-relative:page;mso-position-vertical-relative:page;position:absolute;z-index:-25165107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实用文案</w:t>
                </w:r>
              </w:p>
            </w:txbxContent>
          </v:textbox>
        </v:shape>
      </w:pic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6432" behindDoc="1" locked="0" layoutInCell="1" allowOverlap="1">
          <wp:simplePos x="0" y="0"/>
          <wp:positionH relativeFrom="page">
            <wp:posOffset>1765300</wp:posOffset>
          </wp:positionH>
          <wp:positionV relativeFrom="page">
            <wp:posOffset>914400</wp:posOffset>
          </wp:positionV>
          <wp:extent cx="8318500" cy="38100"/>
          <wp:effectExtent l="0" t="0" r="0" b="0"/>
          <wp:wrapNone/>
          <wp:docPr id="343621966"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3621966" name="image1.png"/>
                  <pic:cNvPicPr/>
                </pic:nvPicPr>
                <pic:blipFill>
                  <a:blip xmlns:r="http://schemas.openxmlformats.org/officeDocument/2006/relationships" r:embed="rId1" cstate="print"/>
                  <a:stretch>
                    <a:fillRect/>
                  </a:stretch>
                </pic:blipFill>
                <pic:spPr>
                  <a:xfrm>
                    <a:off x="0" y="0"/>
                    <a:ext cx="83185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7" type="#_x0000_t202" style="width:56pt;height:15.5pt;margin-top:57.34pt;margin-left:438.27pt;mso-position-horizontal-relative:page;mso-position-vertical-relative:page;position:absolute;z-index:-25164902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实用文案</w:t>
                </w:r>
              </w:p>
            </w:txbxContent>
          </v:textbox>
        </v:shape>
      </w:pic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8480" behindDoc="1" locked="0" layoutInCell="1" allowOverlap="1">
          <wp:simplePos x="0" y="0"/>
          <wp:positionH relativeFrom="page">
            <wp:posOffset>1765300</wp:posOffset>
          </wp:positionH>
          <wp:positionV relativeFrom="page">
            <wp:posOffset>914400</wp:posOffset>
          </wp:positionV>
          <wp:extent cx="8318500" cy="38100"/>
          <wp:effectExtent l="0" t="0" r="0" b="0"/>
          <wp:wrapNone/>
          <wp:docPr id="1224966294"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4966294" name="image1.png"/>
                  <pic:cNvPicPr/>
                </pic:nvPicPr>
                <pic:blipFill>
                  <a:blip xmlns:r="http://schemas.openxmlformats.org/officeDocument/2006/relationships" r:embed="rId1" cstate="print"/>
                  <a:stretch>
                    <a:fillRect/>
                  </a:stretch>
                </pic:blipFill>
                <pic:spPr>
                  <a:xfrm>
                    <a:off x="0" y="0"/>
                    <a:ext cx="83185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9" type="#_x0000_t202" style="width:56pt;height:15.5pt;margin-top:57.34pt;margin-left:438.27pt;mso-position-horizontal-relative:page;mso-position-vertical-relative:page;position:absolute;z-index:-25164697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实用文案</w:t>
                </w:r>
              </w:p>
            </w:txbxContent>
          </v:textbox>
        </v:shape>
      </w:pict>
    </w: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0528" behindDoc="1" locked="0" layoutInCell="1" allowOverlap="1">
          <wp:simplePos x="0" y="0"/>
          <wp:positionH relativeFrom="page">
            <wp:posOffset>1765300</wp:posOffset>
          </wp:positionH>
          <wp:positionV relativeFrom="page">
            <wp:posOffset>914400</wp:posOffset>
          </wp:positionV>
          <wp:extent cx="8318500" cy="38100"/>
          <wp:effectExtent l="0" t="0" r="0" b="0"/>
          <wp:wrapNone/>
          <wp:docPr id="1055706868"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5706868" name="image1.png"/>
                  <pic:cNvPicPr/>
                </pic:nvPicPr>
                <pic:blipFill>
                  <a:blip xmlns:r="http://schemas.openxmlformats.org/officeDocument/2006/relationships" r:embed="rId1" cstate="print"/>
                  <a:stretch>
                    <a:fillRect/>
                  </a:stretch>
                </pic:blipFill>
                <pic:spPr>
                  <a:xfrm>
                    <a:off x="0" y="0"/>
                    <a:ext cx="83185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1" type="#_x0000_t202" style="width:56pt;height:15.5pt;margin-top:57.34pt;margin-left:438.27pt;mso-position-horizontal-relative:page;mso-position-vertical-relative:page;position:absolute;z-index:-25164492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实用文案</w:t>
                </w:r>
              </w:p>
            </w:txbxContent>
          </v:textbox>
        </v:shape>
      </w:pict>
    </w: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2576" behindDoc="1" locked="0" layoutInCell="1" allowOverlap="1">
          <wp:simplePos x="0" y="0"/>
          <wp:positionH relativeFrom="page">
            <wp:posOffset>1765300</wp:posOffset>
          </wp:positionH>
          <wp:positionV relativeFrom="page">
            <wp:posOffset>914400</wp:posOffset>
          </wp:positionV>
          <wp:extent cx="8318500" cy="38100"/>
          <wp:effectExtent l="0" t="0" r="0" b="0"/>
          <wp:wrapNone/>
          <wp:docPr id="194031982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0319823" name="image1.png"/>
                  <pic:cNvPicPr/>
                </pic:nvPicPr>
                <pic:blipFill>
                  <a:blip xmlns:r="http://schemas.openxmlformats.org/officeDocument/2006/relationships" r:embed="rId1" cstate="print"/>
                  <a:stretch>
                    <a:fillRect/>
                  </a:stretch>
                </pic:blipFill>
                <pic:spPr>
                  <a:xfrm>
                    <a:off x="0" y="0"/>
                    <a:ext cx="83185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3" type="#_x0000_t202" style="width:56pt;height:15.5pt;margin-top:57.34pt;margin-left:438.27pt;mso-position-horizontal-relative:page;mso-position-vertical-relative:page;position:absolute;z-index:-25164288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实用文案</w:t>
                </w:r>
              </w:p>
            </w:txbxContent>
          </v:textbox>
        </v:shape>
      </w:pict>
    </w: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4624" behindDoc="1" locked="0" layoutInCell="1" allowOverlap="1">
          <wp:simplePos x="0" y="0"/>
          <wp:positionH relativeFrom="page">
            <wp:posOffset>1765300</wp:posOffset>
          </wp:positionH>
          <wp:positionV relativeFrom="page">
            <wp:posOffset>914400</wp:posOffset>
          </wp:positionV>
          <wp:extent cx="8318500" cy="38100"/>
          <wp:effectExtent l="0" t="0" r="0" b="0"/>
          <wp:wrapNone/>
          <wp:docPr id="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1.png"/>
                  <pic:cNvPicPr/>
                </pic:nvPicPr>
                <pic:blipFill>
                  <a:blip xmlns:r="http://schemas.openxmlformats.org/officeDocument/2006/relationships" r:embed="rId1" cstate="print"/>
                  <a:stretch>
                    <a:fillRect/>
                  </a:stretch>
                </pic:blipFill>
                <pic:spPr>
                  <a:xfrm>
                    <a:off x="0" y="0"/>
                    <a:ext cx="83185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5" type="#_x0000_t202" style="width:56pt;height:15.5pt;margin-top:57.34pt;margin-left:438.27pt;mso-position-horizontal-relative:page;mso-position-vertical-relative:page;position:absolute;z-index:-25164083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实用文案</w:t>
                </w:r>
              </w:p>
            </w:txbxContent>
          </v:textbox>
        </v:shape>
      </w:pict>
    </w: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6672" behindDoc="1" locked="0" layoutInCell="1" allowOverlap="1">
          <wp:simplePos x="0" y="0"/>
          <wp:positionH relativeFrom="page">
            <wp:posOffset>1765300</wp:posOffset>
          </wp:positionH>
          <wp:positionV relativeFrom="page">
            <wp:posOffset>914400</wp:posOffset>
          </wp:positionV>
          <wp:extent cx="8318500" cy="38100"/>
          <wp:effectExtent l="0" t="0" r="0" b="0"/>
          <wp:wrapNone/>
          <wp:docPr id="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1.png"/>
                  <pic:cNvPicPr/>
                </pic:nvPicPr>
                <pic:blipFill>
                  <a:blip xmlns:r="http://schemas.openxmlformats.org/officeDocument/2006/relationships" r:embed="rId1" cstate="print"/>
                  <a:stretch>
                    <a:fillRect/>
                  </a:stretch>
                </pic:blipFill>
                <pic:spPr>
                  <a:xfrm>
                    <a:off x="0" y="0"/>
                    <a:ext cx="83185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6" type="#_x0000_t202" style="width:56pt;height:15.5pt;margin-top:57.34pt;margin-left:438.27pt;mso-position-horizontal-relative:page;mso-position-vertical-relative:page;position:absolute;z-index:-25163878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实用文案</w:t>
                </w:r>
              </w:p>
            </w:txbxContent>
          </v:textbox>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5E578E4"/>
    <w:multiLevelType w:val="hybridMultilevel"/>
    <w:tmpl w:val="00000000"/>
    <w:lvl w:ilvl="0">
      <w:start w:val="2"/>
      <w:numFmt w:val="decimal"/>
      <w:lvlText w:val="（%1）"/>
      <w:lvlJc w:val="left"/>
      <w:pPr>
        <w:ind w:left="201" w:hanging="1063"/>
        <w:jc w:val="left"/>
      </w:pPr>
      <w:rPr>
        <w:rFonts w:ascii="黑体" w:eastAsia="黑体" w:hAnsi="黑体" w:cs="黑体" w:hint="default"/>
        <w:spacing w:val="0"/>
        <w:w w:val="100"/>
        <w:sz w:val="40"/>
        <w:szCs w:val="40"/>
      </w:rPr>
    </w:lvl>
    <w:lvl w:ilvl="1">
      <w:start w:val="1"/>
      <w:numFmt w:val="decimal"/>
      <w:lvlText w:val="（%2）"/>
      <w:lvlJc w:val="left"/>
      <w:pPr>
        <w:ind w:left="201" w:hanging="1063"/>
        <w:jc w:val="left"/>
      </w:pPr>
      <w:rPr>
        <w:rFonts w:ascii="黑体" w:eastAsia="黑体" w:hAnsi="黑体" w:cs="黑体" w:hint="default"/>
        <w:spacing w:val="0"/>
        <w:w w:val="100"/>
        <w:sz w:val="40"/>
        <w:szCs w:val="40"/>
      </w:rPr>
    </w:lvl>
    <w:lvl w:ilvl="2">
      <w:start w:val="0"/>
      <w:numFmt w:val="bullet"/>
      <w:lvlText w:val="•"/>
      <w:lvlJc w:val="left"/>
      <w:pPr>
        <w:ind w:left="2876" w:hanging="1063"/>
      </w:pPr>
      <w:rPr>
        <w:rFonts w:hint="default"/>
      </w:rPr>
    </w:lvl>
    <w:lvl w:ilvl="3">
      <w:start w:val="0"/>
      <w:numFmt w:val="bullet"/>
      <w:lvlText w:val="•"/>
      <w:lvlJc w:val="left"/>
      <w:pPr>
        <w:ind w:left="4214" w:hanging="1063"/>
      </w:pPr>
      <w:rPr>
        <w:rFonts w:hint="default"/>
      </w:rPr>
    </w:lvl>
    <w:lvl w:ilvl="4">
      <w:start w:val="0"/>
      <w:numFmt w:val="bullet"/>
      <w:lvlText w:val="•"/>
      <w:lvlJc w:val="left"/>
      <w:pPr>
        <w:ind w:left="5552" w:hanging="1063"/>
      </w:pPr>
      <w:rPr>
        <w:rFonts w:hint="default"/>
      </w:rPr>
    </w:lvl>
    <w:lvl w:ilvl="5">
      <w:start w:val="0"/>
      <w:numFmt w:val="bullet"/>
      <w:lvlText w:val="•"/>
      <w:lvlJc w:val="left"/>
      <w:pPr>
        <w:ind w:left="6890" w:hanging="1063"/>
      </w:pPr>
      <w:rPr>
        <w:rFonts w:hint="default"/>
      </w:rPr>
    </w:lvl>
    <w:lvl w:ilvl="6">
      <w:start w:val="0"/>
      <w:numFmt w:val="bullet"/>
      <w:lvlText w:val="•"/>
      <w:lvlJc w:val="left"/>
      <w:pPr>
        <w:ind w:left="8228" w:hanging="1063"/>
      </w:pPr>
      <w:rPr>
        <w:rFonts w:hint="default"/>
      </w:rPr>
    </w:lvl>
    <w:lvl w:ilvl="7">
      <w:start w:val="0"/>
      <w:numFmt w:val="bullet"/>
      <w:lvlText w:val="•"/>
      <w:lvlJc w:val="left"/>
      <w:pPr>
        <w:ind w:left="9566" w:hanging="1063"/>
      </w:pPr>
      <w:rPr>
        <w:rFonts w:hint="default"/>
      </w:rPr>
    </w:lvl>
    <w:lvl w:ilvl="8">
      <w:start w:val="0"/>
      <w:numFmt w:val="bullet"/>
      <w:lvlText w:val="•"/>
      <w:lvlJc w:val="left"/>
      <w:pPr>
        <w:ind w:left="10904" w:hanging="1063"/>
      </w:pPr>
      <w:rPr>
        <w:rFonts w:hint="default"/>
      </w:rPr>
    </w:lvl>
  </w:abstractNum>
  <w:abstractNum w:abstractNumId="1">
    <w:nsid w:val="6A97A9F0"/>
    <w:multiLevelType w:val="hybridMultilevel"/>
    <w:tmpl w:val="00000000"/>
    <w:lvl w:ilvl="0">
      <w:start w:val="1"/>
      <w:numFmt w:val="decimal"/>
      <w:lvlText w:val="（%1）"/>
      <w:lvlJc w:val="left"/>
      <w:pPr>
        <w:ind w:left="2092" w:hanging="1053"/>
        <w:jc w:val="right"/>
      </w:pPr>
      <w:rPr>
        <w:rFonts w:ascii="黑体" w:eastAsia="黑体" w:hAnsi="黑体" w:cs="黑体" w:hint="default"/>
        <w:spacing w:val="-2"/>
        <w:w w:val="100"/>
        <w:sz w:val="40"/>
        <w:szCs w:val="40"/>
      </w:rPr>
    </w:lvl>
    <w:lvl w:ilvl="1">
      <w:start w:val="0"/>
      <w:numFmt w:val="bullet"/>
      <w:lvlText w:val="•"/>
      <w:lvlJc w:val="left"/>
      <w:pPr>
        <w:ind w:left="3248" w:hanging="1053"/>
      </w:pPr>
      <w:rPr>
        <w:rFonts w:hint="default"/>
      </w:rPr>
    </w:lvl>
    <w:lvl w:ilvl="2">
      <w:start w:val="0"/>
      <w:numFmt w:val="bullet"/>
      <w:lvlText w:val="•"/>
      <w:lvlJc w:val="left"/>
      <w:pPr>
        <w:ind w:left="4396" w:hanging="1053"/>
      </w:pPr>
      <w:rPr>
        <w:rFonts w:hint="default"/>
      </w:rPr>
    </w:lvl>
    <w:lvl w:ilvl="3">
      <w:start w:val="0"/>
      <w:numFmt w:val="bullet"/>
      <w:lvlText w:val="•"/>
      <w:lvlJc w:val="left"/>
      <w:pPr>
        <w:ind w:left="5544" w:hanging="1053"/>
      </w:pPr>
      <w:rPr>
        <w:rFonts w:hint="default"/>
      </w:rPr>
    </w:lvl>
    <w:lvl w:ilvl="4">
      <w:start w:val="0"/>
      <w:numFmt w:val="bullet"/>
      <w:lvlText w:val="•"/>
      <w:lvlJc w:val="left"/>
      <w:pPr>
        <w:ind w:left="6692" w:hanging="1053"/>
      </w:pPr>
      <w:rPr>
        <w:rFonts w:hint="default"/>
      </w:rPr>
    </w:lvl>
    <w:lvl w:ilvl="5">
      <w:start w:val="0"/>
      <w:numFmt w:val="bullet"/>
      <w:lvlText w:val="•"/>
      <w:lvlJc w:val="left"/>
      <w:pPr>
        <w:ind w:left="7840" w:hanging="1053"/>
      </w:pPr>
      <w:rPr>
        <w:rFonts w:hint="default"/>
      </w:rPr>
    </w:lvl>
    <w:lvl w:ilvl="6">
      <w:start w:val="0"/>
      <w:numFmt w:val="bullet"/>
      <w:lvlText w:val="•"/>
      <w:lvlJc w:val="left"/>
      <w:pPr>
        <w:ind w:left="8988" w:hanging="1053"/>
      </w:pPr>
      <w:rPr>
        <w:rFonts w:hint="default"/>
      </w:rPr>
    </w:lvl>
    <w:lvl w:ilvl="7">
      <w:start w:val="0"/>
      <w:numFmt w:val="bullet"/>
      <w:lvlText w:val="•"/>
      <w:lvlJc w:val="left"/>
      <w:pPr>
        <w:ind w:left="10136" w:hanging="1053"/>
      </w:pPr>
      <w:rPr>
        <w:rFonts w:hint="default"/>
      </w:rPr>
    </w:lvl>
    <w:lvl w:ilvl="8">
      <w:start w:val="0"/>
      <w:numFmt w:val="bullet"/>
      <w:lvlText w:val="•"/>
      <w:lvlJc w:val="left"/>
      <w:pPr>
        <w:ind w:left="11284" w:hanging="1053"/>
      </w:pPr>
      <w:rPr>
        <w:rFonts w:hint="default"/>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黑体" w:eastAsia="黑体" w:hAnsi="黑体" w:cs="黑体"/>
    </w:rPr>
  </w:style>
  <w:style w:type="paragraph" w:styleId="Heading1">
    <w:name w:val="heading 1"/>
    <w:basedOn w:val="Normal"/>
    <w:uiPriority w:val="1"/>
    <w:qFormat/>
    <w:pPr>
      <w:ind w:left="201"/>
      <w:outlineLvl w:val="0"/>
    </w:pPr>
    <w:rPr>
      <w:rFonts w:ascii="黑体" w:eastAsia="黑体" w:hAnsi="黑体" w:cs="黑体"/>
      <w:b/>
      <w:bCs/>
      <w:sz w:val="42"/>
      <w:szCs w:val="42"/>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黑体" w:eastAsia="黑体" w:hAnsi="黑体" w:cs="黑体"/>
      <w:sz w:val="42"/>
      <w:szCs w:val="42"/>
    </w:rPr>
  </w:style>
  <w:style w:type="paragraph" w:styleId="Title">
    <w:name w:val="Title"/>
    <w:basedOn w:val="Normal"/>
    <w:uiPriority w:val="1"/>
    <w:qFormat/>
    <w:pPr>
      <w:ind w:left="2793" w:right="3094"/>
      <w:jc w:val="center"/>
    </w:pPr>
    <w:rPr>
      <w:rFonts w:ascii="黑体" w:eastAsia="黑体" w:hAnsi="黑体" w:cs="黑体"/>
      <w:b/>
      <w:bCs/>
      <w:sz w:val="54"/>
      <w:szCs w:val="54"/>
    </w:rPr>
  </w:style>
  <w:style w:type="paragraph" w:styleId="ListParagraph">
    <w:name w:val="List Paragraph"/>
    <w:basedOn w:val="Normal"/>
    <w:uiPriority w:val="1"/>
    <w:qFormat/>
    <w:pPr>
      <w:ind w:left="201" w:hanging="1053"/>
    </w:pPr>
    <w:rPr>
      <w:rFonts w:ascii="黑体" w:eastAsia="黑体" w:hAnsi="黑体" w:cs="黑体"/>
    </w:rPr>
  </w:style>
  <w:style w:type="paragraph" w:customStyle="1" w:styleId="TableParagraph">
    <w:name w:val="Table Paragraph"/>
    <w:basedOn w:val="Normal"/>
    <w:uiPriority w:val="1"/>
    <w:qFormat/>
    <w:pPr>
      <w:ind w:left="26"/>
      <w:jc w:val="center"/>
    </w:pPr>
    <w:rPr>
      <w:rFonts w:ascii="黑体" w:eastAsia="黑体" w:hAnsi="黑体" w:cs="黑体"/>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4.png" /><Relationship Id="rId11" Type="http://schemas.openxmlformats.org/officeDocument/2006/relationships/header" Target="header3.xml" /><Relationship Id="rId12" Type="http://schemas.openxmlformats.org/officeDocument/2006/relationships/footer" Target="footer3.xml" /><Relationship Id="rId13" Type="http://schemas.openxmlformats.org/officeDocument/2006/relationships/header" Target="header4.xml" /><Relationship Id="rId14" Type="http://schemas.openxmlformats.org/officeDocument/2006/relationships/footer" Target="footer4.xml" /><Relationship Id="rId15" Type="http://schemas.openxmlformats.org/officeDocument/2006/relationships/header" Target="header5.xml" /><Relationship Id="rId16" Type="http://schemas.openxmlformats.org/officeDocument/2006/relationships/footer" Target="footer5.xml" /><Relationship Id="rId17" Type="http://schemas.openxmlformats.org/officeDocument/2006/relationships/header" Target="header6.xml" /><Relationship Id="rId18" Type="http://schemas.openxmlformats.org/officeDocument/2006/relationships/footer" Target="footer6.xml" /><Relationship Id="rId19" Type="http://schemas.openxmlformats.org/officeDocument/2006/relationships/header" Target="header7.xml" /><Relationship Id="rId2" Type="http://schemas.openxmlformats.org/officeDocument/2006/relationships/webSettings" Target="webSettings.xml" /><Relationship Id="rId20" Type="http://schemas.openxmlformats.org/officeDocument/2006/relationships/footer" Target="footer7.xml" /><Relationship Id="rId21" Type="http://schemas.openxmlformats.org/officeDocument/2006/relationships/header" Target="header8.xml" /><Relationship Id="rId22" Type="http://schemas.openxmlformats.org/officeDocument/2006/relationships/footer" Target="footer8.xml" /><Relationship Id="rId23" Type="http://schemas.openxmlformats.org/officeDocument/2006/relationships/image" Target="media/image5.jpeg" /><Relationship Id="rId24" Type="http://schemas.openxmlformats.org/officeDocument/2006/relationships/header" Target="header9.xml" /><Relationship Id="rId25" Type="http://schemas.openxmlformats.org/officeDocument/2006/relationships/footer" Target="footer9.xml" /><Relationship Id="rId26" Type="http://schemas.openxmlformats.org/officeDocument/2006/relationships/hyperlink" Target="https://d.book118.com/168040036026006041" TargetMode="External" /><Relationship Id="rId27" Type="http://schemas.openxmlformats.org/officeDocument/2006/relationships/header" Target="header10.xml" /><Relationship Id="rId28" Type="http://schemas.openxmlformats.org/officeDocument/2006/relationships/footer" Target="footer10.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numbering" Target="numbering.xml" /><Relationship Id="rId31"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image" Target="media/image2.png" /><Relationship Id="rId7" Type="http://schemas.openxmlformats.org/officeDocument/2006/relationships/image" Target="media/image3.png" /><Relationship Id="rId8" Type="http://schemas.openxmlformats.org/officeDocument/2006/relationships/header" Target="header2.xml" /><Relationship Id="rId9" Type="http://schemas.openxmlformats.org/officeDocument/2006/relationships/footer" Target="footer2.xml" /></Relationships>
</file>

<file path=word/_rels/header1.xml.rels><?xml version="1.0" encoding="utf-8" standalone="yes"?><Relationships xmlns="http://schemas.openxmlformats.org/package/2006/relationships"><Relationship Id="rId1" Type="http://schemas.openxmlformats.org/officeDocument/2006/relationships/image" Target="media/image1.png" /></Relationships>
</file>

<file path=word/_rels/header2.xml.rels><?xml version="1.0" encoding="utf-8" standalone="yes"?><Relationships xmlns="http://schemas.openxmlformats.org/package/2006/relationships"><Relationship Id="rId1" Type="http://schemas.openxmlformats.org/officeDocument/2006/relationships/image" Target="media/image1.png" /></Relationships>
</file>

<file path=word/_rels/header3.xml.rels><?xml version="1.0" encoding="utf-8" standalone="yes"?><Relationships xmlns="http://schemas.openxmlformats.org/package/2006/relationships"><Relationship Id="rId1" Type="http://schemas.openxmlformats.org/officeDocument/2006/relationships/image" Target="media/image1.png" /></Relationships>
</file>

<file path=word/_rels/header4.xml.rels><?xml version="1.0" encoding="utf-8" standalone="yes"?><Relationships xmlns="http://schemas.openxmlformats.org/package/2006/relationships"><Relationship Id="rId1" Type="http://schemas.openxmlformats.org/officeDocument/2006/relationships/image" Target="media/image1.png" /></Relationships>
</file>

<file path=word/_rels/header5.xml.rels><?xml version="1.0" encoding="utf-8" standalone="yes"?><Relationships xmlns="http://schemas.openxmlformats.org/package/2006/relationships"><Relationship Id="rId1" Type="http://schemas.openxmlformats.org/officeDocument/2006/relationships/image" Target="media/image1.png" /></Relationships>
</file>

<file path=word/_rels/header6.xml.rels><?xml version="1.0" encoding="utf-8" standalone="yes"?><Relationships xmlns="http://schemas.openxmlformats.org/package/2006/relationships"><Relationship Id="rId1" Type="http://schemas.openxmlformats.org/officeDocument/2006/relationships/image" Target="media/image1.png" /></Relationships>
</file>

<file path=word/_rels/header7.xml.rels><?xml version="1.0" encoding="utf-8" standalone="yes"?><Relationships xmlns="http://schemas.openxmlformats.org/package/2006/relationships"><Relationship Id="rId1" Type="http://schemas.openxmlformats.org/officeDocument/2006/relationships/image" Target="media/image1.png" /></Relationships>
</file>

<file path=word/_rels/header8.xml.rels><?xml version="1.0" encoding="utf-8" standalone="yes"?><Relationships xmlns="http://schemas.openxmlformats.org/package/2006/relationships"><Relationship Id="rId1" Type="http://schemas.openxmlformats.org/officeDocument/2006/relationships/image" Target="media/image1.png" /></Relationships>
</file>

<file path=word/_rels/header9.xml.rels><?xml version="1.0" encoding="utf-8" standalone="yes"?><Relationships xmlns="http://schemas.openxmlformats.org/package/2006/relationships"><Relationship Id="rId1" Type="http://schemas.openxmlformats.org/officeDocument/2006/relationships/image" Target="media/image1.png" /></Relationships>
</file>

<file path=word/_rels/header10.xml.rels><?xml version="1.0" encoding="utf-8" standalone="yes"?><Relationships xmlns="http://schemas.openxmlformats.org/package/2006/relationships"><Relationship Id="rId1" Type="http://schemas.openxmlformats.org/officeDocument/2006/relationships/image" Target="media/image1.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2024-02-02T09:00:23Z</dcterms:created>
  <dcterms:modified xsi:type="dcterms:W3CDTF">2024-02-02T09:00:23Z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2022-11-19T00:00:00Z</vt:filetime>
  </property>
  <property fmtid="{D5CDD505-2E9C-101B-9397-08002B2CF9AE}" pid="3" name="LastSaved">
    <vt:filetime>2024-02-02T00:00:00Z</vt:filetime>
  </property>
</Properties>
</file>