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tabs>
          <w:tab w:val="left" w:pos="8101"/>
          <w:tab w:val="right" w:pos="10733"/>
        </w:tabs>
        <w:spacing w:line="460" w:lineRule="exact"/>
        <w:jc w:val="right"/>
        <w:rPr>
          <w:rFonts w:ascii="仿宋" w:eastAsia="仿宋" w:hAnsi="仿宋" w:cs="仿宋"/>
          <w:sz w:val="20"/>
          <w:szCs w:val="20"/>
          <w:lang w:eastAsia="zh-CN"/>
        </w:rPr>
      </w:pPr>
      <w:bookmarkStart w:id="0" w:name="_GoBack"/>
      <w:bookmarkEnd w:id="0"/>
    </w:p>
    <w:p>
      <w:pPr>
        <w:spacing w:line="460" w:lineRule="exact"/>
        <w:rPr>
          <w:rFonts w:ascii="仿宋" w:eastAsia="仿宋" w:hAnsi="仿宋" w:cs="仿宋"/>
          <w:lang w:eastAsia="zh-CN"/>
        </w:rPr>
      </w:pPr>
    </w:p>
    <w:p>
      <w:pPr>
        <w:spacing w:line="460" w:lineRule="exact"/>
        <w:rPr>
          <w:rFonts w:ascii="仿宋" w:eastAsia="仿宋" w:hAnsi="仿宋" w:cs="仿宋"/>
          <w:lang w:eastAsia="zh-CN"/>
        </w:rPr>
      </w:pPr>
    </w:p>
    <w:p>
      <w:pPr>
        <w:spacing w:line="460" w:lineRule="exact"/>
        <w:rPr>
          <w:rFonts w:ascii="仿宋" w:eastAsia="仿宋" w:hAnsi="仿宋" w:cs="仿宋"/>
          <w:lang w:eastAsia="zh-CN"/>
        </w:rPr>
      </w:pPr>
    </w:p>
    <w:p>
      <w:pPr>
        <w:spacing w:line="460" w:lineRule="exact"/>
        <w:jc w:val="center"/>
        <w:rPr>
          <w:rFonts w:ascii="仿宋" w:eastAsia="仿宋" w:hAnsi="仿宋" w:cs="仿宋"/>
          <w:spacing w:val="9"/>
          <w:position w:val="2"/>
          <w:sz w:val="35"/>
          <w:szCs w:val="35"/>
          <w:lang w:eastAsia="zh-CN"/>
          <w14:textOutline w14:w="3175">
            <w14:solidFill>
              <w14:srgbClr w14:val="000000"/>
            </w14:solidFill>
            <w14:prstDash w14:val="solid"/>
            <w14:miter w14:lim="0"/>
          </w14:textOutline>
        </w:rPr>
      </w:pPr>
      <w:r>
        <w:rPr>
          <w:rFonts w:ascii="仿宋" w:eastAsia="仿宋" w:hAnsi="仿宋" w:cs="仿宋" w:hint="eastAsia"/>
          <w:spacing w:val="9"/>
          <w:position w:val="2"/>
          <w:sz w:val="35"/>
          <w:szCs w:val="35"/>
          <w:lang w:eastAsia="zh-CN"/>
          <w14:textOutline w14:w="3175">
            <w14:solidFill>
              <w14:srgbClr w14:val="000000"/>
            </w14:solidFill>
            <w14:prstDash w14:val="solid"/>
            <w14:miter w14:lim="0"/>
          </w14:textOutline>
        </w:rPr>
        <w:t>智慧健康食堂建设运营规范</w:t>
      </w:r>
    </w:p>
    <w:p>
      <w:pPr>
        <w:spacing w:line="460" w:lineRule="exact"/>
        <w:rPr>
          <w:rFonts w:ascii="仿宋" w:eastAsia="仿宋" w:hAnsi="仿宋" w:cs="仿宋"/>
          <w:lang w:eastAsia="zh-CN"/>
        </w:rPr>
      </w:pPr>
    </w:p>
    <w:p>
      <w:pPr>
        <w:spacing w:line="460" w:lineRule="exact"/>
        <w:rPr>
          <w:rFonts w:ascii="仿宋" w:eastAsia="仿宋" w:hAnsi="仿宋" w:cs="仿宋"/>
          <w:lang w:eastAsia="zh-CN"/>
        </w:rPr>
      </w:pP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1 范围</w:t>
      </w:r>
    </w:p>
    <w:p>
      <w:pPr>
        <w:widowControl w:val="0"/>
        <w:kinsoku/>
        <w:autoSpaceDE/>
        <w:autoSpaceDN/>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本文件界定了智慧健康食堂、建设基础设施、</w:t>
      </w:r>
      <w:r>
        <w:rPr>
          <w:rFonts w:ascii="仿宋" w:eastAsia="仿宋" w:hAnsi="仿宋" w:cs="仿宋" w:hint="eastAsia"/>
          <w:color w:val="auto"/>
          <w:spacing w:val="-1"/>
          <w:sz w:val="24"/>
          <w:szCs w:val="24"/>
          <w:lang w:eastAsia="zh-CN"/>
        </w:rPr>
        <w:t>智慧化管理与服务、等级评定</w:t>
      </w:r>
      <w:r>
        <w:rPr>
          <w:rFonts w:ascii="仿宋" w:eastAsia="仿宋" w:hAnsi="仿宋" w:cs="仿宋" w:hint="eastAsia"/>
          <w:color w:val="auto"/>
          <w:sz w:val="24"/>
          <w:lang w:eastAsia="zh-CN"/>
        </w:rPr>
        <w:t>的术语和定义。</w:t>
      </w:r>
    </w:p>
    <w:p>
      <w:pPr>
        <w:spacing w:line="460" w:lineRule="exact"/>
        <w:ind w:firstLine="480" w:firstLineChars="200"/>
        <w:rPr>
          <w:rFonts w:ascii="仿宋" w:eastAsia="仿宋" w:hAnsi="仿宋" w:cs="仿宋"/>
          <w:color w:val="auto"/>
          <w:sz w:val="24"/>
          <w:szCs w:val="24"/>
          <w:lang w:eastAsia="zh-CN"/>
        </w:rPr>
      </w:pPr>
      <w:r>
        <w:rPr>
          <w:rFonts w:ascii="仿宋" w:eastAsia="仿宋" w:hAnsi="仿宋" w:cs="仿宋" w:hint="eastAsia"/>
          <w:color w:val="auto"/>
          <w:sz w:val="24"/>
          <w:szCs w:val="24"/>
          <w:lang w:eastAsia="zh-CN"/>
        </w:rPr>
        <w:t>本文件适用于食堂在智慧与健康方面进行新建、改建</w:t>
      </w:r>
      <w:r>
        <w:rPr>
          <w:rFonts w:ascii="仿宋" w:eastAsia="仿宋" w:hAnsi="仿宋" w:cs="仿宋" w:hint="eastAsia"/>
          <w:color w:val="auto"/>
          <w:spacing w:val="-1"/>
          <w:sz w:val="24"/>
          <w:szCs w:val="24"/>
          <w:lang w:eastAsia="zh-CN"/>
        </w:rPr>
        <w:t>、扩建项目的规范指导。</w:t>
      </w:r>
    </w:p>
    <w:p>
      <w:pPr>
        <w:spacing w:line="460" w:lineRule="exact"/>
        <w:rPr>
          <w:rFonts w:ascii="仿宋" w:eastAsia="仿宋" w:hAnsi="仿宋" w:cs="仿宋"/>
          <w:color w:val="auto"/>
          <w:spacing w:val="-1"/>
          <w:sz w:val="24"/>
          <w:szCs w:val="24"/>
          <w:lang w:eastAsia="zh-CN"/>
        </w:rPr>
      </w:pPr>
      <w:r>
        <w:rPr>
          <w:rFonts w:ascii="仿宋" w:eastAsia="仿宋" w:hAnsi="仿宋" w:cs="仿宋" w:hint="eastAsia"/>
          <w:color w:val="auto"/>
          <w:spacing w:val="-1"/>
          <w:sz w:val="24"/>
          <w:szCs w:val="24"/>
          <w:lang w:eastAsia="zh-CN"/>
        </w:rPr>
        <w:t>2 规范性引用文件</w:t>
      </w:r>
    </w:p>
    <w:p>
      <w:pPr>
        <w:spacing w:line="460" w:lineRule="exact"/>
        <w:ind w:firstLine="480" w:firstLineChars="200"/>
        <w:rPr>
          <w:rFonts w:ascii="仿宋" w:eastAsia="仿宋" w:hAnsi="仿宋" w:cs="仿宋"/>
          <w:color w:val="auto"/>
          <w:spacing w:val="3"/>
          <w:sz w:val="24"/>
          <w:szCs w:val="24"/>
          <w:lang w:eastAsia="zh-CN"/>
        </w:rPr>
      </w:pPr>
      <w:r>
        <w:rPr>
          <w:rFonts w:ascii="仿宋" w:eastAsia="仿宋" w:hAnsi="仿宋" w:cs="仿宋" w:hint="eastAsia"/>
          <w:color w:val="auto"/>
          <w:spacing w:val="8"/>
          <w:sz w:val="24"/>
          <w:szCs w:val="24"/>
          <w:lang w:eastAsia="zh-CN"/>
        </w:rPr>
        <w:t>文件中的内容通过文中的规范性引用而构成本文件必不可少的条款。其中注日期的引用文件，仅该日期对应的版本适用于本文件；不注日期的引用文件，其最</w:t>
      </w:r>
      <w:r>
        <w:rPr>
          <w:rFonts w:ascii="仿宋" w:eastAsia="仿宋" w:hAnsi="仿宋" w:cs="仿宋" w:hint="eastAsia"/>
          <w:color w:val="auto"/>
          <w:spacing w:val="7"/>
          <w:sz w:val="24"/>
          <w:szCs w:val="24"/>
          <w:lang w:eastAsia="zh-CN"/>
        </w:rPr>
        <w:t>新版本（包括所有的修改单）适用于本</w:t>
      </w:r>
      <w:r>
        <w:rPr>
          <w:rFonts w:ascii="仿宋" w:eastAsia="仿宋" w:hAnsi="仿宋" w:cs="仿宋" w:hint="eastAsia"/>
          <w:color w:val="auto"/>
          <w:spacing w:val="3"/>
          <w:sz w:val="24"/>
          <w:szCs w:val="24"/>
          <w:lang w:eastAsia="zh-CN"/>
        </w:rPr>
        <w:t>文件。</w:t>
      </w:r>
    </w:p>
    <w:p>
      <w:pPr>
        <w:widowControl w:val="0"/>
        <w:kinsoku/>
        <w:spacing w:line="460" w:lineRule="exact"/>
        <w:ind w:firstLine="480" w:firstLineChars="200"/>
        <w:textAlignment w:val="auto"/>
        <w:rPr>
          <w:rFonts w:ascii="仿宋" w:eastAsia="仿宋" w:hAnsi="仿宋" w:cs="仿宋"/>
          <w:color w:val="auto"/>
          <w:spacing w:val="3"/>
          <w:sz w:val="24"/>
          <w:szCs w:val="24"/>
          <w:lang w:eastAsia="zh-CN"/>
        </w:rPr>
      </w:pPr>
      <w:r>
        <w:rPr>
          <w:rFonts w:ascii="仿宋" w:eastAsia="仿宋" w:hAnsi="仿宋" w:cs="仿宋" w:hint="eastAsia"/>
          <w:color w:val="auto"/>
          <w:sz w:val="24"/>
          <w:lang w:eastAsia="zh-CN"/>
        </w:rPr>
        <w:t>GB/T 39725—2020 信息安全技术 健康医疗数据安全指南</w:t>
      </w:r>
    </w:p>
    <w:p>
      <w:pPr>
        <w:widowControl w:val="0"/>
        <w:kinsoku/>
        <w:spacing w:line="460" w:lineRule="exact"/>
        <w:textAlignment w:val="auto"/>
        <w:rPr>
          <w:rFonts w:ascii="仿宋" w:eastAsia="仿宋" w:hAnsi="仿宋" w:cs="仿宋"/>
          <w:spacing w:val="-1"/>
          <w:sz w:val="24"/>
          <w:szCs w:val="24"/>
          <w:lang w:eastAsia="zh-CN"/>
        </w:rPr>
      </w:pPr>
      <w:r>
        <w:rPr>
          <w:rFonts w:ascii="仿宋" w:eastAsia="仿宋" w:hAnsi="仿宋" w:cs="仿宋" w:hint="eastAsia"/>
          <w:color w:val="auto"/>
          <w:sz w:val="24"/>
          <w:lang w:eastAsia="zh-CN"/>
        </w:rPr>
        <w:t xml:space="preserve">3 </w:t>
      </w:r>
      <w:r>
        <w:rPr>
          <w:rFonts w:ascii="仿宋" w:eastAsia="仿宋" w:hAnsi="仿宋" w:cs="仿宋" w:hint="eastAsia"/>
          <w:spacing w:val="-1"/>
          <w:sz w:val="24"/>
          <w:szCs w:val="24"/>
          <w:lang w:eastAsia="zh-CN"/>
        </w:rPr>
        <w:t>术语和定义</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下列术语和定义适用于本文件。</w:t>
      </w:r>
    </w:p>
    <w:p>
      <w:pPr>
        <w:pStyle w:val="BodyText"/>
        <w:spacing w:line="460" w:lineRule="exact"/>
        <w:rPr>
          <w:rFonts w:ascii="仿宋" w:eastAsia="仿宋" w:hAnsi="仿宋" w:cs="仿宋"/>
          <w:spacing w:val="-3"/>
          <w:sz w:val="24"/>
          <w:szCs w:val="24"/>
        </w:rPr>
      </w:pPr>
      <w:r>
        <w:rPr>
          <w:rFonts w:ascii="仿宋" w:eastAsia="仿宋" w:hAnsi="仿宋" w:cs="仿宋" w:hint="eastAsia"/>
          <w:spacing w:val="-3"/>
          <w:sz w:val="24"/>
          <w:szCs w:val="24"/>
        </w:rPr>
        <w:t xml:space="preserve">3.1 </w:t>
      </w:r>
    </w:p>
    <w:p>
      <w:pPr>
        <w:pStyle w:val="BodyText"/>
        <w:spacing w:line="460" w:lineRule="exact"/>
        <w:ind w:firstLine="480" w:firstLineChars="200"/>
        <w:rPr>
          <w:rFonts w:ascii="仿宋" w:eastAsia="仿宋" w:hAnsi="仿宋" w:cs="仿宋"/>
          <w:b/>
          <w:bCs/>
          <w:spacing w:val="-3"/>
          <w:sz w:val="24"/>
          <w:szCs w:val="24"/>
          <w:lang w:eastAsia="zh-CN"/>
        </w:rPr>
      </w:pPr>
      <w:r>
        <w:rPr>
          <w:rFonts w:ascii="仿宋" w:eastAsia="仿宋" w:hAnsi="仿宋" w:cs="仿宋" w:hint="eastAsia"/>
          <w:b/>
          <w:bCs/>
          <w:spacing w:val="-3"/>
          <w:sz w:val="24"/>
          <w:szCs w:val="24"/>
        </w:rPr>
        <w:t>智慧健康食堂</w:t>
      </w:r>
      <w:r>
        <w:rPr>
          <w:rFonts w:ascii="仿宋" w:eastAsia="仿宋" w:hAnsi="仿宋" w:cs="仿宋" w:hint="eastAsia"/>
          <w:b/>
          <w:bCs/>
          <w:spacing w:val="-3"/>
          <w:sz w:val="24"/>
          <w:szCs w:val="24"/>
          <w:lang w:eastAsia="zh-CN"/>
        </w:rPr>
        <w:t xml:space="preserve"> smart and Healthy canteen dining hall</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运用云计算、大数据、物联网、移动互联等先进的科技手段和创新的管理模式，以提供健康、营养、安全的饮食服务为目标的食堂，其通过整合信息技术、数据分析、智慧设备等，提供个性化的饮食方案和服务，以满足消费者的差异化需求。</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 xml:space="preserve">2 </w:t>
      </w:r>
    </w:p>
    <w:p>
      <w:pPr>
        <w:pStyle w:val="BodyText"/>
        <w:spacing w:line="460" w:lineRule="exact"/>
        <w:ind w:firstLine="480" w:firstLineChars="200"/>
        <w:rPr>
          <w:rFonts w:ascii="仿宋" w:eastAsia="仿宋" w:hAnsi="仿宋" w:cs="仿宋"/>
          <w:b/>
          <w:bCs/>
          <w:spacing w:val="-1"/>
          <w:sz w:val="24"/>
          <w:szCs w:val="24"/>
          <w:lang w:eastAsia="zh-CN"/>
        </w:rPr>
      </w:pPr>
      <w:r>
        <w:rPr>
          <w:rFonts w:ascii="仿宋" w:eastAsia="仿宋" w:hAnsi="仿宋" w:cs="仿宋" w:hint="eastAsia"/>
          <w:b/>
          <w:bCs/>
          <w:spacing w:val="-1"/>
          <w:sz w:val="24"/>
          <w:szCs w:val="24"/>
          <w:lang w:eastAsia="zh-CN"/>
        </w:rPr>
        <w:t>建设基础设施 building infrastructure</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体现智慧功能的硬件设施总称。</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注：包括前厅与后厨两部分，后厨分为加工与进存两类。</w:t>
      </w:r>
    </w:p>
    <w:p>
      <w:pPr>
        <w:pStyle w:val="BodyText"/>
        <w:spacing w:line="460" w:lineRule="exact"/>
        <w:rPr>
          <w:rFonts w:ascii="仿宋" w:eastAsia="仿宋" w:hAnsi="仿宋" w:cs="仿宋"/>
          <w:sz w:val="24"/>
          <w:szCs w:val="24"/>
        </w:rPr>
      </w:pPr>
      <w:r>
        <w:rPr>
          <w:rFonts w:ascii="仿宋" w:eastAsia="仿宋" w:hAnsi="仿宋" w:cs="仿宋" w:hint="eastAsia"/>
          <w:sz w:val="24"/>
          <w:szCs w:val="24"/>
        </w:rPr>
        <w:t>3.</w:t>
      </w:r>
      <w:r>
        <w:rPr>
          <w:rFonts w:ascii="仿宋" w:eastAsia="仿宋" w:hAnsi="仿宋" w:cs="仿宋" w:hint="eastAsia"/>
          <w:sz w:val="24"/>
          <w:szCs w:val="24"/>
          <w:lang w:eastAsia="zh-CN"/>
        </w:rPr>
        <w:t>3</w:t>
      </w:r>
      <w:r>
        <w:rPr>
          <w:rFonts w:ascii="仿宋" w:eastAsia="仿宋" w:hAnsi="仿宋" w:cs="仿宋" w:hint="eastAsia"/>
          <w:sz w:val="24"/>
          <w:szCs w:val="24"/>
        </w:rPr>
        <w:t xml:space="preserve"> </w:t>
      </w:r>
    </w:p>
    <w:p>
      <w:pPr>
        <w:pStyle w:val="BodyText"/>
        <w:spacing w:line="460" w:lineRule="exact"/>
        <w:ind w:firstLine="480" w:firstLineChars="200"/>
        <w:rPr>
          <w:rFonts w:ascii="仿宋" w:eastAsia="仿宋" w:hAnsi="仿宋" w:cs="仿宋"/>
          <w:b/>
          <w:bCs/>
          <w:spacing w:val="-1"/>
          <w:sz w:val="24"/>
          <w:szCs w:val="24"/>
          <w:lang w:eastAsia="zh-CN"/>
        </w:rPr>
      </w:pPr>
      <w:r>
        <w:rPr>
          <w:rFonts w:ascii="仿宋" w:eastAsia="仿宋" w:hAnsi="仿宋" w:cs="仿宋" w:hint="eastAsia"/>
          <w:b/>
          <w:bCs/>
          <w:spacing w:val="-1"/>
          <w:sz w:val="24"/>
          <w:szCs w:val="24"/>
          <w:lang w:eastAsia="zh-CN"/>
        </w:rPr>
        <w:t>智慧化管理与服务 intelligent management and services</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实现智慧功能的信息化管理软件与智能化服务的总称。</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注：包括智慧食安、智慧运营、个性化营养健康、个性化消费与供餐服务、智慧健康宣传和前厅智慧环境六部分。</w:t>
      </w:r>
    </w:p>
    <w:p>
      <w:pPr>
        <w:pStyle w:val="BodyText"/>
        <w:spacing w:line="460" w:lineRule="exact"/>
        <w:rPr>
          <w:rFonts w:ascii="仿宋" w:eastAsia="仿宋" w:hAnsi="仿宋" w:cs="仿宋"/>
          <w:sz w:val="24"/>
          <w:szCs w:val="24"/>
          <w:lang w:eastAsia="zh-CN"/>
        </w:rPr>
        <w:sectPr>
          <w:headerReference w:type="default" r:id="rId5"/>
          <w:footerReference w:type="default" r:id="rId6"/>
          <w:pgSz w:w="11905" w:h="16838"/>
          <w:pgMar w:top="856" w:right="1451" w:bottom="726" w:left="1451" w:header="0" w:footer="510" w:gutter="0"/>
          <w:cols w:num="1" w:space="0"/>
        </w:sectPr>
      </w:pPr>
      <w:r>
        <w:rPr>
          <w:rFonts w:ascii="仿宋" w:eastAsia="仿宋" w:hAnsi="仿宋" w:cs="仿宋" w:hint="eastAsia"/>
          <w:sz w:val="24"/>
          <w:szCs w:val="24"/>
        </w:rPr>
        <w:t>3.</w:t>
      </w:r>
      <w:r>
        <w:rPr>
          <w:rFonts w:ascii="仿宋" w:eastAsia="仿宋" w:hAnsi="仿宋" w:cs="仿宋" w:hint="eastAsia"/>
          <w:sz w:val="24"/>
          <w:szCs w:val="24"/>
          <w:lang w:eastAsia="zh-CN"/>
        </w:rPr>
        <w:t xml:space="preserve">4 </w:t>
      </w:r>
    </w:p>
    <w:p>
      <w:pPr>
        <w:pStyle w:val="BodyText"/>
        <w:spacing w:line="460" w:lineRule="exact"/>
        <w:ind w:firstLine="480" w:firstLineChars="200"/>
        <w:rPr>
          <w:rFonts w:ascii="仿宋" w:eastAsia="仿宋" w:hAnsi="仿宋" w:cs="仿宋"/>
          <w:b/>
          <w:bCs/>
          <w:spacing w:val="-1"/>
          <w:sz w:val="24"/>
          <w:szCs w:val="24"/>
          <w:lang w:eastAsia="zh-CN"/>
        </w:rPr>
      </w:pPr>
      <w:r>
        <w:rPr>
          <w:rFonts w:ascii="仿宋" w:eastAsia="仿宋" w:hAnsi="仿宋" w:cs="仿宋" w:hint="eastAsia"/>
          <w:b/>
          <w:bCs/>
          <w:spacing w:val="-1"/>
          <w:sz w:val="24"/>
          <w:szCs w:val="24"/>
          <w:lang w:eastAsia="zh-CN"/>
        </w:rPr>
        <w:t>智慧化食品安全管理 intelligent food safety management</w:t>
      </w:r>
    </w:p>
    <w:p>
      <w:pPr>
        <w:pStyle w:val="BodyText"/>
        <w:spacing w:line="460" w:lineRule="exact"/>
        <w:ind w:firstLine="480" w:firstLineChars="200"/>
        <w:rPr>
          <w:rFonts w:ascii="仿宋" w:eastAsia="仿宋" w:hAnsi="仿宋" w:cs="仿宋"/>
          <w:sz w:val="24"/>
          <w:szCs w:val="24"/>
          <w:lang w:eastAsia="zh-CN"/>
        </w:rPr>
      </w:pPr>
      <w:r>
        <w:rPr>
          <w:rFonts w:ascii="仿宋" w:eastAsia="仿宋" w:hAnsi="仿宋" w:cs="仿宋" w:hint="eastAsia"/>
          <w:color w:val="auto"/>
          <w:sz w:val="24"/>
          <w:lang w:eastAsia="zh-CN"/>
        </w:rPr>
        <w:t>通过数字赋能，建设“数字食安”生态圈，以数字化为核心，建成源头可溯、全程可控、风险可防、闭环管理的全链条食品安全治理体系。</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 xml:space="preserve">5 </w:t>
      </w:r>
    </w:p>
    <w:p>
      <w:pPr>
        <w:pStyle w:val="BodyText"/>
        <w:spacing w:line="460" w:lineRule="exact"/>
        <w:ind w:firstLine="480" w:firstLineChars="200"/>
        <w:rPr>
          <w:rFonts w:ascii="仿宋" w:eastAsia="仿宋" w:hAnsi="仿宋" w:cs="仿宋"/>
          <w:b/>
          <w:bCs/>
          <w:spacing w:val="-1"/>
          <w:sz w:val="24"/>
          <w:szCs w:val="24"/>
          <w:lang w:eastAsia="zh-CN"/>
        </w:rPr>
      </w:pPr>
      <w:r>
        <w:rPr>
          <w:rFonts w:ascii="仿宋" w:eastAsia="仿宋" w:hAnsi="仿宋" w:cs="仿宋" w:hint="eastAsia"/>
          <w:b/>
          <w:bCs/>
          <w:spacing w:val="-1"/>
          <w:sz w:val="24"/>
          <w:szCs w:val="24"/>
          <w:lang w:eastAsia="zh-CN"/>
        </w:rPr>
        <w:t>智慧运营管理 intelligent operations management</w:t>
      </w:r>
    </w:p>
    <w:p>
      <w:pPr>
        <w:pStyle w:val="BodyText"/>
        <w:spacing w:line="460" w:lineRule="exact"/>
        <w:ind w:firstLine="480" w:firstLineChars="200"/>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利用大数据、云计算、物联网等信息技术手段，通过智能化系统，进行全面的数字化、自动化和智能化运营管理，涵盖了数据采集、传输、存储、数据分析、模型建立和决策支持的全过程。</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 xml:space="preserve">6 </w:t>
      </w:r>
    </w:p>
    <w:p>
      <w:pPr>
        <w:pStyle w:val="BodyText"/>
        <w:spacing w:line="460" w:lineRule="exact"/>
        <w:ind w:firstLine="480" w:firstLineChars="200"/>
        <w:rPr>
          <w:rFonts w:ascii="仿宋" w:eastAsia="仿宋" w:hAnsi="仿宋" w:cs="仿宋"/>
          <w:b/>
          <w:bCs/>
          <w:spacing w:val="-1"/>
          <w:sz w:val="24"/>
          <w:szCs w:val="24"/>
          <w:lang w:eastAsia="zh-CN"/>
        </w:rPr>
      </w:pPr>
      <w:r>
        <w:rPr>
          <w:rFonts w:ascii="仿宋" w:eastAsia="仿宋" w:hAnsi="仿宋" w:cs="仿宋" w:hint="eastAsia"/>
          <w:b/>
          <w:bCs/>
          <w:spacing w:val="-1"/>
          <w:sz w:val="24"/>
          <w:szCs w:val="24"/>
          <w:lang w:eastAsia="zh-CN"/>
        </w:rPr>
        <w:t>智慧健康管理云平台 intelligent health management cloud platform</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通过用户健康管理APP/小程序/H5等进行搭建的应用程序。</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3.7 </w:t>
      </w:r>
    </w:p>
    <w:p>
      <w:pPr>
        <w:pStyle w:val="BodyText"/>
        <w:spacing w:line="460" w:lineRule="exact"/>
        <w:ind w:firstLine="480" w:firstLineChars="200"/>
        <w:rPr>
          <w:rFonts w:ascii="仿宋" w:eastAsia="仿宋" w:hAnsi="仿宋" w:cs="仿宋"/>
          <w:b/>
          <w:bCs/>
          <w:spacing w:val="-3"/>
          <w:sz w:val="24"/>
          <w:szCs w:val="24"/>
          <w:lang w:eastAsia="zh-CN"/>
        </w:rPr>
      </w:pPr>
      <w:r>
        <w:rPr>
          <w:rFonts w:ascii="仿宋" w:eastAsia="仿宋" w:hAnsi="仿宋" w:cs="仿宋" w:hint="eastAsia"/>
          <w:b/>
          <w:bCs/>
          <w:sz w:val="24"/>
          <w:szCs w:val="24"/>
          <w:lang w:eastAsia="zh-CN"/>
        </w:rPr>
        <w:t>营养标识</w:t>
      </w:r>
      <w:r>
        <w:rPr>
          <w:rFonts w:ascii="仿宋" w:eastAsia="仿宋" w:hAnsi="仿宋" w:cs="仿宋" w:hint="eastAsia"/>
          <w:b/>
          <w:bCs/>
          <w:spacing w:val="-3"/>
          <w:sz w:val="24"/>
          <w:szCs w:val="24"/>
          <w:lang w:eastAsia="zh-CN"/>
        </w:rPr>
        <w:t xml:space="preserve"> nutrition label</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提供食品营养成分和营养信息的标识。</w:t>
      </w:r>
    </w:p>
    <w:p>
      <w:pPr>
        <w:widowControl w:val="0"/>
        <w:tabs>
          <w:tab w:val="left" w:pos="675"/>
        </w:tabs>
        <w:kinsoku/>
        <w:spacing w:line="460" w:lineRule="exact"/>
        <w:ind w:firstLine="480" w:firstLineChars="200"/>
        <w:textAlignment w:val="auto"/>
        <w:rPr>
          <w:rFonts w:ascii="仿宋" w:eastAsia="仿宋" w:hAnsi="仿宋" w:cs="仿宋"/>
          <w:sz w:val="24"/>
          <w:szCs w:val="24"/>
          <w:lang w:eastAsia="zh-CN"/>
        </w:rPr>
      </w:pPr>
      <w:r>
        <w:rPr>
          <w:rFonts w:ascii="仿宋" w:eastAsia="仿宋" w:hAnsi="仿宋" w:cs="仿宋" w:hint="eastAsia"/>
          <w:color w:val="auto"/>
          <w:sz w:val="24"/>
          <w:lang w:eastAsia="zh-CN"/>
        </w:rPr>
        <w:t>注：包括但不限于食品中能量、蛋白质、脂肪、碳水化合物、纤维、维生素、矿物质等营</w:t>
      </w:r>
      <w:r>
        <w:rPr>
          <w:rFonts w:ascii="仿宋" w:eastAsia="仿宋" w:hAnsi="仿宋" w:cs="仿宋" w:hint="eastAsia"/>
          <w:sz w:val="24"/>
          <w:szCs w:val="24"/>
          <w:lang w:eastAsia="zh-CN"/>
        </w:rPr>
        <w:t>养成分的信息。</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 xml:space="preserve">8 </w:t>
      </w:r>
    </w:p>
    <w:p>
      <w:pPr>
        <w:pStyle w:val="BodyText"/>
        <w:spacing w:line="460" w:lineRule="exact"/>
        <w:ind w:firstLine="480" w:firstLineChars="200"/>
        <w:rPr>
          <w:rFonts w:ascii="仿宋" w:eastAsia="仿宋" w:hAnsi="仿宋" w:cs="仿宋"/>
          <w:b/>
          <w:bCs/>
          <w:spacing w:val="-3"/>
          <w:sz w:val="24"/>
          <w:szCs w:val="24"/>
          <w:lang w:eastAsia="zh-CN"/>
        </w:rPr>
      </w:pPr>
      <w:r>
        <w:rPr>
          <w:rFonts w:ascii="仿宋" w:eastAsia="仿宋" w:hAnsi="仿宋" w:cs="仿宋" w:hint="eastAsia"/>
          <w:b/>
          <w:bCs/>
          <w:sz w:val="24"/>
          <w:szCs w:val="24"/>
          <w:lang w:eastAsia="zh-CN"/>
        </w:rPr>
        <w:t>健康营养</w:t>
      </w:r>
      <w:r>
        <w:rPr>
          <w:rFonts w:ascii="仿宋" w:eastAsia="仿宋" w:hAnsi="仿宋" w:cs="仿宋" w:hint="eastAsia"/>
          <w:b/>
          <w:bCs/>
          <w:sz w:val="24"/>
          <w:lang w:eastAsia="zh-CN"/>
        </w:rPr>
        <w:t>食谱</w:t>
      </w:r>
      <w:r>
        <w:rPr>
          <w:rFonts w:ascii="仿宋" w:eastAsia="仿宋" w:hAnsi="仿宋" w:cs="仿宋" w:hint="eastAsia"/>
          <w:b/>
          <w:bCs/>
          <w:spacing w:val="-3"/>
          <w:sz w:val="24"/>
          <w:szCs w:val="24"/>
          <w:lang w:eastAsia="zh-CN"/>
        </w:rPr>
        <w:t xml:space="preserve"> healthy and nutrition recipes</w:t>
      </w:r>
      <w:r>
        <w:rPr>
          <w:rFonts w:ascii="仿宋" w:eastAsia="仿宋" w:hAnsi="仿宋" w:cs="仿宋" w:hint="eastAsia"/>
          <w:b/>
          <w:bCs/>
          <w:sz w:val="24"/>
          <w:lang w:eastAsia="zh-CN"/>
        </w:rPr>
        <w:t xml:space="preserve"> </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通过合理搭配食物和菜品，综合考虑人体健康和正常功能的营养需求、食物营养成分、烹饪方式和个体特殊情况，由营养学专家、医生或健康机构根据科学研究、营养指南和个体需求制定的食物组合和食用方法。</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3.9 </w:t>
      </w:r>
    </w:p>
    <w:p>
      <w:pPr>
        <w:pStyle w:val="BodyText"/>
        <w:spacing w:line="460" w:lineRule="exact"/>
        <w:ind w:firstLine="480" w:firstLineChars="200"/>
        <w:rPr>
          <w:rFonts w:ascii="仿宋" w:eastAsia="仿宋" w:hAnsi="仿宋" w:cs="仿宋"/>
          <w:b/>
          <w:bCs/>
          <w:sz w:val="24"/>
          <w:szCs w:val="24"/>
          <w:lang w:eastAsia="zh-CN"/>
        </w:rPr>
      </w:pPr>
      <w:r>
        <w:rPr>
          <w:rFonts w:ascii="仿宋" w:eastAsia="仿宋" w:hAnsi="仿宋" w:cs="仿宋" w:hint="eastAsia"/>
          <w:b/>
          <w:bCs/>
          <w:sz w:val="24"/>
          <w:szCs w:val="24"/>
          <w:lang w:eastAsia="zh-CN"/>
        </w:rPr>
        <w:t>健康指导 health guidance</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通过提供专业的建议、信息和支持，帮助个人获得健康饮食方式、改善健康状况、预防疾病和提高生活质量、实现和维持个人身体和心理健康的过程。</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3.10 </w:t>
      </w:r>
    </w:p>
    <w:p>
      <w:pPr>
        <w:pStyle w:val="BodyText"/>
        <w:spacing w:line="460" w:lineRule="exact"/>
        <w:ind w:firstLine="480" w:firstLineChars="200"/>
        <w:rPr>
          <w:rFonts w:ascii="仿宋" w:eastAsia="仿宋" w:hAnsi="仿宋" w:cs="仿宋"/>
          <w:b/>
          <w:bCs/>
          <w:sz w:val="24"/>
          <w:szCs w:val="24"/>
          <w:lang w:eastAsia="zh-CN"/>
        </w:rPr>
      </w:pPr>
      <w:r>
        <w:rPr>
          <w:rFonts w:ascii="仿宋" w:eastAsia="仿宋" w:hAnsi="仿宋" w:cs="仿宋" w:hint="eastAsia"/>
          <w:b/>
          <w:bCs/>
          <w:sz w:val="24"/>
          <w:szCs w:val="24"/>
          <w:lang w:eastAsia="zh-CN"/>
        </w:rPr>
        <w:t>健康管理 health—management</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以现代健康概念（生理、心理和社会适应能力）和新的医学模式（生理—心理—社会）以及中医治未病指导，通过采用现代医学和现代管理学的理论、技术、方法和手段，对个体或群体整体健康状况及其影响健康的危险因素进行全面检测、评估、有效干预与连续跟踪服务的医学行为及过程。</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3.11 </w:t>
      </w:r>
    </w:p>
    <w:p>
      <w:pPr>
        <w:pStyle w:val="BodyText"/>
        <w:spacing w:line="460" w:lineRule="exact"/>
        <w:ind w:firstLine="480" w:firstLineChars="200"/>
        <w:rPr>
          <w:rFonts w:ascii="仿宋" w:eastAsia="仿宋" w:hAnsi="仿宋" w:cs="仿宋"/>
          <w:b/>
          <w:bCs/>
          <w:sz w:val="24"/>
          <w:szCs w:val="24"/>
          <w:lang w:eastAsia="zh-CN"/>
        </w:rPr>
        <w:sectPr>
          <w:headerReference w:type="default" r:id="rId7"/>
          <w:footerReference w:type="default" r:id="rId8"/>
          <w:type w:val="nextPage"/>
          <w:pgSz w:w="11905" w:h="16838"/>
          <w:pgMar w:top="856" w:right="1451" w:bottom="726" w:left="1451" w:header="0" w:footer="510" w:gutter="0"/>
          <w:pgNumType w:start="2"/>
          <w:cols w:num="1" w:space="0"/>
          <w:titlePg w:val="0"/>
        </w:sectPr>
      </w:pPr>
      <w:r>
        <w:rPr>
          <w:rFonts w:ascii="仿宋" w:eastAsia="仿宋" w:hAnsi="仿宋" w:cs="仿宋" w:hint="eastAsia"/>
          <w:b/>
          <w:bCs/>
          <w:sz w:val="24"/>
          <w:szCs w:val="24"/>
          <w:lang w:eastAsia="zh-CN"/>
        </w:rPr>
        <w:t>营养健康教育 health nutrition education</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针对个体或群体所面临的具体营养健康问题，通过普及营养与健康知识，采用信息传播、教育、行为干预等方法，帮助个体或群体树立营养健康观念，提高营养健康意识，掌握营养健康知识与技能，改变与营养有关的不健康的饮食行为和生活方式，达到改善其营养与健康状况、预防营养相关疾病目的而开展的一系列活动及过程。</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 xml:space="preserve">12 </w:t>
      </w:r>
    </w:p>
    <w:p>
      <w:pPr>
        <w:pStyle w:val="BodyText"/>
        <w:spacing w:line="460" w:lineRule="exact"/>
        <w:ind w:firstLine="480" w:firstLineChars="200"/>
        <w:rPr>
          <w:rFonts w:ascii="仿宋" w:eastAsia="仿宋" w:hAnsi="仿宋" w:cs="仿宋"/>
          <w:b/>
          <w:bCs/>
          <w:sz w:val="24"/>
          <w:szCs w:val="24"/>
          <w:lang w:eastAsia="zh-CN"/>
        </w:rPr>
      </w:pPr>
      <w:r>
        <w:rPr>
          <w:rFonts w:ascii="仿宋" w:eastAsia="仿宋" w:hAnsi="仿宋" w:cs="仿宋" w:hint="eastAsia"/>
          <w:b/>
          <w:bCs/>
          <w:sz w:val="24"/>
          <w:szCs w:val="24"/>
          <w:lang w:eastAsia="zh-CN"/>
        </w:rPr>
        <w:t>个人健康画像 personal health portrait</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通过收集和处理用户个人基本信息（性别、年龄、BMI、基础代谢等）、医疗相关数据（现病史、过敏史、疾病风险等）信息，以相关健康指标为维度构建的数据模型。</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注：主要用于辅助个人健康管理和疾病防治。</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3.13 </w:t>
      </w:r>
    </w:p>
    <w:p>
      <w:pPr>
        <w:pStyle w:val="BodyText"/>
        <w:spacing w:line="460" w:lineRule="exact"/>
        <w:ind w:firstLine="480" w:firstLineChars="200"/>
        <w:rPr>
          <w:rFonts w:ascii="仿宋" w:eastAsia="仿宋" w:hAnsi="仿宋" w:cs="仿宋"/>
          <w:b/>
          <w:bCs/>
          <w:sz w:val="24"/>
          <w:szCs w:val="24"/>
          <w:lang w:eastAsia="zh-CN"/>
        </w:rPr>
      </w:pPr>
      <w:r>
        <w:rPr>
          <w:rFonts w:ascii="仿宋" w:eastAsia="仿宋" w:hAnsi="仿宋" w:cs="仿宋" w:hint="eastAsia"/>
          <w:b/>
          <w:bCs/>
          <w:sz w:val="24"/>
          <w:szCs w:val="24"/>
          <w:lang w:eastAsia="zh-CN"/>
        </w:rPr>
        <w:t>智慧化 intelligentization</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通过物联网、人工智能、大数据分析、自动化等技术应用，将设备、系统与管理融合成食堂生态系统，提升食堂功能、效率和用户体验，以实现更高效、智能和便利的运作和服务。</w:t>
      </w:r>
    </w:p>
    <w:p>
      <w:pPr>
        <w:pStyle w:val="Body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 xml:space="preserve">3.14 </w:t>
      </w:r>
    </w:p>
    <w:p>
      <w:pPr>
        <w:pStyle w:val="BodyText"/>
        <w:spacing w:line="460" w:lineRule="exact"/>
        <w:ind w:firstLine="480" w:firstLineChars="200"/>
        <w:rPr>
          <w:rFonts w:ascii="仿宋" w:eastAsia="仿宋" w:hAnsi="仿宋" w:cs="仿宋"/>
          <w:b/>
          <w:bCs/>
          <w:sz w:val="24"/>
          <w:szCs w:val="24"/>
          <w:lang w:eastAsia="zh-CN"/>
        </w:rPr>
      </w:pPr>
      <w:r>
        <w:rPr>
          <w:rFonts w:ascii="仿宋" w:eastAsia="仿宋" w:hAnsi="仿宋" w:cs="仿宋" w:hint="eastAsia"/>
          <w:b/>
          <w:bCs/>
          <w:sz w:val="24"/>
          <w:szCs w:val="24"/>
          <w:lang w:eastAsia="zh-CN"/>
        </w:rPr>
        <w:t xml:space="preserve">等级评定 grade assessment </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根据一定的标准和方法对智慧健康食堂进行等级划分并进行评级的过程。</w:t>
      </w:r>
    </w:p>
    <w:p>
      <w:pPr>
        <w:spacing w:line="460" w:lineRule="exact"/>
        <w:jc w:val="both"/>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4 缩略语</w:t>
      </w:r>
    </w:p>
    <w:p>
      <w:pPr>
        <w:spacing w:line="460" w:lineRule="exact"/>
        <w:jc w:val="both"/>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 xml:space="preserve">    下列缩略语适用于本文件。</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APP：应用程序（Application）</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H5：第5代超文本标记语言（Hypertext Markup Language 5）</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BMI：身体质量指数（Body Mass Index）</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TCP：传输控制协议（Transmission Control Protocol）</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HTTP：超文本传输协议（Hypertext Transfer Protocol）</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RJ45：注册接口45（Registered Jack 45）</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WI-FI：无线网络（Wireless Fidelity）</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4G：第四代移动通信技术（Fourth Generation）</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5G：第五代移动通信技术（Fifth Generation）</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RFID：射频识别（Radio Frequency Identification）</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AI：人工智能（Artificial Intelligence）</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VC：维生素C（Vitamin C）</w:t>
      </w:r>
    </w:p>
    <w:p>
      <w:pPr>
        <w:spacing w:line="460" w:lineRule="exact"/>
        <w:ind w:firstLine="480" w:firstLineChars="200"/>
        <w:rPr>
          <w:rFonts w:ascii="仿宋" w:eastAsia="仿宋" w:hAnsi="仿宋" w:cs="仿宋"/>
          <w:color w:val="auto"/>
          <w:sz w:val="24"/>
          <w:lang w:eastAsia="zh-CN"/>
        </w:rPr>
      </w:pPr>
      <w:r>
        <w:rPr>
          <w:rFonts w:ascii="仿宋" w:eastAsia="仿宋" w:hAnsi="仿宋" w:cs="仿宋" w:hint="eastAsia"/>
          <w:color w:val="auto"/>
          <w:sz w:val="24"/>
          <w:lang w:eastAsia="zh-CN"/>
        </w:rPr>
        <w:t>NRV：营养素参考值（Nutrient Reference Value）</w:t>
      </w:r>
    </w:p>
    <w:p>
      <w:pPr>
        <w:spacing w:line="460" w:lineRule="exact"/>
        <w:ind w:firstLine="480" w:firstLineChars="200"/>
        <w:rPr>
          <w:rFonts w:ascii="仿宋" w:eastAsia="仿宋" w:hAnsi="仿宋" w:cs="仿宋"/>
          <w:color w:val="auto"/>
          <w:sz w:val="24"/>
          <w:lang w:eastAsia="zh-CN"/>
        </w:rPr>
        <w:sectPr>
          <w:headerReference w:type="default" r:id="rId9"/>
          <w:footerReference w:type="default" r:id="rId10"/>
          <w:type w:val="nextPage"/>
          <w:pgSz w:w="11905" w:h="16838"/>
          <w:pgMar w:top="856" w:right="1451" w:bottom="726" w:left="1451" w:header="0" w:footer="510" w:gutter="0"/>
          <w:pgNumType w:start="3"/>
          <w:cols w:num="1" w:space="0"/>
          <w:titlePg w:val="0"/>
        </w:sectPr>
      </w:pPr>
      <w:r>
        <w:rPr>
          <w:rFonts w:ascii="仿宋" w:eastAsia="仿宋" w:hAnsi="仿宋" w:cs="仿宋" w:hint="eastAsia"/>
          <w:color w:val="auto"/>
          <w:sz w:val="24"/>
          <w:lang w:eastAsia="zh-CN"/>
        </w:rPr>
        <w:t>ERP：企业资源计划（Enterprise Resource Planning）</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w:t>
      </w:r>
      <w:r>
        <w:rPr>
          <w:rFonts w:ascii="仿宋" w:eastAsia="仿宋" w:hAnsi="仿宋" w:cs="仿宋" w:hint="eastAsia"/>
          <w:spacing w:val="-1"/>
          <w:sz w:val="24"/>
          <w:szCs w:val="24"/>
        </w:rPr>
        <w:t xml:space="preserve">  </w:t>
      </w:r>
      <w:r>
        <w:rPr>
          <w:rFonts w:ascii="仿宋" w:eastAsia="仿宋" w:hAnsi="仿宋" w:cs="仿宋" w:hint="eastAsia"/>
          <w:spacing w:val="-1"/>
          <w:sz w:val="24"/>
          <w:szCs w:val="24"/>
          <w:lang w:eastAsia="zh-CN"/>
        </w:rPr>
        <w:t>智慧健康食堂建设</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5.1 分类</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根据食堂建设基础设施与智慧化管理与服务的智慧程度可分为一级、二级、三级，其评分细则见附录A。</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5</w:t>
      </w:r>
      <w:r>
        <w:rPr>
          <w:rFonts w:ascii="仿宋" w:eastAsia="仿宋" w:hAnsi="仿宋" w:cs="仿宋" w:hint="eastAsia"/>
          <w:sz w:val="24"/>
          <w:szCs w:val="24"/>
          <w:lang w:eastAsia="zh-CN"/>
        </w:rPr>
        <w:t>.2 建设原则</w:t>
      </w:r>
    </w:p>
    <w:p>
      <w:pPr>
        <w:pStyle w:val="PlainText"/>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5.2.1总体设计原则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根据食堂的规模和功能需求，统筹设计</w:t>
      </w:r>
      <w:r>
        <w:rPr>
          <w:rFonts w:ascii="仿宋" w:eastAsia="仿宋" w:hAnsi="仿宋" w:cs="仿宋"/>
          <w:color w:val="auto"/>
          <w:sz w:val="24"/>
          <w:lang w:eastAsia="zh-CN"/>
        </w:rPr>
        <w:t>智能化设备和管理系统</w:t>
      </w:r>
      <w:r>
        <w:rPr>
          <w:rFonts w:ascii="仿宋" w:eastAsia="仿宋" w:hAnsi="仿宋" w:cs="仿宋" w:hint="eastAsia"/>
          <w:color w:val="auto"/>
          <w:sz w:val="24"/>
          <w:lang w:eastAsia="zh-CN"/>
        </w:rPr>
        <w:t>，并采取</w:t>
      </w:r>
      <w:r>
        <w:rPr>
          <w:rFonts w:ascii="仿宋" w:eastAsia="仿宋" w:hAnsi="仿宋" w:cs="仿宋"/>
          <w:color w:val="auto"/>
          <w:sz w:val="24"/>
          <w:lang w:eastAsia="zh-CN"/>
        </w:rPr>
        <w:t>符合环境卫生与安全标准</w:t>
      </w:r>
      <w:r>
        <w:rPr>
          <w:rFonts w:ascii="仿宋" w:eastAsia="仿宋" w:hAnsi="仿宋" w:cs="仿宋" w:hint="eastAsia"/>
          <w:color w:val="auto"/>
          <w:sz w:val="24"/>
          <w:lang w:eastAsia="zh-CN"/>
        </w:rPr>
        <w:t>的设计方案，其建筑、附属设施、设备、服务项目和运营管理应符合国家现行的建筑、安全、食安、卫生、环保、消防、公共信息标志等有关食堂的一切法律法规及标准的规定与要求。</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5.2.2 建设基础设施选型设计原则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根据食堂的具体需求和功能进行选择，不盲目追求技术的先进性；各项</w:t>
      </w:r>
      <w:r>
        <w:rPr>
          <w:rFonts w:ascii="仿宋" w:eastAsia="仿宋" w:hAnsi="仿宋" w:cs="仿宋"/>
          <w:color w:val="auto"/>
          <w:sz w:val="24"/>
          <w:lang w:eastAsia="zh-CN"/>
        </w:rPr>
        <w:t>设备和系统</w:t>
      </w:r>
      <w:r>
        <w:rPr>
          <w:rFonts w:ascii="仿宋" w:eastAsia="仿宋" w:hAnsi="仿宋" w:cs="仿宋" w:hint="eastAsia"/>
          <w:color w:val="auto"/>
          <w:sz w:val="24"/>
          <w:lang w:eastAsia="zh-CN"/>
        </w:rPr>
        <w:t>能够进行</w:t>
      </w:r>
      <w:r>
        <w:rPr>
          <w:rFonts w:ascii="仿宋" w:eastAsia="仿宋" w:hAnsi="仿宋" w:cs="仿宋"/>
          <w:color w:val="auto"/>
          <w:sz w:val="24"/>
          <w:lang w:eastAsia="zh-CN"/>
        </w:rPr>
        <w:t>数据集成</w:t>
      </w:r>
      <w:r>
        <w:rPr>
          <w:rFonts w:ascii="仿宋" w:eastAsia="仿宋" w:hAnsi="仿宋" w:cs="仿宋" w:hint="eastAsia"/>
          <w:color w:val="auto"/>
          <w:sz w:val="24"/>
          <w:lang w:eastAsia="zh-CN"/>
        </w:rPr>
        <w:t>、</w:t>
      </w:r>
      <w:r>
        <w:rPr>
          <w:rFonts w:ascii="仿宋" w:eastAsia="仿宋" w:hAnsi="仿宋" w:cs="仿宋"/>
          <w:color w:val="auto"/>
          <w:sz w:val="24"/>
          <w:lang w:eastAsia="zh-CN"/>
        </w:rPr>
        <w:t>互联互通</w:t>
      </w:r>
      <w:r>
        <w:rPr>
          <w:rFonts w:ascii="仿宋" w:eastAsia="仿宋" w:hAnsi="仿宋" w:cs="仿宋" w:hint="eastAsia"/>
          <w:color w:val="auto"/>
          <w:sz w:val="24"/>
          <w:lang w:eastAsia="zh-CN"/>
        </w:rPr>
        <w:t>、</w:t>
      </w:r>
      <w:r>
        <w:rPr>
          <w:rFonts w:ascii="仿宋" w:eastAsia="仿宋" w:hAnsi="仿宋" w:cs="仿宋"/>
          <w:color w:val="auto"/>
          <w:sz w:val="24"/>
          <w:lang w:eastAsia="zh-CN"/>
        </w:rPr>
        <w:t>信息共享和协同工作</w:t>
      </w:r>
      <w:r>
        <w:rPr>
          <w:rFonts w:ascii="仿宋" w:eastAsia="仿宋" w:hAnsi="仿宋" w:cs="仿宋" w:hint="eastAsia"/>
          <w:color w:val="auto"/>
          <w:sz w:val="24"/>
          <w:lang w:eastAsia="zh-CN"/>
        </w:rPr>
        <w:t>；人机互动</w:t>
      </w:r>
      <w:r>
        <w:rPr>
          <w:rFonts w:ascii="仿宋" w:eastAsia="仿宋" w:hAnsi="仿宋" w:cs="仿宋"/>
          <w:color w:val="auto"/>
          <w:sz w:val="24"/>
          <w:lang w:eastAsia="zh-CN"/>
        </w:rPr>
        <w:t>性</w:t>
      </w:r>
      <w:r>
        <w:rPr>
          <w:rFonts w:ascii="仿宋" w:eastAsia="仿宋" w:hAnsi="仿宋" w:cs="仿宋" w:hint="eastAsia"/>
          <w:color w:val="auto"/>
          <w:sz w:val="24"/>
          <w:lang w:eastAsia="zh-CN"/>
        </w:rPr>
        <w:t>高</w:t>
      </w:r>
      <w:r>
        <w:rPr>
          <w:rFonts w:ascii="仿宋" w:eastAsia="仿宋" w:hAnsi="仿宋" w:cs="仿宋"/>
          <w:color w:val="auto"/>
          <w:sz w:val="24"/>
          <w:lang w:eastAsia="zh-CN"/>
        </w:rPr>
        <w:t>，设备界面设计和操作方式简单易懂</w:t>
      </w:r>
      <w:r>
        <w:rPr>
          <w:rFonts w:ascii="仿宋" w:eastAsia="仿宋" w:hAnsi="仿宋" w:cs="仿宋" w:hint="eastAsia"/>
          <w:color w:val="auto"/>
          <w:sz w:val="24"/>
          <w:lang w:eastAsia="zh-CN"/>
        </w:rPr>
        <w:t>；数据管理具有高级别的</w:t>
      </w:r>
      <w:r>
        <w:rPr>
          <w:rFonts w:ascii="仿宋" w:eastAsia="仿宋" w:hAnsi="仿宋" w:cs="仿宋"/>
          <w:color w:val="auto"/>
          <w:sz w:val="24"/>
          <w:lang w:eastAsia="zh-CN"/>
        </w:rPr>
        <w:t>安全和隐私保护措施</w:t>
      </w:r>
      <w:r>
        <w:rPr>
          <w:rFonts w:ascii="仿宋" w:eastAsia="仿宋" w:hAnsi="仿宋" w:cs="仿宋" w:hint="eastAsia"/>
          <w:color w:val="auto"/>
          <w:sz w:val="24"/>
          <w:lang w:eastAsia="zh-CN"/>
        </w:rPr>
        <w:t>；设备</w:t>
      </w:r>
      <w:r>
        <w:rPr>
          <w:rFonts w:ascii="仿宋" w:eastAsia="仿宋" w:hAnsi="仿宋" w:cs="仿宋"/>
          <w:color w:val="auto"/>
          <w:sz w:val="24"/>
          <w:lang w:eastAsia="zh-CN"/>
        </w:rPr>
        <w:t>接口具备可扩展性和灵活性，支持模块化设计</w:t>
      </w:r>
      <w:r>
        <w:rPr>
          <w:rFonts w:ascii="仿宋" w:eastAsia="仿宋" w:hAnsi="仿宋" w:cs="仿宋" w:hint="eastAsia"/>
          <w:color w:val="auto"/>
          <w:sz w:val="24"/>
          <w:lang w:eastAsia="zh-CN"/>
        </w:rPr>
        <w:t>；设备</w:t>
      </w:r>
      <w:r>
        <w:rPr>
          <w:rFonts w:ascii="仿宋" w:eastAsia="仿宋" w:hAnsi="仿宋" w:cs="仿宋"/>
          <w:color w:val="auto"/>
          <w:sz w:val="24"/>
          <w:lang w:eastAsia="zh-CN"/>
        </w:rPr>
        <w:t>具有高品质稳定</w:t>
      </w:r>
      <w:r>
        <w:rPr>
          <w:rFonts w:ascii="仿宋" w:eastAsia="仿宋" w:hAnsi="仿宋" w:cs="仿宋" w:hint="eastAsia"/>
          <w:color w:val="auto"/>
          <w:sz w:val="24"/>
          <w:lang w:eastAsia="zh-CN"/>
        </w:rPr>
        <w:t>性、</w:t>
      </w:r>
      <w:r>
        <w:rPr>
          <w:rFonts w:ascii="仿宋" w:eastAsia="仿宋" w:hAnsi="仿宋" w:cs="仿宋"/>
          <w:color w:val="auto"/>
          <w:sz w:val="24"/>
          <w:lang w:eastAsia="zh-CN"/>
        </w:rPr>
        <w:t>长期运行可靠性和低故障率</w:t>
      </w:r>
      <w:r>
        <w:rPr>
          <w:rFonts w:ascii="仿宋" w:eastAsia="仿宋" w:hAnsi="仿宋" w:cs="仿宋" w:hint="eastAsia"/>
          <w:color w:val="auto"/>
          <w:sz w:val="24"/>
          <w:lang w:eastAsia="zh-CN"/>
        </w:rPr>
        <w:t>，应具备远程控制、故障预警、异常操作告警、使用能耗监控的智能功能。</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5.2.3 系统设计原则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建设基础设施与智慧化管理与服务的系统设计均需要遵循以下原则：</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a）系统性：系统代码统一，设计规范标准，传递语言一致，系统数据来源一致，全局共享，一次输入，多次利用；</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b）灵活性：系统具有开放性和结构可变性，采用模块化结构，各模块独立，减少模块间数据偶合，使各子系统间的数据依赖减至最低限度；</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c）可靠性：系统宜具有较高的抵御外界干扰能力及受外界干扰时的恢复能力；</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d）经济性：系统避免复杂化，缩短处理流程，减少处理费用；</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e）易用性：串行通信协议下宜能通过简单的填写设备地址、寄存器地址、数据类型、数据长度和数据名称即可完成设备部署；</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f）扩展性：支持海量数据库、历史数据进行低频存储，减少服务器资源且能无缝扩容，系统应支持云端和本地私有化两种部署，支持超大规模设备接入系统。</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5.2.4 联网设计模式</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建设基础设施与智慧化管理与服务的联网设计均需要遵循以下原则：</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a）物联网协议：串行通信协议、TCP、HTTP、MQTT、蓝牙无线通信技术应支持至少1种协议。</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sectPr>
          <w:headerReference w:type="default" r:id="rId11"/>
          <w:footerReference w:type="default" r:id="rId12"/>
          <w:type w:val="nextPage"/>
          <w:pgSz w:w="11905" w:h="16838"/>
          <w:pgMar w:top="856" w:right="1451" w:bottom="726" w:left="1451" w:header="0" w:footer="510" w:gutter="0"/>
          <w:pgNumType w:start="4"/>
          <w:cols w:num="1" w:space="0"/>
          <w:titlePg w:val="0"/>
        </w:sectPr>
      </w:pP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b）传输模式：根据设备和现场情况可自行选择RJ45、WI-FI、4G、5G、无线射频等传输模式。</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6 智慧化食品安全管理</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6</w:t>
      </w:r>
      <w:r>
        <w:rPr>
          <w:rFonts w:ascii="仿宋" w:eastAsia="仿宋" w:hAnsi="仿宋" w:cs="仿宋"/>
          <w:sz w:val="24"/>
          <w:szCs w:val="24"/>
          <w:lang w:eastAsia="zh-CN"/>
        </w:rPr>
        <w:t>.1</w:t>
      </w:r>
      <w:r>
        <w:rPr>
          <w:rFonts w:ascii="仿宋" w:eastAsia="仿宋" w:hAnsi="仿宋" w:cs="仿宋" w:hint="eastAsia"/>
          <w:sz w:val="24"/>
          <w:szCs w:val="24"/>
          <w:lang w:eastAsia="zh-CN"/>
        </w:rPr>
        <w:t>食品采购管理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数字化管理方法，实现对整个采购过程的安全和可追溯性监控，确保原材料的产地、供应商的合法性与食品质量等方面的条件符合相关要求，同时根据实时食品使用情况，进行合理库存管理，减少采购的浪费，进一步强化食品供应链监督和管理，有效提升食品安全保障水平。</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6</w:t>
      </w:r>
      <w:r>
        <w:rPr>
          <w:rFonts w:ascii="仿宋" w:eastAsia="仿宋" w:hAnsi="仿宋" w:cs="仿宋"/>
          <w:sz w:val="24"/>
          <w:szCs w:val="24"/>
          <w:lang w:eastAsia="zh-CN"/>
        </w:rPr>
        <w:t>.2</w:t>
      </w:r>
      <w:r>
        <w:rPr>
          <w:rFonts w:ascii="仿宋" w:eastAsia="仿宋" w:hAnsi="仿宋" w:cs="仿宋" w:hint="eastAsia"/>
          <w:sz w:val="24"/>
          <w:szCs w:val="24"/>
          <w:lang w:eastAsia="zh-CN"/>
        </w:rPr>
        <w:t>储存和保鲜要求</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利用传感器技术监控食品储存和保鲜的实时状况，保障食品安全和质量。</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6</w:t>
      </w:r>
      <w:r>
        <w:rPr>
          <w:rFonts w:ascii="仿宋" w:eastAsia="仿宋" w:hAnsi="仿宋" w:cs="仿宋"/>
          <w:sz w:val="24"/>
          <w:szCs w:val="24"/>
          <w:lang w:eastAsia="zh-CN"/>
        </w:rPr>
        <w:t>.3</w:t>
      </w:r>
      <w:r>
        <w:rPr>
          <w:rFonts w:ascii="仿宋" w:eastAsia="仿宋" w:hAnsi="仿宋" w:cs="仿宋" w:hint="eastAsia"/>
          <w:sz w:val="24"/>
          <w:szCs w:val="24"/>
          <w:lang w:eastAsia="zh-CN"/>
        </w:rPr>
        <w:t>食品加工和制作规范</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食品经过智慧加工才能真正实现品质稳定，助力食安。具体如下：</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a）采用智能切菜机、智能洗菜机等设备，实现菜品前处理工艺流程和清洁卫生系统化管理；</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b）采用智能炒菜机、智能蒸烤箱、智能油炸机、智能煮面炉等烹饪设备，基于标准化菜谱流程烹饪，实现用料准确、加工精准、口感稳定；</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c）通过数字化为明厨亮灶赋能，助力食品安全与卫生管理。</w:t>
      </w:r>
    </w:p>
    <w:p>
      <w:pPr>
        <w:pStyle w:val="PlainText"/>
        <w:spacing w:line="460" w:lineRule="exact"/>
        <w:rPr>
          <w:rFonts w:ascii="仿宋" w:eastAsia="仿宋" w:hAnsi="仿宋" w:cs="仿宋"/>
          <w:spacing w:val="-2"/>
          <w:sz w:val="24"/>
          <w:szCs w:val="24"/>
          <w:lang w:eastAsia="zh-CN"/>
        </w:rPr>
      </w:pPr>
      <w:r>
        <w:rPr>
          <w:rFonts w:ascii="仿宋" w:eastAsia="仿宋" w:hAnsi="仿宋" w:cs="仿宋" w:hint="eastAsia"/>
          <w:spacing w:val="-1"/>
          <w:sz w:val="24"/>
          <w:szCs w:val="24"/>
          <w:lang w:eastAsia="zh-CN"/>
        </w:rPr>
        <w:t>6</w:t>
      </w:r>
      <w:r>
        <w:rPr>
          <w:rFonts w:ascii="仿宋" w:eastAsia="仿宋" w:hAnsi="仿宋" w:cs="仿宋" w:hint="eastAsia"/>
          <w:spacing w:val="-2"/>
          <w:sz w:val="24"/>
          <w:szCs w:val="24"/>
          <w:lang w:eastAsia="zh-CN"/>
        </w:rPr>
        <w:t>.4食品留样</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食品留样分为留样、处理、记录、监管流程，上传采集的留样信息，通过二维码便可进行信息统计查询，随时可查，快速精准，一码到底。</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6</w:t>
      </w:r>
      <w:r>
        <w:rPr>
          <w:rFonts w:ascii="仿宋" w:eastAsia="仿宋" w:hAnsi="仿宋" w:cs="仿宋"/>
          <w:sz w:val="24"/>
          <w:szCs w:val="24"/>
          <w:lang w:eastAsia="zh-CN"/>
        </w:rPr>
        <w:t>.5</w:t>
      </w:r>
      <w:r>
        <w:rPr>
          <w:rFonts w:ascii="仿宋" w:eastAsia="仿宋" w:hAnsi="仿宋" w:cs="仿宋" w:hint="eastAsia"/>
          <w:sz w:val="24"/>
          <w:szCs w:val="24"/>
          <w:lang w:eastAsia="zh-CN"/>
        </w:rPr>
        <w:t>食品取餐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通过RFID智盘结算台、智慧称重餐台、AI视觉餐台、数字智能取餐柜等取餐结算设备，实现无接触取餐。</w:t>
      </w:r>
    </w:p>
    <w:p>
      <w:pPr>
        <w:pStyle w:val="PlainText"/>
        <w:spacing w:line="460" w:lineRule="exact"/>
        <w:outlineLvl w:val="1"/>
        <w:rPr>
          <w:rFonts w:ascii="仿宋" w:eastAsia="仿宋" w:hAnsi="仿宋" w:cs="仿宋"/>
          <w:color w:val="auto"/>
          <w:sz w:val="24"/>
          <w:szCs w:val="24"/>
          <w:lang w:eastAsia="zh-CN"/>
        </w:rPr>
      </w:pPr>
      <w:r>
        <w:rPr>
          <w:rFonts w:ascii="仿宋" w:eastAsia="仿宋" w:hAnsi="仿宋" w:cs="仿宋" w:hint="eastAsia"/>
          <w:spacing w:val="-1"/>
          <w:sz w:val="24"/>
          <w:szCs w:val="24"/>
          <w:lang w:eastAsia="zh-CN"/>
        </w:rPr>
        <w:t>6</w:t>
      </w:r>
      <w:r>
        <w:rPr>
          <w:rFonts w:ascii="仿宋" w:eastAsia="仿宋" w:hAnsi="仿宋" w:cs="仿宋" w:hint="eastAsia"/>
          <w:color w:val="auto"/>
          <w:sz w:val="24"/>
          <w:szCs w:val="24"/>
          <w:lang w:eastAsia="zh-CN"/>
        </w:rPr>
        <w:t>.6餐盘回收</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设置垃圾分类区域和智能投放装置，利用智能感知技术，实现自动化垃圾分类和清理。</w:t>
      </w:r>
    </w:p>
    <w:p>
      <w:pPr>
        <w:pStyle w:val="PlainText"/>
        <w:spacing w:line="460" w:lineRule="exact"/>
        <w:outlineLvl w:val="1"/>
        <w:rPr>
          <w:rFonts w:ascii="仿宋" w:eastAsia="仿宋" w:hAnsi="仿宋" w:cs="仿宋"/>
          <w:color w:val="auto"/>
          <w:sz w:val="24"/>
          <w:szCs w:val="24"/>
          <w:lang w:eastAsia="zh-CN"/>
        </w:rPr>
      </w:pPr>
      <w:r>
        <w:rPr>
          <w:rFonts w:ascii="仿宋" w:eastAsia="仿宋" w:hAnsi="仿宋" w:cs="仿宋" w:hint="eastAsia"/>
          <w:spacing w:val="-1"/>
          <w:sz w:val="24"/>
          <w:szCs w:val="24"/>
          <w:lang w:eastAsia="zh-CN"/>
        </w:rPr>
        <w:t>6</w:t>
      </w:r>
      <w:r>
        <w:rPr>
          <w:rFonts w:ascii="仿宋" w:eastAsia="仿宋" w:hAnsi="仿宋" w:cs="仿宋" w:hint="eastAsia"/>
          <w:color w:val="auto"/>
          <w:sz w:val="24"/>
          <w:szCs w:val="24"/>
          <w:lang w:eastAsia="zh-CN"/>
        </w:rPr>
        <w:t>.7明厨亮灶</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通过供云管端一体化视频监控系统、AI识别的视频监控系统等实现厨房可视可感可知。</w:t>
      </w:r>
    </w:p>
    <w:p>
      <w:pPr>
        <w:spacing w:line="460" w:lineRule="exact"/>
        <w:rPr>
          <w:rFonts w:ascii="仿宋" w:eastAsia="仿宋" w:hAnsi="仿宋" w:cs="仿宋"/>
          <w:color w:val="auto"/>
          <w:sz w:val="24"/>
          <w:szCs w:val="24"/>
          <w:lang w:eastAsia="zh-CN"/>
        </w:rPr>
      </w:pPr>
      <w:r>
        <w:rPr>
          <w:rFonts w:ascii="仿宋" w:eastAsia="仿宋" w:hAnsi="仿宋" w:cs="仿宋" w:hint="eastAsia"/>
          <w:spacing w:val="-1"/>
          <w:sz w:val="24"/>
          <w:szCs w:val="24"/>
          <w:lang w:eastAsia="zh-CN"/>
        </w:rPr>
        <w:t>6</w:t>
      </w:r>
      <w:r>
        <w:rPr>
          <w:rFonts w:ascii="仿宋" w:eastAsia="仿宋" w:hAnsi="仿宋" w:cs="仿宋" w:hint="eastAsia"/>
          <w:color w:val="auto"/>
          <w:sz w:val="24"/>
          <w:szCs w:val="24"/>
          <w:lang w:eastAsia="zh-CN"/>
        </w:rPr>
        <w:t>.8食品溯源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利用物联网、大数据、云计算等技术手段，从</w:t>
      </w:r>
      <w:r>
        <w:rPr>
          <w:rFonts w:ascii="仿宋" w:eastAsia="仿宋" w:hAnsi="仿宋" w:cs="仿宋" w:hint="eastAsia"/>
          <w:color w:val="auto"/>
          <w:sz w:val="24"/>
          <w:lang w:eastAsia="zh-CN"/>
        </w:rPr>
        <w:t>食品的采购</w:t>
      </w:r>
      <w:r>
        <w:rPr>
          <w:rFonts w:ascii="仿宋" w:eastAsia="仿宋" w:hAnsi="仿宋" w:cs="仿宋"/>
          <w:color w:val="auto"/>
          <w:sz w:val="24"/>
          <w:lang w:eastAsia="zh-CN"/>
        </w:rPr>
        <w:t>、</w:t>
      </w:r>
      <w:r>
        <w:rPr>
          <w:rFonts w:ascii="仿宋" w:eastAsia="仿宋" w:hAnsi="仿宋" w:cs="仿宋" w:hint="eastAsia"/>
          <w:color w:val="auto"/>
          <w:sz w:val="24"/>
          <w:lang w:eastAsia="zh-CN"/>
        </w:rPr>
        <w:t>运输、储存</w:t>
      </w:r>
      <w:r>
        <w:rPr>
          <w:rFonts w:ascii="仿宋" w:eastAsia="仿宋" w:hAnsi="仿宋" w:cs="仿宋"/>
          <w:color w:val="auto"/>
          <w:sz w:val="24"/>
          <w:lang w:eastAsia="zh-CN"/>
        </w:rPr>
        <w:t>到消费全过程的信息化管理</w:t>
      </w:r>
      <w:r>
        <w:rPr>
          <w:rFonts w:ascii="仿宋" w:eastAsia="仿宋" w:hAnsi="仿宋" w:cs="仿宋" w:hint="eastAsia"/>
          <w:color w:val="auto"/>
          <w:sz w:val="24"/>
          <w:lang w:eastAsia="zh-CN"/>
        </w:rPr>
        <w:t>。</w:t>
      </w:r>
      <w:r>
        <w:rPr>
          <w:rFonts w:ascii="仿宋" w:eastAsia="仿宋" w:hAnsi="仿宋" w:cs="仿宋"/>
          <w:color w:val="auto"/>
          <w:sz w:val="24"/>
          <w:lang w:eastAsia="zh-CN"/>
        </w:rPr>
        <w:t>通过每个产品分配唯一的</w:t>
      </w:r>
      <w:r>
        <w:rPr>
          <w:rFonts w:ascii="仿宋" w:eastAsia="仿宋" w:hAnsi="仿宋" w:cs="仿宋" w:hint="eastAsia"/>
          <w:color w:val="auto"/>
          <w:sz w:val="24"/>
          <w:lang w:eastAsia="zh-CN"/>
        </w:rPr>
        <w:t>RFID或</w:t>
      </w:r>
      <w:r>
        <w:rPr>
          <w:rFonts w:ascii="仿宋" w:eastAsia="仿宋" w:hAnsi="仿宋" w:cs="仿宋"/>
          <w:color w:val="auto"/>
          <w:sz w:val="24"/>
          <w:lang w:eastAsia="zh-CN"/>
        </w:rPr>
        <w:t>二维码</w:t>
      </w:r>
      <w:r>
        <w:rPr>
          <w:rFonts w:ascii="仿宋" w:eastAsia="仿宋" w:hAnsi="仿宋" w:cs="仿宋" w:hint="eastAsia"/>
          <w:color w:val="auto"/>
          <w:sz w:val="24"/>
          <w:lang w:eastAsia="zh-CN"/>
        </w:rPr>
        <w:t>（涵盖</w:t>
      </w:r>
      <w:r>
        <w:rPr>
          <w:rFonts w:ascii="仿宋" w:eastAsia="仿宋" w:hAnsi="仿宋" w:cs="仿宋"/>
          <w:color w:val="auto"/>
          <w:sz w:val="24"/>
          <w:lang w:eastAsia="zh-CN"/>
        </w:rPr>
        <w:t>产品的生产日期、原料、产地、质检报告等信息</w:t>
      </w:r>
      <w:r>
        <w:rPr>
          <w:rFonts w:ascii="仿宋" w:eastAsia="仿宋" w:hAnsi="仿宋" w:cs="仿宋" w:hint="eastAsia"/>
          <w:color w:val="auto"/>
          <w:sz w:val="24"/>
          <w:lang w:eastAsia="zh-CN"/>
        </w:rPr>
        <w:t>）</w:t>
      </w:r>
      <w:r>
        <w:rPr>
          <w:rFonts w:ascii="仿宋" w:eastAsia="仿宋" w:hAnsi="仿宋" w:cs="仿宋"/>
          <w:color w:val="auto"/>
          <w:sz w:val="24"/>
          <w:lang w:eastAsia="zh-CN"/>
        </w:rPr>
        <w:t>，从而实现对</w:t>
      </w:r>
      <w:r>
        <w:rPr>
          <w:rFonts w:ascii="仿宋" w:eastAsia="仿宋" w:hAnsi="仿宋" w:cs="仿宋" w:hint="eastAsia"/>
          <w:color w:val="auto"/>
          <w:sz w:val="24"/>
          <w:lang w:eastAsia="zh-CN"/>
        </w:rPr>
        <w:t>食品</w:t>
      </w:r>
      <w:r>
        <w:rPr>
          <w:rFonts w:ascii="仿宋" w:eastAsia="仿宋" w:hAnsi="仿宋" w:cs="仿宋"/>
          <w:color w:val="auto"/>
          <w:sz w:val="24"/>
          <w:lang w:eastAsia="zh-CN"/>
        </w:rPr>
        <w:t>的全程追溯。</w:t>
      </w:r>
    </w:p>
    <w:p>
      <w:pPr>
        <w:spacing w:line="460" w:lineRule="exact"/>
        <w:rPr>
          <w:rFonts w:ascii="仿宋" w:eastAsia="仿宋" w:hAnsi="仿宋" w:cs="仿宋"/>
          <w:spacing w:val="-1"/>
          <w:sz w:val="24"/>
          <w:szCs w:val="24"/>
          <w:lang w:eastAsia="zh-CN"/>
        </w:rPr>
        <w:sectPr>
          <w:headerReference w:type="default" r:id="rId13"/>
          <w:footerReference w:type="default" r:id="rId14"/>
          <w:type w:val="nextPage"/>
          <w:pgSz w:w="11905" w:h="16838"/>
          <w:pgMar w:top="856" w:right="1451" w:bottom="726" w:left="1451" w:header="0" w:footer="510" w:gutter="0"/>
          <w:pgNumType w:start="5"/>
          <w:cols w:num="1" w:space="0"/>
          <w:titlePg w:val="0"/>
        </w:sectPr>
      </w:pPr>
      <w:r>
        <w:rPr>
          <w:rFonts w:ascii="仿宋" w:eastAsia="仿宋" w:hAnsi="仿宋" w:cs="仿宋" w:hint="eastAsia"/>
          <w:spacing w:val="-1"/>
          <w:sz w:val="24"/>
          <w:szCs w:val="24"/>
          <w:lang w:eastAsia="zh-CN"/>
        </w:rPr>
        <w:t>7  营养平衡与健康指导</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7.1营养配餐</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7.1.1配餐原则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遵循多样化、均衡、适量、合理搭配以及营养平衡原则，</w:t>
      </w:r>
      <w:r>
        <w:rPr>
          <w:rFonts w:ascii="仿宋" w:eastAsia="仿宋" w:hAnsi="仿宋" w:cs="仿宋"/>
          <w:color w:val="auto"/>
          <w:sz w:val="24"/>
          <w:lang w:eastAsia="zh-CN"/>
        </w:rPr>
        <w:t>控制</w:t>
      </w:r>
      <w:r>
        <w:rPr>
          <w:rFonts w:ascii="仿宋" w:eastAsia="仿宋" w:hAnsi="仿宋" w:cs="仿宋" w:hint="eastAsia"/>
          <w:color w:val="auto"/>
          <w:sz w:val="24"/>
          <w:lang w:eastAsia="zh-CN"/>
        </w:rPr>
        <w:t>总</w:t>
      </w:r>
      <w:r>
        <w:rPr>
          <w:rFonts w:ascii="仿宋" w:eastAsia="仿宋" w:hAnsi="仿宋" w:cs="仿宋"/>
          <w:color w:val="auto"/>
          <w:sz w:val="24"/>
          <w:lang w:eastAsia="zh-CN"/>
        </w:rPr>
        <w:t>热量</w:t>
      </w:r>
      <w:r>
        <w:rPr>
          <w:rFonts w:ascii="仿宋" w:eastAsia="仿宋" w:hAnsi="仿宋" w:cs="仿宋" w:hint="eastAsia"/>
          <w:color w:val="auto"/>
          <w:sz w:val="24"/>
          <w:lang w:eastAsia="zh-CN"/>
        </w:rPr>
        <w:t>，丰富</w:t>
      </w:r>
      <w:r>
        <w:rPr>
          <w:rFonts w:ascii="仿宋" w:eastAsia="仿宋" w:hAnsi="仿宋" w:cs="仿宋"/>
          <w:color w:val="auto"/>
          <w:sz w:val="24"/>
          <w:lang w:eastAsia="zh-CN"/>
        </w:rPr>
        <w:t>蔬菜和水果</w:t>
      </w:r>
      <w:r>
        <w:rPr>
          <w:rFonts w:ascii="仿宋" w:eastAsia="仿宋" w:hAnsi="仿宋" w:cs="仿宋" w:hint="eastAsia"/>
          <w:color w:val="auto"/>
          <w:sz w:val="24"/>
          <w:lang w:eastAsia="zh-CN"/>
        </w:rPr>
        <w:t>种类，</w:t>
      </w:r>
      <w:r>
        <w:rPr>
          <w:rFonts w:ascii="仿宋" w:eastAsia="仿宋" w:hAnsi="仿宋" w:cs="仿宋"/>
          <w:color w:val="auto"/>
          <w:sz w:val="24"/>
          <w:lang w:eastAsia="zh-CN"/>
        </w:rPr>
        <w:t>提供全谷类食品</w:t>
      </w:r>
      <w:r>
        <w:rPr>
          <w:rFonts w:ascii="仿宋" w:eastAsia="仿宋" w:hAnsi="仿宋" w:cs="仿宋" w:hint="eastAsia"/>
          <w:color w:val="auto"/>
          <w:sz w:val="24"/>
          <w:lang w:eastAsia="zh-CN"/>
        </w:rPr>
        <w:t>，特殊行业</w:t>
      </w:r>
      <w:r>
        <w:rPr>
          <w:rFonts w:ascii="仿宋" w:eastAsia="仿宋" w:hAnsi="仿宋" w:cs="仿宋"/>
          <w:color w:val="auto"/>
          <w:sz w:val="24"/>
          <w:lang w:eastAsia="zh-CN"/>
        </w:rPr>
        <w:t>考虑特殊营养需求。</w:t>
      </w:r>
      <w:r>
        <w:rPr>
          <w:rFonts w:ascii="仿宋" w:eastAsia="仿宋" w:hAnsi="仿宋" w:cs="仿宋" w:hint="eastAsia"/>
          <w:color w:val="auto"/>
          <w:sz w:val="24"/>
          <w:lang w:eastAsia="zh-CN"/>
        </w:rPr>
        <w:t>见表1.</w:t>
      </w:r>
    </w:p>
    <w:p>
      <w:pPr>
        <w:widowControl w:val="0"/>
        <w:tabs>
          <w:tab w:val="left" w:pos="675"/>
        </w:tabs>
        <w:kinsoku/>
        <w:spacing w:after="120" w:afterLines="50" w:line="60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盐</w:t>
      </w:r>
      <w:r>
        <w:rPr>
          <w:rFonts w:ascii="仿宋" w:eastAsia="仿宋" w:hAnsi="仿宋" w:cs="仿宋" w:hint="eastAsia"/>
          <w:color w:val="auto"/>
          <w:sz w:val="24"/>
          <w:lang w:eastAsia="zh-CN"/>
        </w:rPr>
        <w:t>、油</w:t>
      </w:r>
      <w:r>
        <w:rPr>
          <w:rFonts w:ascii="仿宋" w:eastAsia="仿宋" w:hAnsi="仿宋" w:cs="仿宋"/>
          <w:color w:val="auto"/>
          <w:sz w:val="24"/>
          <w:lang w:eastAsia="zh-CN"/>
        </w:rPr>
        <w:t>和糖</w:t>
      </w:r>
      <w:r>
        <w:rPr>
          <w:rFonts w:ascii="仿宋" w:eastAsia="仿宋" w:hAnsi="仿宋" w:cs="仿宋" w:hint="eastAsia"/>
          <w:color w:val="auto"/>
          <w:sz w:val="24"/>
          <w:lang w:eastAsia="zh-CN"/>
        </w:rPr>
        <w:t>使用量宜逐年下降或同比持平（±0.5%以内）。</w:t>
      </w:r>
    </w:p>
    <w:p>
      <w:pPr>
        <w:spacing w:line="460" w:lineRule="exact"/>
        <w:ind w:firstLine="480" w:firstLineChars="200"/>
        <w:rPr>
          <w:rFonts w:ascii="仿宋" w:eastAsia="仿宋" w:hAnsi="仿宋" w:cs="仿宋"/>
          <w:color w:val="auto"/>
          <w:spacing w:val="-1"/>
          <w:sz w:val="24"/>
          <w:szCs w:val="24"/>
          <w:lang w:eastAsia="zh-CN"/>
        </w:rPr>
      </w:pPr>
      <w:r>
        <w:rPr>
          <w:rFonts w:ascii="仿宋" w:eastAsia="仿宋" w:hAnsi="仿宋" w:cs="仿宋" w:hint="eastAsia"/>
          <w:color w:val="auto"/>
          <w:spacing w:val="-1"/>
          <w:sz w:val="24"/>
          <w:szCs w:val="24"/>
          <w:lang w:eastAsia="zh-CN"/>
        </w:rPr>
        <w:t>同比下降率计算方法：</w:t>
      </w:r>
    </w:p>
    <w:p>
      <w:pPr>
        <w:adjustRightInd/>
        <w:snapToGrid/>
        <w:ind w:firstLine="480" w:firstLineChars="200"/>
        <w:rPr>
          <w:rFonts w:eastAsia="宋体" w:hAnsi="Cambria Math" w:cs="仿宋"/>
          <w:i/>
          <w:color w:val="auto"/>
          <w:spacing w:val="-1"/>
          <w:sz w:val="24"/>
          <w:szCs w:val="24"/>
          <w:lang w:eastAsia="zh-CN"/>
        </w:rPr>
      </w:pPr>
      <w:r>
        <w:rPr>
          <w:rFonts w:ascii="仿宋" w:eastAsia="仿宋" w:hAnsi="仿宋" w:cs="仿宋" w:hint="eastAsia"/>
          <w:color w:val="auto"/>
          <w:spacing w:val="-1"/>
          <w:sz w:val="24"/>
          <w:szCs w:val="24"/>
          <w:lang w:eastAsia="zh-CN"/>
        </w:rPr>
        <w:t>同比下降率=</w:t>
      </w:r>
      <m:oMath>
        <m:f>
          <m:fPr>
            <m:ctrlPr>
              <w:rPr>
                <w:rFonts w:ascii="Cambria Math" w:hAnsi="Cambria Math" w:cs="仿宋"/>
                <w:i/>
                <w:color w:val="auto"/>
                <w:spacing w:val="-1"/>
                <w:sz w:val="24"/>
                <w:szCs w:val="24"/>
              </w:rPr>
            </m:ctrlPr>
          </m:fPr>
          <m:num>
            <m:ctrlPr>
              <w:rPr>
                <w:rFonts w:ascii="Cambria Math" w:hAnsi="Cambria Math" w:cs="仿宋"/>
                <w:i/>
                <w:color w:val="auto"/>
                <w:spacing w:val="-1"/>
                <w:sz w:val="24"/>
                <w:szCs w:val="24"/>
              </w:rPr>
            </m:ctrlPr>
            <m:r>
              <w:rPr>
                <w:rFonts w:ascii="Cambria Math" w:eastAsia="宋体" w:hAnsi="Cambria Math" w:cs="仿宋" w:hint="eastAsia"/>
                <w:color w:val="auto"/>
                <w:spacing w:val="-1"/>
                <w:sz w:val="24"/>
                <w:szCs w:val="24"/>
                <w:lang w:eastAsia="zh-CN"/>
              </w:rPr>
              <m:t>每公斤餐品去年对应月用盐量</m:t>
            </m:r>
            <m:r>
              <w:rPr>
                <w:rFonts w:ascii="Cambria Math" w:eastAsia="宋体" w:hAnsi="Cambria Math" w:cs="仿宋"/>
                <w:color w:val="auto"/>
                <w:spacing w:val="-1"/>
                <w:sz w:val="24"/>
                <w:szCs w:val="24"/>
                <w:lang w:eastAsia="zh-CN"/>
              </w:rPr>
              <m:t>−</m:t>
            </m:r>
            <m:r>
              <w:rPr>
                <w:rFonts w:ascii="Cambria Math" w:eastAsia="宋体" w:hAnsi="Cambria Math" w:cs="仿宋" w:hint="eastAsia"/>
                <w:color w:val="auto"/>
                <w:spacing w:val="-1"/>
                <w:sz w:val="24"/>
                <w:szCs w:val="24"/>
                <w:lang w:eastAsia="zh-CN"/>
              </w:rPr>
              <m:t>每公斤餐品今年当月用盐量</m:t>
            </m:r>
          </m:num>
          <m:den>
            <m:ctrlPr>
              <w:rPr>
                <w:rFonts w:ascii="Cambria Math" w:hAnsi="Cambria Math" w:cs="仿宋"/>
                <w:i/>
                <w:color w:val="auto"/>
                <w:spacing w:val="-1"/>
                <w:sz w:val="24"/>
                <w:szCs w:val="24"/>
              </w:rPr>
            </m:ctrlPr>
            <m:r>
              <w:rPr>
                <w:rFonts w:ascii="Cambria Math" w:eastAsia="宋体" w:hAnsi="Cambria Math" w:cs="仿宋" w:hint="eastAsia"/>
                <w:color w:val="auto"/>
                <w:spacing w:val="-1"/>
                <w:sz w:val="24"/>
                <w:szCs w:val="24"/>
                <w:lang w:eastAsia="zh-CN"/>
              </w:rPr>
              <m:t>每公斤餐品去年对应月用盐量</m:t>
            </m:r>
          </m:den>
        </m:f>
        <m:r>
          <w:rPr>
            <w:rFonts w:ascii="Cambria Math" w:hAnsi="Cambria Math" w:cs="Cambria Math"/>
            <w:color w:val="auto"/>
            <w:spacing w:val="-1"/>
            <w:sz w:val="24"/>
            <w:szCs w:val="24"/>
            <w:lang w:eastAsia="zh-CN"/>
          </w:rPr>
          <m:t>×</m:t>
        </m:r>
        <m:r>
          <w:rPr>
            <w:rFonts w:ascii="Cambria Math" w:eastAsia="宋体" w:hAnsi="Cambria Math" w:cs="仿宋"/>
            <w:color w:val="auto"/>
            <w:spacing w:val="-1"/>
            <w:sz w:val="24"/>
            <w:szCs w:val="24"/>
            <w:lang w:eastAsia="zh-CN"/>
          </w:rPr>
          <m:t>1</m:t>
        </m:r>
      </m:oMath>
      <w:r>
        <w:rPr>
          <w:rFonts w:eastAsia="宋体" w:hAnsi="Cambria Math" w:cs="仿宋" w:hint="eastAsia"/>
          <w:i/>
          <w:color w:val="auto"/>
          <w:spacing w:val="-1"/>
          <w:sz w:val="24"/>
          <w:szCs w:val="24"/>
          <w:lang w:eastAsia="zh-CN"/>
        </w:rPr>
        <w:t>00%</w:t>
      </w:r>
    </w:p>
    <w:p>
      <w:pPr>
        <w:spacing w:line="460" w:lineRule="exact"/>
        <w:jc w:val="center"/>
        <w:rPr>
          <w:rFonts w:ascii="仿宋" w:eastAsia="仿宋" w:hAnsi="仿宋" w:cs="仿宋"/>
          <w:color w:val="auto"/>
          <w:spacing w:val="-1"/>
          <w:sz w:val="24"/>
          <w:szCs w:val="24"/>
          <w:lang w:eastAsia="zh-CN"/>
        </w:rPr>
      </w:pPr>
      <w:r>
        <w:rPr>
          <w:rFonts w:ascii="仿宋" w:eastAsia="仿宋" w:hAnsi="仿宋" w:cs="仿宋" w:hint="eastAsia"/>
          <w:color w:val="auto"/>
          <w:spacing w:val="-1"/>
          <w:sz w:val="24"/>
          <w:szCs w:val="24"/>
          <w:lang w:eastAsia="zh-CN"/>
        </w:rPr>
        <w:t>表1 配餐推荐指标表（三餐能量餐次比3/4/3）</w:t>
      </w: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67"/>
        <w:gridCol w:w="2467"/>
        <w:gridCol w:w="2442"/>
        <w:gridCol w:w="24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项目</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每日用量/g</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平均每日种类数</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每周至少品种数</w:t>
            </w: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谷类</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200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300</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3</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w:t>
            </w:r>
          </w:p>
        </w:tc>
      </w:tr>
      <w:tr>
        <w:tblPrEx>
          <w:tblW w:w="0" w:type="auto"/>
          <w:tblInd w:w="0" w:type="dxa"/>
          <w:tblCellMar>
            <w:top w:w="0" w:type="dxa"/>
            <w:left w:w="108" w:type="dxa"/>
            <w:bottom w:w="0" w:type="dxa"/>
            <w:right w:w="108" w:type="dxa"/>
          </w:tblCellMar>
        </w:tblPrEx>
        <w:trPr>
          <w:trHeight w:val="225"/>
        </w:trPr>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蔬菜类</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300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500</w:t>
            </w:r>
          </w:p>
        </w:tc>
        <w:tc>
          <w:tcPr>
            <w:tcW w:w="2520" w:type="dxa"/>
            <w:vMerge w:val="restart"/>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4</w:t>
            </w:r>
          </w:p>
        </w:tc>
        <w:tc>
          <w:tcPr>
            <w:tcW w:w="2520" w:type="dxa"/>
            <w:vMerge w:val="restart"/>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10</w:t>
            </w:r>
          </w:p>
        </w:tc>
      </w:tr>
      <w:tr>
        <w:tblPrEx>
          <w:tblW w:w="0" w:type="auto"/>
          <w:tblInd w:w="0" w:type="dxa"/>
          <w:tblCellMar>
            <w:top w:w="0" w:type="dxa"/>
            <w:left w:w="108" w:type="dxa"/>
            <w:bottom w:w="0" w:type="dxa"/>
            <w:right w:w="108" w:type="dxa"/>
          </w:tblCellMar>
        </w:tblPrEx>
        <w:trPr>
          <w:trHeight w:val="225"/>
        </w:trPr>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水果类</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200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350</w:t>
            </w: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r>
      <w:tr>
        <w:tblPrEx>
          <w:tblW w:w="0" w:type="auto"/>
          <w:tblInd w:w="0" w:type="dxa"/>
          <w:tblCellMar>
            <w:top w:w="0" w:type="dxa"/>
            <w:left w:w="108" w:type="dxa"/>
            <w:bottom w:w="0" w:type="dxa"/>
            <w:right w:w="108" w:type="dxa"/>
          </w:tblCellMar>
        </w:tblPrEx>
        <w:trPr>
          <w:trHeight w:val="150"/>
        </w:trPr>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畜禽类(每周)</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280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525</w:t>
            </w:r>
          </w:p>
        </w:tc>
        <w:tc>
          <w:tcPr>
            <w:tcW w:w="2520" w:type="dxa"/>
            <w:vMerge w:val="restart"/>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3</w:t>
            </w:r>
          </w:p>
        </w:tc>
        <w:tc>
          <w:tcPr>
            <w:tcW w:w="2520" w:type="dxa"/>
            <w:vMerge w:val="restart"/>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w:t>
            </w:r>
          </w:p>
        </w:tc>
      </w:tr>
      <w:tr>
        <w:tblPrEx>
          <w:tblW w:w="0" w:type="auto"/>
          <w:tblInd w:w="0" w:type="dxa"/>
          <w:tblCellMar>
            <w:top w:w="0" w:type="dxa"/>
            <w:left w:w="108" w:type="dxa"/>
            <w:bottom w:w="0" w:type="dxa"/>
            <w:right w:w="108" w:type="dxa"/>
          </w:tblCellMar>
        </w:tblPrEx>
        <w:trPr>
          <w:trHeight w:val="150"/>
        </w:trPr>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水产类(每周)</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280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525</w:t>
            </w: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r>
      <w:tr>
        <w:tblPrEx>
          <w:tblW w:w="0" w:type="auto"/>
          <w:tblInd w:w="0" w:type="dxa"/>
          <w:tblCellMar>
            <w:top w:w="0" w:type="dxa"/>
            <w:left w:w="108" w:type="dxa"/>
            <w:bottom w:w="0" w:type="dxa"/>
            <w:right w:w="108" w:type="dxa"/>
          </w:tblCellMar>
        </w:tblPrEx>
        <w:trPr>
          <w:trHeight w:val="150"/>
        </w:trPr>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蛋类(每周)</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280</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350</w:t>
            </w: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c>
          <w:tcPr>
            <w:tcW w:w="2520" w:type="dxa"/>
            <w:vMerge/>
            <w:vAlign w:val="center"/>
          </w:tcPr>
          <w:p>
            <w:pPr>
              <w:widowControl w:val="0"/>
              <w:spacing w:line="460" w:lineRule="exact"/>
              <w:jc w:val="center"/>
              <w:rPr>
                <w:rFonts w:ascii="仿宋" w:eastAsia="仿宋" w:hAnsi="仿宋" w:cs="仿宋"/>
                <w:spacing w:val="-1"/>
                <w:sz w:val="24"/>
                <w:szCs w:val="24"/>
                <w:lang w:eastAsia="zh-CN"/>
              </w:rPr>
            </w:pP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奶或奶制品类</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300</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5</w:t>
            </w: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豆类</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25</w:t>
            </w:r>
            <w:r>
              <w:rPr>
                <w:rFonts w:ascii="微软雅黑" w:eastAsia="微软雅黑" w:hAnsi="微软雅黑" w:cs="微软雅黑" w:hint="eastAsia"/>
                <w:spacing w:val="-1"/>
                <w:sz w:val="24"/>
                <w:szCs w:val="24"/>
                <w:lang w:eastAsia="zh-CN"/>
              </w:rPr>
              <w:t>~</w:t>
            </w:r>
            <w:r>
              <w:rPr>
                <w:rFonts w:ascii="仿宋" w:eastAsia="仿宋" w:hAnsi="仿宋" w:cs="仿宋" w:hint="eastAsia"/>
                <w:spacing w:val="-1"/>
                <w:sz w:val="24"/>
                <w:szCs w:val="24"/>
                <w:lang w:eastAsia="zh-CN"/>
              </w:rPr>
              <w:t>35</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盐</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&lt;5</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油</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&lt;25</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1918"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糖</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&lt;25</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c>
          <w:tcPr>
            <w:tcW w:w="252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bl>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7.1.2烹调方式</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食堂</w:t>
      </w:r>
      <w:r>
        <w:rPr>
          <w:rFonts w:ascii="仿宋" w:eastAsia="仿宋" w:hAnsi="仿宋" w:cs="仿宋" w:hint="eastAsia"/>
          <w:color w:val="auto"/>
          <w:sz w:val="24"/>
          <w:lang w:eastAsia="zh-CN"/>
        </w:rPr>
        <w:t>宜</w:t>
      </w:r>
      <w:r>
        <w:rPr>
          <w:rFonts w:ascii="仿宋" w:eastAsia="仿宋" w:hAnsi="仿宋" w:cs="仿宋"/>
          <w:color w:val="auto"/>
          <w:sz w:val="24"/>
          <w:lang w:eastAsia="zh-CN"/>
        </w:rPr>
        <w:t>选择健康的烹饪方法，</w:t>
      </w:r>
      <w:r>
        <w:rPr>
          <w:rFonts w:ascii="仿宋" w:eastAsia="仿宋" w:hAnsi="仿宋" w:cs="仿宋" w:hint="eastAsia"/>
          <w:color w:val="auto"/>
          <w:sz w:val="24"/>
          <w:lang w:eastAsia="zh-CN"/>
        </w:rPr>
        <w:t>首推凉拌、</w:t>
      </w:r>
      <w:r>
        <w:rPr>
          <w:rFonts w:ascii="仿宋" w:eastAsia="仿宋" w:hAnsi="仿宋" w:cs="仿宋"/>
          <w:color w:val="auto"/>
          <w:sz w:val="24"/>
          <w:lang w:eastAsia="zh-CN"/>
        </w:rPr>
        <w:t>煮、</w:t>
      </w:r>
      <w:r>
        <w:rPr>
          <w:rFonts w:ascii="仿宋" w:eastAsia="仿宋" w:hAnsi="仿宋" w:cs="仿宋" w:hint="eastAsia"/>
          <w:color w:val="auto"/>
          <w:sz w:val="24"/>
          <w:lang w:eastAsia="zh-CN"/>
        </w:rPr>
        <w:t>炒、烩、焖、</w:t>
      </w:r>
      <w:r>
        <w:rPr>
          <w:rFonts w:ascii="仿宋" w:eastAsia="仿宋" w:hAnsi="仿宋" w:cs="仿宋"/>
          <w:color w:val="auto"/>
          <w:sz w:val="24"/>
          <w:lang w:eastAsia="zh-CN"/>
        </w:rPr>
        <w:t>炖或蒸，</w:t>
      </w:r>
      <w:r>
        <w:rPr>
          <w:rFonts w:ascii="仿宋" w:eastAsia="仿宋" w:hAnsi="仿宋" w:cs="仿宋" w:hint="eastAsia"/>
          <w:color w:val="auto"/>
          <w:sz w:val="24"/>
          <w:lang w:eastAsia="zh-CN"/>
        </w:rPr>
        <w:t>每周</w:t>
      </w:r>
      <w:r>
        <w:rPr>
          <w:rFonts w:ascii="仿宋" w:eastAsia="仿宋" w:hAnsi="仿宋" w:cs="仿宋"/>
          <w:color w:val="auto"/>
          <w:sz w:val="24"/>
          <w:lang w:eastAsia="zh-CN"/>
        </w:rPr>
        <w:t>使用油炸</w:t>
      </w:r>
      <w:r>
        <w:rPr>
          <w:rFonts w:ascii="仿宋" w:eastAsia="仿宋" w:hAnsi="仿宋" w:cs="仿宋" w:hint="eastAsia"/>
          <w:color w:val="auto"/>
          <w:sz w:val="24"/>
          <w:lang w:eastAsia="zh-CN"/>
        </w:rPr>
        <w:t>、盐渍或熏制等</w:t>
      </w:r>
      <w:r>
        <w:rPr>
          <w:rFonts w:ascii="仿宋" w:eastAsia="仿宋" w:hAnsi="仿宋" w:cs="仿宋"/>
          <w:color w:val="auto"/>
          <w:sz w:val="24"/>
          <w:lang w:eastAsia="zh-CN"/>
        </w:rPr>
        <w:t>食品</w:t>
      </w:r>
      <w:r>
        <w:rPr>
          <w:rFonts w:ascii="仿宋" w:eastAsia="仿宋" w:hAnsi="仿宋" w:cs="仿宋" w:hint="eastAsia"/>
          <w:color w:val="auto"/>
          <w:sz w:val="24"/>
          <w:lang w:eastAsia="zh-CN"/>
        </w:rPr>
        <w:t>不超过2次</w:t>
      </w:r>
      <w:r>
        <w:rPr>
          <w:rFonts w:ascii="仿宋" w:eastAsia="仿宋" w:hAnsi="仿宋" w:cs="仿宋"/>
          <w:color w:val="auto"/>
          <w:sz w:val="24"/>
          <w:lang w:eastAsia="zh-CN"/>
        </w:rPr>
        <w:t>。</w:t>
      </w:r>
      <w:r>
        <w:rPr>
          <w:rFonts w:ascii="仿宋" w:eastAsia="仿宋" w:hAnsi="仿宋" w:cs="仿宋" w:hint="eastAsia"/>
          <w:color w:val="auto"/>
          <w:sz w:val="24"/>
          <w:lang w:eastAsia="zh-CN"/>
        </w:rPr>
        <w:t>见表2</w:t>
      </w:r>
      <w:r>
        <w:rPr>
          <w:rFonts w:ascii="仿宋" w:eastAsia="仿宋" w:hAnsi="仿宋" w:cs="仿宋"/>
          <w:color w:val="auto"/>
          <w:sz w:val="24"/>
          <w:lang w:eastAsia="zh-CN"/>
        </w:rPr>
        <w:t>。</w:t>
      </w:r>
    </w:p>
    <w:p>
      <w:pPr>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表2 烹调方式</w:t>
      </w:r>
    </w:p>
    <w:tbl>
      <w:tblPr>
        <w:tblStyle w:val="TableGrid0"/>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213"/>
        <w:gridCol w:w="3214"/>
        <w:gridCol w:w="3214"/>
      </w:tblGrid>
      <w:tr>
        <w:tblPrEx>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推荐的烹调方式</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常见的烹调方式</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不推荐的烹饪方法</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凉拌</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烧</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油炸</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煮</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烤</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盐渍</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炒</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煎</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熏制</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烩</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干煸</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焖</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炖</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r>
      <w:tr>
        <w:tblPrEx>
          <w:tblW w:w="9641" w:type="dxa"/>
          <w:jc w:val="center"/>
          <w:tblCellMar>
            <w:top w:w="0" w:type="dxa"/>
            <w:left w:w="108" w:type="dxa"/>
            <w:bottom w:w="0" w:type="dxa"/>
            <w:right w:w="108" w:type="dxa"/>
          </w:tblCellMar>
        </w:tblPrEx>
        <w:trPr>
          <w:jc w:val="center"/>
        </w:trPr>
        <w:tc>
          <w:tcPr>
            <w:tcW w:w="3213"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hint="eastAsia"/>
                <w:spacing w:val="-1"/>
                <w:sz w:val="24"/>
                <w:szCs w:val="24"/>
                <w:lang w:eastAsia="zh-CN"/>
              </w:rPr>
              <w:t>蒸</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c>
          <w:tcPr>
            <w:tcW w:w="3214" w:type="dxa"/>
            <w:vAlign w:val="center"/>
          </w:tcPr>
          <w:p>
            <w:pPr>
              <w:widowControl w:val="0"/>
              <w:spacing w:line="460" w:lineRule="exact"/>
              <w:jc w:val="center"/>
              <w:rPr>
                <w:rFonts w:ascii="微软雅黑" w:eastAsia="微软雅黑" w:hAnsi="微软雅黑" w:cs="微软雅黑"/>
                <w:spacing w:val="-1"/>
                <w:sz w:val="24"/>
                <w:szCs w:val="24"/>
                <w:lang w:eastAsia="zh-CN"/>
              </w:rPr>
            </w:pPr>
            <w:r>
              <w:rPr>
                <w:rFonts w:ascii="仿宋" w:eastAsia="仿宋" w:hAnsi="仿宋" w:cs="仿宋"/>
                <w:spacing w:val="-1"/>
                <w:sz w:val="24"/>
                <w:szCs w:val="24"/>
                <w:lang w:eastAsia="zh-CN"/>
              </w:rPr>
              <w:t>—</w:t>
            </w:r>
          </w:p>
        </w:tc>
      </w:tr>
    </w:tbl>
    <w:p>
      <w:pPr>
        <w:sectPr>
          <w:headerReference w:type="default" r:id="rId15"/>
          <w:footerReference w:type="default" r:id="rId16"/>
          <w:type w:val="nextPage"/>
          <w:pgSz w:w="11905" w:h="16838"/>
          <w:pgMar w:top="856" w:right="1451" w:bottom="726" w:left="1451" w:header="0" w:footer="510" w:gutter="0"/>
          <w:pgNumType w:start="6"/>
          <w:cols w:num="1" w:space="0"/>
          <w:titlePg w:val="0"/>
        </w:sectPr>
      </w:pP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7.1.3烹饪方式及过程对食物的影响</w:t>
      </w:r>
    </w:p>
    <w:p>
      <w:pPr>
        <w:widowControl w:val="0"/>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 xml:space="preserve">    烹饪方式对营养素的影响见表3，烹饪过程对维生素的影响将表4。</w:t>
      </w:r>
    </w:p>
    <w:p>
      <w:pPr>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表3  烹饪方法对食物营养素影响表</w:t>
      </w: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066"/>
        <w:gridCol w:w="3092"/>
        <w:gridCol w:w="30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3213"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烹调方法</w:t>
            </w:r>
          </w:p>
        </w:tc>
        <w:tc>
          <w:tcPr>
            <w:tcW w:w="3214"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维生素</w:t>
            </w:r>
            <w:r>
              <w:rPr>
                <w:rFonts w:ascii="仿宋" w:eastAsia="仿宋" w:hAnsi="仿宋" w:cs="仿宋"/>
                <w:spacing w:val="-1"/>
                <w:sz w:val="24"/>
                <w:szCs w:val="24"/>
                <w:lang w:eastAsia="zh-CN"/>
              </w:rPr>
              <w:t>B1</w:t>
            </w:r>
            <w:r>
              <w:rPr>
                <w:rFonts w:ascii="仿宋" w:eastAsia="仿宋" w:hAnsi="仿宋" w:cs="仿宋" w:hint="eastAsia"/>
                <w:spacing w:val="-1"/>
                <w:sz w:val="24"/>
                <w:szCs w:val="24"/>
                <w:lang w:eastAsia="zh-CN"/>
              </w:rPr>
              <w:t>损失</w:t>
            </w:r>
          </w:p>
        </w:tc>
        <w:tc>
          <w:tcPr>
            <w:tcW w:w="3214"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维生素</w:t>
            </w:r>
            <w:r>
              <w:rPr>
                <w:rFonts w:ascii="仿宋" w:eastAsia="仿宋" w:hAnsi="仿宋" w:cs="仿宋"/>
                <w:spacing w:val="-1"/>
                <w:sz w:val="24"/>
                <w:szCs w:val="24"/>
                <w:lang w:eastAsia="zh-CN"/>
              </w:rPr>
              <w:t>B2</w:t>
            </w:r>
            <w:r>
              <w:rPr>
                <w:rFonts w:ascii="仿宋" w:eastAsia="仿宋" w:hAnsi="仿宋" w:cs="仿宋" w:hint="eastAsia"/>
                <w:spacing w:val="-1"/>
                <w:sz w:val="24"/>
                <w:szCs w:val="24"/>
                <w:lang w:eastAsia="zh-CN"/>
              </w:rPr>
              <w:t>损失</w:t>
            </w:r>
          </w:p>
        </w:tc>
      </w:tr>
      <w:tr>
        <w:tblPrEx>
          <w:tblW w:w="0" w:type="auto"/>
          <w:tblInd w:w="0" w:type="dxa"/>
          <w:tblCellMar>
            <w:top w:w="0" w:type="dxa"/>
            <w:left w:w="108" w:type="dxa"/>
            <w:bottom w:w="0" w:type="dxa"/>
            <w:right w:w="108" w:type="dxa"/>
          </w:tblCellMar>
        </w:tblPrEx>
        <w:tc>
          <w:tcPr>
            <w:tcW w:w="3213"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红烧</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蒸、油炸</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快炒</w:t>
            </w:r>
          </w:p>
        </w:tc>
        <w:tc>
          <w:tcPr>
            <w:tcW w:w="3214"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60%</w:t>
            </w:r>
            <w:r>
              <w:rPr>
                <w:rFonts w:ascii="微软雅黑" w:eastAsia="微软雅黑" w:hAnsi="微软雅黑" w:cs="微软雅黑" w:hint="eastAsia"/>
                <w:spacing w:val="-1"/>
                <w:sz w:val="24"/>
                <w:szCs w:val="24"/>
                <w:lang w:eastAsia="zh-CN"/>
              </w:rPr>
              <w:t>~</w:t>
            </w:r>
            <w:r>
              <w:rPr>
                <w:rFonts w:ascii="仿宋" w:eastAsia="仿宋" w:hAnsi="仿宋" w:cs="仿宋"/>
                <w:spacing w:val="-1"/>
                <w:sz w:val="24"/>
                <w:szCs w:val="24"/>
                <w:lang w:eastAsia="zh-CN"/>
              </w:rPr>
              <w:t>65%</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45%</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13%</w:t>
            </w:r>
          </w:p>
        </w:tc>
        <w:tc>
          <w:tcPr>
            <w:tcW w:w="3214"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40%</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20%</w:t>
            </w:r>
          </w:p>
        </w:tc>
      </w:tr>
    </w:tbl>
    <w:p>
      <w:pPr>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表4 烹饪过程对VC的影响</w:t>
      </w: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314"/>
        <w:gridCol w:w="2306"/>
        <w:gridCol w:w="2299"/>
        <w:gridCol w:w="230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134"/>
        </w:trPr>
        <w:tc>
          <w:tcPr>
            <w:tcW w:w="2410" w:type="dxa"/>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 xml:space="preserve"> </w:t>
            </w:r>
          </w:p>
          <w:p>
            <w:pPr>
              <w:widowControl w:val="0"/>
              <w:spacing w:line="460" w:lineRule="exact"/>
              <w:jc w:val="center"/>
              <w:rPr>
                <w:rFonts w:ascii="仿宋" w:eastAsia="仿宋" w:hAnsi="仿宋" w:cs="仿宋"/>
                <w:spacing w:val="-1"/>
                <w:sz w:val="24"/>
                <w:szCs w:val="24"/>
                <w:lang w:eastAsia="zh-CN"/>
              </w:rPr>
            </w:pP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 xml:space="preserve">处理方法       </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含量变化</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100g</w:t>
            </w:r>
            <w:r>
              <w:rPr>
                <w:rFonts w:ascii="仿宋" w:eastAsia="仿宋" w:hAnsi="仿宋" w:cs="仿宋" w:hint="eastAsia"/>
                <w:spacing w:val="-1"/>
                <w:sz w:val="24"/>
                <w:szCs w:val="24"/>
                <w:lang w:eastAsia="zh-CN"/>
              </w:rPr>
              <w:t>蔬菜</w:t>
            </w:r>
            <w:r>
              <w:rPr>
                <w:rFonts w:ascii="仿宋" w:eastAsia="仿宋" w:hAnsi="仿宋" w:cs="仿宋"/>
                <w:spacing w:val="-1"/>
                <w:sz w:val="24"/>
                <w:szCs w:val="24"/>
                <w:lang w:eastAsia="zh-CN"/>
              </w:rPr>
              <w:t>VC</w:t>
            </w:r>
            <w:r>
              <w:rPr>
                <w:rFonts w:ascii="仿宋" w:eastAsia="仿宋" w:hAnsi="仿宋" w:cs="仿宋" w:hint="eastAsia"/>
                <w:spacing w:val="-1"/>
                <w:sz w:val="24"/>
                <w:szCs w:val="24"/>
                <w:lang w:eastAsia="zh-CN"/>
              </w:rPr>
              <w:t>含量</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mg</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100g</w:t>
            </w:r>
            <w:r>
              <w:rPr>
                <w:rFonts w:ascii="仿宋" w:eastAsia="仿宋" w:hAnsi="仿宋" w:cs="仿宋" w:hint="eastAsia"/>
                <w:spacing w:val="-1"/>
                <w:sz w:val="24"/>
                <w:szCs w:val="24"/>
                <w:lang w:eastAsia="zh-CN"/>
              </w:rPr>
              <w:t>蔬菜</w:t>
            </w:r>
            <w:r>
              <w:rPr>
                <w:rFonts w:ascii="仿宋" w:eastAsia="仿宋" w:hAnsi="仿宋" w:cs="仿宋"/>
                <w:spacing w:val="-1"/>
                <w:sz w:val="24"/>
                <w:szCs w:val="24"/>
                <w:lang w:eastAsia="zh-CN"/>
              </w:rPr>
              <w:t>VC</w:t>
            </w:r>
            <w:r>
              <w:rPr>
                <w:rFonts w:ascii="仿宋" w:eastAsia="仿宋" w:hAnsi="仿宋" w:cs="仿宋" w:hint="eastAsia"/>
                <w:spacing w:val="-1"/>
                <w:sz w:val="24"/>
                <w:szCs w:val="24"/>
                <w:lang w:eastAsia="zh-CN"/>
              </w:rPr>
              <w:t>损失量</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mg</w:t>
            </w:r>
          </w:p>
        </w:tc>
        <w:tc>
          <w:tcPr>
            <w:tcW w:w="2411"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损失率</w:t>
            </w:r>
          </w:p>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w:t>
            </w:r>
          </w:p>
        </w:tc>
      </w:tr>
      <w:tr>
        <w:tblPrEx>
          <w:tblW w:w="0" w:type="auto"/>
          <w:tblInd w:w="0" w:type="dxa"/>
          <w:tblCellMar>
            <w:top w:w="0" w:type="dxa"/>
            <w:left w:w="108" w:type="dxa"/>
            <w:bottom w:w="0" w:type="dxa"/>
            <w:right w:w="108" w:type="dxa"/>
          </w:tblCellMar>
        </w:tblPrEx>
        <w:trPr>
          <w:trHeight w:val="246"/>
        </w:trPr>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新鲜样品</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26.54</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w:t>
            </w:r>
          </w:p>
        </w:tc>
        <w:tc>
          <w:tcPr>
            <w:tcW w:w="2411"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w:t>
            </w:r>
          </w:p>
        </w:tc>
      </w:tr>
      <w:tr>
        <w:tblPrEx>
          <w:tblW w:w="0" w:type="auto"/>
          <w:tblInd w:w="0" w:type="dxa"/>
          <w:tblCellMar>
            <w:top w:w="0" w:type="dxa"/>
            <w:left w:w="108" w:type="dxa"/>
            <w:bottom w:w="0" w:type="dxa"/>
            <w:right w:w="108" w:type="dxa"/>
          </w:tblCellMar>
        </w:tblPrEx>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急炒</w:t>
            </w:r>
            <w:r>
              <w:rPr>
                <w:rFonts w:ascii="仿宋" w:eastAsia="仿宋" w:hAnsi="仿宋" w:cs="仿宋"/>
                <w:spacing w:val="-1"/>
                <w:sz w:val="24"/>
                <w:szCs w:val="24"/>
                <w:lang w:eastAsia="zh-CN"/>
              </w:rPr>
              <w:t>3</w:t>
            </w:r>
            <w:r>
              <w:rPr>
                <w:rFonts w:ascii="仿宋" w:eastAsia="仿宋" w:hAnsi="仿宋" w:cs="仿宋" w:hint="eastAsia"/>
                <w:spacing w:val="-1"/>
                <w:sz w:val="24"/>
                <w:szCs w:val="24"/>
                <w:lang w:eastAsia="zh-CN"/>
              </w:rPr>
              <w:t>min</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25.12</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1.42</w:t>
            </w:r>
          </w:p>
        </w:tc>
        <w:tc>
          <w:tcPr>
            <w:tcW w:w="2411"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5.3</w:t>
            </w:r>
          </w:p>
        </w:tc>
      </w:tr>
      <w:tr>
        <w:tblPrEx>
          <w:tblW w:w="0" w:type="auto"/>
          <w:tblInd w:w="0" w:type="dxa"/>
          <w:tblCellMar>
            <w:top w:w="0" w:type="dxa"/>
            <w:left w:w="108" w:type="dxa"/>
            <w:bottom w:w="0" w:type="dxa"/>
            <w:right w:w="108" w:type="dxa"/>
          </w:tblCellMar>
        </w:tblPrEx>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急炒</w:t>
            </w:r>
            <w:r>
              <w:rPr>
                <w:rFonts w:ascii="仿宋" w:eastAsia="仿宋" w:hAnsi="仿宋" w:cs="仿宋"/>
                <w:spacing w:val="-1"/>
                <w:sz w:val="24"/>
                <w:szCs w:val="24"/>
                <w:lang w:eastAsia="zh-CN"/>
              </w:rPr>
              <w:t>8</w:t>
            </w:r>
            <w:r>
              <w:rPr>
                <w:rFonts w:ascii="仿宋" w:eastAsia="仿宋" w:hAnsi="仿宋" w:cs="仿宋" w:hint="eastAsia"/>
                <w:spacing w:val="-1"/>
                <w:sz w:val="24"/>
                <w:szCs w:val="24"/>
                <w:lang w:eastAsia="zh-CN"/>
              </w:rPr>
              <w:t>min</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24.90</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1.64</w:t>
            </w:r>
          </w:p>
        </w:tc>
        <w:tc>
          <w:tcPr>
            <w:tcW w:w="2411"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6.2</w:t>
            </w:r>
          </w:p>
        </w:tc>
      </w:tr>
      <w:tr>
        <w:tblPrEx>
          <w:tblW w:w="0" w:type="auto"/>
          <w:tblInd w:w="0" w:type="dxa"/>
          <w:tblCellMar>
            <w:top w:w="0" w:type="dxa"/>
            <w:left w:w="108" w:type="dxa"/>
            <w:bottom w:w="0" w:type="dxa"/>
            <w:right w:w="108" w:type="dxa"/>
          </w:tblCellMar>
        </w:tblPrEx>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炒</w:t>
            </w:r>
            <w:r>
              <w:rPr>
                <w:rFonts w:ascii="仿宋" w:eastAsia="仿宋" w:hAnsi="仿宋" w:cs="仿宋"/>
                <w:spacing w:val="-1"/>
                <w:sz w:val="24"/>
                <w:szCs w:val="24"/>
                <w:lang w:eastAsia="zh-CN"/>
              </w:rPr>
              <w:t>3</w:t>
            </w:r>
            <w:r>
              <w:rPr>
                <w:rFonts w:ascii="仿宋" w:eastAsia="仿宋" w:hAnsi="仿宋" w:cs="仿宋" w:hint="eastAsia"/>
                <w:spacing w:val="-1"/>
                <w:sz w:val="24"/>
                <w:szCs w:val="24"/>
                <w:lang w:eastAsia="zh-CN"/>
              </w:rPr>
              <w:t>min、煮</w:t>
            </w:r>
            <w:r>
              <w:rPr>
                <w:rFonts w:ascii="仿宋" w:eastAsia="仿宋" w:hAnsi="仿宋" w:cs="仿宋"/>
                <w:spacing w:val="-1"/>
                <w:sz w:val="24"/>
                <w:szCs w:val="24"/>
                <w:lang w:eastAsia="zh-CN"/>
              </w:rPr>
              <w:t>10</w:t>
            </w:r>
            <w:r>
              <w:rPr>
                <w:rFonts w:ascii="仿宋" w:eastAsia="仿宋" w:hAnsi="仿宋" w:cs="仿宋" w:hint="eastAsia"/>
                <w:spacing w:val="-1"/>
                <w:sz w:val="24"/>
                <w:szCs w:val="24"/>
                <w:lang w:eastAsia="zh-CN"/>
              </w:rPr>
              <w:t>min</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23.54</w:t>
            </w:r>
          </w:p>
        </w:tc>
        <w:tc>
          <w:tcPr>
            <w:tcW w:w="2410"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3.00</w:t>
            </w:r>
          </w:p>
        </w:tc>
        <w:tc>
          <w:tcPr>
            <w:tcW w:w="2411"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spacing w:val="-1"/>
                <w:sz w:val="24"/>
                <w:szCs w:val="24"/>
                <w:lang w:eastAsia="zh-CN"/>
              </w:rPr>
              <w:t>11.3</w:t>
            </w:r>
          </w:p>
        </w:tc>
      </w:tr>
    </w:tbl>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7.1.4食物营养标识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食物营养标签见表5。</w:t>
      </w:r>
    </w:p>
    <w:p>
      <w:pPr>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表5 营养标签</w:t>
      </w: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059"/>
        <w:gridCol w:w="3087"/>
        <w:gridCol w:w="307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营养成分</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每100克（g）</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NRV%</w:t>
            </w:r>
          </w:p>
        </w:tc>
      </w:tr>
      <w:tr>
        <w:tblPrEx>
          <w:tblW w:w="0" w:type="auto"/>
          <w:tblInd w:w="0" w:type="dxa"/>
          <w:tblCellMar>
            <w:top w:w="0" w:type="dxa"/>
            <w:left w:w="108" w:type="dxa"/>
            <w:bottom w:w="0" w:type="dxa"/>
            <w:right w:w="108" w:type="dxa"/>
          </w:tblCellMar>
        </w:tblPrEx>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能量</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千焦（kJ）</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rPr>
          <w:trHeight w:val="472"/>
        </w:trPr>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蛋白质</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克（g）</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脂肪</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克（g）</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碳水化合物</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克（g）</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r>
        <w:tblPrEx>
          <w:tblW w:w="0" w:type="auto"/>
          <w:tblInd w:w="0" w:type="dxa"/>
          <w:tblCellMar>
            <w:top w:w="0" w:type="dxa"/>
            <w:left w:w="108" w:type="dxa"/>
            <w:bottom w:w="0" w:type="dxa"/>
            <w:right w:w="108" w:type="dxa"/>
          </w:tblCellMar>
        </w:tblPrEx>
        <w:tc>
          <w:tcPr>
            <w:tcW w:w="3213"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钠</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克（mg）</w:t>
            </w:r>
          </w:p>
        </w:tc>
        <w:tc>
          <w:tcPr>
            <w:tcW w:w="3214" w:type="dxa"/>
            <w:vAlign w:val="center"/>
          </w:tcPr>
          <w:p>
            <w:pPr>
              <w:widowControl w:val="0"/>
              <w:spacing w:line="460" w:lineRule="exact"/>
              <w:jc w:val="center"/>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w:t>
            </w:r>
          </w:p>
        </w:tc>
      </w:tr>
    </w:tbl>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7.1.5营养配餐种类</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部分典型营养配餐见附录B。</w:t>
      </w:r>
    </w:p>
    <w:p>
      <w:pPr>
        <w:spacing w:line="460" w:lineRule="exact"/>
        <w:rPr>
          <w:rFonts w:ascii="仿宋" w:eastAsia="仿宋" w:hAnsi="仿宋" w:cs="仿宋"/>
          <w:color w:themeColor="text1"/>
          <w:spacing w:val="-1"/>
          <w:sz w:val="24"/>
          <w:szCs w:val="24"/>
          <w:lang w:eastAsia="zh-CN"/>
          <w14:textFill>
            <w14:solidFill>
              <w14:schemeClr w14:val="tx1"/>
            </w14:solidFill>
          </w14:textFill>
        </w:rPr>
      </w:pPr>
      <w:r>
        <w:rPr>
          <w:rFonts w:ascii="仿宋" w:eastAsia="仿宋" w:hAnsi="仿宋" w:cs="仿宋" w:hint="eastAsia"/>
          <w:spacing w:val="-1"/>
          <w:sz w:val="24"/>
          <w:szCs w:val="24"/>
          <w:lang w:eastAsia="zh-CN"/>
        </w:rPr>
        <w:t>7</w:t>
      </w:r>
      <w:r>
        <w:rPr>
          <w:rFonts w:ascii="仿宋" w:eastAsia="仿宋" w:hAnsi="仿宋" w:cs="仿宋" w:hint="eastAsia"/>
          <w:color w:val="000000" w:themeColor="text1"/>
          <w:spacing w:val="-1"/>
          <w:sz w:val="24"/>
          <w:szCs w:val="24"/>
          <w:lang w:eastAsia="zh-CN"/>
          <w14:textFill>
            <w14:solidFill>
              <w14:schemeClr w14:val="tx1"/>
            </w14:solidFill>
          </w14:textFill>
        </w:rPr>
        <w:t>.2个性化健康指导</w:t>
      </w:r>
    </w:p>
    <w:p>
      <w:pPr>
        <w:spacing w:line="460" w:lineRule="exact"/>
        <w:rPr>
          <w:rFonts w:ascii="仿宋" w:eastAsia="仿宋" w:hAnsi="仿宋" w:cs="仿宋"/>
          <w:color w:themeColor="text1"/>
          <w:spacing w:val="-1"/>
          <w:sz w:val="24"/>
          <w:szCs w:val="24"/>
          <w:lang w:eastAsia="zh-CN"/>
          <w14:textFill>
            <w14:solidFill>
              <w14:schemeClr w14:val="tx1"/>
            </w14:solidFill>
          </w14:textFill>
        </w:rPr>
      </w:pPr>
      <w:r>
        <w:rPr>
          <w:rFonts w:ascii="仿宋" w:eastAsia="仿宋" w:hAnsi="仿宋" w:cs="仿宋" w:hint="eastAsia"/>
          <w:spacing w:val="-1"/>
          <w:sz w:val="24"/>
          <w:szCs w:val="24"/>
          <w:lang w:eastAsia="zh-CN"/>
        </w:rPr>
        <w:t>7</w:t>
      </w:r>
      <w:r>
        <w:rPr>
          <w:rFonts w:ascii="仿宋" w:eastAsia="仿宋" w:hAnsi="仿宋" w:cs="仿宋" w:hint="eastAsia"/>
          <w:color w:val="000000" w:themeColor="text1"/>
          <w:spacing w:val="-1"/>
          <w:sz w:val="24"/>
          <w:szCs w:val="24"/>
          <w:lang w:eastAsia="zh-CN"/>
          <w14:textFill>
            <w14:solidFill>
              <w14:schemeClr w14:val="tx1"/>
            </w14:solidFill>
          </w14:textFill>
        </w:rPr>
        <w:t>.2.1健康画像建立</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sectPr>
          <w:headerReference w:type="default" r:id="rId17"/>
          <w:footerReference w:type="default" r:id="rId18"/>
          <w:type w:val="nextPage"/>
          <w:pgSz w:w="11905" w:h="16838"/>
          <w:pgMar w:top="856" w:right="1451" w:bottom="726" w:left="1451" w:header="0" w:footer="510" w:gutter="0"/>
          <w:pgNumType w:start="7"/>
          <w:cols w:num="1" w:space="0"/>
          <w:titlePg w:val="0"/>
        </w:sectPr>
      </w:pPr>
      <w:r>
        <w:rPr>
          <w:rFonts w:ascii="仿宋" w:eastAsia="仿宋" w:hAnsi="仿宋" w:cs="仿宋" w:hint="eastAsia"/>
          <w:color w:val="auto"/>
          <w:sz w:val="24"/>
          <w:lang w:eastAsia="zh-CN"/>
        </w:rPr>
        <w:t>通过问卷调查、健康记录、医疗档案等方式，将收集的健康数据进行归类和整合，经过持续的数据收集更新和完善个人健康画像，动态地进行健康指导的管理和干预措施的实施。</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7.2.2餐前推荐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在顾客就餐之前，提供个性化的建议，帮助顾客在点餐之前做出更好的选择，提升他们的满意度和用餐体验。具体如下：</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a）定制膳食方案，提示饮食禁忌，推荐未来1周带量食谱，并配套营养分析；</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b）自动更新后续的摄入推荐值，实现营养平衡的动态补偿计算和推荐；</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c）推荐当日餐厅内提供低盐饮食的菜品；</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d）提供个性化加餐推荐。</w:t>
      </w:r>
    </w:p>
    <w:p>
      <w:pPr>
        <w:spacing w:line="460" w:lineRule="exact"/>
        <w:rPr>
          <w:rFonts w:ascii="仿宋" w:eastAsia="仿宋" w:hAnsi="仿宋" w:cs="仿宋"/>
          <w:color w:val="auto"/>
          <w:spacing w:val="-1"/>
          <w:sz w:val="24"/>
          <w:szCs w:val="24"/>
          <w:lang w:eastAsia="zh-CN"/>
        </w:rPr>
      </w:pPr>
      <w:r>
        <w:rPr>
          <w:rFonts w:ascii="仿宋" w:eastAsia="仿宋" w:hAnsi="仿宋" w:cs="仿宋" w:hint="eastAsia"/>
          <w:spacing w:val="-1"/>
          <w:sz w:val="24"/>
          <w:szCs w:val="24"/>
          <w:lang w:eastAsia="zh-CN"/>
        </w:rPr>
        <w:t>7</w:t>
      </w:r>
      <w:r>
        <w:rPr>
          <w:rFonts w:ascii="仿宋" w:eastAsia="仿宋" w:hAnsi="仿宋" w:cs="仿宋" w:hint="eastAsia"/>
          <w:color w:val="auto"/>
          <w:spacing w:val="-1"/>
          <w:sz w:val="24"/>
          <w:szCs w:val="24"/>
          <w:lang w:eastAsia="zh-CN"/>
        </w:rPr>
        <w:t>.2.3取餐提醒</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依据用户的健康画像，在取餐过程中个性化提醒用户安全健康就餐。</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7.2.4餐后分析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用户取餐后，提供膳食营养分析报告，包括摄入食物的总质量和卡路里摄入量及达标情况、饮食结构占比、盐实际摄入量及达标情况、其他重要元素实际摄入量及达标情况、营养元素实际摄入量及达标情况、自定义营养元素查询摄入情况、对比主要食物来源和贡献的克重、展示食物贡献排行榜和贡献克重、提醒补充摄入相关食物的建议等。</w:t>
      </w:r>
    </w:p>
    <w:p>
      <w:pPr>
        <w:spacing w:line="460" w:lineRule="exact"/>
        <w:rPr>
          <w:rFonts w:ascii="仿宋" w:eastAsia="仿宋" w:hAnsi="仿宋" w:cs="仿宋"/>
          <w:color w:val="auto"/>
          <w:spacing w:val="-2"/>
          <w:sz w:val="24"/>
          <w:szCs w:val="24"/>
          <w:lang w:eastAsia="zh-CN"/>
        </w:rPr>
      </w:pPr>
      <w:r>
        <w:rPr>
          <w:rFonts w:ascii="仿宋" w:eastAsia="仿宋" w:hAnsi="仿宋" w:cs="仿宋" w:hint="eastAsia"/>
          <w:color w:val="auto"/>
          <w:spacing w:val="-2"/>
          <w:sz w:val="24"/>
          <w:szCs w:val="24"/>
          <w:lang w:eastAsia="zh-CN"/>
        </w:rPr>
        <w:t>8 智慧运营管理</w:t>
      </w:r>
    </w:p>
    <w:p>
      <w:pPr>
        <w:spacing w:line="460" w:lineRule="exact"/>
        <w:rPr>
          <w:rFonts w:ascii="方正仿宋_GB2312" w:eastAsia="方正仿宋_GB2312" w:hAnsi="方正仿宋_GB2312" w:cs="方正仿宋_GB2312"/>
          <w:color w:val="auto"/>
          <w:kern w:val="2"/>
          <w:sz w:val="24"/>
          <w:szCs w:val="24"/>
          <w:lang w:eastAsia="zh-CN"/>
        </w:rPr>
      </w:pPr>
      <w:r>
        <w:rPr>
          <w:rFonts w:ascii="仿宋" w:eastAsia="仿宋" w:hAnsi="仿宋" w:cs="仿宋" w:hint="eastAsia"/>
          <w:spacing w:val="-2"/>
          <w:sz w:val="24"/>
          <w:szCs w:val="24"/>
          <w:lang w:eastAsia="zh-CN"/>
        </w:rPr>
        <w:t>8.1</w:t>
      </w:r>
      <w:r>
        <w:rPr>
          <w:rFonts w:ascii="方正仿宋_GB2312" w:eastAsia="方正仿宋_GB2312" w:hAnsi="方正仿宋_GB2312" w:cs="方正仿宋_GB2312" w:hint="eastAsia"/>
          <w:color w:val="auto"/>
          <w:kern w:val="2"/>
          <w:sz w:val="24"/>
          <w:szCs w:val="24"/>
          <w:lang w:eastAsia="zh-CN"/>
        </w:rPr>
        <w:t>建立食堂智慧管理系统</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食堂智慧管理系统的建立可以提高管理效率、实时监控和预警、分析数据指导决策、优化和节约资源、提升顾客体验、加强数据安全和隐私保护。</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食堂智慧管理系统包括ERP智能管理、采购管理、库房管理、食安管理、菜品管理、</w:t>
      </w:r>
      <w:r>
        <w:rPr>
          <w:rFonts w:ascii="仿宋" w:eastAsia="仿宋" w:hAnsi="仿宋" w:cs="仿宋"/>
          <w:color w:val="auto"/>
          <w:sz w:val="24"/>
          <w:lang w:eastAsia="zh-CN"/>
        </w:rPr>
        <w:t>订单管理</w:t>
      </w:r>
      <w:r>
        <w:rPr>
          <w:rFonts w:ascii="仿宋" w:eastAsia="仿宋" w:hAnsi="仿宋" w:cs="仿宋" w:hint="eastAsia"/>
          <w:color w:val="auto"/>
          <w:sz w:val="24"/>
          <w:lang w:eastAsia="zh-CN"/>
        </w:rPr>
        <w:t>、</w:t>
      </w:r>
      <w:r>
        <w:rPr>
          <w:rFonts w:ascii="仿宋" w:eastAsia="仿宋" w:hAnsi="仿宋" w:cs="仿宋"/>
          <w:color w:val="auto"/>
          <w:sz w:val="24"/>
          <w:lang w:eastAsia="zh-CN"/>
        </w:rPr>
        <w:t>销售管理</w:t>
      </w:r>
      <w:r>
        <w:rPr>
          <w:rFonts w:ascii="仿宋" w:eastAsia="仿宋" w:hAnsi="仿宋" w:cs="仿宋" w:hint="eastAsia"/>
          <w:color w:val="auto"/>
          <w:sz w:val="24"/>
          <w:lang w:eastAsia="zh-CN"/>
        </w:rPr>
        <w:t>、</w:t>
      </w:r>
      <w:r>
        <w:rPr>
          <w:rFonts w:ascii="仿宋" w:eastAsia="仿宋" w:hAnsi="仿宋" w:cs="仿宋"/>
          <w:color w:val="auto"/>
          <w:sz w:val="24"/>
          <w:lang w:eastAsia="zh-CN"/>
        </w:rPr>
        <w:t>用户管理</w:t>
      </w:r>
      <w:r>
        <w:rPr>
          <w:rFonts w:ascii="仿宋" w:eastAsia="仿宋" w:hAnsi="仿宋" w:cs="仿宋" w:hint="eastAsia"/>
          <w:color w:val="auto"/>
          <w:sz w:val="24"/>
          <w:lang w:eastAsia="zh-CN"/>
        </w:rPr>
        <w:t>、营养管理、能源管理、人员管理等</w:t>
      </w:r>
      <w:r>
        <w:rPr>
          <w:rFonts w:ascii="仿宋" w:eastAsia="仿宋" w:hAnsi="仿宋" w:cs="仿宋"/>
          <w:color w:val="auto"/>
          <w:sz w:val="24"/>
          <w:lang w:eastAsia="zh-CN"/>
        </w:rPr>
        <w:t>。</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食堂智慧管理系统具备的智慧功能详见附录A。</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8.2建立食堂数据统计分析系统</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建立食堂数据统计分析系统，帮助运营管理者了解食堂就餐人员营养健康状况，帮助分析决策食堂后续运营及改进方向。食堂数据统计分析系统包括</w:t>
      </w:r>
      <w:r>
        <w:rPr>
          <w:rFonts w:ascii="仿宋" w:eastAsia="仿宋" w:hAnsi="仿宋" w:cs="仿宋"/>
          <w:color w:val="auto"/>
          <w:sz w:val="24"/>
          <w:lang w:eastAsia="zh-CN"/>
        </w:rPr>
        <w:t>就餐频次统计</w:t>
      </w:r>
      <w:r>
        <w:rPr>
          <w:rFonts w:ascii="仿宋" w:eastAsia="仿宋" w:hAnsi="仿宋" w:cs="仿宋" w:hint="eastAsia"/>
          <w:color w:val="auto"/>
          <w:sz w:val="24"/>
          <w:lang w:eastAsia="zh-CN"/>
        </w:rPr>
        <w:t>、</w:t>
      </w:r>
      <w:r>
        <w:rPr>
          <w:rFonts w:ascii="仿宋" w:eastAsia="仿宋" w:hAnsi="仿宋" w:cs="仿宋"/>
          <w:color w:val="auto"/>
          <w:sz w:val="24"/>
          <w:lang w:eastAsia="zh-CN"/>
        </w:rPr>
        <w:t>营养成分数据统计</w:t>
      </w:r>
      <w:r>
        <w:rPr>
          <w:rFonts w:ascii="仿宋" w:eastAsia="仿宋" w:hAnsi="仿宋" w:cs="仿宋" w:hint="eastAsia"/>
          <w:color w:val="auto"/>
          <w:sz w:val="24"/>
          <w:lang w:eastAsia="zh-CN"/>
        </w:rPr>
        <w:t>、</w:t>
      </w:r>
      <w:r>
        <w:rPr>
          <w:rFonts w:ascii="仿宋" w:eastAsia="仿宋" w:hAnsi="仿宋" w:cs="仿宋"/>
          <w:color w:val="auto"/>
          <w:sz w:val="24"/>
          <w:lang w:eastAsia="zh-CN"/>
        </w:rPr>
        <w:t>库存数据统计</w:t>
      </w:r>
      <w:r>
        <w:rPr>
          <w:rFonts w:ascii="仿宋" w:eastAsia="仿宋" w:hAnsi="仿宋" w:cs="仿宋" w:hint="eastAsia"/>
          <w:color w:val="auto"/>
          <w:sz w:val="24"/>
          <w:lang w:eastAsia="zh-CN"/>
        </w:rPr>
        <w:t>、</w:t>
      </w:r>
      <w:r>
        <w:rPr>
          <w:rFonts w:ascii="仿宋" w:eastAsia="仿宋" w:hAnsi="仿宋" w:cs="仿宋"/>
          <w:color w:val="auto"/>
          <w:sz w:val="24"/>
          <w:lang w:eastAsia="zh-CN"/>
        </w:rPr>
        <w:t>消费习惯统计</w:t>
      </w:r>
      <w:r>
        <w:rPr>
          <w:rFonts w:ascii="仿宋" w:eastAsia="仿宋" w:hAnsi="仿宋" w:cs="仿宋" w:hint="eastAsia"/>
          <w:color w:val="auto"/>
          <w:sz w:val="24"/>
          <w:lang w:eastAsia="zh-CN"/>
        </w:rPr>
        <w:t>、</w:t>
      </w:r>
      <w:r>
        <w:rPr>
          <w:rFonts w:ascii="仿宋" w:eastAsia="仿宋" w:hAnsi="仿宋" w:cs="仿宋"/>
          <w:color w:val="auto"/>
          <w:sz w:val="24"/>
          <w:lang w:eastAsia="zh-CN"/>
        </w:rPr>
        <w:t>销售统计</w:t>
      </w:r>
      <w:r>
        <w:rPr>
          <w:rFonts w:ascii="仿宋" w:eastAsia="仿宋" w:hAnsi="仿宋" w:cs="仿宋" w:hint="eastAsia"/>
          <w:color w:val="auto"/>
          <w:sz w:val="24"/>
          <w:lang w:eastAsia="zh-CN"/>
        </w:rPr>
        <w:t>、</w:t>
      </w:r>
      <w:r>
        <w:rPr>
          <w:rFonts w:ascii="仿宋" w:eastAsia="仿宋" w:hAnsi="仿宋" w:cs="仿宋"/>
          <w:color w:val="auto"/>
          <w:sz w:val="24"/>
          <w:lang w:eastAsia="zh-CN"/>
        </w:rPr>
        <w:t>高频</w:t>
      </w:r>
      <w:r>
        <w:rPr>
          <w:rFonts w:ascii="仿宋" w:eastAsia="仿宋" w:hAnsi="仿宋" w:cs="仿宋" w:hint="eastAsia"/>
          <w:color w:val="auto"/>
          <w:sz w:val="24"/>
          <w:lang w:eastAsia="zh-CN"/>
        </w:rPr>
        <w:t>食物分析、</w:t>
      </w:r>
      <w:r>
        <w:rPr>
          <w:rFonts w:ascii="仿宋" w:eastAsia="仿宋" w:hAnsi="仿宋" w:cs="仿宋"/>
          <w:color w:val="auto"/>
          <w:sz w:val="24"/>
          <w:lang w:eastAsia="zh-CN"/>
        </w:rPr>
        <w:t>健康相关数据分析</w:t>
      </w:r>
      <w:r>
        <w:rPr>
          <w:rFonts w:ascii="仿宋" w:eastAsia="仿宋" w:hAnsi="仿宋" w:cs="仿宋" w:hint="eastAsia"/>
          <w:color w:val="auto"/>
          <w:sz w:val="24"/>
          <w:lang w:eastAsia="zh-CN"/>
        </w:rPr>
        <w:t>、</w:t>
      </w:r>
      <w:r>
        <w:rPr>
          <w:rFonts w:ascii="仿宋" w:eastAsia="仿宋" w:hAnsi="仿宋" w:cs="仿宋"/>
          <w:color w:val="auto"/>
          <w:sz w:val="24"/>
          <w:lang w:eastAsia="zh-CN"/>
        </w:rPr>
        <w:t>消费者对菜品/菜谱反馈分析</w:t>
      </w:r>
      <w:r>
        <w:rPr>
          <w:rFonts w:ascii="仿宋" w:eastAsia="仿宋" w:hAnsi="仿宋" w:cs="仿宋" w:hint="eastAsia"/>
          <w:color w:val="auto"/>
          <w:sz w:val="24"/>
          <w:lang w:eastAsia="zh-CN"/>
        </w:rPr>
        <w:t>、</w:t>
      </w:r>
      <w:r>
        <w:rPr>
          <w:rFonts w:ascii="仿宋" w:eastAsia="仿宋" w:hAnsi="仿宋" w:cs="仿宋"/>
          <w:color w:val="auto"/>
          <w:sz w:val="24"/>
          <w:lang w:eastAsia="zh-CN"/>
        </w:rPr>
        <w:t>不同特征用户群体与菜品类型的关系</w:t>
      </w:r>
      <w:r>
        <w:rPr>
          <w:rFonts w:ascii="仿宋" w:eastAsia="仿宋" w:hAnsi="仿宋" w:cs="仿宋" w:hint="eastAsia"/>
          <w:color w:val="auto"/>
          <w:sz w:val="24"/>
          <w:lang w:eastAsia="zh-CN"/>
        </w:rPr>
        <w:t>分析</w:t>
      </w:r>
      <w:bookmarkStart w:id="1" w:name="_Hlk149145434"/>
      <w:r>
        <w:rPr>
          <w:rFonts w:ascii="仿宋" w:eastAsia="仿宋" w:hAnsi="仿宋" w:cs="仿宋" w:hint="eastAsia"/>
          <w:color w:val="auto"/>
          <w:sz w:val="24"/>
          <w:lang w:eastAsia="zh-CN"/>
        </w:rPr>
        <w:t>等。</w:t>
      </w:r>
    </w:p>
    <w:p>
      <w:pPr>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9 前厅环境与氛围</w:t>
      </w:r>
    </w:p>
    <w:p>
      <w:pPr>
        <w:spacing w:line="460" w:lineRule="exact"/>
        <w:rPr>
          <w:rFonts w:ascii="仿宋" w:eastAsia="仿宋" w:hAnsi="仿宋" w:cs="仿宋"/>
          <w:sz w:val="24"/>
          <w:szCs w:val="24"/>
          <w:lang w:eastAsia="zh-CN"/>
        </w:rPr>
      </w:pPr>
      <w:r>
        <w:rPr>
          <w:rFonts w:ascii="仿宋" w:eastAsia="仿宋" w:hAnsi="仿宋" w:cs="仿宋" w:hint="eastAsia"/>
          <w:spacing w:val="-1"/>
          <w:sz w:val="24"/>
          <w:szCs w:val="24"/>
          <w:lang w:eastAsia="zh-CN"/>
        </w:rPr>
        <w:t>9.1环</w:t>
      </w:r>
      <w:r>
        <w:rPr>
          <w:rFonts w:ascii="仿宋" w:eastAsia="仿宋" w:hAnsi="仿宋" w:cs="仿宋" w:hint="eastAsia"/>
          <w:sz w:val="24"/>
          <w:szCs w:val="24"/>
          <w:lang w:eastAsia="zh-CN"/>
        </w:rPr>
        <w:t>境理念</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sectPr>
          <w:headerReference w:type="default" r:id="rId19"/>
          <w:footerReference w:type="default" r:id="rId20"/>
          <w:type w:val="nextPage"/>
          <w:pgSz w:w="11905" w:h="16838"/>
          <w:pgMar w:top="856" w:right="1451" w:bottom="726" w:left="1451" w:header="0" w:footer="510" w:gutter="0"/>
          <w:pgNumType w:start="8"/>
          <w:cols w:num="1" w:space="0"/>
          <w:titlePg w:val="0"/>
        </w:sectPr>
      </w:pP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前厅的环境应注重定位、风格和目标顾客群体的匹配度，体现前厅独特的环境理念和品牌形象，尤其在舒适性、美观度、整洁性、智能性和互动性方面为顾客营造舒适和温馨的就餐氛围，同时可以划分第三生活空间，提供办公、休闲、会客、花店、茶饮等多种功能，满足多元化用餐需求。</w:t>
      </w:r>
    </w:p>
    <w:p>
      <w:pPr>
        <w:pStyle w:val="PlainText"/>
        <w:spacing w:line="460" w:lineRule="exact"/>
        <w:rPr>
          <w:rFonts w:ascii="仿宋" w:eastAsia="仿宋" w:hAnsi="仿宋" w:cs="仿宋"/>
          <w:spacing w:val="-1"/>
          <w:sz w:val="24"/>
          <w:szCs w:val="24"/>
          <w:lang w:eastAsia="zh-CN"/>
        </w:rPr>
      </w:pPr>
      <w:r>
        <w:rPr>
          <w:rFonts w:ascii="仿宋" w:eastAsia="仿宋" w:hAnsi="仿宋" w:cs="仿宋" w:hint="eastAsia"/>
          <w:spacing w:val="-1"/>
          <w:sz w:val="24"/>
          <w:szCs w:val="24"/>
          <w:lang w:eastAsia="zh-CN"/>
        </w:rPr>
        <w:t>9.2智慧环境组成</w:t>
      </w:r>
    </w:p>
    <w:p>
      <w:pPr>
        <w:pStyle w:val="Plain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9</w:t>
      </w:r>
      <w:r>
        <w:rPr>
          <w:rFonts w:ascii="仿宋" w:eastAsia="仿宋" w:hAnsi="仿宋" w:cs="仿宋"/>
          <w:sz w:val="24"/>
          <w:szCs w:val="24"/>
          <w:lang w:eastAsia="zh-CN"/>
        </w:rPr>
        <w:t>.2.1</w:t>
      </w:r>
      <w:r>
        <w:rPr>
          <w:rFonts w:ascii="仿宋" w:eastAsia="仿宋" w:hAnsi="仿宋" w:cs="仿宋" w:hint="eastAsia"/>
          <w:spacing w:val="-1"/>
          <w:sz w:val="24"/>
          <w:szCs w:val="24"/>
          <w:lang w:eastAsia="zh-CN"/>
        </w:rPr>
        <w:t>前</w:t>
      </w:r>
      <w:r>
        <w:rPr>
          <w:rFonts w:ascii="仿宋" w:eastAsia="仿宋" w:hAnsi="仿宋" w:cs="仿宋" w:hint="eastAsia"/>
          <w:sz w:val="24"/>
          <w:szCs w:val="24"/>
          <w:lang w:eastAsia="zh-CN"/>
        </w:rPr>
        <w:t>厅空间</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前厅主体区域划分出完整的大块就餐空间，可以用隔断式1人位，2人、4人、8人餐桌等以矩阵形式穿插排列，保持就餐区域方正整齐、边界清晰，就餐过道留有足够宽度。</w:t>
      </w:r>
    </w:p>
    <w:p>
      <w:pPr>
        <w:pStyle w:val="Plain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9</w:t>
      </w:r>
      <w:r>
        <w:rPr>
          <w:rFonts w:ascii="仿宋" w:eastAsia="仿宋" w:hAnsi="仿宋" w:cs="仿宋"/>
          <w:sz w:val="24"/>
          <w:szCs w:val="24"/>
          <w:lang w:eastAsia="zh-CN"/>
        </w:rPr>
        <w:t>.2</w:t>
      </w:r>
      <w:r>
        <w:rPr>
          <w:rFonts w:ascii="仿宋" w:eastAsia="仿宋" w:hAnsi="仿宋" w:cs="仿宋" w:hint="eastAsia"/>
          <w:sz w:val="24"/>
          <w:szCs w:val="24"/>
          <w:lang w:eastAsia="zh-CN"/>
        </w:rPr>
        <w:t>.</w:t>
      </w:r>
      <w:r>
        <w:rPr>
          <w:rFonts w:ascii="仿宋" w:eastAsia="仿宋" w:hAnsi="仿宋" w:cs="仿宋"/>
          <w:sz w:val="24"/>
          <w:szCs w:val="24"/>
          <w:lang w:eastAsia="zh-CN"/>
        </w:rPr>
        <w:t>2</w:t>
      </w:r>
      <w:r>
        <w:rPr>
          <w:rFonts w:ascii="仿宋" w:eastAsia="仿宋" w:hAnsi="仿宋" w:cs="仿宋" w:hint="eastAsia"/>
          <w:sz w:val="24"/>
          <w:szCs w:val="24"/>
          <w:lang w:eastAsia="zh-CN"/>
        </w:rPr>
        <w:t>色彩搭配</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和谐、不单调色彩搭配可增加就餐欲望，设置明亮活泼、让人眼前一亮的视觉焦点为空间减噪，可缓解身心压力。</w:t>
      </w:r>
    </w:p>
    <w:p>
      <w:pPr>
        <w:pStyle w:val="Plain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9</w:t>
      </w:r>
      <w:r>
        <w:rPr>
          <w:rFonts w:ascii="仿宋" w:eastAsia="仿宋" w:hAnsi="仿宋" w:cs="仿宋"/>
          <w:sz w:val="24"/>
          <w:szCs w:val="24"/>
          <w:lang w:eastAsia="zh-CN"/>
        </w:rPr>
        <w:t>.2</w:t>
      </w:r>
      <w:r>
        <w:rPr>
          <w:rFonts w:ascii="仿宋" w:eastAsia="仿宋" w:hAnsi="仿宋" w:cs="仿宋" w:hint="eastAsia"/>
          <w:sz w:val="24"/>
          <w:szCs w:val="24"/>
          <w:lang w:eastAsia="zh-CN"/>
        </w:rPr>
        <w:t>.</w:t>
      </w:r>
      <w:r>
        <w:rPr>
          <w:rFonts w:ascii="仿宋" w:eastAsia="仿宋" w:hAnsi="仿宋" w:cs="仿宋"/>
          <w:sz w:val="24"/>
          <w:szCs w:val="24"/>
          <w:lang w:eastAsia="zh-CN"/>
        </w:rPr>
        <w:t>3</w:t>
      </w:r>
      <w:r>
        <w:rPr>
          <w:rFonts w:ascii="仿宋" w:eastAsia="仿宋" w:hAnsi="仿宋" w:cs="仿宋" w:hint="eastAsia"/>
          <w:sz w:val="24"/>
          <w:szCs w:val="24"/>
          <w:lang w:eastAsia="zh-CN"/>
        </w:rPr>
        <w:t>氛围装饰</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通过巧妙的氛围装饰，营造出与其风格和定位相匹配的用餐环境，吸引顾客、提升顾客体验，并与其他餐厅形成差异化竞争，主要包括以下几个方面。</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合理选择灯光和色温，从视觉改变就餐环境，从整体提升就餐体验，选择暖色系给人亲近感、放松感，易增加就餐欲望；选择冷色系给人高冷感、整洁感，暗示就餐场景标准、正规，敦促大家遵守秩序，有序用餐；</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b）合理搭配餐桌和座椅的色彩、线条、弧度，营造不同的用餐体验；</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c）设置四周背景墙，360°环绕投影，打造沉浸式就餐环境；</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d）使用投影、互动屏等智能设备丰富就餐体验。</w:t>
      </w:r>
    </w:p>
    <w:p>
      <w:pPr>
        <w:pStyle w:val="Plain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9</w:t>
      </w:r>
      <w:r>
        <w:rPr>
          <w:rFonts w:ascii="仿宋" w:eastAsia="仿宋" w:hAnsi="仿宋" w:cs="仿宋"/>
          <w:sz w:val="24"/>
          <w:szCs w:val="24"/>
          <w:lang w:eastAsia="zh-CN"/>
        </w:rPr>
        <w:t>.2</w:t>
      </w:r>
      <w:r>
        <w:rPr>
          <w:rFonts w:ascii="仿宋" w:eastAsia="仿宋" w:hAnsi="仿宋" w:cs="仿宋" w:hint="eastAsia"/>
          <w:sz w:val="24"/>
          <w:szCs w:val="24"/>
          <w:lang w:eastAsia="zh-CN"/>
        </w:rPr>
        <w:t>.4智慧灯光</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结合智能控制、感应技术和个性化设置，根据前厅需求和顾客喜好，创造出适宜的氛围和照明效果，包括以下功能：</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w:t>
      </w:r>
      <w:r>
        <w:rPr>
          <w:rFonts w:ascii="仿宋" w:eastAsia="仿宋" w:hAnsi="仿宋" w:cs="仿宋"/>
          <w:color w:val="auto"/>
          <w:sz w:val="24"/>
          <w:lang w:eastAsia="zh-CN"/>
        </w:rPr>
        <w:t>预设早餐、午餐、晚餐等多种情景模式，每种模式下灯光的亮度、颜色和效果都可以根据需求进行调整</w:t>
      </w:r>
      <w:r>
        <w:rPr>
          <w:rFonts w:ascii="仿宋" w:eastAsia="仿宋" w:hAnsi="仿宋" w:cs="仿宋" w:hint="eastAsia"/>
          <w:color w:val="auto"/>
          <w:sz w:val="24"/>
          <w:lang w:eastAsia="zh-CN"/>
        </w:rPr>
        <w:t>；</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w:t>
      </w:r>
      <w:r>
        <w:rPr>
          <w:rFonts w:ascii="仿宋" w:eastAsia="仿宋" w:hAnsi="仿宋" w:cs="仿宋"/>
          <w:color w:val="auto"/>
          <w:sz w:val="24"/>
          <w:lang w:eastAsia="zh-CN"/>
        </w:rPr>
        <w:t>通过运动检测和人体感应技术，感知顾客的活动和位置</w:t>
      </w:r>
      <w:r>
        <w:rPr>
          <w:rFonts w:ascii="仿宋" w:eastAsia="仿宋" w:hAnsi="仿宋" w:cs="仿宋" w:hint="eastAsia"/>
          <w:color w:val="auto"/>
          <w:sz w:val="24"/>
          <w:lang w:eastAsia="zh-CN"/>
        </w:rPr>
        <w:t>，</w:t>
      </w:r>
      <w:r>
        <w:rPr>
          <w:rFonts w:ascii="仿宋" w:eastAsia="仿宋" w:hAnsi="仿宋" w:cs="仿宋"/>
          <w:color w:val="auto"/>
          <w:sz w:val="24"/>
          <w:lang w:eastAsia="zh-CN"/>
        </w:rPr>
        <w:t>当顾客进入</w:t>
      </w:r>
      <w:r>
        <w:rPr>
          <w:rFonts w:ascii="仿宋" w:eastAsia="仿宋" w:hAnsi="仿宋" w:cs="仿宋" w:hint="eastAsia"/>
          <w:color w:val="auto"/>
          <w:sz w:val="24"/>
          <w:lang w:eastAsia="zh-CN"/>
        </w:rPr>
        <w:t>前厅</w:t>
      </w:r>
      <w:r>
        <w:rPr>
          <w:rFonts w:ascii="仿宋" w:eastAsia="仿宋" w:hAnsi="仿宋" w:cs="仿宋"/>
          <w:color w:val="auto"/>
          <w:sz w:val="24"/>
          <w:lang w:eastAsia="zh-CN"/>
        </w:rPr>
        <w:t>或离开座位时，灯光可以自动调整亮度，提供舒适的照明环境，并节省能源</w:t>
      </w:r>
      <w:r>
        <w:rPr>
          <w:rFonts w:ascii="仿宋" w:eastAsia="仿宋" w:hAnsi="仿宋" w:cs="仿宋" w:hint="eastAsia"/>
          <w:color w:val="auto"/>
          <w:sz w:val="24"/>
          <w:lang w:eastAsia="zh-CN"/>
        </w:rPr>
        <w:t>；</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w:t>
      </w:r>
      <w:r>
        <w:rPr>
          <w:rFonts w:ascii="仿宋" w:eastAsia="仿宋" w:hAnsi="仿宋" w:cs="仿宋"/>
          <w:color w:val="auto"/>
          <w:sz w:val="24"/>
          <w:lang w:eastAsia="zh-CN"/>
        </w:rPr>
        <w:t>管理人员通过智能手机或平板电脑等设备，远程控制灯光系统</w:t>
      </w:r>
      <w:r>
        <w:rPr>
          <w:rFonts w:ascii="仿宋" w:eastAsia="仿宋" w:hAnsi="仿宋" w:cs="仿宋" w:hint="eastAsia"/>
          <w:color w:val="auto"/>
          <w:sz w:val="24"/>
          <w:lang w:eastAsia="zh-CN"/>
        </w:rPr>
        <w:t>。</w:t>
      </w:r>
      <w:bookmarkEnd w:id="1"/>
    </w:p>
    <w:p>
      <w:pPr>
        <w:pStyle w:val="PlainText"/>
        <w:spacing w:line="460" w:lineRule="exact"/>
        <w:rPr>
          <w:rFonts w:ascii="仿宋" w:eastAsia="仿宋" w:hAnsi="仿宋" w:cs="仿宋"/>
          <w:sz w:val="24"/>
          <w:szCs w:val="24"/>
          <w:lang w:eastAsia="zh-CN"/>
        </w:rPr>
      </w:pPr>
      <w:r>
        <w:rPr>
          <w:rFonts w:ascii="仿宋" w:eastAsia="仿宋" w:hAnsi="仿宋" w:cs="仿宋" w:hint="eastAsia"/>
          <w:sz w:val="24"/>
          <w:szCs w:val="24"/>
          <w:lang w:eastAsia="zh-CN"/>
        </w:rPr>
        <w:t>9</w:t>
      </w:r>
      <w:r>
        <w:rPr>
          <w:rFonts w:ascii="仿宋" w:eastAsia="仿宋" w:hAnsi="仿宋" w:cs="仿宋"/>
          <w:sz w:val="24"/>
          <w:szCs w:val="24"/>
          <w:lang w:eastAsia="zh-CN"/>
        </w:rPr>
        <w:t>.2</w:t>
      </w:r>
      <w:r>
        <w:rPr>
          <w:rFonts w:ascii="仿宋" w:eastAsia="仿宋" w:hAnsi="仿宋" w:cs="仿宋" w:hint="eastAsia"/>
          <w:sz w:val="24"/>
          <w:szCs w:val="24"/>
          <w:lang w:eastAsia="zh-CN"/>
        </w:rPr>
        <w:t>.5智慧道闸</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结合自动识别、智能控制和数据管理等功能，实现</w:t>
      </w:r>
      <w:r>
        <w:rPr>
          <w:rFonts w:ascii="仿宋" w:eastAsia="仿宋" w:hAnsi="仿宋" w:cs="仿宋" w:hint="eastAsia"/>
          <w:color w:val="auto"/>
          <w:sz w:val="24"/>
          <w:lang w:eastAsia="zh-CN"/>
        </w:rPr>
        <w:t>人员</w:t>
      </w:r>
      <w:r>
        <w:rPr>
          <w:rFonts w:ascii="仿宋" w:eastAsia="仿宋" w:hAnsi="仿宋" w:cs="仿宋"/>
          <w:color w:val="auto"/>
          <w:sz w:val="24"/>
          <w:lang w:eastAsia="zh-CN"/>
        </w:rPr>
        <w:t>的</w:t>
      </w:r>
      <w:r>
        <w:rPr>
          <w:rFonts w:ascii="仿宋" w:eastAsia="仿宋" w:hAnsi="仿宋" w:cs="仿宋" w:hint="eastAsia"/>
          <w:color w:val="auto"/>
          <w:sz w:val="24"/>
          <w:lang w:eastAsia="zh-CN"/>
        </w:rPr>
        <w:t>进出</w:t>
      </w:r>
      <w:r>
        <w:rPr>
          <w:rFonts w:ascii="仿宋" w:eastAsia="仿宋" w:hAnsi="仿宋" w:cs="仿宋"/>
          <w:color w:val="auto"/>
          <w:sz w:val="24"/>
          <w:lang w:eastAsia="zh-CN"/>
        </w:rPr>
        <w:t>识别、指引等操作，提升</w:t>
      </w:r>
      <w:r>
        <w:rPr>
          <w:rFonts w:ascii="仿宋" w:eastAsia="仿宋" w:hAnsi="仿宋" w:cs="仿宋" w:hint="eastAsia"/>
          <w:color w:val="auto"/>
          <w:sz w:val="24"/>
          <w:lang w:eastAsia="zh-CN"/>
        </w:rPr>
        <w:t>前</w:t>
      </w:r>
      <w:r>
        <w:rPr>
          <w:rFonts w:ascii="仿宋" w:eastAsia="仿宋" w:hAnsi="仿宋" w:cs="仿宋"/>
          <w:color w:val="auto"/>
          <w:sz w:val="24"/>
          <w:lang w:eastAsia="zh-CN"/>
        </w:rPr>
        <w:t>厅管理的效率和便利性</w:t>
      </w:r>
      <w:r>
        <w:rPr>
          <w:rFonts w:ascii="仿宋" w:eastAsia="仿宋" w:hAnsi="仿宋" w:cs="仿宋" w:hint="eastAsia"/>
          <w:color w:val="auto"/>
          <w:sz w:val="24"/>
          <w:lang w:eastAsia="zh-CN"/>
        </w:rPr>
        <w:t>，包括以下功能：</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a）配备人脸识别技术，自动辨识进出前厅的人员；</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w:t>
      </w:r>
      <w:r>
        <w:rPr>
          <w:rFonts w:ascii="仿宋" w:eastAsia="仿宋" w:hAnsi="仿宋" w:cs="仿宋"/>
          <w:color w:val="auto"/>
          <w:sz w:val="24"/>
          <w:lang w:eastAsia="zh-CN"/>
        </w:rPr>
        <w:t>与支付系统集成，实现自动扣费功能</w:t>
      </w:r>
      <w:r>
        <w:rPr>
          <w:rFonts w:ascii="仿宋" w:eastAsia="仿宋" w:hAnsi="仿宋" w:cs="仿宋" w:hint="eastAsia"/>
          <w:color w:val="auto"/>
          <w:sz w:val="24"/>
          <w:lang w:eastAsia="zh-CN"/>
        </w:rPr>
        <w:t>；</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sectPr>
          <w:headerReference w:type="default" r:id="rId21"/>
          <w:footerReference w:type="default" r:id="rId22"/>
          <w:type w:val="nextPage"/>
          <w:pgSz w:w="11905" w:h="16838"/>
          <w:pgMar w:top="856" w:right="1451" w:bottom="726" w:left="1451" w:header="0" w:footer="510" w:gutter="0"/>
          <w:pgNumType w:start="9"/>
          <w:cols w:num="1" w:space="0"/>
          <w:titlePg w:val="0"/>
        </w:sectPr>
      </w:pPr>
      <w:r>
        <w:rPr>
          <w:rFonts w:ascii="仿宋" w:eastAsia="仿宋" w:hAnsi="仿宋" w:cs="仿宋" w:hint="eastAsia"/>
          <w:color w:val="auto"/>
          <w:sz w:val="24"/>
          <w:lang w:eastAsia="zh-CN"/>
        </w:rPr>
        <w:t>c）</w:t>
      </w:r>
      <w:r>
        <w:rPr>
          <w:rFonts w:ascii="仿宋" w:eastAsia="仿宋" w:hAnsi="仿宋" w:cs="仿宋"/>
          <w:color w:val="auto"/>
          <w:sz w:val="24"/>
          <w:lang w:eastAsia="zh-CN"/>
        </w:rPr>
        <w:t>收集和记录</w:t>
      </w:r>
      <w:r>
        <w:rPr>
          <w:rFonts w:ascii="仿宋" w:eastAsia="仿宋" w:hAnsi="仿宋" w:cs="仿宋" w:hint="eastAsia"/>
          <w:color w:val="auto"/>
          <w:sz w:val="24"/>
          <w:lang w:eastAsia="zh-CN"/>
        </w:rPr>
        <w:t>人员</w:t>
      </w:r>
      <w:r>
        <w:rPr>
          <w:rFonts w:ascii="仿宋" w:eastAsia="仿宋" w:hAnsi="仿宋" w:cs="仿宋"/>
          <w:color w:val="auto"/>
          <w:sz w:val="24"/>
          <w:lang w:eastAsia="zh-CN"/>
        </w:rPr>
        <w:t>进出的数据，包括进出时间、</w:t>
      </w:r>
      <w:r>
        <w:rPr>
          <w:rFonts w:ascii="仿宋" w:eastAsia="仿宋" w:hAnsi="仿宋" w:cs="仿宋" w:hint="eastAsia"/>
          <w:color w:val="auto"/>
          <w:sz w:val="24"/>
          <w:lang w:eastAsia="zh-CN"/>
        </w:rPr>
        <w:t>就餐时长</w:t>
      </w:r>
      <w:r>
        <w:rPr>
          <w:rFonts w:ascii="仿宋" w:eastAsia="仿宋" w:hAnsi="仿宋" w:cs="仿宋"/>
          <w:color w:val="auto"/>
          <w:sz w:val="24"/>
          <w:lang w:eastAsia="zh-CN"/>
        </w:rPr>
        <w:t>等信息，为</w:t>
      </w:r>
      <w:r>
        <w:rPr>
          <w:rFonts w:ascii="仿宋" w:eastAsia="仿宋" w:hAnsi="仿宋" w:cs="仿宋" w:hint="eastAsia"/>
          <w:color w:val="auto"/>
          <w:sz w:val="24"/>
          <w:lang w:eastAsia="zh-CN"/>
        </w:rPr>
        <w:t>前厅</w:t>
      </w:r>
      <w:r>
        <w:rPr>
          <w:rFonts w:ascii="仿宋" w:eastAsia="仿宋" w:hAnsi="仿宋" w:cs="仿宋"/>
          <w:color w:val="auto"/>
          <w:sz w:val="24"/>
          <w:lang w:eastAsia="zh-CN"/>
        </w:rPr>
        <w:t>的运营决策提供参考依据</w:t>
      </w:r>
      <w:r>
        <w:rPr>
          <w:rFonts w:ascii="仿宋" w:eastAsia="仿宋" w:hAnsi="仿宋" w:cs="仿宋" w:hint="eastAsia"/>
          <w:color w:val="auto"/>
          <w:sz w:val="24"/>
          <w:lang w:eastAsia="zh-CN"/>
        </w:rPr>
        <w:t>；</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w:t>
      </w:r>
      <w:r>
        <w:rPr>
          <w:rFonts w:ascii="仿宋" w:eastAsia="仿宋" w:hAnsi="仿宋" w:cs="仿宋"/>
          <w:color w:val="auto"/>
          <w:sz w:val="24"/>
          <w:lang w:eastAsia="zh-CN"/>
        </w:rPr>
        <w:t>配备安全监控摄像头，实时监测</w:t>
      </w:r>
      <w:r>
        <w:rPr>
          <w:rFonts w:ascii="仿宋" w:eastAsia="仿宋" w:hAnsi="仿宋" w:cs="仿宋" w:hint="eastAsia"/>
          <w:color w:val="auto"/>
          <w:sz w:val="24"/>
          <w:lang w:eastAsia="zh-CN"/>
        </w:rPr>
        <w:t>，</w:t>
      </w:r>
      <w:r>
        <w:rPr>
          <w:rFonts w:ascii="仿宋" w:eastAsia="仿宋" w:hAnsi="仿宋" w:cs="仿宋"/>
          <w:color w:val="auto"/>
          <w:sz w:val="24"/>
          <w:lang w:eastAsia="zh-CN"/>
        </w:rPr>
        <w:t>当发生异常情况时，发送报警通知，确保前厅的安全和秩序。</w:t>
      </w:r>
    </w:p>
    <w:p>
      <w:pPr>
        <w:pStyle w:val="PlainText"/>
        <w:spacing w:line="460" w:lineRule="exact"/>
        <w:rPr>
          <w:rFonts w:ascii="仿宋" w:eastAsia="仿宋" w:hAnsi="仿宋" w:cs="仿宋"/>
          <w:sz w:val="24"/>
          <w:szCs w:val="24"/>
          <w:lang w:eastAsia="zh-CN"/>
        </w:rPr>
      </w:pPr>
      <w:r>
        <w:rPr>
          <w:rFonts w:ascii="仿宋" w:eastAsia="仿宋" w:hAnsi="仿宋" w:cs="仿宋" w:hint="eastAsia"/>
          <w:spacing w:val="-2"/>
          <w:sz w:val="24"/>
          <w:szCs w:val="24"/>
          <w:lang w:eastAsia="zh-CN"/>
        </w:rPr>
        <w:t>10  健康饮食宣传与教育</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10.1健康饮食宣传</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健康饮食宣传从以下几方面开展：</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a）配备营养师或营养指导员、营养配餐员，负责营养配餐、健康宣教等工作，指导食堂采购、配料和加工、餐饮食品说明和营养标签；</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b）建立系统化健康科普体系，依据健康画像，解析营养与健康的关联，建立营养知识体系，引导识别饮食中的营养健康要素；</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c）面向用餐群体开展各类健康促进活动，鼓励健康管理行动；</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d）建立居民营养膳食知识和核心信息发布渠道，利用传统媒体和新媒体渠道加大宣传力度，拓展健康教育；</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e）采取显著位置张贴、悬挂材料，视频播放，公众号、小程序、信息推送、自由取阅的宣传材料等多种宣传形式，营造营养健康的就餐氛围；</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f）加强“三减”政策宣传，指导少油控糖，宣传添加糖、油脂带来的疾病风险，重点推荐通过减少食盐添加、使用低钠盐或低钠富钾类固态调味料的方法降低钠含量；</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 xml:space="preserve">g）宣传合理膳食、营养相关慢性病防治、传染病防控、节约粮食、中国居民平衡膳食宝塔、一日三餐能量和脂肪等摄入量建议的科普知识和政策。 </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10.2健康饮食教育</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以食堂为主体组织举办膳食营养教育活动，包括营养健康专题讲座、知识问答和健康烹饪指导等形式，每年度不少于2次；利用新媒体渠道主动推送营养健康活动或指导信息，征求用餐人员的意见和建议等。健康饮食教育主要包括：</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a）基于食物分量概念图、食物营养信息等的营养与膳食指导；</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b）减盐、减油、减糖、慢性非传染性疾病的防控指导；</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c）健康自测、自评的方法或指导；</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d）健康生活方式指导。</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10.3健康饮食闭环管理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运用人工智能、大数据和物联网等技术，实现智能化、动态化的信息采集—筛查—评估—干预—反馈—评价的全流程、可持续的膳食健康闭环管理，实现管理、用户两端数据互通，形成群体健康画像，提供群体营养膳食与健康风险因素的大数据分析与感知，辅助管理端下一步决策。</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sectPr>
          <w:headerReference w:type="default" r:id="rId23"/>
          <w:footerReference w:type="default" r:id="rId24"/>
          <w:type w:val="nextPage"/>
          <w:pgSz w:w="11905" w:h="16838"/>
          <w:pgMar w:top="856" w:right="1451" w:bottom="726" w:left="1451" w:header="0" w:footer="510" w:gutter="0"/>
          <w:pgNumType w:start="10"/>
          <w:cols w:num="1" w:space="0"/>
          <w:titlePg w:val="0"/>
        </w:sectPr>
      </w:pP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管理端：包括查看群体健康画像，提供群体营养膳食分析、慢病情况、疾病风险评估、主动健康管理综合效果统计分析等功能；</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用户端：包括个人健康档案存档、个人疾病风险筛查、智能化的营养膳食管理方案、周期性的效果反馈、营养膳食健康宣教等功能。</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  用户个性化服务</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11.1智慧健康就餐场景搭建</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智慧健康就餐场景搭建方法包括但不限于收集用餐者的健康数据情况，取餐现场设置智能称重设备，配备专业人员辅助提供营养咨询和指导，搭建个性化的食谱推荐应用系统，取餐前按照个性化营养需求推荐摄入食物和克重，取餐过程无感采集用餐者当餐摄入数据，餐后详细分析营养目标与实际的偏差，动态调整后续的推荐目标等。</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11.2智慧健康管理云平台</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11.2.1疾病风险报告解读</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支持上传和手动录入体检报告、医院检查化验单；解析体检报告电子文件，评估亚健康风险和亚临床风险；查看疾病风险评估结果。</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11.2.2个性化动态营养食谱</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根据用户健康画像和健康饮食目标，长期动态推荐个性化食谱方案；推荐食谱可以手动调整标记实际摄入食物或菜谱，动态调整下一餐推荐方案。</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11.2.3个性化膳食建议</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膳食结构占比建议、重要元素建议上/下限、膳食宝塔建议值、每日摄入食物种类数、需重点关注的营养素参考摄入值范围、全量营养元素建议摄入值不少于36种。</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11.2.4食物推荐与禁忌</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对食物有清晰的“推荐”与“谨慎”标识。</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11.2.5膳食无感采集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支持无感采集一日三餐的菜品和克重。</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11.2.6膳食评价分析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对比膳食建议提供实际摄入值的达标/未达标评价结果，建议补充的食物种类，提供全量营养素的食物类别和贡献量，建议摄入食物种类。</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11.2.7定期统计报告</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每周、每月形成统计报告，包括膳食报告、食物来源和种类统计、三大营养素摄入分析、能量摄入曲线、营养素摄入雷达图，饮食情况总结和提醒，改进方法推荐。</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11.3用户健康管理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sectPr>
          <w:headerReference w:type="default" r:id="rId25"/>
          <w:footerReference w:type="default" r:id="rId26"/>
          <w:type w:val="nextPage"/>
          <w:pgSz w:w="11905" w:h="16838"/>
          <w:pgMar w:top="856" w:right="1451" w:bottom="726" w:left="1451" w:header="0" w:footer="510" w:gutter="0"/>
          <w:pgNumType w:start="11"/>
          <w:cols w:num="1" w:space="0"/>
          <w:titlePg w:val="0"/>
        </w:sectPr>
      </w:pP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基于用户健康画像提供的健康管理包括每道菜品最少展示17种营养素含量，制定科学配餐，智能推荐膳食营养目标，提供今日/7日均值/近30日均值的全面营养分析报告（当日详细到每餐）、个性化膳食推荐，选择营养分析算法，提供营养摄入和膳食结构个性化分析报告、提供个性化指导方案等。</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11.4智慧统计分析系统</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包括但不限于综合分析、评估与反馈、健康跟踪指导等功能，能根据实际情况智能化、动态化调整管理方案。</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12  数据管理与隐私保护</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.1智能计算</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.1.1基于健康画像计算</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个人健康画像计算基本功能包括：能量需求、三大营养素供能比、盐油糖摄入值、膳食宝塔建议的各层级食物摄入值、摄入食物种类数、重点关注营养素摄入值、其它营养素摄入值等。</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.1.2数据基础</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计算数据基础如下：</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a）食物数据库，覆盖餐厅菜谱所有食物；</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b）菜谱数据库，包括菜谱名称、所有主料、辅料、配料食物的种类、数量、单位等信息；</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c）营养数据库，包括能量及三大营养素、膳食纤维、维生素和矿物质和糖类等信息。</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.1.3优先级设置</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自定义设置热量、营养素管理优先级、重点关注营养素管理优先级。</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.1.4多种计算模式</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支持平衡饮食和中医药膳多种膳食管理模式。</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.1.5动态平衡调整计算</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根据三餐摄入情况实现动态调整计算，匹配后续最佳摄入方案。</w:t>
      </w:r>
    </w:p>
    <w:p>
      <w:pPr>
        <w:spacing w:line="460" w:lineRule="exact"/>
        <w:rPr>
          <w:rFonts w:ascii="仿宋" w:eastAsia="仿宋" w:hAnsi="仿宋" w:cs="仿宋"/>
          <w:spacing w:val="-1"/>
          <w:sz w:val="24"/>
          <w:szCs w:val="24"/>
          <w:lang w:eastAsia="zh-CN"/>
        </w:rPr>
      </w:pPr>
      <w:r>
        <w:rPr>
          <w:rFonts w:ascii="仿宋" w:eastAsia="仿宋" w:hAnsi="仿宋" w:cs="仿宋" w:hint="eastAsia"/>
          <w:spacing w:val="-2"/>
          <w:sz w:val="24"/>
          <w:szCs w:val="24"/>
          <w:lang w:eastAsia="zh-CN"/>
        </w:rPr>
        <w:t>12</w:t>
      </w:r>
      <w:r>
        <w:rPr>
          <w:rFonts w:ascii="仿宋" w:eastAsia="仿宋" w:hAnsi="仿宋" w:cs="仿宋" w:hint="eastAsia"/>
          <w:spacing w:val="-1"/>
          <w:sz w:val="24"/>
          <w:szCs w:val="24"/>
          <w:lang w:eastAsia="zh-CN"/>
        </w:rPr>
        <w:t>.1.6自动周期计算</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实时自动计算用户未来1周内一日三餐的营养膳食推荐方案。</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12.2数据安全管理及隐私保护目标</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建立严格的管理和访问控制机制</w:t>
      </w:r>
      <w:r>
        <w:rPr>
          <w:rFonts w:ascii="仿宋" w:eastAsia="仿宋" w:hAnsi="仿宋" w:cs="仿宋" w:hint="eastAsia"/>
          <w:color w:val="auto"/>
          <w:sz w:val="24"/>
          <w:lang w:eastAsia="zh-CN"/>
        </w:rPr>
        <w:t>以及严格的数据加密保护机制</w:t>
      </w:r>
      <w:r>
        <w:rPr>
          <w:rFonts w:ascii="仿宋" w:eastAsia="仿宋" w:hAnsi="仿宋" w:cs="仿宋"/>
          <w:color w:val="auto"/>
          <w:sz w:val="24"/>
          <w:lang w:eastAsia="zh-CN"/>
        </w:rPr>
        <w:t>，限制未授权访问、复制、修改或删除</w:t>
      </w:r>
      <w:r>
        <w:rPr>
          <w:rFonts w:ascii="仿宋" w:eastAsia="仿宋" w:hAnsi="仿宋" w:cs="仿宋" w:hint="eastAsia"/>
          <w:color w:val="auto"/>
          <w:sz w:val="24"/>
          <w:lang w:eastAsia="zh-CN"/>
        </w:rPr>
        <w:t>功能，</w:t>
      </w:r>
      <w:r>
        <w:rPr>
          <w:rFonts w:ascii="仿宋" w:eastAsia="仿宋" w:hAnsi="仿宋" w:cs="仿宋"/>
          <w:color w:val="auto"/>
          <w:sz w:val="24"/>
          <w:lang w:eastAsia="zh-CN"/>
        </w:rPr>
        <w:t>使用加密技术进行保护</w:t>
      </w:r>
      <w:r>
        <w:rPr>
          <w:rFonts w:ascii="仿宋" w:eastAsia="仿宋" w:hAnsi="仿宋" w:cs="仿宋" w:hint="eastAsia"/>
          <w:color w:val="auto"/>
          <w:sz w:val="24"/>
          <w:lang w:eastAsia="zh-CN"/>
        </w:rPr>
        <w:t>。同时</w:t>
      </w:r>
      <w:r>
        <w:rPr>
          <w:rFonts w:ascii="仿宋" w:eastAsia="仿宋" w:hAnsi="仿宋" w:cs="仿宋"/>
          <w:color w:val="auto"/>
          <w:sz w:val="24"/>
          <w:lang w:eastAsia="zh-CN"/>
        </w:rPr>
        <w:t>建立完善的数据备份</w:t>
      </w:r>
      <w:r>
        <w:rPr>
          <w:rFonts w:ascii="仿宋" w:eastAsia="仿宋" w:hAnsi="仿宋" w:cs="仿宋" w:hint="eastAsia"/>
          <w:color w:val="auto"/>
          <w:sz w:val="24"/>
          <w:lang w:eastAsia="zh-CN"/>
        </w:rPr>
        <w:t>、</w:t>
      </w:r>
      <w:r>
        <w:rPr>
          <w:rFonts w:ascii="仿宋" w:eastAsia="仿宋" w:hAnsi="仿宋" w:cs="仿宋"/>
          <w:color w:val="auto"/>
          <w:sz w:val="24"/>
          <w:lang w:eastAsia="zh-CN"/>
        </w:rPr>
        <w:t>恢复机制</w:t>
      </w:r>
      <w:r>
        <w:rPr>
          <w:rFonts w:ascii="仿宋" w:eastAsia="仿宋" w:hAnsi="仿宋" w:cs="仿宋" w:hint="eastAsia"/>
          <w:color w:val="auto"/>
          <w:sz w:val="24"/>
          <w:lang w:eastAsia="zh-CN"/>
        </w:rPr>
        <w:t>和</w:t>
      </w:r>
      <w:r>
        <w:rPr>
          <w:rFonts w:ascii="仿宋" w:eastAsia="仿宋" w:hAnsi="仿宋" w:cs="仿宋"/>
          <w:color w:val="auto"/>
          <w:sz w:val="24"/>
          <w:lang w:eastAsia="zh-CN"/>
        </w:rPr>
        <w:t>数据审计</w:t>
      </w:r>
      <w:r>
        <w:rPr>
          <w:rFonts w:ascii="仿宋" w:eastAsia="仿宋" w:hAnsi="仿宋" w:cs="仿宋" w:hint="eastAsia"/>
          <w:color w:val="auto"/>
          <w:sz w:val="24"/>
          <w:lang w:eastAsia="zh-CN"/>
        </w:rPr>
        <w:t>、</w:t>
      </w:r>
      <w:r>
        <w:rPr>
          <w:rFonts w:ascii="仿宋" w:eastAsia="仿宋" w:hAnsi="仿宋" w:cs="仿宋"/>
          <w:color w:val="auto"/>
          <w:sz w:val="24"/>
          <w:lang w:eastAsia="zh-CN"/>
        </w:rPr>
        <w:t>监控</w:t>
      </w:r>
      <w:r>
        <w:rPr>
          <w:rFonts w:ascii="仿宋" w:eastAsia="仿宋" w:hAnsi="仿宋" w:cs="仿宋" w:hint="eastAsia"/>
          <w:color w:val="auto"/>
          <w:sz w:val="24"/>
          <w:lang w:eastAsia="zh-CN"/>
        </w:rPr>
        <w:t>机制</w:t>
      </w:r>
      <w:r>
        <w:rPr>
          <w:rFonts w:ascii="仿宋" w:eastAsia="仿宋" w:hAnsi="仿宋" w:cs="仿宋"/>
          <w:color w:val="auto"/>
          <w:sz w:val="24"/>
          <w:lang w:eastAsia="zh-CN"/>
        </w:rPr>
        <w:t>，防止数据丢失并确保可以迅速恢复数据</w:t>
      </w:r>
      <w:r>
        <w:rPr>
          <w:rFonts w:ascii="仿宋" w:eastAsia="仿宋" w:hAnsi="仿宋" w:cs="仿宋" w:hint="eastAsia"/>
          <w:color w:val="auto"/>
          <w:sz w:val="24"/>
          <w:lang w:eastAsia="zh-CN"/>
        </w:rPr>
        <w:t>，</w:t>
      </w:r>
      <w:r>
        <w:rPr>
          <w:rFonts w:ascii="仿宋" w:eastAsia="仿宋" w:hAnsi="仿宋" w:cs="仿宋"/>
          <w:color w:val="auto"/>
          <w:sz w:val="24"/>
          <w:lang w:eastAsia="zh-CN"/>
        </w:rPr>
        <w:t>实时监控</w:t>
      </w:r>
      <w:r>
        <w:rPr>
          <w:rFonts w:ascii="仿宋" w:eastAsia="仿宋" w:hAnsi="仿宋" w:cs="仿宋" w:hint="eastAsia"/>
          <w:color w:val="auto"/>
          <w:sz w:val="24"/>
          <w:lang w:eastAsia="zh-CN"/>
        </w:rPr>
        <w:t>使用记录。</w:t>
      </w:r>
    </w:p>
    <w:p>
      <w:pPr>
        <w:spacing w:line="460" w:lineRule="exact"/>
        <w:rPr>
          <w:rFonts w:ascii="仿宋" w:eastAsia="仿宋" w:hAnsi="仿宋" w:cs="仿宋"/>
          <w:color w:themeColor="text1"/>
          <w:spacing w:val="-2"/>
          <w:sz w:val="24"/>
          <w:szCs w:val="24"/>
          <w:lang w:eastAsia="zh-CN"/>
          <w14:textFill>
            <w14:solidFill>
              <w14:schemeClr w14:val="tx1"/>
            </w14:solidFill>
          </w14:textFill>
        </w:rPr>
      </w:pPr>
      <w:r>
        <w:rPr>
          <w:rFonts w:ascii="仿宋" w:eastAsia="仿宋" w:hAnsi="仿宋" w:cs="仿宋" w:hint="eastAsia"/>
          <w:spacing w:val="-2"/>
          <w:sz w:val="24"/>
          <w:szCs w:val="24"/>
          <w:lang w:eastAsia="zh-CN"/>
        </w:rPr>
        <w:t>12</w:t>
      </w:r>
      <w:r>
        <w:rPr>
          <w:rFonts w:ascii="仿宋" w:eastAsia="仿宋" w:hAnsi="仿宋" w:cs="仿宋" w:hint="eastAsia"/>
          <w:color w:val="000000" w:themeColor="text1"/>
          <w:spacing w:val="-2"/>
          <w:sz w:val="24"/>
          <w:szCs w:val="24"/>
          <w:lang w:eastAsia="zh-CN"/>
          <w14:textFill>
            <w14:solidFill>
              <w14:schemeClr w14:val="tx1"/>
            </w14:solidFill>
          </w14:textFill>
        </w:rPr>
        <w:t>.3数据安全管理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sectPr>
          <w:headerReference w:type="default" r:id="rId27"/>
          <w:footerReference w:type="default" r:id="rId28"/>
          <w:type w:val="nextPage"/>
          <w:pgSz w:w="11905" w:h="16838"/>
          <w:pgMar w:top="856" w:right="1451" w:bottom="726" w:left="1451" w:header="0" w:footer="510" w:gutter="0"/>
          <w:pgNumType w:start="12"/>
          <w:cols w:num="1" w:space="0"/>
          <w:titlePg w:val="0"/>
        </w:sectPr>
      </w:pPr>
      <w:r>
        <w:rPr>
          <w:rFonts w:ascii="仿宋" w:eastAsia="仿宋" w:hAnsi="仿宋" w:cs="仿宋" w:hint="eastAsia"/>
          <w:color w:val="auto"/>
          <w:sz w:val="24"/>
          <w:lang w:eastAsia="zh-CN"/>
        </w:rPr>
        <w:t>建立</w:t>
      </w:r>
      <w:r>
        <w:rPr>
          <w:rFonts w:ascii="仿宋" w:eastAsia="仿宋" w:hAnsi="仿宋" w:cs="仿宋"/>
          <w:color w:val="auto"/>
          <w:sz w:val="24"/>
          <w:lang w:eastAsia="zh-CN"/>
        </w:rPr>
        <w:t>营养膳食健康数据分类体系</w:t>
      </w:r>
      <w:r>
        <w:rPr>
          <w:rFonts w:ascii="仿宋" w:eastAsia="仿宋" w:hAnsi="仿宋" w:cs="仿宋" w:hint="eastAsia"/>
          <w:color w:val="auto"/>
          <w:sz w:val="24"/>
          <w:lang w:eastAsia="zh-CN"/>
        </w:rPr>
        <w:t>，采用</w:t>
      </w:r>
      <w:r>
        <w:rPr>
          <w:rFonts w:ascii="仿宋" w:eastAsia="仿宋" w:hAnsi="仿宋" w:cs="仿宋"/>
          <w:color w:val="auto"/>
          <w:sz w:val="24"/>
          <w:lang w:eastAsia="zh-CN"/>
        </w:rPr>
        <w:t>密钥管理系统</w:t>
      </w:r>
      <w:r>
        <w:rPr>
          <w:rFonts w:ascii="仿宋" w:eastAsia="仿宋" w:hAnsi="仿宋" w:cs="仿宋" w:hint="eastAsia"/>
          <w:color w:val="auto"/>
          <w:sz w:val="24"/>
          <w:lang w:eastAsia="zh-CN"/>
        </w:rPr>
        <w:t>，设立</w:t>
      </w:r>
      <w:r>
        <w:rPr>
          <w:rFonts w:ascii="仿宋" w:eastAsia="仿宋" w:hAnsi="仿宋" w:cs="仿宋"/>
          <w:color w:val="auto"/>
          <w:sz w:val="24"/>
          <w:lang w:eastAsia="zh-CN"/>
        </w:rPr>
        <w:t>安全策略和安全机制</w:t>
      </w:r>
      <w:r>
        <w:rPr>
          <w:rFonts w:ascii="仿宋" w:eastAsia="仿宋" w:hAnsi="仿宋" w:cs="仿宋" w:hint="eastAsia"/>
          <w:color w:val="auto"/>
          <w:sz w:val="24"/>
          <w:lang w:eastAsia="zh-CN"/>
        </w:rPr>
        <w:t>、</w:t>
      </w:r>
      <w:r>
        <w:rPr>
          <w:rFonts w:ascii="仿宋" w:eastAsia="仿宋" w:hAnsi="仿宋" w:cs="仿宋"/>
          <w:color w:val="auto"/>
          <w:sz w:val="24"/>
          <w:lang w:eastAsia="zh-CN"/>
        </w:rPr>
        <w:t>数据访问控制机制</w:t>
      </w:r>
      <w:r>
        <w:rPr>
          <w:rFonts w:ascii="仿宋" w:eastAsia="仿宋" w:hAnsi="仿宋" w:cs="仿宋" w:hint="eastAsia"/>
          <w:color w:val="auto"/>
          <w:sz w:val="24"/>
          <w:lang w:eastAsia="zh-CN"/>
        </w:rPr>
        <w:t>、</w:t>
      </w:r>
      <w:r>
        <w:rPr>
          <w:rFonts w:ascii="仿宋" w:eastAsia="仿宋" w:hAnsi="仿宋" w:cs="仿宋"/>
          <w:color w:val="auto"/>
          <w:sz w:val="24"/>
          <w:lang w:eastAsia="zh-CN"/>
        </w:rPr>
        <w:t>安全机制有效性定期审计机制</w:t>
      </w:r>
      <w:r>
        <w:rPr>
          <w:rFonts w:ascii="仿宋" w:eastAsia="仿宋" w:hAnsi="仿宋" w:cs="仿宋" w:hint="eastAsia"/>
          <w:color w:val="auto"/>
          <w:sz w:val="24"/>
          <w:lang w:eastAsia="zh-CN"/>
        </w:rPr>
        <w:t>。</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12.4隐私保护措施</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采用</w:t>
      </w:r>
      <w:r>
        <w:rPr>
          <w:rFonts w:ascii="仿宋" w:eastAsia="仿宋" w:hAnsi="仿宋" w:cs="仿宋"/>
          <w:color w:val="auto"/>
          <w:sz w:val="24"/>
          <w:lang w:eastAsia="zh-CN"/>
        </w:rPr>
        <w:t>最小化原则，</w:t>
      </w:r>
      <w:r>
        <w:rPr>
          <w:rFonts w:ascii="仿宋" w:eastAsia="仿宋" w:hAnsi="仿宋" w:cs="仿宋" w:hint="eastAsia"/>
          <w:color w:val="auto"/>
          <w:sz w:val="24"/>
          <w:lang w:eastAsia="zh-CN"/>
        </w:rPr>
        <w:t>让</w:t>
      </w:r>
      <w:r>
        <w:rPr>
          <w:rFonts w:ascii="仿宋" w:eastAsia="仿宋" w:hAnsi="仿宋" w:cs="仿宋"/>
          <w:color w:val="auto"/>
          <w:sz w:val="24"/>
          <w:lang w:eastAsia="zh-CN"/>
        </w:rPr>
        <w:t>用户了解和判断是否愿意提供个人信息，</w:t>
      </w:r>
      <w:r>
        <w:rPr>
          <w:rFonts w:ascii="仿宋" w:eastAsia="仿宋" w:hAnsi="仿宋" w:cs="仿宋" w:hint="eastAsia"/>
          <w:color w:val="auto"/>
          <w:sz w:val="24"/>
          <w:lang w:eastAsia="zh-CN"/>
        </w:rPr>
        <w:t>同</w:t>
      </w:r>
      <w:r>
        <w:rPr>
          <w:rFonts w:ascii="仿宋" w:eastAsia="仿宋" w:hAnsi="仿宋" w:cs="仿宋"/>
          <w:color w:val="auto"/>
          <w:sz w:val="24"/>
          <w:lang w:eastAsia="zh-CN"/>
        </w:rPr>
        <w:t>时说明使用、存储和共享个人信息</w:t>
      </w:r>
      <w:r>
        <w:rPr>
          <w:rFonts w:ascii="仿宋" w:eastAsia="仿宋" w:hAnsi="仿宋" w:cs="仿宋" w:hint="eastAsia"/>
          <w:color w:val="auto"/>
          <w:sz w:val="24"/>
          <w:lang w:eastAsia="zh-CN"/>
        </w:rPr>
        <w:t>的</w:t>
      </w:r>
      <w:r>
        <w:rPr>
          <w:rFonts w:ascii="仿宋" w:eastAsia="仿宋" w:hAnsi="仿宋" w:cs="仿宋"/>
          <w:color w:val="auto"/>
          <w:sz w:val="24"/>
          <w:lang w:eastAsia="zh-CN"/>
        </w:rPr>
        <w:t>安全保护措施</w:t>
      </w:r>
      <w:r>
        <w:rPr>
          <w:rFonts w:ascii="仿宋" w:eastAsia="仿宋" w:hAnsi="仿宋" w:cs="仿宋" w:hint="eastAsia"/>
          <w:color w:val="auto"/>
          <w:sz w:val="24"/>
          <w:lang w:eastAsia="zh-CN"/>
        </w:rPr>
        <w:t>，</w:t>
      </w:r>
      <w:r>
        <w:rPr>
          <w:rFonts w:ascii="仿宋" w:eastAsia="仿宋" w:hAnsi="仿宋" w:cs="仿宋"/>
          <w:color w:val="auto"/>
          <w:sz w:val="24"/>
          <w:lang w:eastAsia="zh-CN"/>
        </w:rPr>
        <w:t>并获得用户的明确同意</w:t>
      </w:r>
      <w:r>
        <w:rPr>
          <w:rFonts w:ascii="仿宋" w:eastAsia="仿宋" w:hAnsi="仿宋" w:cs="仿宋" w:hint="eastAsia"/>
          <w:color w:val="auto"/>
          <w:sz w:val="24"/>
          <w:lang w:eastAsia="zh-CN"/>
        </w:rPr>
        <w:t>；</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12.5实施与监督</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实施：</w:t>
      </w:r>
      <w:r>
        <w:rPr>
          <w:rFonts w:ascii="仿宋" w:eastAsia="仿宋" w:hAnsi="仿宋" w:cs="仿宋"/>
          <w:color w:val="auto"/>
          <w:sz w:val="24"/>
          <w:lang w:eastAsia="zh-CN"/>
        </w:rPr>
        <w:t>根据数据安全管理和隐私保护相关法律标准，明确数据安全管理目标，制定内部培训方案与计划</w:t>
      </w:r>
      <w:r>
        <w:rPr>
          <w:rFonts w:ascii="仿宋" w:eastAsia="仿宋" w:hAnsi="仿宋" w:cs="仿宋" w:hint="eastAsia"/>
          <w:color w:val="auto"/>
          <w:sz w:val="24"/>
          <w:lang w:eastAsia="zh-CN"/>
        </w:rPr>
        <w:t>，</w:t>
      </w:r>
      <w:r>
        <w:rPr>
          <w:rFonts w:ascii="仿宋" w:eastAsia="仿宋" w:hAnsi="仿宋" w:cs="仿宋"/>
          <w:color w:val="auto"/>
          <w:sz w:val="24"/>
          <w:lang w:eastAsia="zh-CN"/>
        </w:rPr>
        <w:t>定期对数据安全管理和隐私保护标准实施情况进行评估，发现问题并及时改进</w:t>
      </w:r>
      <w:r>
        <w:rPr>
          <w:rFonts w:ascii="仿宋" w:eastAsia="仿宋" w:hAnsi="仿宋" w:cs="仿宋" w:hint="eastAsia"/>
          <w:color w:val="auto"/>
          <w:sz w:val="24"/>
          <w:lang w:eastAsia="zh-CN"/>
        </w:rPr>
        <w:t>；</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color w:val="auto"/>
          <w:sz w:val="24"/>
          <w:lang w:eastAsia="zh-CN"/>
        </w:rPr>
        <w:t>监督</w:t>
      </w:r>
      <w:r>
        <w:rPr>
          <w:rFonts w:ascii="仿宋" w:eastAsia="仿宋" w:hAnsi="仿宋" w:cs="仿宋" w:hint="eastAsia"/>
          <w:color w:val="auto"/>
          <w:sz w:val="24"/>
          <w:lang w:eastAsia="zh-CN"/>
        </w:rPr>
        <w:t>：</w:t>
      </w:r>
      <w:r>
        <w:rPr>
          <w:rFonts w:ascii="仿宋" w:eastAsia="仿宋" w:hAnsi="仿宋" w:cs="仿宋"/>
          <w:color w:val="auto"/>
          <w:sz w:val="24"/>
          <w:lang w:eastAsia="zh-CN"/>
        </w:rPr>
        <w:t>建立完善的内部监督机制，定期向上级管理部门汇报相关情况，接受监督和指导，履行数据安全管理和隐私保护职责。</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  智慧健康食堂等级评定</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13.1等级申请原则</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13.1.1申请人资格</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中国境内以智慧与健康为特色的食堂主体单位均可申请参加等级评定。</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13.1.2申请原则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申请原则如下：</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a）申请人采取自愿申报加入的原则；</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b）申请人申请前1年内未出现食品安全事故及食品安全行政处罚情况；</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c）申请人申请参加智慧健康食堂等级评定，需承担不涉及商业机密信息统计报送义务。</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13.2等级评定原则</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13.2.1等级管理委员会组成</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智慧健康食堂等级管理委员会是智慧健康食堂等级评定的唯一评定单位，接受标准归口单位统一领导，由标准归口单位聘请相关专家组成。</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13.2.2审核原则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审核原则如下：</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a）等级管理委员会对申报的单位进行资料和文件审核；</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b）等级管理委员会委派专家组进行现场核查确认，提交核查报告；</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c）等级管理委员会依据智慧健康食堂等级评分细则评级，评分细则见附录A；</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d）审核合格的食堂由智慧健康食堂等级管理委员会颁发“智慧健康食堂”等级证书、牌匾，证书和牌匾由智慧健康食堂等级管理委员会统一制定、颁发，向社会公告。</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e）审核合格的食堂可以使用“智慧健康食堂”等级称号和标志，有效期3年。</w:t>
      </w:r>
    </w:p>
    <w:p>
      <w:pPr>
        <w:spacing w:line="460" w:lineRule="exact"/>
        <w:rPr>
          <w:rFonts w:ascii="仿宋" w:eastAsia="仿宋" w:hAnsi="仿宋" w:cs="仿宋"/>
          <w:spacing w:val="-2"/>
          <w:sz w:val="24"/>
          <w:szCs w:val="24"/>
          <w:lang w:eastAsia="zh-CN"/>
        </w:rPr>
        <w:sectPr>
          <w:headerReference w:type="default" r:id="rId29"/>
          <w:footerReference w:type="default" r:id="rId30"/>
          <w:type w:val="nextPage"/>
          <w:pgSz w:w="11905" w:h="16838"/>
          <w:pgMar w:top="856" w:right="1451" w:bottom="726" w:left="1451" w:header="0" w:footer="510" w:gutter="0"/>
          <w:pgNumType w:start="13"/>
          <w:cols w:num="1" w:space="0"/>
          <w:titlePg w:val="0"/>
        </w:sectPr>
      </w:pPr>
      <w:r>
        <w:rPr>
          <w:rFonts w:ascii="仿宋" w:eastAsia="仿宋" w:hAnsi="仿宋" w:cs="仿宋" w:hint="eastAsia"/>
          <w:spacing w:val="-2"/>
          <w:sz w:val="24"/>
          <w:szCs w:val="24"/>
          <w:lang w:eastAsia="zh-CN"/>
        </w:rPr>
        <w:t>13.2.3升级原则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升级原则如下：</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a）智慧健康食堂等级资格满一年可以申请升级；</w:t>
      </w:r>
    </w:p>
    <w:p>
      <w:pPr>
        <w:widowControl w:val="0"/>
        <w:tabs>
          <w:tab w:val="left" w:pos="675"/>
        </w:tabs>
        <w:kinsoku/>
        <w:spacing w:line="460" w:lineRule="exact"/>
        <w:ind w:left="420" w:left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b）审查合格的单位将给予认定，向社会公布；审查不合格的单位，将保留原等级资格。</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13.2.4抽查原则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抽查原则如下：</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a）智慧健康食堂等级管理委员会每年按照30%比例抽查相关食堂；</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b）抽查合格的食堂将给予认定，满足升级条件给予升级；</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c）抽查不合格的食堂限期3个月整改，整改仍不合格给予降级或取消等级处理；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d）抽查给予降级的食堂满1年才可申请复查。</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13.2.5复核原则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复核原则如下：</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a）智慧健康食堂等级每3年复核1次；</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b）复核合格的食堂将给予认定，满足升级条件给予升级；</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c）复查不合格的食堂，给予降级或取消等级处理；</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d）不参加复核的食堂视同自动放弃，将公告取消其等级称号并收回标志。</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13.2.6取消原则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发生下列情况，将直接取消智慧健康食堂等级资格，收回与智慧健康食堂有关的一切资格与荣誉：</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a）在等级审核、抽查、复核过程中存在弄虚作假行为；</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b）发生重大安全责任事故；</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c）发生严重违法行为；</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d）违法经营受到政府有关部门通报；</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e）自动放弃复核；</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f）食堂发生重大变化，不再符合等级条件。</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13.3等级认定指标</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13.3.1等级认定指标</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等级认定指标以建设基础设施、食安与运营、健康指导、宣教与环境作为等级考核内容，满分100分。</w:t>
      </w:r>
    </w:p>
    <w:p>
      <w:pPr>
        <w:spacing w:line="460" w:lineRule="exact"/>
        <w:rPr>
          <w:rFonts w:ascii="仿宋" w:eastAsia="仿宋" w:hAnsi="仿宋" w:cs="仿宋"/>
          <w:sz w:val="24"/>
          <w:szCs w:val="24"/>
          <w:lang w:eastAsia="zh-CN"/>
        </w:rPr>
      </w:pPr>
      <w:r>
        <w:rPr>
          <w:rFonts w:ascii="仿宋" w:eastAsia="仿宋" w:hAnsi="仿宋" w:cs="仿宋" w:hint="eastAsia"/>
          <w:spacing w:val="-2"/>
          <w:sz w:val="24"/>
          <w:szCs w:val="24"/>
          <w:lang w:eastAsia="zh-CN"/>
        </w:rPr>
        <w:t>13</w:t>
      </w:r>
      <w:r>
        <w:rPr>
          <w:rFonts w:ascii="仿宋" w:eastAsia="仿宋" w:hAnsi="仿宋" w:cs="仿宋" w:hint="eastAsia"/>
          <w:sz w:val="24"/>
          <w:szCs w:val="24"/>
          <w:lang w:eastAsia="zh-CN"/>
        </w:rPr>
        <w:t>.3.2等级划分原则</w:t>
      </w:r>
    </w:p>
    <w:p>
      <w:pPr>
        <w:widowControl w:val="0"/>
        <w:tabs>
          <w:tab w:val="left" w:pos="675"/>
        </w:tabs>
        <w:kinsoku/>
        <w:spacing w:line="460" w:lineRule="exact"/>
        <w:ind w:firstLine="480" w:firstLineChars="200"/>
        <w:textAlignment w:val="auto"/>
        <w:rPr>
          <w:rFonts w:ascii="仿宋" w:eastAsia="仿宋" w:hAnsi="仿宋" w:cs="仿宋"/>
          <w:color w:val="auto"/>
          <w:sz w:val="24"/>
          <w:lang w:eastAsia="zh-CN"/>
        </w:rPr>
      </w:pPr>
      <w:r>
        <w:rPr>
          <w:rFonts w:ascii="仿宋" w:eastAsia="仿宋" w:hAnsi="仿宋" w:cs="仿宋" w:hint="eastAsia"/>
          <w:color w:val="auto"/>
          <w:sz w:val="24"/>
          <w:lang w:eastAsia="zh-CN"/>
        </w:rPr>
        <w:t>等级划分细则详见附录A，根据附录逐项进行评分。</w:t>
      </w:r>
    </w:p>
    <w:p>
      <w:pPr>
        <w:spacing w:line="460" w:lineRule="exact"/>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13.3.3计分评级说明</w:t>
      </w:r>
    </w:p>
    <w:p>
      <w:pPr>
        <w:spacing w:line="460" w:lineRule="exact"/>
        <w:jc w:val="both"/>
        <w:rPr>
          <w:rFonts w:ascii="仿宋" w:eastAsia="仿宋" w:hAnsi="仿宋" w:cs="仿宋"/>
          <w:spacing w:val="-2"/>
          <w:sz w:val="24"/>
          <w:szCs w:val="24"/>
          <w:lang w:eastAsia="zh-CN"/>
        </w:rPr>
      </w:pPr>
      <w:r>
        <w:rPr>
          <w:rFonts w:ascii="仿宋" w:eastAsia="仿宋" w:hAnsi="仿宋" w:cs="仿宋" w:hint="eastAsia"/>
          <w:spacing w:val="-2"/>
          <w:sz w:val="24"/>
          <w:szCs w:val="24"/>
          <w:lang w:eastAsia="zh-CN"/>
        </w:rPr>
        <w:t xml:space="preserve">    等级划分表见表6。</w:t>
      </w:r>
      <w:r>
        <w:rPr>
          <w:rFonts w:ascii="仿宋" w:eastAsia="仿宋" w:hAnsi="仿宋" w:cs="仿宋"/>
          <w:spacing w:val="-2"/>
          <w:sz w:val="24"/>
          <w:szCs w:val="24"/>
          <w:lang w:eastAsia="zh-CN"/>
        </w:rPr>
        <w:br/>
      </w:r>
      <w:r>
        <w:rPr>
          <w:rFonts w:ascii="仿宋" w:eastAsia="仿宋" w:hAnsi="仿宋" w:cs="仿宋"/>
          <w:spacing w:val="-2"/>
          <w:sz w:val="24"/>
          <w:szCs w:val="24"/>
          <w:lang w:eastAsia="zh-CN"/>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31" w:history="1">
        <w:r>
          <w:rPr>
            <w:rFonts w:ascii="SimSun" w:eastAsia="SimSun" w:hAnsi="SimSun" w:cs="SimSun"/>
            <w:b/>
            <w:bCs/>
            <w:snapToGrid/>
            <w:color w:val="0000EE"/>
            <w:sz w:val="30"/>
            <w:szCs w:val="30"/>
            <w:u w:val="single" w:color="0000EE"/>
          </w:rPr>
          <w:t>https://d.book118.com/168041054065006027</w:t>
        </w:r>
      </w:hyperlink>
    </w:p>
    <w:p>
      <w:pPr>
        <w:spacing w:line="460" w:lineRule="exact"/>
        <w:jc w:val="both"/>
        <w:rPr>
          <w:rFonts w:ascii="仿宋" w:eastAsia="仿宋" w:hAnsi="仿宋" w:cs="仿宋"/>
          <w:spacing w:val="-2"/>
          <w:sz w:val="24"/>
          <w:szCs w:val="24"/>
          <w:lang w:eastAsia="zh-CN"/>
        </w:rPr>
      </w:pPr>
    </w:p>
    <w:sectPr>
      <w:headerReference w:type="default" r:id="rId32"/>
      <w:footerReference w:type="default" r:id="rId33"/>
      <w:type w:val="nextPage"/>
      <w:pgSz w:w="11905" w:h="16838"/>
      <w:pgMar w:top="856" w:right="1451" w:bottom="726" w:left="1451" w:header="0" w:footer="510" w:gutter="0"/>
      <w:pgNumType w:start="14"/>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embedRegular r:id="rId1" w:subsetted="1" w:fontKey="{576BC4DA-9E07-436B-A6FD-4067078AF38B}"/>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subsetted="1" w:fontKey="{BC298787-E6E9-4E2F-9CA1-449CB17D9670}"/>
  </w:font>
  <w:font w:name="微软雅黑">
    <w:panose1 w:val="020B0503020204020204"/>
    <w:charset w:val="86"/>
    <w:family w:val="swiss"/>
    <w:pitch w:val="default"/>
    <w:sig w:usb0="80000287" w:usb1="2ACF3C50" w:usb2="00000016" w:usb3="00000000" w:csb0="0004001F" w:csb1="00000000"/>
    <w:embedRegular r:id="rId3" w:subsetted="1" w:fontKey="{016F49F7-F4CD-4798-8A88-B315AA709640}"/>
  </w:font>
  <w:font w:name="Cambria Math">
    <w:panose1 w:val="02040503050406030204"/>
    <w:charset w:val="00"/>
    <w:family w:val="roman"/>
    <w:pitch w:val="default"/>
    <w:sig w:usb0="E00006FF" w:usb1="420024FF" w:usb2="02000000" w:usb3="00000000" w:csb0="2000019F" w:csb1="00000000"/>
    <w:embedRegular r:id="rId4" w:subsetted="1" w:fontKey="{0D1585A0-D037-417D-B942-98017B54CC9F}"/>
  </w:font>
  <w:font w:name="方正仿宋_GB2312">
    <w:panose1 w:val="02000000000000000000"/>
    <w:charset w:val="86"/>
    <w:family w:val="auto"/>
    <w:pitch w:val="default"/>
    <w:sig w:usb0="A00002BF" w:usb1="184F6CFA" w:usb2="00000012" w:usb3="00000000" w:csb0="00040001" w:csb1="00000000"/>
    <w:embedRegular r:id="rId5" w:subsetted="1" w:fontKey="{3B620226-427A-43F4-AF15-6960C31263C3}"/>
  </w:font>
  <w:font w:name="Cambria">
    <w:charset w:val="00"/>
    <w:family w:val="auto"/>
    <w:pitch w:val="default"/>
  </w:font>
  <w:font w:name="SimSun">
    <w:charset w:val="00"/>
    <w:family w:val="auto"/>
    <w:pitch w:val="default"/>
    <w:sig w:usb0="00000000" w:usb1="00000000" w:usb2="00000000" w:usb3="00000000" w:csb0="00000001" w:csb1="00000000"/>
    <w:embedRegular r:id="rId6" w:subsetted="1" w:fontKey="{D8A95C79-12EC-4AF3-B697-81B3812AF9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74705122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0" type="#_x0000_t202" style="width:2in;height:2in;margin-top:0;margin-left:0;mso-position-horizontal:righ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20365386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1" type="#_x0000_t202" style="width:2in;height:2in;margin-top:0;margin-left:0;mso-position-horizontal:right;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3612612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2" type="#_x0000_t202" style="width:2in;height:2in;margin-top:0;margin-left:0;mso-position-horizontal:righ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85994998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3" type="#_x0000_t202" style="width:2in;height:2in;margin-top:0;margin-left:0;mso-position-horizontal:right;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25277015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4" type="#_x0000_t202" style="width:2in;height:2in;margin-top:0;margin-left:0;mso-position-horizontal:righ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86633489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5" type="#_x0000_t202" style="width:2in;height:2in;margin-top:0;margin-left:0;mso-position-horizontal:right;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07429843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6" type="#_x0000_t202" style="width:2in;height:2in;margin-top:0;margin-left:0;mso-position-horizontal:right;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129856919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7" type="#_x0000_t202" style="width:2in;height:2in;margin-top:0;margin-left:0;mso-position-horizontal:right;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177959155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8" type="#_x0000_t202" style="width:2in;height:2in;margin-top:0;margin-left:0;mso-position-horizontal:right;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9744" behindDoc="0" locked="0" layoutInCell="1" allowOverlap="1">
              <wp:simplePos x="0" y="0"/>
              <wp:positionH relativeFrom="margin">
                <wp:align>right</wp:align>
              </wp:positionH>
              <wp:positionV relativeFrom="paragraph">
                <wp:posOffset>0</wp:posOffset>
              </wp:positionV>
              <wp:extent cx="1828800" cy="1828800"/>
              <wp:effectExtent l="0" t="0" r="0" b="0"/>
              <wp:wrapNone/>
              <wp:docPr id="194572597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9" type="#_x0000_t202" style="width:2in;height:2in;margin-top:0;margin-left:0;mso-position-horizontal:right;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81792" behindDoc="0" locked="0" layoutInCell="1" allowOverlap="1">
              <wp:simplePos x="0" y="0"/>
              <wp:positionH relativeFrom="margin">
                <wp:align>right</wp:align>
              </wp:positionH>
              <wp:positionV relativeFrom="paragraph">
                <wp:posOffset>0</wp:posOffset>
              </wp:positionV>
              <wp:extent cx="1828800" cy="1828800"/>
              <wp:effectExtent l="0" t="0" r="0" b="0"/>
              <wp:wrapNone/>
              <wp:docPr id="14351184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60" type="#_x0000_t202" style="width:2in;height:2in;margin-top:0;margin-left:0;mso-position-horizontal:right;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83840" behindDoc="0" locked="0" layoutInCell="1" allowOverlap="1">
              <wp:simplePos x="0" y="0"/>
              <wp:positionH relativeFrom="margin">
                <wp:align>right</wp:align>
              </wp:positionH>
              <wp:positionV relativeFrom="paragraph">
                <wp:posOffset>0</wp:posOffset>
              </wp:positionV>
              <wp:extent cx="1828800" cy="1828800"/>
              <wp:effectExtent l="0" t="0" r="0" b="0"/>
              <wp:wrapNone/>
              <wp:docPr id="168203978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61" type="#_x0000_t202" style="width:2in;height:2in;margin-top:0;margin-left:0;mso-position-horizontal:right;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85888" behindDoc="0" locked="0" layoutInCell="1" allowOverlap="1">
              <wp:simplePos x="0" y="0"/>
              <wp:positionH relativeFrom="margin">
                <wp:align>right</wp:align>
              </wp:positionH>
              <wp:positionV relativeFrom="paragraph">
                <wp:posOffset>0</wp:posOffset>
              </wp:positionV>
              <wp:extent cx="1828800" cy="1828800"/>
              <wp:effectExtent l="0" t="0" r="0" b="0"/>
              <wp:wrapNone/>
              <wp:docPr id="861570748"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62" type="#_x0000_t202" style="width:2in;height:2in;margin-top:0;margin-left:0;mso-position-horizontal:right;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fldChar w:fldCharType="begin"/>
                    </w:r>
                    <w:r>
                      <w:instrText xml:space="preserve"> PAGE  \* MERGEFORMAT </w:instrText>
                    </w:r>
                    <w:r>
                      <w:fldChar w:fldCharType="separate"/>
                    </w:r>
                    <w:r>
                      <w:t>14</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embedTrueTypeFonts/>
  <w:saveSubsetFonts/>
  <w:defaultTabStop w:val="420"/>
  <w:noPunctuationKerning/>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7A6"/>
    <w:rsid w:val="000556DE"/>
    <w:rsid w:val="003147A6"/>
    <w:rsid w:val="003D536D"/>
    <w:rsid w:val="005A1C27"/>
    <w:rsid w:val="007B51B6"/>
    <w:rsid w:val="007D6F27"/>
    <w:rsid w:val="007F0A1D"/>
    <w:rsid w:val="00885B23"/>
    <w:rsid w:val="00936276"/>
    <w:rsid w:val="00BF0B75"/>
    <w:rsid w:val="00C14B91"/>
    <w:rsid w:val="00C34A51"/>
    <w:rsid w:val="00E875D2"/>
    <w:rsid w:val="011078C7"/>
    <w:rsid w:val="01121891"/>
    <w:rsid w:val="01261FF8"/>
    <w:rsid w:val="01323CE1"/>
    <w:rsid w:val="01352B1D"/>
    <w:rsid w:val="0136557F"/>
    <w:rsid w:val="013E4C05"/>
    <w:rsid w:val="01413CA1"/>
    <w:rsid w:val="01453A14"/>
    <w:rsid w:val="01457570"/>
    <w:rsid w:val="0156177E"/>
    <w:rsid w:val="017659F6"/>
    <w:rsid w:val="01AF70E0"/>
    <w:rsid w:val="01B110AA"/>
    <w:rsid w:val="01B3097E"/>
    <w:rsid w:val="01B36BD0"/>
    <w:rsid w:val="01E10D11"/>
    <w:rsid w:val="01E66FA5"/>
    <w:rsid w:val="01ED4E57"/>
    <w:rsid w:val="01EF1340"/>
    <w:rsid w:val="01F12C93"/>
    <w:rsid w:val="02061A68"/>
    <w:rsid w:val="02161C04"/>
    <w:rsid w:val="02210BF5"/>
    <w:rsid w:val="023F3BBA"/>
    <w:rsid w:val="0250441F"/>
    <w:rsid w:val="02685C0C"/>
    <w:rsid w:val="02897FD1"/>
    <w:rsid w:val="029226E2"/>
    <w:rsid w:val="02A54298"/>
    <w:rsid w:val="02A824AD"/>
    <w:rsid w:val="02BE36D4"/>
    <w:rsid w:val="030529A7"/>
    <w:rsid w:val="03095B08"/>
    <w:rsid w:val="03125B78"/>
    <w:rsid w:val="03404493"/>
    <w:rsid w:val="03433F84"/>
    <w:rsid w:val="034C72DC"/>
    <w:rsid w:val="03766107"/>
    <w:rsid w:val="03A12DF6"/>
    <w:rsid w:val="03A74512"/>
    <w:rsid w:val="03AF1619"/>
    <w:rsid w:val="03C33626"/>
    <w:rsid w:val="03CF41F6"/>
    <w:rsid w:val="03D97898"/>
    <w:rsid w:val="03E219EE"/>
    <w:rsid w:val="03F14497"/>
    <w:rsid w:val="03FD05D6"/>
    <w:rsid w:val="03FF434E"/>
    <w:rsid w:val="04163446"/>
    <w:rsid w:val="04221624"/>
    <w:rsid w:val="04267B2D"/>
    <w:rsid w:val="043164D2"/>
    <w:rsid w:val="045C213B"/>
    <w:rsid w:val="04642403"/>
    <w:rsid w:val="04675A50"/>
    <w:rsid w:val="046A516F"/>
    <w:rsid w:val="047F2D99"/>
    <w:rsid w:val="04847D84"/>
    <w:rsid w:val="04A40A52"/>
    <w:rsid w:val="04AE335F"/>
    <w:rsid w:val="04D05CEB"/>
    <w:rsid w:val="04E57E5F"/>
    <w:rsid w:val="04F25C61"/>
    <w:rsid w:val="0520485B"/>
    <w:rsid w:val="054B35C3"/>
    <w:rsid w:val="0565122C"/>
    <w:rsid w:val="058F4697"/>
    <w:rsid w:val="0592398A"/>
    <w:rsid w:val="059565ED"/>
    <w:rsid w:val="059B4A47"/>
    <w:rsid w:val="05A141DD"/>
    <w:rsid w:val="05C3315A"/>
    <w:rsid w:val="05E7262E"/>
    <w:rsid w:val="06053772"/>
    <w:rsid w:val="060A0903"/>
    <w:rsid w:val="06163BD1"/>
    <w:rsid w:val="061B11E8"/>
    <w:rsid w:val="065A2046"/>
    <w:rsid w:val="06A75176"/>
    <w:rsid w:val="06CC0CB5"/>
    <w:rsid w:val="06D218E3"/>
    <w:rsid w:val="06D25D4A"/>
    <w:rsid w:val="06F21F49"/>
    <w:rsid w:val="070F2A67"/>
    <w:rsid w:val="072440CC"/>
    <w:rsid w:val="07396E51"/>
    <w:rsid w:val="0751102B"/>
    <w:rsid w:val="076B1CFB"/>
    <w:rsid w:val="076D5A73"/>
    <w:rsid w:val="07724E37"/>
    <w:rsid w:val="07787FF1"/>
    <w:rsid w:val="077C2244"/>
    <w:rsid w:val="077D00DC"/>
    <w:rsid w:val="07821B47"/>
    <w:rsid w:val="07926B92"/>
    <w:rsid w:val="079923C4"/>
    <w:rsid w:val="079E66CB"/>
    <w:rsid w:val="07A135DF"/>
    <w:rsid w:val="07A654BE"/>
    <w:rsid w:val="07A74C37"/>
    <w:rsid w:val="07AC27CF"/>
    <w:rsid w:val="07BB058C"/>
    <w:rsid w:val="07BC4329"/>
    <w:rsid w:val="07D23B28"/>
    <w:rsid w:val="07DE071F"/>
    <w:rsid w:val="07F615C4"/>
    <w:rsid w:val="08053EFD"/>
    <w:rsid w:val="080F4113"/>
    <w:rsid w:val="082223BA"/>
    <w:rsid w:val="082D50E3"/>
    <w:rsid w:val="08395955"/>
    <w:rsid w:val="084028C1"/>
    <w:rsid w:val="08422A5C"/>
    <w:rsid w:val="08534C69"/>
    <w:rsid w:val="085D5AE7"/>
    <w:rsid w:val="085D5BEE"/>
    <w:rsid w:val="08744BDF"/>
    <w:rsid w:val="08A171AA"/>
    <w:rsid w:val="08AC25CB"/>
    <w:rsid w:val="08BB280E"/>
    <w:rsid w:val="08BF5E5A"/>
    <w:rsid w:val="08D20E64"/>
    <w:rsid w:val="08D61E31"/>
    <w:rsid w:val="08D66EA5"/>
    <w:rsid w:val="08D8516E"/>
    <w:rsid w:val="08EF6E2E"/>
    <w:rsid w:val="08FC6530"/>
    <w:rsid w:val="09061CDB"/>
    <w:rsid w:val="09082248"/>
    <w:rsid w:val="090A2D13"/>
    <w:rsid w:val="09213946"/>
    <w:rsid w:val="093525C0"/>
    <w:rsid w:val="093D0892"/>
    <w:rsid w:val="093F6F9B"/>
    <w:rsid w:val="09431D3F"/>
    <w:rsid w:val="09440A55"/>
    <w:rsid w:val="094C3466"/>
    <w:rsid w:val="0955055A"/>
    <w:rsid w:val="096A2333"/>
    <w:rsid w:val="096C38BB"/>
    <w:rsid w:val="09734E97"/>
    <w:rsid w:val="098D7D07"/>
    <w:rsid w:val="098F7F23"/>
    <w:rsid w:val="09963123"/>
    <w:rsid w:val="09972D95"/>
    <w:rsid w:val="099D2F7B"/>
    <w:rsid w:val="09BE6112"/>
    <w:rsid w:val="09DE0562"/>
    <w:rsid w:val="09EF1E89"/>
    <w:rsid w:val="0A162ACD"/>
    <w:rsid w:val="0A173DA5"/>
    <w:rsid w:val="0A297383"/>
    <w:rsid w:val="0A2A19F9"/>
    <w:rsid w:val="0A2D5B84"/>
    <w:rsid w:val="0A375EC4"/>
    <w:rsid w:val="0A3B48B9"/>
    <w:rsid w:val="0A53598C"/>
    <w:rsid w:val="0A543F79"/>
    <w:rsid w:val="0A695A06"/>
    <w:rsid w:val="0A7B04A7"/>
    <w:rsid w:val="0A7E1D45"/>
    <w:rsid w:val="0AA3355A"/>
    <w:rsid w:val="0ABC6E77"/>
    <w:rsid w:val="0AC901C8"/>
    <w:rsid w:val="0ACB31DC"/>
    <w:rsid w:val="0AD127A3"/>
    <w:rsid w:val="0AE011B0"/>
    <w:rsid w:val="0AFD792C"/>
    <w:rsid w:val="0B073AE9"/>
    <w:rsid w:val="0B152188"/>
    <w:rsid w:val="0B1A65E0"/>
    <w:rsid w:val="0B1B7594"/>
    <w:rsid w:val="0B323126"/>
    <w:rsid w:val="0B406D08"/>
    <w:rsid w:val="0B552AA6"/>
    <w:rsid w:val="0B8D0492"/>
    <w:rsid w:val="0B9A0505"/>
    <w:rsid w:val="0BBA2645"/>
    <w:rsid w:val="0BC74D7A"/>
    <w:rsid w:val="0BEE3D40"/>
    <w:rsid w:val="0BF056CB"/>
    <w:rsid w:val="0BFE6C9A"/>
    <w:rsid w:val="0C236700"/>
    <w:rsid w:val="0C3B4EC0"/>
    <w:rsid w:val="0C430C6B"/>
    <w:rsid w:val="0C4C610B"/>
    <w:rsid w:val="0C540FAF"/>
    <w:rsid w:val="0C545261"/>
    <w:rsid w:val="0C57284E"/>
    <w:rsid w:val="0C612F9B"/>
    <w:rsid w:val="0C7156BE"/>
    <w:rsid w:val="0C807FF6"/>
    <w:rsid w:val="0C8161C7"/>
    <w:rsid w:val="0C874EE1"/>
    <w:rsid w:val="0C9168E5"/>
    <w:rsid w:val="0C924DEE"/>
    <w:rsid w:val="0C9C64B3"/>
    <w:rsid w:val="0CB513B7"/>
    <w:rsid w:val="0CFD1647"/>
    <w:rsid w:val="0D00791F"/>
    <w:rsid w:val="0D0522AA"/>
    <w:rsid w:val="0D0C3638"/>
    <w:rsid w:val="0D127713"/>
    <w:rsid w:val="0D5D5BF7"/>
    <w:rsid w:val="0D673D3B"/>
    <w:rsid w:val="0D9F3FC4"/>
    <w:rsid w:val="0DAA346F"/>
    <w:rsid w:val="0DB76592"/>
    <w:rsid w:val="0DCB704F"/>
    <w:rsid w:val="0DCC1243"/>
    <w:rsid w:val="0DE34399"/>
    <w:rsid w:val="0DE473EB"/>
    <w:rsid w:val="0DE501A0"/>
    <w:rsid w:val="0DFD6191"/>
    <w:rsid w:val="0DFF1B83"/>
    <w:rsid w:val="0E025C32"/>
    <w:rsid w:val="0E070B09"/>
    <w:rsid w:val="0E1409F6"/>
    <w:rsid w:val="0E303356"/>
    <w:rsid w:val="0E470BD3"/>
    <w:rsid w:val="0E550D10"/>
    <w:rsid w:val="0E682AF0"/>
    <w:rsid w:val="0E7B6CC7"/>
    <w:rsid w:val="0E8042DE"/>
    <w:rsid w:val="0E83792A"/>
    <w:rsid w:val="0E952C29"/>
    <w:rsid w:val="0E9535BD"/>
    <w:rsid w:val="0E9B2EC6"/>
    <w:rsid w:val="0EAF4BC3"/>
    <w:rsid w:val="0EB837ED"/>
    <w:rsid w:val="0EB977F0"/>
    <w:rsid w:val="0EC00B7E"/>
    <w:rsid w:val="0EC27EF8"/>
    <w:rsid w:val="0ECB102B"/>
    <w:rsid w:val="0ECF36FB"/>
    <w:rsid w:val="0ED40186"/>
    <w:rsid w:val="0EE02FCE"/>
    <w:rsid w:val="0EF36D83"/>
    <w:rsid w:val="0F234C69"/>
    <w:rsid w:val="0F501F02"/>
    <w:rsid w:val="0F5A68DD"/>
    <w:rsid w:val="0F653C7C"/>
    <w:rsid w:val="0FA91612"/>
    <w:rsid w:val="0FB67653"/>
    <w:rsid w:val="0FB71F81"/>
    <w:rsid w:val="0FBB2E88"/>
    <w:rsid w:val="0FBC7598"/>
    <w:rsid w:val="0FC14BAE"/>
    <w:rsid w:val="0FDA17CC"/>
    <w:rsid w:val="0FFA4027"/>
    <w:rsid w:val="0FFC7FAE"/>
    <w:rsid w:val="0FFD2C00"/>
    <w:rsid w:val="100131FC"/>
    <w:rsid w:val="100B2C10"/>
    <w:rsid w:val="100D6036"/>
    <w:rsid w:val="10143F73"/>
    <w:rsid w:val="103661B5"/>
    <w:rsid w:val="104D4694"/>
    <w:rsid w:val="1052457B"/>
    <w:rsid w:val="105B0B5E"/>
    <w:rsid w:val="109F44B6"/>
    <w:rsid w:val="10C05094"/>
    <w:rsid w:val="10CD27E4"/>
    <w:rsid w:val="10D44D9E"/>
    <w:rsid w:val="10E87F18"/>
    <w:rsid w:val="10F00C38"/>
    <w:rsid w:val="11131200"/>
    <w:rsid w:val="111B1CAB"/>
    <w:rsid w:val="112F7B69"/>
    <w:rsid w:val="11474C86"/>
    <w:rsid w:val="11564138"/>
    <w:rsid w:val="115C2E09"/>
    <w:rsid w:val="117143B2"/>
    <w:rsid w:val="11AB3CF4"/>
    <w:rsid w:val="11AC0F46"/>
    <w:rsid w:val="11CC4BD6"/>
    <w:rsid w:val="11CD7C78"/>
    <w:rsid w:val="11D010D8"/>
    <w:rsid w:val="11E92612"/>
    <w:rsid w:val="120945EA"/>
    <w:rsid w:val="120D5E88"/>
    <w:rsid w:val="120E39AF"/>
    <w:rsid w:val="126D0A9D"/>
    <w:rsid w:val="12746F19"/>
    <w:rsid w:val="12837EF9"/>
    <w:rsid w:val="12AF5192"/>
    <w:rsid w:val="12B467D4"/>
    <w:rsid w:val="12EA61CA"/>
    <w:rsid w:val="12F50DB8"/>
    <w:rsid w:val="12F9465F"/>
    <w:rsid w:val="12FC051E"/>
    <w:rsid w:val="130628D8"/>
    <w:rsid w:val="130D1F63"/>
    <w:rsid w:val="13132D0E"/>
    <w:rsid w:val="13197966"/>
    <w:rsid w:val="13272F7A"/>
    <w:rsid w:val="132E1C89"/>
    <w:rsid w:val="133470C2"/>
    <w:rsid w:val="13385187"/>
    <w:rsid w:val="133B6A25"/>
    <w:rsid w:val="13433B2C"/>
    <w:rsid w:val="13453400"/>
    <w:rsid w:val="13531FC1"/>
    <w:rsid w:val="135845E7"/>
    <w:rsid w:val="135C4259"/>
    <w:rsid w:val="1376180B"/>
    <w:rsid w:val="13783CEF"/>
    <w:rsid w:val="13AB5226"/>
    <w:rsid w:val="13B3493F"/>
    <w:rsid w:val="13D11138"/>
    <w:rsid w:val="13F17BAE"/>
    <w:rsid w:val="14074B59"/>
    <w:rsid w:val="14164D9C"/>
    <w:rsid w:val="1424570B"/>
    <w:rsid w:val="143F0797"/>
    <w:rsid w:val="145F1DAE"/>
    <w:rsid w:val="145F6743"/>
    <w:rsid w:val="14863CD0"/>
    <w:rsid w:val="14926B19"/>
    <w:rsid w:val="14961D95"/>
    <w:rsid w:val="14A25F1A"/>
    <w:rsid w:val="14A5684C"/>
    <w:rsid w:val="14B9631C"/>
    <w:rsid w:val="14C33176"/>
    <w:rsid w:val="14C91E0F"/>
    <w:rsid w:val="14CE6FCB"/>
    <w:rsid w:val="14D013EF"/>
    <w:rsid w:val="14DA401C"/>
    <w:rsid w:val="14EF78FD"/>
    <w:rsid w:val="14F50E56"/>
    <w:rsid w:val="14F90946"/>
    <w:rsid w:val="15045A5F"/>
    <w:rsid w:val="15190FE8"/>
    <w:rsid w:val="151E03AD"/>
    <w:rsid w:val="15632263"/>
    <w:rsid w:val="157955E3"/>
    <w:rsid w:val="15840AFD"/>
    <w:rsid w:val="158E5532"/>
    <w:rsid w:val="159B37AB"/>
    <w:rsid w:val="159C2697"/>
    <w:rsid w:val="15AC7F86"/>
    <w:rsid w:val="15DA2525"/>
    <w:rsid w:val="15DD5B72"/>
    <w:rsid w:val="1606156C"/>
    <w:rsid w:val="1606349E"/>
    <w:rsid w:val="1617517C"/>
    <w:rsid w:val="161E6AB1"/>
    <w:rsid w:val="16210154"/>
    <w:rsid w:val="16227A29"/>
    <w:rsid w:val="16257519"/>
    <w:rsid w:val="16260276"/>
    <w:rsid w:val="162B20DB"/>
    <w:rsid w:val="162B4B2F"/>
    <w:rsid w:val="163D4862"/>
    <w:rsid w:val="16501175"/>
    <w:rsid w:val="16573B76"/>
    <w:rsid w:val="165B5E57"/>
    <w:rsid w:val="168406E3"/>
    <w:rsid w:val="16841220"/>
    <w:rsid w:val="16AB0C3C"/>
    <w:rsid w:val="16B34B25"/>
    <w:rsid w:val="16C15493"/>
    <w:rsid w:val="16C32FBA"/>
    <w:rsid w:val="16C94348"/>
    <w:rsid w:val="16D11E3C"/>
    <w:rsid w:val="16DC407B"/>
    <w:rsid w:val="16E7123F"/>
    <w:rsid w:val="16EF2001"/>
    <w:rsid w:val="16F5338F"/>
    <w:rsid w:val="171E6442"/>
    <w:rsid w:val="1720040C"/>
    <w:rsid w:val="17237EFC"/>
    <w:rsid w:val="172D2B29"/>
    <w:rsid w:val="17465999"/>
    <w:rsid w:val="17620A24"/>
    <w:rsid w:val="177D5E81"/>
    <w:rsid w:val="177E15D6"/>
    <w:rsid w:val="177E3384"/>
    <w:rsid w:val="17887D5F"/>
    <w:rsid w:val="17BB6D82"/>
    <w:rsid w:val="17C83DC2"/>
    <w:rsid w:val="17C92852"/>
    <w:rsid w:val="17D774A5"/>
    <w:rsid w:val="17E5069C"/>
    <w:rsid w:val="17EE050A"/>
    <w:rsid w:val="17F13B56"/>
    <w:rsid w:val="18095344"/>
    <w:rsid w:val="180E295A"/>
    <w:rsid w:val="18312669"/>
    <w:rsid w:val="1835288A"/>
    <w:rsid w:val="183B0D13"/>
    <w:rsid w:val="183D3240"/>
    <w:rsid w:val="185540E5"/>
    <w:rsid w:val="18574301"/>
    <w:rsid w:val="1867206B"/>
    <w:rsid w:val="186E33F9"/>
    <w:rsid w:val="186F7756"/>
    <w:rsid w:val="18720289"/>
    <w:rsid w:val="18826F52"/>
    <w:rsid w:val="189D783A"/>
    <w:rsid w:val="18BD7EDC"/>
    <w:rsid w:val="18D21612"/>
    <w:rsid w:val="18E005DA"/>
    <w:rsid w:val="18E37943"/>
    <w:rsid w:val="18EC3795"/>
    <w:rsid w:val="18F7398B"/>
    <w:rsid w:val="19063631"/>
    <w:rsid w:val="190B692E"/>
    <w:rsid w:val="190C4C78"/>
    <w:rsid w:val="190E37EA"/>
    <w:rsid w:val="191830F3"/>
    <w:rsid w:val="196A1D01"/>
    <w:rsid w:val="196B7938"/>
    <w:rsid w:val="198A75F2"/>
    <w:rsid w:val="19943BD2"/>
    <w:rsid w:val="19B9183E"/>
    <w:rsid w:val="19C808E7"/>
    <w:rsid w:val="1A0A0EFF"/>
    <w:rsid w:val="1A1D1D05"/>
    <w:rsid w:val="1A2A3593"/>
    <w:rsid w:val="1A3F79D3"/>
    <w:rsid w:val="1A475CB0"/>
    <w:rsid w:val="1A491723"/>
    <w:rsid w:val="1A6C61D4"/>
    <w:rsid w:val="1A7222BA"/>
    <w:rsid w:val="1A75281D"/>
    <w:rsid w:val="1A7867B1"/>
    <w:rsid w:val="1A7B5928"/>
    <w:rsid w:val="1A7B5F4E"/>
    <w:rsid w:val="1A845EF2"/>
    <w:rsid w:val="1A9C2CCF"/>
    <w:rsid w:val="1AA24621"/>
    <w:rsid w:val="1AC33221"/>
    <w:rsid w:val="1AC94917"/>
    <w:rsid w:val="1AD76ACF"/>
    <w:rsid w:val="1AE654C9"/>
    <w:rsid w:val="1AEE0821"/>
    <w:rsid w:val="1AF916A0"/>
    <w:rsid w:val="1B2E6E70"/>
    <w:rsid w:val="1B540A26"/>
    <w:rsid w:val="1B545428"/>
    <w:rsid w:val="1B742AD4"/>
    <w:rsid w:val="1B803317"/>
    <w:rsid w:val="1B9211AC"/>
    <w:rsid w:val="1B9A62B3"/>
    <w:rsid w:val="1BA41091"/>
    <w:rsid w:val="1BAF4FC1"/>
    <w:rsid w:val="1BC05D1A"/>
    <w:rsid w:val="1BCD48DA"/>
    <w:rsid w:val="1BD73063"/>
    <w:rsid w:val="1BE95061"/>
    <w:rsid w:val="1BF306EA"/>
    <w:rsid w:val="1BF9122C"/>
    <w:rsid w:val="1C0D4CD7"/>
    <w:rsid w:val="1C0F4EF3"/>
    <w:rsid w:val="1C387FA6"/>
    <w:rsid w:val="1C506BA2"/>
    <w:rsid w:val="1C6F052C"/>
    <w:rsid w:val="1C71170A"/>
    <w:rsid w:val="1C7D3C0B"/>
    <w:rsid w:val="1C837E33"/>
    <w:rsid w:val="1C8655AD"/>
    <w:rsid w:val="1C91695D"/>
    <w:rsid w:val="1C972D18"/>
    <w:rsid w:val="1C9A0C60"/>
    <w:rsid w:val="1CA53D47"/>
    <w:rsid w:val="1CB350D4"/>
    <w:rsid w:val="1CDD6DDD"/>
    <w:rsid w:val="1D397000"/>
    <w:rsid w:val="1D445D2D"/>
    <w:rsid w:val="1D6152DA"/>
    <w:rsid w:val="1D68567A"/>
    <w:rsid w:val="1D7239BC"/>
    <w:rsid w:val="1DA81EF1"/>
    <w:rsid w:val="1DB47B00"/>
    <w:rsid w:val="1DBE7053"/>
    <w:rsid w:val="1DC51D0D"/>
    <w:rsid w:val="1DCC3FF8"/>
    <w:rsid w:val="1DE36510"/>
    <w:rsid w:val="1DE71C83"/>
    <w:rsid w:val="1E045BB0"/>
    <w:rsid w:val="1E222CBC"/>
    <w:rsid w:val="1E3173A3"/>
    <w:rsid w:val="1E366767"/>
    <w:rsid w:val="1E3C668A"/>
    <w:rsid w:val="1E435E19"/>
    <w:rsid w:val="1E5D3CF4"/>
    <w:rsid w:val="1E650DFA"/>
    <w:rsid w:val="1E65704C"/>
    <w:rsid w:val="1E696D86"/>
    <w:rsid w:val="1E6F3A27"/>
    <w:rsid w:val="1E9A4F48"/>
    <w:rsid w:val="1EA25BAA"/>
    <w:rsid w:val="1EBC2419"/>
    <w:rsid w:val="1EBE1457"/>
    <w:rsid w:val="1EC04283"/>
    <w:rsid w:val="1ECB3353"/>
    <w:rsid w:val="1EE3599F"/>
    <w:rsid w:val="1F045566"/>
    <w:rsid w:val="1F225BA0"/>
    <w:rsid w:val="1F4D5417"/>
    <w:rsid w:val="1F525822"/>
    <w:rsid w:val="1F61621D"/>
    <w:rsid w:val="1F6B2440"/>
    <w:rsid w:val="1F8C45BA"/>
    <w:rsid w:val="1FA37E2C"/>
    <w:rsid w:val="1FAF1D84"/>
    <w:rsid w:val="1FB05EDC"/>
    <w:rsid w:val="1FBB2882"/>
    <w:rsid w:val="1FBF278C"/>
    <w:rsid w:val="1FC14756"/>
    <w:rsid w:val="1FC7158D"/>
    <w:rsid w:val="1FCA37AB"/>
    <w:rsid w:val="1FEA7809"/>
    <w:rsid w:val="1FF552A4"/>
    <w:rsid w:val="1FF56D02"/>
    <w:rsid w:val="1FFC3F58"/>
    <w:rsid w:val="20016901"/>
    <w:rsid w:val="20037C89"/>
    <w:rsid w:val="200563F1"/>
    <w:rsid w:val="2040567B"/>
    <w:rsid w:val="205E4742"/>
    <w:rsid w:val="207B66B3"/>
    <w:rsid w:val="207E664B"/>
    <w:rsid w:val="20B41BC5"/>
    <w:rsid w:val="20C85981"/>
    <w:rsid w:val="20CE712B"/>
    <w:rsid w:val="20DF3E68"/>
    <w:rsid w:val="20E66819"/>
    <w:rsid w:val="20E71F9A"/>
    <w:rsid w:val="20F16158"/>
    <w:rsid w:val="2105015E"/>
    <w:rsid w:val="21076199"/>
    <w:rsid w:val="210C69E7"/>
    <w:rsid w:val="211344CB"/>
    <w:rsid w:val="2113467D"/>
    <w:rsid w:val="211D7547"/>
    <w:rsid w:val="21240AF9"/>
    <w:rsid w:val="212A1E87"/>
    <w:rsid w:val="212C5BFF"/>
    <w:rsid w:val="212D20A3"/>
    <w:rsid w:val="213B4094"/>
    <w:rsid w:val="21463165"/>
    <w:rsid w:val="216211E3"/>
    <w:rsid w:val="216445B7"/>
    <w:rsid w:val="21645399"/>
    <w:rsid w:val="216C3E45"/>
    <w:rsid w:val="216C51F8"/>
    <w:rsid w:val="217A2E0F"/>
    <w:rsid w:val="217D46AD"/>
    <w:rsid w:val="2186155D"/>
    <w:rsid w:val="21A954A2"/>
    <w:rsid w:val="21AE4866"/>
    <w:rsid w:val="21B04A82"/>
    <w:rsid w:val="21C75CD2"/>
    <w:rsid w:val="21D839C3"/>
    <w:rsid w:val="21DC7625"/>
    <w:rsid w:val="21E40288"/>
    <w:rsid w:val="21F80345"/>
    <w:rsid w:val="21FD2AF0"/>
    <w:rsid w:val="221023C9"/>
    <w:rsid w:val="221768AF"/>
    <w:rsid w:val="22196184"/>
    <w:rsid w:val="2221328A"/>
    <w:rsid w:val="22244B28"/>
    <w:rsid w:val="222776AC"/>
    <w:rsid w:val="222E2ACD"/>
    <w:rsid w:val="22347461"/>
    <w:rsid w:val="223B38C8"/>
    <w:rsid w:val="22625D7D"/>
    <w:rsid w:val="226F0499"/>
    <w:rsid w:val="22716E9F"/>
    <w:rsid w:val="227E06DD"/>
    <w:rsid w:val="22934188"/>
    <w:rsid w:val="229E164F"/>
    <w:rsid w:val="22B84017"/>
    <w:rsid w:val="22C500B9"/>
    <w:rsid w:val="22C65A42"/>
    <w:rsid w:val="22CA1B74"/>
    <w:rsid w:val="22CA56D0"/>
    <w:rsid w:val="22D327D6"/>
    <w:rsid w:val="22DE6BBD"/>
    <w:rsid w:val="22E04EF3"/>
    <w:rsid w:val="22E06CA1"/>
    <w:rsid w:val="22E628AC"/>
    <w:rsid w:val="23005752"/>
    <w:rsid w:val="230E380E"/>
    <w:rsid w:val="232748D0"/>
    <w:rsid w:val="235356C5"/>
    <w:rsid w:val="23752A5C"/>
    <w:rsid w:val="237856E2"/>
    <w:rsid w:val="2382254A"/>
    <w:rsid w:val="23865A9B"/>
    <w:rsid w:val="239A1546"/>
    <w:rsid w:val="23A61C99"/>
    <w:rsid w:val="23B853F0"/>
    <w:rsid w:val="23BA5744"/>
    <w:rsid w:val="23BE3486"/>
    <w:rsid w:val="23C94765"/>
    <w:rsid w:val="23FD19CC"/>
    <w:rsid w:val="24030E99"/>
    <w:rsid w:val="24082954"/>
    <w:rsid w:val="24150BCD"/>
    <w:rsid w:val="24177755"/>
    <w:rsid w:val="242775DC"/>
    <w:rsid w:val="24422247"/>
    <w:rsid w:val="24480FA2"/>
    <w:rsid w:val="244C26BE"/>
    <w:rsid w:val="24547947"/>
    <w:rsid w:val="24572F93"/>
    <w:rsid w:val="24611E7B"/>
    <w:rsid w:val="24725B5F"/>
    <w:rsid w:val="247E2C16"/>
    <w:rsid w:val="248C2FC2"/>
    <w:rsid w:val="24962CBD"/>
    <w:rsid w:val="24DD4983"/>
    <w:rsid w:val="24EC5DD1"/>
    <w:rsid w:val="251D40A6"/>
    <w:rsid w:val="25251329"/>
    <w:rsid w:val="253E3B7A"/>
    <w:rsid w:val="254259F1"/>
    <w:rsid w:val="254774AC"/>
    <w:rsid w:val="25553977"/>
    <w:rsid w:val="255F47F5"/>
    <w:rsid w:val="256A4F48"/>
    <w:rsid w:val="257707C1"/>
    <w:rsid w:val="258506D6"/>
    <w:rsid w:val="25891872"/>
    <w:rsid w:val="25893620"/>
    <w:rsid w:val="25981AB5"/>
    <w:rsid w:val="25B34B41"/>
    <w:rsid w:val="25B837EA"/>
    <w:rsid w:val="25C56066"/>
    <w:rsid w:val="25CB2001"/>
    <w:rsid w:val="25CD5C03"/>
    <w:rsid w:val="25D233D5"/>
    <w:rsid w:val="25D845A8"/>
    <w:rsid w:val="25DA337B"/>
    <w:rsid w:val="25EB7E37"/>
    <w:rsid w:val="260A2E6A"/>
    <w:rsid w:val="260F621B"/>
    <w:rsid w:val="265359DC"/>
    <w:rsid w:val="26562AC8"/>
    <w:rsid w:val="26750B11"/>
    <w:rsid w:val="26812549"/>
    <w:rsid w:val="2685203A"/>
    <w:rsid w:val="26924EFA"/>
    <w:rsid w:val="269404CF"/>
    <w:rsid w:val="269A4809"/>
    <w:rsid w:val="26BE3951"/>
    <w:rsid w:val="26C03072"/>
    <w:rsid w:val="26EB3328"/>
    <w:rsid w:val="26FD42C6"/>
    <w:rsid w:val="27076EF2"/>
    <w:rsid w:val="2711012A"/>
    <w:rsid w:val="271909D4"/>
    <w:rsid w:val="27300127"/>
    <w:rsid w:val="2758638D"/>
    <w:rsid w:val="275B723E"/>
    <w:rsid w:val="27653C19"/>
    <w:rsid w:val="27673E35"/>
    <w:rsid w:val="27775997"/>
    <w:rsid w:val="27857318"/>
    <w:rsid w:val="27870033"/>
    <w:rsid w:val="27956440"/>
    <w:rsid w:val="279B588D"/>
    <w:rsid w:val="27A12F12"/>
    <w:rsid w:val="27C2106B"/>
    <w:rsid w:val="27C546B8"/>
    <w:rsid w:val="27C74F29"/>
    <w:rsid w:val="27DF1C1D"/>
    <w:rsid w:val="27E03ABE"/>
    <w:rsid w:val="27E75088"/>
    <w:rsid w:val="28034C6D"/>
    <w:rsid w:val="28101479"/>
    <w:rsid w:val="28173A8D"/>
    <w:rsid w:val="28277120"/>
    <w:rsid w:val="28371296"/>
    <w:rsid w:val="286E4D4F"/>
    <w:rsid w:val="28784073"/>
    <w:rsid w:val="287E31E4"/>
    <w:rsid w:val="287F4FCE"/>
    <w:rsid w:val="288527C5"/>
    <w:rsid w:val="28856A5B"/>
    <w:rsid w:val="28904CC6"/>
    <w:rsid w:val="28996270"/>
    <w:rsid w:val="289F315B"/>
    <w:rsid w:val="28A16ED3"/>
    <w:rsid w:val="28B70E3C"/>
    <w:rsid w:val="28BC7451"/>
    <w:rsid w:val="28C0181B"/>
    <w:rsid w:val="28D82873"/>
    <w:rsid w:val="28ED5797"/>
    <w:rsid w:val="29022CE8"/>
    <w:rsid w:val="29082C93"/>
    <w:rsid w:val="293C2B1E"/>
    <w:rsid w:val="29453D02"/>
    <w:rsid w:val="2956113A"/>
    <w:rsid w:val="296C5733"/>
    <w:rsid w:val="298A7967"/>
    <w:rsid w:val="29A11F58"/>
    <w:rsid w:val="29A24CB1"/>
    <w:rsid w:val="29BF4DCB"/>
    <w:rsid w:val="29C72969"/>
    <w:rsid w:val="29CE5EED"/>
    <w:rsid w:val="29E4176D"/>
    <w:rsid w:val="29EE5390"/>
    <w:rsid w:val="29F0073D"/>
    <w:rsid w:val="29F1126C"/>
    <w:rsid w:val="29FF2103"/>
    <w:rsid w:val="2A075F6A"/>
    <w:rsid w:val="2A0C4820"/>
    <w:rsid w:val="2A2B739C"/>
    <w:rsid w:val="2A2E29E8"/>
    <w:rsid w:val="2A506E2C"/>
    <w:rsid w:val="2A522F43"/>
    <w:rsid w:val="2A666276"/>
    <w:rsid w:val="2A770D67"/>
    <w:rsid w:val="2A876E11"/>
    <w:rsid w:val="2A8B6F60"/>
    <w:rsid w:val="2A9E7B6E"/>
    <w:rsid w:val="2ABA5EB5"/>
    <w:rsid w:val="2AE73CF5"/>
    <w:rsid w:val="2AF602F3"/>
    <w:rsid w:val="2B0A0D5F"/>
    <w:rsid w:val="2B0C34E9"/>
    <w:rsid w:val="2B1E0CAF"/>
    <w:rsid w:val="2B2E2C38"/>
    <w:rsid w:val="2B3A092E"/>
    <w:rsid w:val="2B586A07"/>
    <w:rsid w:val="2B7D01B8"/>
    <w:rsid w:val="2B963915"/>
    <w:rsid w:val="2BA411B4"/>
    <w:rsid w:val="2BB4440B"/>
    <w:rsid w:val="2BB46F1D"/>
    <w:rsid w:val="2BD940F2"/>
    <w:rsid w:val="2C057779"/>
    <w:rsid w:val="2C065EED"/>
    <w:rsid w:val="2C131E96"/>
    <w:rsid w:val="2C1A1AC5"/>
    <w:rsid w:val="2C2E6CCF"/>
    <w:rsid w:val="2C405431"/>
    <w:rsid w:val="2C42277B"/>
    <w:rsid w:val="2C57575E"/>
    <w:rsid w:val="2C5A1872"/>
    <w:rsid w:val="2C6D5A4A"/>
    <w:rsid w:val="2C842D93"/>
    <w:rsid w:val="2C8C39F6"/>
    <w:rsid w:val="2C9B32A1"/>
    <w:rsid w:val="2CA43435"/>
    <w:rsid w:val="2CA56876"/>
    <w:rsid w:val="2CA8268A"/>
    <w:rsid w:val="2CBD7B19"/>
    <w:rsid w:val="2CD5539D"/>
    <w:rsid w:val="2CE3538F"/>
    <w:rsid w:val="2CF03080"/>
    <w:rsid w:val="2D102879"/>
    <w:rsid w:val="2D1424B3"/>
    <w:rsid w:val="2D144117"/>
    <w:rsid w:val="2D306A77"/>
    <w:rsid w:val="2D3A16A4"/>
    <w:rsid w:val="2D483DC1"/>
    <w:rsid w:val="2D4C4A8F"/>
    <w:rsid w:val="2D6E2CD7"/>
    <w:rsid w:val="2D937732"/>
    <w:rsid w:val="2DB120EA"/>
    <w:rsid w:val="2DB4137D"/>
    <w:rsid w:val="2DC45B3D"/>
    <w:rsid w:val="2DC91BD1"/>
    <w:rsid w:val="2DE56CBA"/>
    <w:rsid w:val="2E267966"/>
    <w:rsid w:val="2E293BF2"/>
    <w:rsid w:val="2E47051C"/>
    <w:rsid w:val="2E4C5B33"/>
    <w:rsid w:val="2E532A1D"/>
    <w:rsid w:val="2E5642BC"/>
    <w:rsid w:val="2E5977D4"/>
    <w:rsid w:val="2E67296D"/>
    <w:rsid w:val="2E731311"/>
    <w:rsid w:val="2E7B0EC8"/>
    <w:rsid w:val="2EA304DB"/>
    <w:rsid w:val="2EBA0CEE"/>
    <w:rsid w:val="2EC21951"/>
    <w:rsid w:val="2ED82E4A"/>
    <w:rsid w:val="2EF37171"/>
    <w:rsid w:val="2F260132"/>
    <w:rsid w:val="2F2D52F8"/>
    <w:rsid w:val="2F867E1E"/>
    <w:rsid w:val="2F8D6403"/>
    <w:rsid w:val="2FA462C9"/>
    <w:rsid w:val="2FB003FC"/>
    <w:rsid w:val="2FB67708"/>
    <w:rsid w:val="2FB971F8"/>
    <w:rsid w:val="2FC75471"/>
    <w:rsid w:val="2FC82F97"/>
    <w:rsid w:val="2FD22068"/>
    <w:rsid w:val="2FDB716E"/>
    <w:rsid w:val="2FDE7067"/>
    <w:rsid w:val="2FE57FED"/>
    <w:rsid w:val="2FE80716"/>
    <w:rsid w:val="2FEC3129"/>
    <w:rsid w:val="2FEF49C8"/>
    <w:rsid w:val="2FF14047"/>
    <w:rsid w:val="2FF42CB4"/>
    <w:rsid w:val="2FF81ACE"/>
    <w:rsid w:val="300872A7"/>
    <w:rsid w:val="300F0BC6"/>
    <w:rsid w:val="30204C39"/>
    <w:rsid w:val="302E54F0"/>
    <w:rsid w:val="3038636F"/>
    <w:rsid w:val="305F33CF"/>
    <w:rsid w:val="30764E18"/>
    <w:rsid w:val="307849BD"/>
    <w:rsid w:val="307E0B21"/>
    <w:rsid w:val="308D2C0F"/>
    <w:rsid w:val="308E5F8F"/>
    <w:rsid w:val="30901D07"/>
    <w:rsid w:val="30954C40"/>
    <w:rsid w:val="309A4933"/>
    <w:rsid w:val="30B03CE2"/>
    <w:rsid w:val="30B04157"/>
    <w:rsid w:val="30BD0622"/>
    <w:rsid w:val="30BD4AC6"/>
    <w:rsid w:val="30C145B6"/>
    <w:rsid w:val="30C776F3"/>
    <w:rsid w:val="30D21FF4"/>
    <w:rsid w:val="30DF67EA"/>
    <w:rsid w:val="30E3277E"/>
    <w:rsid w:val="30E97669"/>
    <w:rsid w:val="30EF1DD1"/>
    <w:rsid w:val="30FE3F19"/>
    <w:rsid w:val="310426F5"/>
    <w:rsid w:val="310D77FB"/>
    <w:rsid w:val="312B7C81"/>
    <w:rsid w:val="31327262"/>
    <w:rsid w:val="31350BBA"/>
    <w:rsid w:val="31572824"/>
    <w:rsid w:val="317A4765"/>
    <w:rsid w:val="318B7B2F"/>
    <w:rsid w:val="31AD68E8"/>
    <w:rsid w:val="31B56FAB"/>
    <w:rsid w:val="31C377E3"/>
    <w:rsid w:val="31C81974"/>
    <w:rsid w:val="31C970ED"/>
    <w:rsid w:val="31DE4CF4"/>
    <w:rsid w:val="31F421E0"/>
    <w:rsid w:val="31F75DB5"/>
    <w:rsid w:val="31FB42D0"/>
    <w:rsid w:val="320D55D9"/>
    <w:rsid w:val="32180206"/>
    <w:rsid w:val="321D3A6E"/>
    <w:rsid w:val="322A2700"/>
    <w:rsid w:val="3242018E"/>
    <w:rsid w:val="32494863"/>
    <w:rsid w:val="324A7982"/>
    <w:rsid w:val="324C14CB"/>
    <w:rsid w:val="32562ADC"/>
    <w:rsid w:val="325B00F2"/>
    <w:rsid w:val="326B0686"/>
    <w:rsid w:val="326B28DE"/>
    <w:rsid w:val="32780143"/>
    <w:rsid w:val="32786EF6"/>
    <w:rsid w:val="32796E9D"/>
    <w:rsid w:val="327C2C35"/>
    <w:rsid w:val="328854F3"/>
    <w:rsid w:val="32923195"/>
    <w:rsid w:val="329A50BF"/>
    <w:rsid w:val="32A55811"/>
    <w:rsid w:val="32AF4230"/>
    <w:rsid w:val="32B126A5"/>
    <w:rsid w:val="32BB6DE3"/>
    <w:rsid w:val="32C263C3"/>
    <w:rsid w:val="32C92530"/>
    <w:rsid w:val="32FA32E6"/>
    <w:rsid w:val="33042538"/>
    <w:rsid w:val="3317670F"/>
    <w:rsid w:val="33244988"/>
    <w:rsid w:val="3326188F"/>
    <w:rsid w:val="33356B95"/>
    <w:rsid w:val="335C6818"/>
    <w:rsid w:val="336970F4"/>
    <w:rsid w:val="33752F9C"/>
    <w:rsid w:val="33896EE1"/>
    <w:rsid w:val="33977850"/>
    <w:rsid w:val="33B26438"/>
    <w:rsid w:val="33B9293B"/>
    <w:rsid w:val="33D85F30"/>
    <w:rsid w:val="33E6741E"/>
    <w:rsid w:val="33EC7B9C"/>
    <w:rsid w:val="340A6274"/>
    <w:rsid w:val="34180991"/>
    <w:rsid w:val="34367069"/>
    <w:rsid w:val="343D21A6"/>
    <w:rsid w:val="34677222"/>
    <w:rsid w:val="347B0F20"/>
    <w:rsid w:val="347B4A7C"/>
    <w:rsid w:val="3482367E"/>
    <w:rsid w:val="34876F98"/>
    <w:rsid w:val="34930017"/>
    <w:rsid w:val="34951FE2"/>
    <w:rsid w:val="34993154"/>
    <w:rsid w:val="349C35B5"/>
    <w:rsid w:val="34A6362E"/>
    <w:rsid w:val="34AC10D9"/>
    <w:rsid w:val="34B00BC9"/>
    <w:rsid w:val="34B54432"/>
    <w:rsid w:val="34B85CD0"/>
    <w:rsid w:val="34C14C9F"/>
    <w:rsid w:val="34C401D1"/>
    <w:rsid w:val="34D10B40"/>
    <w:rsid w:val="34DD1293"/>
    <w:rsid w:val="34F5482E"/>
    <w:rsid w:val="34FB2888"/>
    <w:rsid w:val="34FC1F0C"/>
    <w:rsid w:val="34FF774A"/>
    <w:rsid w:val="35011425"/>
    <w:rsid w:val="35092088"/>
    <w:rsid w:val="351C625F"/>
    <w:rsid w:val="35441312"/>
    <w:rsid w:val="356279EA"/>
    <w:rsid w:val="35843E04"/>
    <w:rsid w:val="35867971"/>
    <w:rsid w:val="359131CB"/>
    <w:rsid w:val="35A43BC7"/>
    <w:rsid w:val="35A63D7A"/>
    <w:rsid w:val="35A818A1"/>
    <w:rsid w:val="35D62034"/>
    <w:rsid w:val="35DB4887"/>
    <w:rsid w:val="36174C78"/>
    <w:rsid w:val="362353CB"/>
    <w:rsid w:val="363F7A6E"/>
    <w:rsid w:val="36451AF1"/>
    <w:rsid w:val="36617CA1"/>
    <w:rsid w:val="366C6D72"/>
    <w:rsid w:val="36721EAF"/>
    <w:rsid w:val="36743E79"/>
    <w:rsid w:val="367479D5"/>
    <w:rsid w:val="368416DE"/>
    <w:rsid w:val="36C73DF2"/>
    <w:rsid w:val="36C9653F"/>
    <w:rsid w:val="36CE171C"/>
    <w:rsid w:val="36DB7A54"/>
    <w:rsid w:val="36F0565E"/>
    <w:rsid w:val="36FF4E49"/>
    <w:rsid w:val="37120FD8"/>
    <w:rsid w:val="37411FAD"/>
    <w:rsid w:val="37421881"/>
    <w:rsid w:val="37537F32"/>
    <w:rsid w:val="37773C20"/>
    <w:rsid w:val="379811C0"/>
    <w:rsid w:val="379D1D4F"/>
    <w:rsid w:val="37AD7642"/>
    <w:rsid w:val="37C8622A"/>
    <w:rsid w:val="37D72911"/>
    <w:rsid w:val="37DC1CD5"/>
    <w:rsid w:val="37DD15AA"/>
    <w:rsid w:val="37E80BA5"/>
    <w:rsid w:val="37EF7C5B"/>
    <w:rsid w:val="38392C84"/>
    <w:rsid w:val="38547A46"/>
    <w:rsid w:val="386079B4"/>
    <w:rsid w:val="387243E8"/>
    <w:rsid w:val="38804D57"/>
    <w:rsid w:val="38806B05"/>
    <w:rsid w:val="388C7258"/>
    <w:rsid w:val="389768DA"/>
    <w:rsid w:val="38AC16A8"/>
    <w:rsid w:val="38AD7C32"/>
    <w:rsid w:val="38BE2B84"/>
    <w:rsid w:val="38C2711D"/>
    <w:rsid w:val="38FB43DD"/>
    <w:rsid w:val="38FE061C"/>
    <w:rsid w:val="39073B4B"/>
    <w:rsid w:val="39184F8F"/>
    <w:rsid w:val="39190FF1"/>
    <w:rsid w:val="391D3E19"/>
    <w:rsid w:val="393A3FC5"/>
    <w:rsid w:val="393F0AA4"/>
    <w:rsid w:val="3948754F"/>
    <w:rsid w:val="396F26D5"/>
    <w:rsid w:val="39702046"/>
    <w:rsid w:val="39743651"/>
    <w:rsid w:val="3987588E"/>
    <w:rsid w:val="39A61BFF"/>
    <w:rsid w:val="39B34CB8"/>
    <w:rsid w:val="39C27DF2"/>
    <w:rsid w:val="39DE686E"/>
    <w:rsid w:val="39DF785B"/>
    <w:rsid w:val="39E41315"/>
    <w:rsid w:val="39F350B4"/>
    <w:rsid w:val="3A0E652E"/>
    <w:rsid w:val="3A2A4F7A"/>
    <w:rsid w:val="3A384FBB"/>
    <w:rsid w:val="3A4D2A17"/>
    <w:rsid w:val="3A5007F7"/>
    <w:rsid w:val="3A523D63"/>
    <w:rsid w:val="3A681D51"/>
    <w:rsid w:val="3A6854D2"/>
    <w:rsid w:val="3A6A35C8"/>
    <w:rsid w:val="3A740EC2"/>
    <w:rsid w:val="3A7601BF"/>
    <w:rsid w:val="3A7B57D6"/>
    <w:rsid w:val="3A7E60A0"/>
    <w:rsid w:val="3A922B1F"/>
    <w:rsid w:val="3AB90E22"/>
    <w:rsid w:val="3ABE1B66"/>
    <w:rsid w:val="3ACF167E"/>
    <w:rsid w:val="3ACF4AE8"/>
    <w:rsid w:val="3AD257FB"/>
    <w:rsid w:val="3ADB7070"/>
    <w:rsid w:val="3AE0388B"/>
    <w:rsid w:val="3AE235FE"/>
    <w:rsid w:val="3B0949EF"/>
    <w:rsid w:val="3B1A2DE0"/>
    <w:rsid w:val="3B1C29BA"/>
    <w:rsid w:val="3B3224BA"/>
    <w:rsid w:val="3B514788"/>
    <w:rsid w:val="3B581673"/>
    <w:rsid w:val="3B6E70E8"/>
    <w:rsid w:val="3B8934A8"/>
    <w:rsid w:val="3B8C3E53"/>
    <w:rsid w:val="3B8E2F27"/>
    <w:rsid w:val="3B9D5C20"/>
    <w:rsid w:val="3B9E2BF5"/>
    <w:rsid w:val="3BA174BE"/>
    <w:rsid w:val="3BA614BF"/>
    <w:rsid w:val="3BD056AD"/>
    <w:rsid w:val="3BDD7DCA"/>
    <w:rsid w:val="3BEC6846"/>
    <w:rsid w:val="3BFA727D"/>
    <w:rsid w:val="3BFC2946"/>
    <w:rsid w:val="3BFF5F92"/>
    <w:rsid w:val="3C0C38B6"/>
    <w:rsid w:val="3C1202E3"/>
    <w:rsid w:val="3C3C71E7"/>
    <w:rsid w:val="3C3F2833"/>
    <w:rsid w:val="3C4B0050"/>
    <w:rsid w:val="3C4B742A"/>
    <w:rsid w:val="3C6127A9"/>
    <w:rsid w:val="3C7878F3"/>
    <w:rsid w:val="3C9B215F"/>
    <w:rsid w:val="3CAD3C40"/>
    <w:rsid w:val="3CCA7E7E"/>
    <w:rsid w:val="3CD513F1"/>
    <w:rsid w:val="3CED6733"/>
    <w:rsid w:val="3CF278A5"/>
    <w:rsid w:val="3CF47FD9"/>
    <w:rsid w:val="3D22018A"/>
    <w:rsid w:val="3D2B61E5"/>
    <w:rsid w:val="3D314871"/>
    <w:rsid w:val="3D37175C"/>
    <w:rsid w:val="3D5A3DC8"/>
    <w:rsid w:val="3D7F55DD"/>
    <w:rsid w:val="3D8F5CFF"/>
    <w:rsid w:val="3D9237DD"/>
    <w:rsid w:val="3D931088"/>
    <w:rsid w:val="3D9C3860"/>
    <w:rsid w:val="3D9E4102"/>
    <w:rsid w:val="3DC12D0A"/>
    <w:rsid w:val="3DD07BE6"/>
    <w:rsid w:val="3DD27E02"/>
    <w:rsid w:val="3DD35929"/>
    <w:rsid w:val="3DF53AF1"/>
    <w:rsid w:val="3E175815"/>
    <w:rsid w:val="3E1B1E8D"/>
    <w:rsid w:val="3E1C5F63"/>
    <w:rsid w:val="3E1E521D"/>
    <w:rsid w:val="3E2B66CE"/>
    <w:rsid w:val="3E315B3B"/>
    <w:rsid w:val="3E4745F6"/>
    <w:rsid w:val="3E611186"/>
    <w:rsid w:val="3E6622F9"/>
    <w:rsid w:val="3E6D18D9"/>
    <w:rsid w:val="3E755E70"/>
    <w:rsid w:val="3E7762B4"/>
    <w:rsid w:val="3E832EAB"/>
    <w:rsid w:val="3E9E5F37"/>
    <w:rsid w:val="3E9F7719"/>
    <w:rsid w:val="3EA6303D"/>
    <w:rsid w:val="3EFC2C5D"/>
    <w:rsid w:val="3F122481"/>
    <w:rsid w:val="3F2F2CFB"/>
    <w:rsid w:val="3F3B4CB4"/>
    <w:rsid w:val="3F3E3276"/>
    <w:rsid w:val="3F506C5E"/>
    <w:rsid w:val="3F5D194E"/>
    <w:rsid w:val="3F5D2347"/>
    <w:rsid w:val="3F6046C3"/>
    <w:rsid w:val="3F7A3757"/>
    <w:rsid w:val="3F8D4B70"/>
    <w:rsid w:val="3F935E11"/>
    <w:rsid w:val="3F984734"/>
    <w:rsid w:val="3FD91FBA"/>
    <w:rsid w:val="3FDD6F27"/>
    <w:rsid w:val="3FE1257F"/>
    <w:rsid w:val="3FE2665B"/>
    <w:rsid w:val="400007BD"/>
    <w:rsid w:val="4004626D"/>
    <w:rsid w:val="40153FD6"/>
    <w:rsid w:val="401F09B1"/>
    <w:rsid w:val="4025571D"/>
    <w:rsid w:val="40301F8B"/>
    <w:rsid w:val="4033445D"/>
    <w:rsid w:val="403726CB"/>
    <w:rsid w:val="4057303E"/>
    <w:rsid w:val="406F49BE"/>
    <w:rsid w:val="406F7847"/>
    <w:rsid w:val="40913ED7"/>
    <w:rsid w:val="40C1415E"/>
    <w:rsid w:val="40D1185F"/>
    <w:rsid w:val="40E1210B"/>
    <w:rsid w:val="40E276F7"/>
    <w:rsid w:val="40E65CAF"/>
    <w:rsid w:val="40E93BD5"/>
    <w:rsid w:val="40EF2A79"/>
    <w:rsid w:val="40F40090"/>
    <w:rsid w:val="40FF552B"/>
    <w:rsid w:val="41083B3B"/>
    <w:rsid w:val="410D73A4"/>
    <w:rsid w:val="41140732"/>
    <w:rsid w:val="4114428E"/>
    <w:rsid w:val="412907A1"/>
    <w:rsid w:val="41382886"/>
    <w:rsid w:val="413F3739"/>
    <w:rsid w:val="41401527"/>
    <w:rsid w:val="41564235"/>
    <w:rsid w:val="415F7A57"/>
    <w:rsid w:val="416D1BF0"/>
    <w:rsid w:val="4177481D"/>
    <w:rsid w:val="4182569C"/>
    <w:rsid w:val="41A82C28"/>
    <w:rsid w:val="41BB11DF"/>
    <w:rsid w:val="41C247B5"/>
    <w:rsid w:val="41CC01DD"/>
    <w:rsid w:val="41D03E9A"/>
    <w:rsid w:val="41D81760"/>
    <w:rsid w:val="41DA15EE"/>
    <w:rsid w:val="41E06866"/>
    <w:rsid w:val="41E231B6"/>
    <w:rsid w:val="42066ED9"/>
    <w:rsid w:val="420F2CA7"/>
    <w:rsid w:val="421012C3"/>
    <w:rsid w:val="42187DAE"/>
    <w:rsid w:val="42707804"/>
    <w:rsid w:val="42753072"/>
    <w:rsid w:val="42755200"/>
    <w:rsid w:val="429A4C67"/>
    <w:rsid w:val="42A47894"/>
    <w:rsid w:val="42AC344F"/>
    <w:rsid w:val="42B64197"/>
    <w:rsid w:val="42C35F22"/>
    <w:rsid w:val="42CB4E20"/>
    <w:rsid w:val="42D40179"/>
    <w:rsid w:val="42DB392C"/>
    <w:rsid w:val="42FA28DB"/>
    <w:rsid w:val="430B0B78"/>
    <w:rsid w:val="430B7913"/>
    <w:rsid w:val="43100A85"/>
    <w:rsid w:val="43144D5D"/>
    <w:rsid w:val="432D5ADB"/>
    <w:rsid w:val="43655F7F"/>
    <w:rsid w:val="43664B49"/>
    <w:rsid w:val="436D237B"/>
    <w:rsid w:val="436F5E09"/>
    <w:rsid w:val="437152C3"/>
    <w:rsid w:val="438D20D6"/>
    <w:rsid w:val="438F40A0"/>
    <w:rsid w:val="43904295"/>
    <w:rsid w:val="439E0787"/>
    <w:rsid w:val="43AA712C"/>
    <w:rsid w:val="43B42872"/>
    <w:rsid w:val="43B65AD0"/>
    <w:rsid w:val="43C04259"/>
    <w:rsid w:val="43D408B3"/>
    <w:rsid w:val="43D9531B"/>
    <w:rsid w:val="43DD3FD5"/>
    <w:rsid w:val="43E43E98"/>
    <w:rsid w:val="43EF1957"/>
    <w:rsid w:val="43F82659"/>
    <w:rsid w:val="43FB4A62"/>
    <w:rsid w:val="44114AB5"/>
    <w:rsid w:val="441447AD"/>
    <w:rsid w:val="441B74E4"/>
    <w:rsid w:val="44384737"/>
    <w:rsid w:val="443B5FD6"/>
    <w:rsid w:val="444C6558"/>
    <w:rsid w:val="444E76B8"/>
    <w:rsid w:val="44625310"/>
    <w:rsid w:val="4475773A"/>
    <w:rsid w:val="448D4A83"/>
    <w:rsid w:val="44A00FB3"/>
    <w:rsid w:val="44A8366B"/>
    <w:rsid w:val="44BC156D"/>
    <w:rsid w:val="44BF702A"/>
    <w:rsid w:val="44C935E1"/>
    <w:rsid w:val="44D426B2"/>
    <w:rsid w:val="44E16BF9"/>
    <w:rsid w:val="44F00B6E"/>
    <w:rsid w:val="44F7014F"/>
    <w:rsid w:val="44FF6697"/>
    <w:rsid w:val="45032A73"/>
    <w:rsid w:val="453E18DA"/>
    <w:rsid w:val="454F1D39"/>
    <w:rsid w:val="45661D8F"/>
    <w:rsid w:val="456A69AD"/>
    <w:rsid w:val="4597723C"/>
    <w:rsid w:val="45A1519C"/>
    <w:rsid w:val="45BB4D52"/>
    <w:rsid w:val="45BF2F42"/>
    <w:rsid w:val="45C2075D"/>
    <w:rsid w:val="45C734A1"/>
    <w:rsid w:val="45D03951"/>
    <w:rsid w:val="46075C3B"/>
    <w:rsid w:val="46252A99"/>
    <w:rsid w:val="463D7DBF"/>
    <w:rsid w:val="4642189D"/>
    <w:rsid w:val="4646138E"/>
    <w:rsid w:val="464949DA"/>
    <w:rsid w:val="465106D5"/>
    <w:rsid w:val="46537607"/>
    <w:rsid w:val="46592743"/>
    <w:rsid w:val="46731A57"/>
    <w:rsid w:val="467344C5"/>
    <w:rsid w:val="4678706D"/>
    <w:rsid w:val="46A273BA"/>
    <w:rsid w:val="46AB7443"/>
    <w:rsid w:val="46CD03D6"/>
    <w:rsid w:val="46E34C7E"/>
    <w:rsid w:val="46EC4B66"/>
    <w:rsid w:val="470E352E"/>
    <w:rsid w:val="470E3556"/>
    <w:rsid w:val="471A3D52"/>
    <w:rsid w:val="471C2315"/>
    <w:rsid w:val="471C3E9C"/>
    <w:rsid w:val="47264D1B"/>
    <w:rsid w:val="47275033"/>
    <w:rsid w:val="473070C1"/>
    <w:rsid w:val="47533F20"/>
    <w:rsid w:val="476E221E"/>
    <w:rsid w:val="478A34FC"/>
    <w:rsid w:val="478B2DD0"/>
    <w:rsid w:val="478B4B7E"/>
    <w:rsid w:val="47BA52A7"/>
    <w:rsid w:val="47BE1013"/>
    <w:rsid w:val="47DD122E"/>
    <w:rsid w:val="47E524E0"/>
    <w:rsid w:val="48020CF2"/>
    <w:rsid w:val="48362D3C"/>
    <w:rsid w:val="485338EE"/>
    <w:rsid w:val="48584BE8"/>
    <w:rsid w:val="4860425D"/>
    <w:rsid w:val="4860600B"/>
    <w:rsid w:val="48620B3B"/>
    <w:rsid w:val="486E09E4"/>
    <w:rsid w:val="48AC74A2"/>
    <w:rsid w:val="48BD16AF"/>
    <w:rsid w:val="48D8543D"/>
    <w:rsid w:val="48E91CCB"/>
    <w:rsid w:val="49044BE8"/>
    <w:rsid w:val="490B241B"/>
    <w:rsid w:val="491017DF"/>
    <w:rsid w:val="492224DD"/>
    <w:rsid w:val="492D2391"/>
    <w:rsid w:val="49516D8A"/>
    <w:rsid w:val="496164DE"/>
    <w:rsid w:val="497B68E4"/>
    <w:rsid w:val="498A4BEA"/>
    <w:rsid w:val="49A14B2D"/>
    <w:rsid w:val="49BF6D61"/>
    <w:rsid w:val="49C1138B"/>
    <w:rsid w:val="49C11B1D"/>
    <w:rsid w:val="49CC433A"/>
    <w:rsid w:val="49CD147E"/>
    <w:rsid w:val="49F11610"/>
    <w:rsid w:val="49F96717"/>
    <w:rsid w:val="4A1E714F"/>
    <w:rsid w:val="4A282B58"/>
    <w:rsid w:val="4A2C2648"/>
    <w:rsid w:val="4A392FB7"/>
    <w:rsid w:val="4A401D94"/>
    <w:rsid w:val="4A4F4589"/>
    <w:rsid w:val="4A527BD5"/>
    <w:rsid w:val="4A5A779A"/>
    <w:rsid w:val="4A606796"/>
    <w:rsid w:val="4A74224B"/>
    <w:rsid w:val="4A777519"/>
    <w:rsid w:val="4A8561FD"/>
    <w:rsid w:val="4A945F3B"/>
    <w:rsid w:val="4A983CDB"/>
    <w:rsid w:val="4A996E42"/>
    <w:rsid w:val="4A9B157C"/>
    <w:rsid w:val="4AA41A57"/>
    <w:rsid w:val="4ACA1E61"/>
    <w:rsid w:val="4ACD5CA3"/>
    <w:rsid w:val="4AD11442"/>
    <w:rsid w:val="4ADA45AC"/>
    <w:rsid w:val="4AEA0433"/>
    <w:rsid w:val="4AEA33A4"/>
    <w:rsid w:val="4AF60EA8"/>
    <w:rsid w:val="4AF8420B"/>
    <w:rsid w:val="4AFD5657"/>
    <w:rsid w:val="4B0C7611"/>
    <w:rsid w:val="4B2D2F15"/>
    <w:rsid w:val="4B616322"/>
    <w:rsid w:val="4B6928EF"/>
    <w:rsid w:val="4B8E29DF"/>
    <w:rsid w:val="4B9A3F74"/>
    <w:rsid w:val="4B9E1324"/>
    <w:rsid w:val="4BA51A38"/>
    <w:rsid w:val="4BA6467C"/>
    <w:rsid w:val="4BA91A77"/>
    <w:rsid w:val="4BB26B7D"/>
    <w:rsid w:val="4BC114B6"/>
    <w:rsid w:val="4BD9235C"/>
    <w:rsid w:val="4C2F0DD8"/>
    <w:rsid w:val="4C2F6420"/>
    <w:rsid w:val="4C3D6D8F"/>
    <w:rsid w:val="4C446FB7"/>
    <w:rsid w:val="4C6562E6"/>
    <w:rsid w:val="4C72630D"/>
    <w:rsid w:val="4C731397"/>
    <w:rsid w:val="4C806C7C"/>
    <w:rsid w:val="4C8F2F13"/>
    <w:rsid w:val="4C946947"/>
    <w:rsid w:val="4C995F8F"/>
    <w:rsid w:val="4C9B1D07"/>
    <w:rsid w:val="4CA74208"/>
    <w:rsid w:val="4CAA5AA7"/>
    <w:rsid w:val="4CC35BEB"/>
    <w:rsid w:val="4CC43E58"/>
    <w:rsid w:val="4CD07C03"/>
    <w:rsid w:val="4CDB2D2A"/>
    <w:rsid w:val="4CE3760E"/>
    <w:rsid w:val="4CEE1E37"/>
    <w:rsid w:val="4D0256E0"/>
    <w:rsid w:val="4D1B37DE"/>
    <w:rsid w:val="4D1C2677"/>
    <w:rsid w:val="4D1E0115"/>
    <w:rsid w:val="4D267823"/>
    <w:rsid w:val="4D292E6F"/>
    <w:rsid w:val="4D3A07DD"/>
    <w:rsid w:val="4D3E5B2F"/>
    <w:rsid w:val="4D401AB2"/>
    <w:rsid w:val="4D651D45"/>
    <w:rsid w:val="4D682B58"/>
    <w:rsid w:val="4D695962"/>
    <w:rsid w:val="4D697710"/>
    <w:rsid w:val="4D73771A"/>
    <w:rsid w:val="4D775994"/>
    <w:rsid w:val="4D844549"/>
    <w:rsid w:val="4D9E649E"/>
    <w:rsid w:val="4DAC584E"/>
    <w:rsid w:val="4DBF5582"/>
    <w:rsid w:val="4DCB3509"/>
    <w:rsid w:val="4DD00779"/>
    <w:rsid w:val="4DD03C33"/>
    <w:rsid w:val="4DD3727F"/>
    <w:rsid w:val="4DD454D1"/>
    <w:rsid w:val="4DE13062"/>
    <w:rsid w:val="4DE82D2A"/>
    <w:rsid w:val="4DEB4682"/>
    <w:rsid w:val="4E1C1909"/>
    <w:rsid w:val="4E2B2C17"/>
    <w:rsid w:val="4E630603"/>
    <w:rsid w:val="4E9101B8"/>
    <w:rsid w:val="4E9B4078"/>
    <w:rsid w:val="4E9D5459"/>
    <w:rsid w:val="4EA07161"/>
    <w:rsid w:val="4EA330F5"/>
    <w:rsid w:val="4EB66985"/>
    <w:rsid w:val="4EC93541"/>
    <w:rsid w:val="4EDE5EDB"/>
    <w:rsid w:val="4EF63225"/>
    <w:rsid w:val="4EFB083B"/>
    <w:rsid w:val="4EFF70EA"/>
    <w:rsid w:val="4F0C2A48"/>
    <w:rsid w:val="4F1A2BF5"/>
    <w:rsid w:val="4F203B82"/>
    <w:rsid w:val="4F506DD9"/>
    <w:rsid w:val="4F6217B4"/>
    <w:rsid w:val="4F625EC5"/>
    <w:rsid w:val="4F670655"/>
    <w:rsid w:val="4F7417D5"/>
    <w:rsid w:val="4F764366"/>
    <w:rsid w:val="4FA47125"/>
    <w:rsid w:val="4FA72771"/>
    <w:rsid w:val="4FB4409A"/>
    <w:rsid w:val="4FBA2FBC"/>
    <w:rsid w:val="4FBD5B18"/>
    <w:rsid w:val="4FCB2904"/>
    <w:rsid w:val="4FEF4074"/>
    <w:rsid w:val="4FFA78DD"/>
    <w:rsid w:val="50106AF7"/>
    <w:rsid w:val="501F7C3B"/>
    <w:rsid w:val="502E378B"/>
    <w:rsid w:val="503404A9"/>
    <w:rsid w:val="5034183D"/>
    <w:rsid w:val="503E6C32"/>
    <w:rsid w:val="50483F54"/>
    <w:rsid w:val="504942DF"/>
    <w:rsid w:val="50546455"/>
    <w:rsid w:val="505E1082"/>
    <w:rsid w:val="506A3FA1"/>
    <w:rsid w:val="507E1724"/>
    <w:rsid w:val="50A829E1"/>
    <w:rsid w:val="50AD2009"/>
    <w:rsid w:val="50BB4D39"/>
    <w:rsid w:val="50E61077"/>
    <w:rsid w:val="50EA7093"/>
    <w:rsid w:val="50F32112"/>
    <w:rsid w:val="51493AE0"/>
    <w:rsid w:val="51536E0C"/>
    <w:rsid w:val="515B23FF"/>
    <w:rsid w:val="516A3A56"/>
    <w:rsid w:val="51825244"/>
    <w:rsid w:val="519A258E"/>
    <w:rsid w:val="519C5489"/>
    <w:rsid w:val="51A47945"/>
    <w:rsid w:val="51AF590D"/>
    <w:rsid w:val="51B51175"/>
    <w:rsid w:val="51E657D3"/>
    <w:rsid w:val="51EF5972"/>
    <w:rsid w:val="52650DED"/>
    <w:rsid w:val="52716346"/>
    <w:rsid w:val="528B3438"/>
    <w:rsid w:val="52923265"/>
    <w:rsid w:val="52993FA7"/>
    <w:rsid w:val="529A6095"/>
    <w:rsid w:val="52AE35F5"/>
    <w:rsid w:val="52B70F1D"/>
    <w:rsid w:val="52C661FD"/>
    <w:rsid w:val="52E0659E"/>
    <w:rsid w:val="52E17041"/>
    <w:rsid w:val="52E53CDC"/>
    <w:rsid w:val="52EA0F57"/>
    <w:rsid w:val="52F32559"/>
    <w:rsid w:val="52F45CCD"/>
    <w:rsid w:val="52FB52AE"/>
    <w:rsid w:val="5302663C"/>
    <w:rsid w:val="53073C53"/>
    <w:rsid w:val="531719BC"/>
    <w:rsid w:val="53181F32"/>
    <w:rsid w:val="53371C1C"/>
    <w:rsid w:val="53400F13"/>
    <w:rsid w:val="535B702C"/>
    <w:rsid w:val="53767CED"/>
    <w:rsid w:val="537D110E"/>
    <w:rsid w:val="53937294"/>
    <w:rsid w:val="53A45945"/>
    <w:rsid w:val="53B37633"/>
    <w:rsid w:val="53E709D1"/>
    <w:rsid w:val="542645AC"/>
    <w:rsid w:val="54556C40"/>
    <w:rsid w:val="545C7FCE"/>
    <w:rsid w:val="54624EB9"/>
    <w:rsid w:val="54696CFA"/>
    <w:rsid w:val="546C0A86"/>
    <w:rsid w:val="546E567C"/>
    <w:rsid w:val="54A50E28"/>
    <w:rsid w:val="54A83213"/>
    <w:rsid w:val="54AD6A7C"/>
    <w:rsid w:val="54B020C8"/>
    <w:rsid w:val="54C40AED"/>
    <w:rsid w:val="54C8216A"/>
    <w:rsid w:val="54CF5376"/>
    <w:rsid w:val="54D2203E"/>
    <w:rsid w:val="54DC2EBD"/>
    <w:rsid w:val="54FA0F19"/>
    <w:rsid w:val="55006BAB"/>
    <w:rsid w:val="55083CB2"/>
    <w:rsid w:val="55214D74"/>
    <w:rsid w:val="552B60F6"/>
    <w:rsid w:val="555016DC"/>
    <w:rsid w:val="55802C9D"/>
    <w:rsid w:val="558A0B6B"/>
    <w:rsid w:val="558A46C7"/>
    <w:rsid w:val="55A263D5"/>
    <w:rsid w:val="55A64908"/>
    <w:rsid w:val="55A97243"/>
    <w:rsid w:val="55BA6761"/>
    <w:rsid w:val="55BE328C"/>
    <w:rsid w:val="55D13649"/>
    <w:rsid w:val="55E55DA1"/>
    <w:rsid w:val="55EF6A29"/>
    <w:rsid w:val="55FB2A4A"/>
    <w:rsid w:val="56045D3A"/>
    <w:rsid w:val="560E70A6"/>
    <w:rsid w:val="56222B52"/>
    <w:rsid w:val="562C39D0"/>
    <w:rsid w:val="56301712"/>
    <w:rsid w:val="56466840"/>
    <w:rsid w:val="56666EE2"/>
    <w:rsid w:val="56854FAA"/>
    <w:rsid w:val="56861332"/>
    <w:rsid w:val="56912F1F"/>
    <w:rsid w:val="56AB4053"/>
    <w:rsid w:val="56BD287A"/>
    <w:rsid w:val="56E765E9"/>
    <w:rsid w:val="56F73FDE"/>
    <w:rsid w:val="56F77DDD"/>
    <w:rsid w:val="56F83C79"/>
    <w:rsid w:val="56FD2E0F"/>
    <w:rsid w:val="57062473"/>
    <w:rsid w:val="571406EC"/>
    <w:rsid w:val="57276214"/>
    <w:rsid w:val="572823EA"/>
    <w:rsid w:val="57340D8E"/>
    <w:rsid w:val="573D1FCA"/>
    <w:rsid w:val="574E5982"/>
    <w:rsid w:val="574F3E1A"/>
    <w:rsid w:val="574F7976"/>
    <w:rsid w:val="575C69E3"/>
    <w:rsid w:val="57603931"/>
    <w:rsid w:val="576161B2"/>
    <w:rsid w:val="576B215A"/>
    <w:rsid w:val="57714289"/>
    <w:rsid w:val="57811AFA"/>
    <w:rsid w:val="57855C08"/>
    <w:rsid w:val="578F06BB"/>
    <w:rsid w:val="57A2219C"/>
    <w:rsid w:val="57B63E99"/>
    <w:rsid w:val="57B65C47"/>
    <w:rsid w:val="57B93250"/>
    <w:rsid w:val="57BA23AE"/>
    <w:rsid w:val="57C77E54"/>
    <w:rsid w:val="57D8042E"/>
    <w:rsid w:val="57E13243"/>
    <w:rsid w:val="57E75E01"/>
    <w:rsid w:val="5806082A"/>
    <w:rsid w:val="580C5892"/>
    <w:rsid w:val="581B3CFC"/>
    <w:rsid w:val="581F7CB7"/>
    <w:rsid w:val="58257AFE"/>
    <w:rsid w:val="583B7EFB"/>
    <w:rsid w:val="58493626"/>
    <w:rsid w:val="58496ABB"/>
    <w:rsid w:val="58511B64"/>
    <w:rsid w:val="586B3F68"/>
    <w:rsid w:val="58704048"/>
    <w:rsid w:val="58753345"/>
    <w:rsid w:val="587F6039"/>
    <w:rsid w:val="589F55FC"/>
    <w:rsid w:val="58B26A3F"/>
    <w:rsid w:val="58C5233B"/>
    <w:rsid w:val="58C93758"/>
    <w:rsid w:val="58CC74F7"/>
    <w:rsid w:val="58D776D1"/>
    <w:rsid w:val="58ED7447"/>
    <w:rsid w:val="58F76517"/>
    <w:rsid w:val="58FE1654"/>
    <w:rsid w:val="590E3344"/>
    <w:rsid w:val="59135EB8"/>
    <w:rsid w:val="5923730C"/>
    <w:rsid w:val="59442A7C"/>
    <w:rsid w:val="595474C6"/>
    <w:rsid w:val="596671F9"/>
    <w:rsid w:val="596A0A97"/>
    <w:rsid w:val="596F60AE"/>
    <w:rsid w:val="59723DF0"/>
    <w:rsid w:val="5972442A"/>
    <w:rsid w:val="597A1966"/>
    <w:rsid w:val="598D29D8"/>
    <w:rsid w:val="59BA483A"/>
    <w:rsid w:val="59C10A03"/>
    <w:rsid w:val="59C4289D"/>
    <w:rsid w:val="59DC0454"/>
    <w:rsid w:val="5A11145A"/>
    <w:rsid w:val="5A290952"/>
    <w:rsid w:val="5A341B89"/>
    <w:rsid w:val="5A581238"/>
    <w:rsid w:val="5A715E56"/>
    <w:rsid w:val="5A8111AE"/>
    <w:rsid w:val="5A8738CB"/>
    <w:rsid w:val="5AA54226"/>
    <w:rsid w:val="5AB126F6"/>
    <w:rsid w:val="5AC60C79"/>
    <w:rsid w:val="5AC62645"/>
    <w:rsid w:val="5AC7714F"/>
    <w:rsid w:val="5AD5454F"/>
    <w:rsid w:val="5ADF3707"/>
    <w:rsid w:val="5ADF54B5"/>
    <w:rsid w:val="5B150ED7"/>
    <w:rsid w:val="5B1618A9"/>
    <w:rsid w:val="5B182775"/>
    <w:rsid w:val="5B3C119D"/>
    <w:rsid w:val="5B4D4167"/>
    <w:rsid w:val="5B4D432B"/>
    <w:rsid w:val="5B4F676C"/>
    <w:rsid w:val="5B595267"/>
    <w:rsid w:val="5B645CD0"/>
    <w:rsid w:val="5B834092"/>
    <w:rsid w:val="5B865931"/>
    <w:rsid w:val="5B9067AF"/>
    <w:rsid w:val="5BE014E5"/>
    <w:rsid w:val="5BEE2959"/>
    <w:rsid w:val="5BF136F2"/>
    <w:rsid w:val="5BFE5E0F"/>
    <w:rsid w:val="5C007CAF"/>
    <w:rsid w:val="5C013B6B"/>
    <w:rsid w:val="5C1100E2"/>
    <w:rsid w:val="5C2676AD"/>
    <w:rsid w:val="5C2D4143"/>
    <w:rsid w:val="5C447CC6"/>
    <w:rsid w:val="5C7278E0"/>
    <w:rsid w:val="5C7A7659"/>
    <w:rsid w:val="5CA22C3E"/>
    <w:rsid w:val="5CAC5787"/>
    <w:rsid w:val="5CB7461E"/>
    <w:rsid w:val="5CBD35D4"/>
    <w:rsid w:val="5CC93B2E"/>
    <w:rsid w:val="5CCC7719"/>
    <w:rsid w:val="5CDE1768"/>
    <w:rsid w:val="5CE21EB1"/>
    <w:rsid w:val="5CE768A3"/>
    <w:rsid w:val="5CF04837"/>
    <w:rsid w:val="5D107BA8"/>
    <w:rsid w:val="5D243653"/>
    <w:rsid w:val="5D285C94"/>
    <w:rsid w:val="5D2C18F8"/>
    <w:rsid w:val="5D2D69AC"/>
    <w:rsid w:val="5D301FF8"/>
    <w:rsid w:val="5D393F3C"/>
    <w:rsid w:val="5D3E4715"/>
    <w:rsid w:val="5D4F7C58"/>
    <w:rsid w:val="5D6F2D03"/>
    <w:rsid w:val="5D752101"/>
    <w:rsid w:val="5DA6050C"/>
    <w:rsid w:val="5DA92EA4"/>
    <w:rsid w:val="5DB67247"/>
    <w:rsid w:val="5DBB3FB7"/>
    <w:rsid w:val="5DE84681"/>
    <w:rsid w:val="5DF27501"/>
    <w:rsid w:val="5DF35FE0"/>
    <w:rsid w:val="5DF524E9"/>
    <w:rsid w:val="5E0B1537"/>
    <w:rsid w:val="5E112BFA"/>
    <w:rsid w:val="5E15646E"/>
    <w:rsid w:val="5E1B6804"/>
    <w:rsid w:val="5E23390B"/>
    <w:rsid w:val="5E27164D"/>
    <w:rsid w:val="5E4E3C17"/>
    <w:rsid w:val="5E8117C9"/>
    <w:rsid w:val="5E833C9D"/>
    <w:rsid w:val="5EA031AD"/>
    <w:rsid w:val="5EA35AED"/>
    <w:rsid w:val="5ED864A3"/>
    <w:rsid w:val="5EE906B0"/>
    <w:rsid w:val="5EF01A3F"/>
    <w:rsid w:val="5EF271CB"/>
    <w:rsid w:val="5F08322C"/>
    <w:rsid w:val="5F0B77F7"/>
    <w:rsid w:val="5F3F6522"/>
    <w:rsid w:val="5F4678B1"/>
    <w:rsid w:val="5F4B49EB"/>
    <w:rsid w:val="5F4D6E91"/>
    <w:rsid w:val="5F622CD7"/>
    <w:rsid w:val="5F79574A"/>
    <w:rsid w:val="5F7D7786"/>
    <w:rsid w:val="5F8B4E22"/>
    <w:rsid w:val="5F8D354B"/>
    <w:rsid w:val="5F9644AB"/>
    <w:rsid w:val="5FA91B69"/>
    <w:rsid w:val="5FCF5AF8"/>
    <w:rsid w:val="5FD87175"/>
    <w:rsid w:val="5FDC6467"/>
    <w:rsid w:val="5FDF447A"/>
    <w:rsid w:val="5FF27A39"/>
    <w:rsid w:val="601063BE"/>
    <w:rsid w:val="601479AF"/>
    <w:rsid w:val="60182240"/>
    <w:rsid w:val="6025396A"/>
    <w:rsid w:val="60341DFF"/>
    <w:rsid w:val="604B63D2"/>
    <w:rsid w:val="60566219"/>
    <w:rsid w:val="608F3359"/>
    <w:rsid w:val="60936074"/>
    <w:rsid w:val="60C405D0"/>
    <w:rsid w:val="60E27AAD"/>
    <w:rsid w:val="60EC092C"/>
    <w:rsid w:val="60EF5D26"/>
    <w:rsid w:val="6110461A"/>
    <w:rsid w:val="61273712"/>
    <w:rsid w:val="61292F5E"/>
    <w:rsid w:val="61371195"/>
    <w:rsid w:val="613F6CAD"/>
    <w:rsid w:val="614F2847"/>
    <w:rsid w:val="61572249"/>
    <w:rsid w:val="617858AB"/>
    <w:rsid w:val="61FD05CD"/>
    <w:rsid w:val="62027D78"/>
    <w:rsid w:val="62165C60"/>
    <w:rsid w:val="62382D8C"/>
    <w:rsid w:val="623968A2"/>
    <w:rsid w:val="623D4399"/>
    <w:rsid w:val="623E7B43"/>
    <w:rsid w:val="62504F4D"/>
    <w:rsid w:val="62570027"/>
    <w:rsid w:val="62584A3A"/>
    <w:rsid w:val="626F5E88"/>
    <w:rsid w:val="628E51DF"/>
    <w:rsid w:val="62904183"/>
    <w:rsid w:val="629B43B7"/>
    <w:rsid w:val="62EB67A0"/>
    <w:rsid w:val="62F66015"/>
    <w:rsid w:val="631E5373"/>
    <w:rsid w:val="63275C4B"/>
    <w:rsid w:val="63277C98"/>
    <w:rsid w:val="632919C3"/>
    <w:rsid w:val="63420B80"/>
    <w:rsid w:val="634B5349"/>
    <w:rsid w:val="638C0197"/>
    <w:rsid w:val="639C03E7"/>
    <w:rsid w:val="63B63F59"/>
    <w:rsid w:val="63C601CD"/>
    <w:rsid w:val="63C67F9B"/>
    <w:rsid w:val="63CE0698"/>
    <w:rsid w:val="63EE6769"/>
    <w:rsid w:val="63FA559C"/>
    <w:rsid w:val="63FE4F00"/>
    <w:rsid w:val="640970FF"/>
    <w:rsid w:val="641B7406"/>
    <w:rsid w:val="64243EEB"/>
    <w:rsid w:val="64267CB1"/>
    <w:rsid w:val="64325F13"/>
    <w:rsid w:val="643D5807"/>
    <w:rsid w:val="644A7E43"/>
    <w:rsid w:val="64540689"/>
    <w:rsid w:val="645E744B"/>
    <w:rsid w:val="6461518D"/>
    <w:rsid w:val="646709F5"/>
    <w:rsid w:val="647A1DAB"/>
    <w:rsid w:val="647E7AED"/>
    <w:rsid w:val="648778B4"/>
    <w:rsid w:val="64942E6C"/>
    <w:rsid w:val="649507F4"/>
    <w:rsid w:val="64990483"/>
    <w:rsid w:val="64A21A2D"/>
    <w:rsid w:val="64C2170E"/>
    <w:rsid w:val="64DE60C7"/>
    <w:rsid w:val="64EF09EB"/>
    <w:rsid w:val="65044496"/>
    <w:rsid w:val="651151DE"/>
    <w:rsid w:val="651641C9"/>
    <w:rsid w:val="653A7CD1"/>
    <w:rsid w:val="655F16CC"/>
    <w:rsid w:val="656647EB"/>
    <w:rsid w:val="657A4758"/>
    <w:rsid w:val="65801D68"/>
    <w:rsid w:val="659770B8"/>
    <w:rsid w:val="659E3BD9"/>
    <w:rsid w:val="65A90BD6"/>
    <w:rsid w:val="65B337C6"/>
    <w:rsid w:val="65B80DDC"/>
    <w:rsid w:val="662258F1"/>
    <w:rsid w:val="66372649"/>
    <w:rsid w:val="665A00E6"/>
    <w:rsid w:val="6668013C"/>
    <w:rsid w:val="6672542F"/>
    <w:rsid w:val="667927DD"/>
    <w:rsid w:val="668003CB"/>
    <w:rsid w:val="66837911"/>
    <w:rsid w:val="66886A01"/>
    <w:rsid w:val="668A6DB5"/>
    <w:rsid w:val="66B21D89"/>
    <w:rsid w:val="66BA2932"/>
    <w:rsid w:val="66BE2423"/>
    <w:rsid w:val="66DE4873"/>
    <w:rsid w:val="67034BC6"/>
    <w:rsid w:val="671E3159"/>
    <w:rsid w:val="672F7DD0"/>
    <w:rsid w:val="6730535B"/>
    <w:rsid w:val="674B52E8"/>
    <w:rsid w:val="67506C91"/>
    <w:rsid w:val="67743394"/>
    <w:rsid w:val="678B5C0E"/>
    <w:rsid w:val="67987E26"/>
    <w:rsid w:val="67B04461"/>
    <w:rsid w:val="67BA708E"/>
    <w:rsid w:val="67BF46A4"/>
    <w:rsid w:val="67BF6452"/>
    <w:rsid w:val="67C4289C"/>
    <w:rsid w:val="67CD611A"/>
    <w:rsid w:val="67D0240D"/>
    <w:rsid w:val="67DF6AF4"/>
    <w:rsid w:val="67E53E3A"/>
    <w:rsid w:val="67E660D5"/>
    <w:rsid w:val="67F00651"/>
    <w:rsid w:val="680D7C5D"/>
    <w:rsid w:val="68242759"/>
    <w:rsid w:val="682B39B6"/>
    <w:rsid w:val="68394457"/>
    <w:rsid w:val="6843005F"/>
    <w:rsid w:val="68541290"/>
    <w:rsid w:val="687731D1"/>
    <w:rsid w:val="68882B4A"/>
    <w:rsid w:val="688E1EF6"/>
    <w:rsid w:val="68B2505E"/>
    <w:rsid w:val="68C3482A"/>
    <w:rsid w:val="68CA1553"/>
    <w:rsid w:val="68D40692"/>
    <w:rsid w:val="68DE05C5"/>
    <w:rsid w:val="68E5638C"/>
    <w:rsid w:val="68ED6FEF"/>
    <w:rsid w:val="690F3409"/>
    <w:rsid w:val="69110F2F"/>
    <w:rsid w:val="693A5826"/>
    <w:rsid w:val="69401815"/>
    <w:rsid w:val="695B03FD"/>
    <w:rsid w:val="695C51F6"/>
    <w:rsid w:val="697176A8"/>
    <w:rsid w:val="69717C20"/>
    <w:rsid w:val="697660CB"/>
    <w:rsid w:val="69954C30"/>
    <w:rsid w:val="699B2AC5"/>
    <w:rsid w:val="69A9560C"/>
    <w:rsid w:val="69AE677E"/>
    <w:rsid w:val="69BD7275"/>
    <w:rsid w:val="69BE1770"/>
    <w:rsid w:val="69CE2946"/>
    <w:rsid w:val="69EC54F9"/>
    <w:rsid w:val="69F06D97"/>
    <w:rsid w:val="69F148BD"/>
    <w:rsid w:val="69F34AD9"/>
    <w:rsid w:val="6A024D1C"/>
    <w:rsid w:val="6A0F4C6C"/>
    <w:rsid w:val="6A107439"/>
    <w:rsid w:val="6A1A7BBE"/>
    <w:rsid w:val="6A206572"/>
    <w:rsid w:val="6A294057"/>
    <w:rsid w:val="6A375A1D"/>
    <w:rsid w:val="6A4964A7"/>
    <w:rsid w:val="6A507835"/>
    <w:rsid w:val="6A537326"/>
    <w:rsid w:val="6A5C4EA8"/>
    <w:rsid w:val="6A6C64CE"/>
    <w:rsid w:val="6A790194"/>
    <w:rsid w:val="6A8E0FBE"/>
    <w:rsid w:val="6AA27C52"/>
    <w:rsid w:val="6AAF6C52"/>
    <w:rsid w:val="6AB54047"/>
    <w:rsid w:val="6AE61F48"/>
    <w:rsid w:val="6B044EB8"/>
    <w:rsid w:val="6B15282D"/>
    <w:rsid w:val="6B2B39F9"/>
    <w:rsid w:val="6B347157"/>
    <w:rsid w:val="6B607F4C"/>
    <w:rsid w:val="6B6932A5"/>
    <w:rsid w:val="6B733013"/>
    <w:rsid w:val="6B7439F8"/>
    <w:rsid w:val="6B9D2F4E"/>
    <w:rsid w:val="6BA240C1"/>
    <w:rsid w:val="6BB34520"/>
    <w:rsid w:val="6BB40298"/>
    <w:rsid w:val="6BB55966"/>
    <w:rsid w:val="6BCC7390"/>
    <w:rsid w:val="6BCE3108"/>
    <w:rsid w:val="6BD66460"/>
    <w:rsid w:val="6BDF70C3"/>
    <w:rsid w:val="6BF608B1"/>
    <w:rsid w:val="6C06551F"/>
    <w:rsid w:val="6C240768"/>
    <w:rsid w:val="6C2E4360"/>
    <w:rsid w:val="6C374B6B"/>
    <w:rsid w:val="6C3F5DB4"/>
    <w:rsid w:val="6C586E75"/>
    <w:rsid w:val="6C594BFD"/>
    <w:rsid w:val="6C5B2A71"/>
    <w:rsid w:val="6C627CF4"/>
    <w:rsid w:val="6C727F37"/>
    <w:rsid w:val="6C81627F"/>
    <w:rsid w:val="6C8E0AE9"/>
    <w:rsid w:val="6CA45D41"/>
    <w:rsid w:val="6CB57E24"/>
    <w:rsid w:val="6CBC11B2"/>
    <w:rsid w:val="6CC60283"/>
    <w:rsid w:val="6CCA7D73"/>
    <w:rsid w:val="6CE2758F"/>
    <w:rsid w:val="6CE32BE3"/>
    <w:rsid w:val="6CED6C1F"/>
    <w:rsid w:val="6D091704"/>
    <w:rsid w:val="6D0A3398"/>
    <w:rsid w:val="6D107750"/>
    <w:rsid w:val="6D1E3C1B"/>
    <w:rsid w:val="6D35147C"/>
    <w:rsid w:val="6D377848"/>
    <w:rsid w:val="6D3A7E45"/>
    <w:rsid w:val="6D3C0545"/>
    <w:rsid w:val="6D485E52"/>
    <w:rsid w:val="6D5C2D8C"/>
    <w:rsid w:val="6D7C527D"/>
    <w:rsid w:val="6D7E03E2"/>
    <w:rsid w:val="6D853C9A"/>
    <w:rsid w:val="6D8A7502"/>
    <w:rsid w:val="6D8D2E91"/>
    <w:rsid w:val="6D953DE2"/>
    <w:rsid w:val="6D997745"/>
    <w:rsid w:val="6DAF3872"/>
    <w:rsid w:val="6DB671D7"/>
    <w:rsid w:val="6DBB4AEC"/>
    <w:rsid w:val="6E1C387D"/>
    <w:rsid w:val="6E3F02ED"/>
    <w:rsid w:val="6E480F1D"/>
    <w:rsid w:val="6E4E22DE"/>
    <w:rsid w:val="6E66587A"/>
    <w:rsid w:val="6E754EAA"/>
    <w:rsid w:val="6E82642B"/>
    <w:rsid w:val="6E867825"/>
    <w:rsid w:val="6E925CC1"/>
    <w:rsid w:val="6EA14B04"/>
    <w:rsid w:val="6EAB3BD4"/>
    <w:rsid w:val="6EDA3A91"/>
    <w:rsid w:val="6EE45C9F"/>
    <w:rsid w:val="6EF530A1"/>
    <w:rsid w:val="6F0926A9"/>
    <w:rsid w:val="6F0F4773"/>
    <w:rsid w:val="6F1928EC"/>
    <w:rsid w:val="6F241291"/>
    <w:rsid w:val="6F2C2531"/>
    <w:rsid w:val="6F2D7ACA"/>
    <w:rsid w:val="6F317299"/>
    <w:rsid w:val="6F414BF8"/>
    <w:rsid w:val="6F451933"/>
    <w:rsid w:val="6F4D6A39"/>
    <w:rsid w:val="6F5A2F04"/>
    <w:rsid w:val="6F5B73A8"/>
    <w:rsid w:val="6F663314"/>
    <w:rsid w:val="6F751973"/>
    <w:rsid w:val="6F885CC3"/>
    <w:rsid w:val="6FA142C9"/>
    <w:rsid w:val="6FA3612A"/>
    <w:rsid w:val="6FAF7D9B"/>
    <w:rsid w:val="6FBC6A40"/>
    <w:rsid w:val="6FC7059A"/>
    <w:rsid w:val="6FE65008"/>
    <w:rsid w:val="6FF869A5"/>
    <w:rsid w:val="700A492A"/>
    <w:rsid w:val="70172CD7"/>
    <w:rsid w:val="70425E72"/>
    <w:rsid w:val="70443189"/>
    <w:rsid w:val="705A140E"/>
    <w:rsid w:val="70634ED0"/>
    <w:rsid w:val="70787AE6"/>
    <w:rsid w:val="709C06E8"/>
    <w:rsid w:val="70A66401"/>
    <w:rsid w:val="70C25205"/>
    <w:rsid w:val="70E21403"/>
    <w:rsid w:val="70E21D15"/>
    <w:rsid w:val="70FA499F"/>
    <w:rsid w:val="70FC4273"/>
    <w:rsid w:val="71184E25"/>
    <w:rsid w:val="712E0855"/>
    <w:rsid w:val="715053C6"/>
    <w:rsid w:val="71546156"/>
    <w:rsid w:val="716329E0"/>
    <w:rsid w:val="717B788E"/>
    <w:rsid w:val="71810C1C"/>
    <w:rsid w:val="71CF69E7"/>
    <w:rsid w:val="71EF202A"/>
    <w:rsid w:val="71F63D02"/>
    <w:rsid w:val="72203F91"/>
    <w:rsid w:val="72227D09"/>
    <w:rsid w:val="723762B5"/>
    <w:rsid w:val="72435ED2"/>
    <w:rsid w:val="724539F8"/>
    <w:rsid w:val="724E4FA2"/>
    <w:rsid w:val="72634A3D"/>
    <w:rsid w:val="7265409A"/>
    <w:rsid w:val="726C71D7"/>
    <w:rsid w:val="72734A0C"/>
    <w:rsid w:val="7278201F"/>
    <w:rsid w:val="727853A9"/>
    <w:rsid w:val="72793DC9"/>
    <w:rsid w:val="72A9667D"/>
    <w:rsid w:val="72C62D8B"/>
    <w:rsid w:val="72C9287B"/>
    <w:rsid w:val="72E74AAF"/>
    <w:rsid w:val="72F0392D"/>
    <w:rsid w:val="731C6E4F"/>
    <w:rsid w:val="73267CCD"/>
    <w:rsid w:val="732C5B6B"/>
    <w:rsid w:val="73487C44"/>
    <w:rsid w:val="73497518"/>
    <w:rsid w:val="7358775B"/>
    <w:rsid w:val="735C36AA"/>
    <w:rsid w:val="7366659C"/>
    <w:rsid w:val="73780430"/>
    <w:rsid w:val="73835B5A"/>
    <w:rsid w:val="73974727"/>
    <w:rsid w:val="73A86934"/>
    <w:rsid w:val="73DE2356"/>
    <w:rsid w:val="73E6120B"/>
    <w:rsid w:val="73E62FB9"/>
    <w:rsid w:val="73F2195D"/>
    <w:rsid w:val="73FE71DF"/>
    <w:rsid w:val="74035919"/>
    <w:rsid w:val="74253AE1"/>
    <w:rsid w:val="74262FC9"/>
    <w:rsid w:val="74426B6B"/>
    <w:rsid w:val="74516EE3"/>
    <w:rsid w:val="74736F42"/>
    <w:rsid w:val="74760DD4"/>
    <w:rsid w:val="748443A7"/>
    <w:rsid w:val="7487479C"/>
    <w:rsid w:val="748C590E"/>
    <w:rsid w:val="749B4BD8"/>
    <w:rsid w:val="74A7099A"/>
    <w:rsid w:val="74C257D4"/>
    <w:rsid w:val="74C3581E"/>
    <w:rsid w:val="74D6127F"/>
    <w:rsid w:val="74D71831"/>
    <w:rsid w:val="74E97204"/>
    <w:rsid w:val="750C03A5"/>
    <w:rsid w:val="751E6A20"/>
    <w:rsid w:val="75306BE1"/>
    <w:rsid w:val="75385A96"/>
    <w:rsid w:val="753D151B"/>
    <w:rsid w:val="75570CD0"/>
    <w:rsid w:val="75931266"/>
    <w:rsid w:val="75A247AC"/>
    <w:rsid w:val="75DF4BF8"/>
    <w:rsid w:val="75E25897"/>
    <w:rsid w:val="75F53723"/>
    <w:rsid w:val="75FB0F9D"/>
    <w:rsid w:val="75FB71EF"/>
    <w:rsid w:val="760360A4"/>
    <w:rsid w:val="7608190C"/>
    <w:rsid w:val="760E23D7"/>
    <w:rsid w:val="761C209B"/>
    <w:rsid w:val="763149BF"/>
    <w:rsid w:val="764364A0"/>
    <w:rsid w:val="76472434"/>
    <w:rsid w:val="765B5EE0"/>
    <w:rsid w:val="766C1E9B"/>
    <w:rsid w:val="76764AC8"/>
    <w:rsid w:val="76A30685"/>
    <w:rsid w:val="76A55170"/>
    <w:rsid w:val="76A553AD"/>
    <w:rsid w:val="76B63116"/>
    <w:rsid w:val="76C07AF1"/>
    <w:rsid w:val="76C5258F"/>
    <w:rsid w:val="76DD4B47"/>
    <w:rsid w:val="76E61C4D"/>
    <w:rsid w:val="76E732D0"/>
    <w:rsid w:val="76E804FA"/>
    <w:rsid w:val="770B3462"/>
    <w:rsid w:val="771F2A69"/>
    <w:rsid w:val="772047C8"/>
    <w:rsid w:val="772F05CC"/>
    <w:rsid w:val="774F30EB"/>
    <w:rsid w:val="77797351"/>
    <w:rsid w:val="777B26B9"/>
    <w:rsid w:val="777D1E86"/>
    <w:rsid w:val="778B6351"/>
    <w:rsid w:val="77905715"/>
    <w:rsid w:val="779976A9"/>
    <w:rsid w:val="77B75398"/>
    <w:rsid w:val="77BA7B83"/>
    <w:rsid w:val="77BE04D4"/>
    <w:rsid w:val="77D32C3F"/>
    <w:rsid w:val="77D34094"/>
    <w:rsid w:val="77DE2925"/>
    <w:rsid w:val="78107E3E"/>
    <w:rsid w:val="781225CE"/>
    <w:rsid w:val="782347DB"/>
    <w:rsid w:val="78490D5D"/>
    <w:rsid w:val="784A7A67"/>
    <w:rsid w:val="784B788E"/>
    <w:rsid w:val="7860333A"/>
    <w:rsid w:val="787D38CA"/>
    <w:rsid w:val="78827754"/>
    <w:rsid w:val="7883171E"/>
    <w:rsid w:val="78931961"/>
    <w:rsid w:val="789B6A68"/>
    <w:rsid w:val="78A265FE"/>
    <w:rsid w:val="78E51A91"/>
    <w:rsid w:val="78F63C9E"/>
    <w:rsid w:val="79134850"/>
    <w:rsid w:val="791440F5"/>
    <w:rsid w:val="79267ACB"/>
    <w:rsid w:val="794C38BE"/>
    <w:rsid w:val="795762E3"/>
    <w:rsid w:val="797C23F5"/>
    <w:rsid w:val="79930771"/>
    <w:rsid w:val="79C264D4"/>
    <w:rsid w:val="79C3002E"/>
    <w:rsid w:val="79C45B4A"/>
    <w:rsid w:val="79D90ACD"/>
    <w:rsid w:val="79E955B1"/>
    <w:rsid w:val="79F857F4"/>
    <w:rsid w:val="7A1B7E60"/>
    <w:rsid w:val="7A2605B3"/>
    <w:rsid w:val="7A2D36EF"/>
    <w:rsid w:val="7A4C47C0"/>
    <w:rsid w:val="7A53031B"/>
    <w:rsid w:val="7A682979"/>
    <w:rsid w:val="7A76320F"/>
    <w:rsid w:val="7A8A28F0"/>
    <w:rsid w:val="7A951295"/>
    <w:rsid w:val="7A9C2623"/>
    <w:rsid w:val="7AA00365"/>
    <w:rsid w:val="7AB11D10"/>
    <w:rsid w:val="7AB636E5"/>
    <w:rsid w:val="7ABB200E"/>
    <w:rsid w:val="7AC34054"/>
    <w:rsid w:val="7ACB33E8"/>
    <w:rsid w:val="7AEC5D56"/>
    <w:rsid w:val="7AF60B93"/>
    <w:rsid w:val="7AFB1FB2"/>
    <w:rsid w:val="7B1117C8"/>
    <w:rsid w:val="7B142BAD"/>
    <w:rsid w:val="7B4B6523"/>
    <w:rsid w:val="7B5E49AB"/>
    <w:rsid w:val="7B973637"/>
    <w:rsid w:val="7BA7772C"/>
    <w:rsid w:val="7BC31525"/>
    <w:rsid w:val="7BD302C6"/>
    <w:rsid w:val="7BDA78A7"/>
    <w:rsid w:val="7BDC1277"/>
    <w:rsid w:val="7BF22E42"/>
    <w:rsid w:val="7BF73FB5"/>
    <w:rsid w:val="7C016BE2"/>
    <w:rsid w:val="7C0A6273"/>
    <w:rsid w:val="7C8415C1"/>
    <w:rsid w:val="7C8617DD"/>
    <w:rsid w:val="7C885555"/>
    <w:rsid w:val="7C8D66C7"/>
    <w:rsid w:val="7C975798"/>
    <w:rsid w:val="7C9F63FA"/>
    <w:rsid w:val="7CA06EA3"/>
    <w:rsid w:val="7CB93960"/>
    <w:rsid w:val="7CBD6589"/>
    <w:rsid w:val="7CBE4AD3"/>
    <w:rsid w:val="7CC77E2B"/>
    <w:rsid w:val="7CD30A54"/>
    <w:rsid w:val="7CD97B5E"/>
    <w:rsid w:val="7CDB0B0D"/>
    <w:rsid w:val="7CF31088"/>
    <w:rsid w:val="7D061B9B"/>
    <w:rsid w:val="7D11554A"/>
    <w:rsid w:val="7D3905FD"/>
    <w:rsid w:val="7D484972"/>
    <w:rsid w:val="7D4F18A7"/>
    <w:rsid w:val="7D5A0C9F"/>
    <w:rsid w:val="7D5C7423"/>
    <w:rsid w:val="7D5D42EC"/>
    <w:rsid w:val="7D6C452F"/>
    <w:rsid w:val="7D6E474B"/>
    <w:rsid w:val="7D7B29C4"/>
    <w:rsid w:val="7D7C001B"/>
    <w:rsid w:val="7D7F24B4"/>
    <w:rsid w:val="7D807FDA"/>
    <w:rsid w:val="7D847ACA"/>
    <w:rsid w:val="7D8A1F16"/>
    <w:rsid w:val="7D90318E"/>
    <w:rsid w:val="7D983576"/>
    <w:rsid w:val="7DAB14FB"/>
    <w:rsid w:val="7DB74C14"/>
    <w:rsid w:val="7DC43C04"/>
    <w:rsid w:val="7DD10836"/>
    <w:rsid w:val="7E017304"/>
    <w:rsid w:val="7E083648"/>
    <w:rsid w:val="7E132BFC"/>
    <w:rsid w:val="7E153231"/>
    <w:rsid w:val="7E164407"/>
    <w:rsid w:val="7E690FD7"/>
    <w:rsid w:val="7E775881"/>
    <w:rsid w:val="7E867872"/>
    <w:rsid w:val="7E9E696A"/>
    <w:rsid w:val="7EAC530D"/>
    <w:rsid w:val="7ED700CE"/>
    <w:rsid w:val="7EDC3936"/>
    <w:rsid w:val="7EE06F82"/>
    <w:rsid w:val="7EFD00E5"/>
    <w:rsid w:val="7EFE7F47"/>
    <w:rsid w:val="7F021DFB"/>
    <w:rsid w:val="7F086FA4"/>
    <w:rsid w:val="7F2265BE"/>
    <w:rsid w:val="7F345520"/>
    <w:rsid w:val="7F3E639F"/>
    <w:rsid w:val="7F40356B"/>
    <w:rsid w:val="7F724755"/>
    <w:rsid w:val="7F7E5BAF"/>
    <w:rsid w:val="7FAF4BA7"/>
    <w:rsid w:val="7FBF128D"/>
    <w:rsid w:val="7FD50AB1"/>
    <w:rsid w:val="7FDD1714"/>
    <w:rsid w:val="7FF8479F"/>
    <w:rsid w:val="7FFD1DB6"/>
  </w:rsids>
  <w:docVars>
    <w:docVar w:name="commondata" w:val="eyJoZGlkIjoiYTJmNDNhNDUzMjgzOGJiMjNlNWNhODNjNGVlNDM5ZT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en-US" w:bidi="ar-SA"/>
    </w:rPr>
  </w:style>
  <w:style w:type="paragraph" w:styleId="Heading1">
    <w:name w:val="heading 1"/>
    <w:basedOn w:val="Normal"/>
    <w:next w:val="Normal"/>
    <w:autoRedefine/>
    <w:qFormat/>
    <w:pPr>
      <w:spacing w:beforeAutospacing="1" w:afterAutospacing="1"/>
      <w:outlineLvl w:val="0"/>
    </w:pPr>
    <w:rPr>
      <w:rFonts w:ascii="宋体" w:eastAsia="宋体" w:hAnsi="宋体" w:cs="Times New Roman" w:hint="eastAsia"/>
      <w:b/>
      <w:bCs/>
      <w:kern w:val="44"/>
      <w:sz w:val="48"/>
      <w:szCs w:val="48"/>
      <w:lang w:eastAsia="zh-CN"/>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autoRedefine/>
    <w:semiHidden/>
    <w:qFormat/>
    <w:rPr>
      <w:rFonts w:ascii="黑体" w:eastAsia="黑体" w:hAnsi="黑体" w:cs="黑体"/>
      <w:sz w:val="28"/>
      <w:szCs w:val="28"/>
    </w:rPr>
  </w:style>
  <w:style w:type="paragraph" w:styleId="PlainText">
    <w:name w:val="Plain Text"/>
    <w:basedOn w:val="Normal"/>
    <w:autoRedefine/>
    <w:qFormat/>
    <w:rPr>
      <w:rFonts w:ascii="宋体" w:hAnsi="Courier New" w:cs="Courier New"/>
    </w:rPr>
  </w:style>
  <w:style w:type="paragraph" w:styleId="Footer">
    <w:name w:val="footer"/>
    <w:basedOn w:val="Normal"/>
    <w:autoRedefine/>
    <w:qFormat/>
    <w:pPr>
      <w:tabs>
        <w:tab w:val="center" w:pos="4153"/>
        <w:tab w:val="right" w:pos="8306"/>
      </w:tabs>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NormalWeb">
    <w:name w:val="Normal (Web)"/>
    <w:basedOn w:val="Normal"/>
    <w:autoRedefine/>
    <w:qFormat/>
    <w:pPr>
      <w:spacing w:beforeAutospacing="1" w:afterAutospacing="1"/>
    </w:pPr>
    <w:rPr>
      <w:rFonts w:cs="Times New Roman"/>
      <w:sz w:val="24"/>
      <w:lang w:eastAsia="zh-CN"/>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qFormat/>
    <w:rPr>
      <w:b/>
    </w:rPr>
  </w:style>
  <w:style w:type="table" w:customStyle="1" w:styleId="TableNormal0">
    <w:name w:val="Table Normal_0"/>
    <w:autoRedefine/>
    <w:semiHidden/>
    <w:unhideWhenUsed/>
    <w:qFormat/>
    <w:tblPr>
      <w:tblCellMar>
        <w:top w:w="0" w:type="dxa"/>
        <w:left w:w="0" w:type="dxa"/>
        <w:bottom w:w="0" w:type="dxa"/>
        <w:right w:w="0" w:type="dxa"/>
      </w:tblCellMar>
    </w:tblPr>
  </w:style>
  <w:style w:type="paragraph" w:customStyle="1" w:styleId="TableText">
    <w:name w:val="Table Text"/>
    <w:basedOn w:val="Normal"/>
    <w:autoRedefine/>
    <w:semiHidden/>
    <w:qFormat/>
    <w:rPr>
      <w:rFonts w:ascii="仿宋" w:eastAsia="仿宋" w:hAnsi="仿宋" w:cs="仿宋"/>
      <w:sz w:val="20"/>
      <w:szCs w:val="20"/>
    </w:rPr>
  </w:style>
  <w:style w:type="paragraph" w:customStyle="1" w:styleId="a">
    <w:name w:val="石墨文档正文"/>
    <w:autoRedefine/>
    <w:qFormat/>
    <w:rPr>
      <w:rFonts w:ascii="微软雅黑" w:eastAsia="微软雅黑" w:hAnsi="微软雅黑" w:cs="微软雅黑"/>
      <w:sz w:val="22"/>
      <w:szCs w:val="22"/>
      <w:lang w:val="en-US" w:eastAsia="zh-CN" w:bidi="ar-SA"/>
    </w:rPr>
  </w:style>
  <w:style w:type="table" w:customStyle="1" w:styleId="TableGrid0">
    <w:name w:val="Table Grid_0"/>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yperlink" Target="https://d.book118.com/168041054065006027" TargetMode="Externa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3010</Words>
  <Characters>17158</Characters>
  <Application>Microsoft Office Word</Application>
  <DocSecurity>0</DocSecurity>
  <Lines>142</Lines>
  <Paragraphs>40</Paragraphs>
  <ScaleCrop>false</ScaleCrop>
  <Company/>
  <LinksUpToDate>false</LinksUpToDate>
  <CharactersWithSpaces>20128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dc:creator>
  <cp:lastModifiedBy>joe</cp:lastModifiedBy>
  <cp:revision>2</cp:revision>
  <cp:lastPrinted>2023-12-07T02:32:00Z</cp:lastPrinted>
  <dcterms:created xsi:type="dcterms:W3CDTF">2023-07-05T12:43:00Z</dcterms:created>
  <dcterms:modified xsi:type="dcterms:W3CDTF">2024-01-19T07:58:13Z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2023-07-05T12:43:27Z</vt:filetime>
  </property>
  <property fmtid="{D5CDD505-2E9C-101B-9397-08002B2CF9AE}" pid="3" name="CRO">
    <vt:lpwstr>wqlLaW5nc29mdCBQREYgdG8gV1BTIDkw</vt:lpwstr>
  </property>
  <property fmtid="{D5CDD505-2E9C-101B-9397-08002B2CF9AE}" pid="4" name="ICV">
    <vt:lpwstr>AA09113B42B44A26A9A5A6EA37A3FF68_13</vt:lpwstr>
  </property>
  <property fmtid="{D5CDD505-2E9C-101B-9397-08002B2CF9AE}" pid="5" name="KSOProductBuildVer">
    <vt:lpwstr>2052-12.1.0.16250</vt:lpwstr>
  </property>
</Properties>
</file>