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15"/>
        </w:rPr>
      </w:pPr>
    </w:p>
    <w:p>
      <w:pPr>
        <w:spacing w:before="6"/>
        <w:ind w:left="490" w:right="582" w:firstLine="0"/>
        <w:jc w:val="center"/>
        <w:rPr>
          <w:b/>
          <w:sz w:val="66"/>
        </w:rPr>
      </w:pPr>
      <w:r>
        <w:rPr>
          <w:b/>
          <w:sz w:val="66"/>
        </w:rPr>
        <w:t>某某县某某化工有限公司</w:t>
      </w:r>
    </w:p>
    <w:p>
      <w:pPr>
        <w:pStyle w:val="BodyText"/>
        <w:spacing w:before="4"/>
        <w:rPr>
          <w:b/>
          <w:sz w:val="91"/>
        </w:rPr>
      </w:pPr>
    </w:p>
    <w:p>
      <w:pPr>
        <w:pStyle w:val="Title"/>
      </w:pPr>
      <w:r>
        <w:t>企业突发环境事件风险评估报告</w:t>
      </w:r>
    </w:p>
    <w:p>
      <w:pPr>
        <w:pStyle w:val="BodyText"/>
        <w:rPr>
          <w:b/>
          <w:sz w:val="78"/>
        </w:rPr>
      </w:pPr>
    </w:p>
    <w:p>
      <w:pPr>
        <w:pStyle w:val="BodyText"/>
        <w:rPr>
          <w:b/>
          <w:sz w:val="78"/>
        </w:rPr>
      </w:pPr>
    </w:p>
    <w:p>
      <w:pPr>
        <w:pStyle w:val="BodyText"/>
        <w:rPr>
          <w:b/>
          <w:sz w:val="78"/>
        </w:rPr>
      </w:pPr>
    </w:p>
    <w:p>
      <w:pPr>
        <w:pStyle w:val="BodyText"/>
        <w:rPr>
          <w:b/>
          <w:sz w:val="78"/>
        </w:rPr>
      </w:pPr>
    </w:p>
    <w:p>
      <w:pPr>
        <w:pStyle w:val="BodyText"/>
        <w:rPr>
          <w:b/>
          <w:sz w:val="78"/>
        </w:rPr>
      </w:pPr>
    </w:p>
    <w:p>
      <w:pPr>
        <w:pStyle w:val="BodyText"/>
        <w:rPr>
          <w:b/>
          <w:sz w:val="78"/>
        </w:rPr>
      </w:pPr>
    </w:p>
    <w:p>
      <w:pPr>
        <w:pStyle w:val="BodyText"/>
        <w:rPr>
          <w:b/>
          <w:sz w:val="78"/>
        </w:rPr>
      </w:pPr>
    </w:p>
    <w:p>
      <w:pPr>
        <w:pStyle w:val="BodyText"/>
        <w:rPr>
          <w:b/>
          <w:sz w:val="78"/>
        </w:rPr>
      </w:pPr>
    </w:p>
    <w:p>
      <w:pPr>
        <w:pStyle w:val="BodyText"/>
        <w:rPr>
          <w:b/>
          <w:sz w:val="78"/>
        </w:rPr>
      </w:pPr>
    </w:p>
    <w:p>
      <w:pPr>
        <w:pStyle w:val="BodyText"/>
        <w:rPr>
          <w:b/>
          <w:sz w:val="78"/>
        </w:rPr>
      </w:pPr>
    </w:p>
    <w:p>
      <w:pPr>
        <w:pStyle w:val="BodyText"/>
        <w:spacing w:before="8"/>
        <w:rPr>
          <w:b/>
          <w:sz w:val="105"/>
        </w:rPr>
      </w:pPr>
    </w:p>
    <w:p>
      <w:pPr>
        <w:spacing w:before="0" w:line="340" w:lineRule="auto"/>
        <w:ind w:left="4427" w:right="4610" w:firstLine="100"/>
        <w:jc w:val="center"/>
        <w:rPr>
          <w:b/>
          <w:sz w:val="54"/>
        </w:rPr>
      </w:pPr>
      <w:r>
        <w:rPr>
          <w:b/>
          <w:w w:val="95"/>
          <w:sz w:val="54"/>
        </w:rPr>
        <w:t>某某县某某化工有限公司</w:t>
      </w:r>
      <w:r>
        <w:rPr>
          <w:b/>
          <w:sz w:val="54"/>
        </w:rPr>
        <w:t>二〇一五年十一月十七日</w:t>
      </w:r>
    </w:p>
    <w:p>
      <w:pPr>
        <w:spacing w:after="0" w:line="340" w:lineRule="auto"/>
        <w:jc w:val="center"/>
        <w:rPr>
          <w:sz w:val="54"/>
        </w:rPr>
        <w:sectPr>
          <w:headerReference w:type="default" r:id="rId4"/>
          <w:footerReference w:type="default" r:id="rId5"/>
          <w:type w:val="continuous"/>
          <w:pgSz w:w="17860" w:h="25260"/>
          <w:pgMar w:top="1380" w:right="1360" w:bottom="2020" w:left="1420" w:header="1083" w:footer="1826"/>
          <w:cols w:space="708"/>
        </w:sectPr>
      </w:pPr>
    </w:p>
    <w:p>
      <w:pPr>
        <w:pStyle w:val="BodyText"/>
        <w:rPr>
          <w:b/>
          <w:sz w:val="20"/>
        </w:rPr>
      </w:pPr>
    </w:p>
    <w:p>
      <w:pPr>
        <w:pStyle w:val="BodyText"/>
        <w:spacing w:before="7"/>
        <w:rPr>
          <w:b/>
          <w:sz w:val="20"/>
        </w:rPr>
      </w:pPr>
    </w:p>
    <w:p>
      <w:pPr>
        <w:pStyle w:val="Heading1"/>
        <w:ind w:left="490" w:right="557" w:firstLine="0"/>
        <w:jc w:val="center"/>
      </w:pPr>
      <w:r>
        <w:t>目 录</w:t>
      </w:r>
    </w:p>
    <w:sdt>
      <w:sdtPr>
        <w:id w:val="1283493117"/>
        <w:docPartObj>
          <w:docPartGallery w:val="Table of Contents"/>
          <w:docPartUnique/>
        </w:docPartObj>
      </w:sdtPr>
      <w:sdtContent>
        <w:p>
          <w:pPr>
            <w:pStyle w:val="TOC2"/>
            <w:numPr>
              <w:ilvl w:val="0"/>
              <w:numId w:val="32"/>
            </w:numPr>
            <w:tabs>
              <w:tab w:val="left" w:pos="990"/>
              <w:tab w:val="left" w:leader="dot" w:pos="14142"/>
            </w:tabs>
            <w:spacing w:before="779" w:after="0" w:line="240" w:lineRule="auto"/>
            <w:ind w:left="989" w:right="0" w:hanging="282"/>
            <w:jc w:val="left"/>
            <w:rPr>
              <w:b w:val="0"/>
              <w:i w:val="0"/>
              <w:sz w:val="31"/>
            </w:rPr>
          </w:pPr>
          <w:hyperlink w:anchor="_TOC_250030" w:history="1">
            <w:r>
              <w:rPr>
                <w:i w:val="0"/>
                <w:sz w:val="36"/>
              </w:rPr>
              <w:t>前言</w:t>
              <w:tab/>
            </w:r>
            <w:r>
              <w:rPr>
                <w:b w:val="0"/>
                <w:i w:val="0"/>
                <w:position w:val="-3"/>
                <w:sz w:val="31"/>
              </w:rPr>
              <w:t>1</w:t>
            </w:r>
          </w:hyperlink>
        </w:p>
        <w:p>
          <w:pPr>
            <w:pStyle w:val="TOC2"/>
            <w:numPr>
              <w:ilvl w:val="0"/>
              <w:numId w:val="32"/>
            </w:numPr>
            <w:tabs>
              <w:tab w:val="left" w:pos="990"/>
              <w:tab w:val="left" w:leader="dot" w:pos="14142"/>
            </w:tabs>
            <w:spacing w:before="0" w:after="0" w:line="487" w:lineRule="exact"/>
            <w:ind w:left="989" w:right="0" w:hanging="282"/>
            <w:jc w:val="left"/>
            <w:rPr>
              <w:b w:val="0"/>
              <w:i w:val="0"/>
              <w:sz w:val="31"/>
            </w:rPr>
          </w:pPr>
          <w:hyperlink w:anchor="_TOC_250029" w:history="1">
            <w:r>
              <w:rPr>
                <w:i w:val="0"/>
                <w:sz w:val="36"/>
              </w:rPr>
              <w:t>总则</w:t>
              <w:tab/>
            </w:r>
            <w:r>
              <w:rPr>
                <w:b w:val="0"/>
                <w:i w:val="0"/>
                <w:position w:val="-3"/>
                <w:sz w:val="31"/>
              </w:rPr>
              <w:t>2</w:t>
            </w:r>
          </w:hyperlink>
        </w:p>
        <w:p>
          <w:pPr>
            <w:pStyle w:val="TOC3"/>
            <w:numPr>
              <w:ilvl w:val="1"/>
              <w:numId w:val="32"/>
            </w:numPr>
            <w:tabs>
              <w:tab w:val="left" w:pos="1990"/>
              <w:tab w:val="left" w:leader="dot" w:pos="14142"/>
            </w:tabs>
            <w:spacing w:before="5" w:after="0" w:line="240" w:lineRule="auto"/>
            <w:ind w:left="1989" w:right="0" w:hanging="652"/>
            <w:jc w:val="left"/>
            <w:rPr>
              <w:sz w:val="31"/>
            </w:rPr>
          </w:pPr>
          <w:hyperlink w:anchor="_TOC_250028" w:history="1">
            <w:r>
              <w:t>编制原则</w:t>
              <w:tab/>
            </w:r>
            <w:r>
              <w:rPr>
                <w:position w:val="-3"/>
                <w:sz w:val="31"/>
              </w:rPr>
              <w:t>2</w:t>
            </w:r>
          </w:hyperlink>
        </w:p>
        <w:p>
          <w:pPr>
            <w:pStyle w:val="TOC3"/>
            <w:numPr>
              <w:ilvl w:val="1"/>
              <w:numId w:val="32"/>
            </w:numPr>
            <w:tabs>
              <w:tab w:val="left" w:pos="1990"/>
              <w:tab w:val="left" w:leader="dot" w:pos="14142"/>
            </w:tabs>
            <w:spacing w:before="0" w:after="0" w:line="487" w:lineRule="exact"/>
            <w:ind w:left="1989" w:right="0" w:hanging="652"/>
            <w:jc w:val="left"/>
            <w:rPr>
              <w:sz w:val="31"/>
            </w:rPr>
          </w:pPr>
          <w:hyperlink w:anchor="_TOC_250027" w:history="1">
            <w:r>
              <w:t>编制依据</w:t>
              <w:tab/>
            </w:r>
            <w:r>
              <w:rPr>
                <w:position w:val="-3"/>
                <w:sz w:val="31"/>
              </w:rPr>
              <w:t>2</w:t>
            </w:r>
          </w:hyperlink>
        </w:p>
        <w:p>
          <w:pPr>
            <w:pStyle w:val="TOC3"/>
            <w:numPr>
              <w:ilvl w:val="1"/>
              <w:numId w:val="32"/>
            </w:numPr>
            <w:tabs>
              <w:tab w:val="left" w:pos="1990"/>
              <w:tab w:val="left" w:leader="dot" w:pos="14142"/>
            </w:tabs>
            <w:spacing w:before="3" w:after="0" w:line="487" w:lineRule="exact"/>
            <w:ind w:left="1989" w:right="0" w:hanging="652"/>
            <w:jc w:val="left"/>
            <w:rPr>
              <w:sz w:val="31"/>
            </w:rPr>
          </w:pPr>
          <w:hyperlink w:anchor="_TOC_250026" w:history="1">
            <w:r>
              <w:t>评估目的与评估重点</w:t>
              <w:tab/>
            </w:r>
            <w:r>
              <w:rPr>
                <w:position w:val="-3"/>
                <w:sz w:val="31"/>
              </w:rPr>
              <w:t>5</w:t>
            </w:r>
          </w:hyperlink>
        </w:p>
        <w:p>
          <w:pPr>
            <w:pStyle w:val="TOC3"/>
            <w:numPr>
              <w:ilvl w:val="1"/>
              <w:numId w:val="32"/>
            </w:numPr>
            <w:tabs>
              <w:tab w:val="left" w:pos="1990"/>
              <w:tab w:val="left" w:leader="dot" w:pos="14142"/>
            </w:tabs>
            <w:spacing w:before="0" w:after="0" w:line="487" w:lineRule="exact"/>
            <w:ind w:left="1989" w:right="0" w:hanging="652"/>
            <w:jc w:val="left"/>
            <w:rPr>
              <w:sz w:val="31"/>
            </w:rPr>
          </w:pPr>
          <w:hyperlink w:anchor="_TOC_250025" w:history="1">
            <w:r>
              <w:t>企业突发环境事件评估程序</w:t>
              <w:tab/>
            </w:r>
            <w:r>
              <w:rPr>
                <w:position w:val="-3"/>
                <w:sz w:val="31"/>
              </w:rPr>
              <w:t>6</w:t>
            </w:r>
          </w:hyperlink>
        </w:p>
        <w:p>
          <w:pPr>
            <w:pStyle w:val="TOC1"/>
            <w:numPr>
              <w:ilvl w:val="0"/>
              <w:numId w:val="32"/>
            </w:numPr>
            <w:tabs>
              <w:tab w:val="left" w:pos="990"/>
              <w:tab w:val="left" w:leader="dot" w:pos="14142"/>
            </w:tabs>
            <w:spacing w:before="5" w:after="0" w:line="240" w:lineRule="auto"/>
            <w:ind w:left="989" w:right="0" w:hanging="282"/>
            <w:jc w:val="left"/>
            <w:rPr>
              <w:b w:val="0"/>
              <w:sz w:val="31"/>
            </w:rPr>
          </w:pPr>
          <w:hyperlink w:anchor="_TOC_250024" w:history="1">
            <w:r>
              <w:t>资料准备与环境风险识别</w:t>
              <w:tab/>
            </w:r>
            <w:r>
              <w:rPr>
                <w:b w:val="0"/>
                <w:position w:val="-3"/>
                <w:sz w:val="31"/>
              </w:rPr>
              <w:t>7</w:t>
            </w:r>
          </w:hyperlink>
        </w:p>
        <w:p>
          <w:pPr>
            <w:pStyle w:val="TOC3"/>
            <w:numPr>
              <w:ilvl w:val="1"/>
              <w:numId w:val="32"/>
            </w:numPr>
            <w:tabs>
              <w:tab w:val="left" w:pos="1990"/>
              <w:tab w:val="left" w:leader="dot" w:pos="14142"/>
            </w:tabs>
            <w:spacing w:before="0" w:after="0" w:line="487" w:lineRule="exact"/>
            <w:ind w:left="1989" w:right="0" w:hanging="652"/>
            <w:jc w:val="left"/>
            <w:rPr>
              <w:sz w:val="31"/>
            </w:rPr>
          </w:pPr>
          <w:r>
            <w:t>企业概况</w:t>
            <w:tab/>
          </w:r>
          <w:r>
            <w:rPr>
              <w:position w:val="-3"/>
              <w:sz w:val="31"/>
            </w:rPr>
            <w:t>7</w:t>
          </w:r>
        </w:p>
        <w:p>
          <w:pPr>
            <w:pStyle w:val="TOC3"/>
            <w:numPr>
              <w:ilvl w:val="1"/>
              <w:numId w:val="32"/>
            </w:numPr>
            <w:tabs>
              <w:tab w:val="left" w:pos="1990"/>
              <w:tab w:val="left" w:leader="dot" w:pos="13983"/>
            </w:tabs>
            <w:spacing w:before="6" w:after="0" w:line="240" w:lineRule="auto"/>
            <w:ind w:left="1989" w:right="0" w:hanging="652"/>
            <w:jc w:val="left"/>
            <w:rPr>
              <w:sz w:val="31"/>
            </w:rPr>
          </w:pPr>
          <w:hyperlink w:anchor="_TOC_250023" w:history="1">
            <w:r>
              <w:t>企业周边环境风险受体情况</w:t>
              <w:tab/>
            </w:r>
            <w:r>
              <w:rPr>
                <w:position w:val="-3"/>
                <w:sz w:val="31"/>
              </w:rPr>
              <w:t>14</w:t>
            </w:r>
          </w:hyperlink>
        </w:p>
        <w:p>
          <w:pPr>
            <w:pStyle w:val="TOC3"/>
            <w:numPr>
              <w:ilvl w:val="1"/>
              <w:numId w:val="32"/>
            </w:numPr>
            <w:tabs>
              <w:tab w:val="left" w:pos="1990"/>
              <w:tab w:val="left" w:leader="dot" w:pos="13983"/>
            </w:tabs>
            <w:spacing w:before="0" w:after="0" w:line="487" w:lineRule="exact"/>
            <w:ind w:left="1989" w:right="0" w:hanging="652"/>
            <w:jc w:val="left"/>
            <w:rPr>
              <w:sz w:val="31"/>
            </w:rPr>
          </w:pPr>
          <w:hyperlink w:anchor="_TOC_250022" w:history="1">
            <w:r>
              <w:t>涉及突发环境事件风险物质情况</w:t>
              <w:tab/>
            </w:r>
            <w:r>
              <w:rPr>
                <w:position w:val="-3"/>
                <w:sz w:val="31"/>
              </w:rPr>
              <w:t>16</w:t>
            </w:r>
          </w:hyperlink>
        </w:p>
        <w:p>
          <w:pPr>
            <w:pStyle w:val="TOC4"/>
            <w:numPr>
              <w:ilvl w:val="1"/>
              <w:numId w:val="32"/>
            </w:numPr>
            <w:tabs>
              <w:tab w:val="left" w:pos="1990"/>
              <w:tab w:val="left" w:leader="dot" w:pos="13983"/>
            </w:tabs>
            <w:spacing w:before="3" w:after="0" w:line="487" w:lineRule="exact"/>
            <w:ind w:left="1989" w:right="0" w:hanging="652"/>
            <w:jc w:val="left"/>
            <w:rPr>
              <w:b w:val="0"/>
              <w:i w:val="0"/>
              <w:sz w:val="31"/>
            </w:rPr>
          </w:pPr>
          <w:hyperlink w:anchor="_TOC_250021" w:history="1">
            <w:r>
              <w:rPr>
                <w:b w:val="0"/>
                <w:i w:val="0"/>
                <w:sz w:val="36"/>
              </w:rPr>
              <w:t>生产工艺</w:t>
              <w:tab/>
            </w:r>
            <w:r>
              <w:rPr>
                <w:b w:val="0"/>
                <w:i w:val="0"/>
                <w:position w:val="-3"/>
                <w:sz w:val="31"/>
              </w:rPr>
              <w:t>27</w:t>
            </w:r>
          </w:hyperlink>
        </w:p>
        <w:p>
          <w:pPr>
            <w:pStyle w:val="TOC4"/>
            <w:numPr>
              <w:ilvl w:val="1"/>
              <w:numId w:val="32"/>
            </w:numPr>
            <w:tabs>
              <w:tab w:val="left" w:pos="1990"/>
              <w:tab w:val="left" w:leader="dot" w:pos="13983"/>
            </w:tabs>
            <w:spacing w:before="0" w:after="0" w:line="487" w:lineRule="exact"/>
            <w:ind w:left="1989" w:right="0" w:hanging="652"/>
            <w:jc w:val="left"/>
            <w:rPr>
              <w:b w:val="0"/>
              <w:i w:val="0"/>
              <w:sz w:val="31"/>
            </w:rPr>
          </w:pPr>
          <w:hyperlink w:anchor="_TOC_250020" w:history="1">
            <w:r>
              <w:rPr>
                <w:b w:val="0"/>
                <w:i w:val="0"/>
                <w:sz w:val="36"/>
              </w:rPr>
              <w:t>安全生产管理</w:t>
              <w:tab/>
            </w:r>
            <w:r>
              <w:rPr>
                <w:b w:val="0"/>
                <w:i w:val="0"/>
                <w:position w:val="-3"/>
                <w:sz w:val="31"/>
              </w:rPr>
              <w:t>31</w:t>
            </w:r>
          </w:hyperlink>
        </w:p>
        <w:p>
          <w:pPr>
            <w:pStyle w:val="TOC3"/>
            <w:numPr>
              <w:ilvl w:val="1"/>
              <w:numId w:val="32"/>
            </w:numPr>
            <w:tabs>
              <w:tab w:val="left" w:pos="1990"/>
              <w:tab w:val="left" w:leader="dot" w:pos="13983"/>
            </w:tabs>
            <w:spacing w:before="5" w:after="0" w:line="240" w:lineRule="auto"/>
            <w:ind w:left="1989" w:right="0" w:hanging="652"/>
            <w:jc w:val="left"/>
            <w:rPr>
              <w:sz w:val="31"/>
            </w:rPr>
          </w:pPr>
          <w:hyperlink w:anchor="_TOC_250019" w:history="1">
            <w:r>
              <w:t>现有环境风险防控与应急措施情况</w:t>
              <w:tab/>
            </w:r>
            <w:r>
              <w:rPr>
                <w:position w:val="-3"/>
                <w:sz w:val="31"/>
              </w:rPr>
              <w:t>32</w:t>
            </w:r>
          </w:hyperlink>
        </w:p>
        <w:p>
          <w:pPr>
            <w:pStyle w:val="TOC3"/>
            <w:numPr>
              <w:ilvl w:val="1"/>
              <w:numId w:val="32"/>
            </w:numPr>
            <w:tabs>
              <w:tab w:val="left" w:pos="1990"/>
              <w:tab w:val="left" w:leader="dot" w:pos="13983"/>
            </w:tabs>
            <w:spacing w:before="0" w:after="0" w:line="487" w:lineRule="exact"/>
            <w:ind w:left="1989" w:right="0" w:hanging="652"/>
            <w:jc w:val="left"/>
            <w:rPr>
              <w:sz w:val="31"/>
            </w:rPr>
          </w:pPr>
          <w:hyperlink w:anchor="_TOC_250018" w:history="1">
            <w:r>
              <w:t>现有应急物资与装备、救援队伍情况</w:t>
              <w:tab/>
            </w:r>
            <w:r>
              <w:rPr>
                <w:position w:val="-3"/>
                <w:sz w:val="31"/>
              </w:rPr>
              <w:t>39</w:t>
            </w:r>
          </w:hyperlink>
        </w:p>
        <w:p>
          <w:pPr>
            <w:pStyle w:val="TOC1"/>
            <w:numPr>
              <w:ilvl w:val="0"/>
              <w:numId w:val="32"/>
            </w:numPr>
            <w:tabs>
              <w:tab w:val="left" w:pos="990"/>
              <w:tab w:val="left" w:leader="dot" w:pos="13983"/>
            </w:tabs>
            <w:spacing w:before="5" w:after="0" w:line="240" w:lineRule="auto"/>
            <w:ind w:left="989" w:right="0" w:hanging="282"/>
            <w:jc w:val="left"/>
            <w:rPr>
              <w:b w:val="0"/>
              <w:sz w:val="31"/>
            </w:rPr>
          </w:pPr>
          <w:hyperlink w:anchor="_TOC_250017" w:history="1">
            <w:r>
              <w:t>突发环境事件及其后果分析</w:t>
              <w:tab/>
            </w:r>
            <w:r>
              <w:rPr>
                <w:b w:val="0"/>
                <w:position w:val="-3"/>
                <w:sz w:val="31"/>
              </w:rPr>
              <w:t>42</w:t>
            </w:r>
          </w:hyperlink>
        </w:p>
        <w:p>
          <w:pPr>
            <w:pStyle w:val="TOC3"/>
            <w:numPr>
              <w:ilvl w:val="1"/>
              <w:numId w:val="32"/>
            </w:numPr>
            <w:tabs>
              <w:tab w:val="left" w:pos="1990"/>
              <w:tab w:val="left" w:leader="dot" w:pos="13983"/>
            </w:tabs>
            <w:spacing w:before="0" w:after="0" w:line="487" w:lineRule="exact"/>
            <w:ind w:left="1989" w:right="0" w:hanging="652"/>
            <w:jc w:val="left"/>
            <w:rPr>
              <w:sz w:val="31"/>
            </w:rPr>
          </w:pPr>
          <w:hyperlink w:anchor="_TOC_250016" w:history="1">
            <w:r>
              <w:t>突发环境事件情景分析</w:t>
              <w:tab/>
            </w:r>
            <w:r>
              <w:rPr>
                <w:position w:val="-3"/>
                <w:sz w:val="31"/>
              </w:rPr>
              <w:t>42</w:t>
            </w:r>
          </w:hyperlink>
        </w:p>
        <w:p>
          <w:pPr>
            <w:pStyle w:val="TOC3"/>
            <w:numPr>
              <w:ilvl w:val="1"/>
              <w:numId w:val="32"/>
            </w:numPr>
            <w:tabs>
              <w:tab w:val="left" w:pos="1990"/>
              <w:tab w:val="left" w:leader="dot" w:pos="13983"/>
            </w:tabs>
            <w:spacing w:before="5" w:after="0" w:line="240" w:lineRule="auto"/>
            <w:ind w:left="1989" w:right="0" w:hanging="652"/>
            <w:jc w:val="left"/>
            <w:rPr>
              <w:sz w:val="31"/>
            </w:rPr>
          </w:pPr>
          <w:hyperlink w:anchor="_TOC_250015" w:history="1">
            <w:r>
              <w:t>突发环境事件情景源强分析</w:t>
              <w:tab/>
            </w:r>
            <w:r>
              <w:rPr>
                <w:position w:val="-3"/>
                <w:sz w:val="31"/>
              </w:rPr>
              <w:t>49</w:t>
            </w:r>
          </w:hyperlink>
        </w:p>
        <w:p>
          <w:pPr>
            <w:pStyle w:val="TOC3"/>
            <w:numPr>
              <w:ilvl w:val="1"/>
              <w:numId w:val="32"/>
            </w:numPr>
            <w:tabs>
              <w:tab w:val="left" w:pos="2041"/>
              <w:tab w:val="left" w:leader="dot" w:pos="13983"/>
            </w:tabs>
            <w:spacing w:before="0" w:after="0" w:line="254" w:lineRule="auto"/>
            <w:ind w:left="1338" w:right="778" w:firstLine="0"/>
            <w:jc w:val="left"/>
            <w:rPr>
              <w:sz w:val="31"/>
            </w:rPr>
          </w:pPr>
          <w:hyperlink w:anchor="_TOC_250014" w:history="1">
            <w:r>
              <w:t>释放环境风险物质的扩散途径、涉及环境风险防控与应急措施、应急资源情 况分析</w:t>
              <w:tab/>
            </w:r>
            <w:r>
              <w:rPr>
                <w:spacing w:val="-10"/>
                <w:position w:val="-3"/>
                <w:sz w:val="31"/>
              </w:rPr>
              <w:t>54</w:t>
            </w:r>
          </w:hyperlink>
        </w:p>
        <w:p>
          <w:pPr>
            <w:pStyle w:val="TOC3"/>
            <w:numPr>
              <w:ilvl w:val="1"/>
              <w:numId w:val="32"/>
            </w:numPr>
            <w:tabs>
              <w:tab w:val="left" w:pos="1990"/>
              <w:tab w:val="left" w:leader="dot" w:pos="13983"/>
            </w:tabs>
            <w:spacing w:before="0" w:after="0" w:line="460" w:lineRule="exact"/>
            <w:ind w:left="1989" w:right="0" w:hanging="652"/>
            <w:jc w:val="left"/>
            <w:rPr>
              <w:sz w:val="31"/>
            </w:rPr>
          </w:pPr>
          <w:hyperlink w:anchor="_TOC_250013" w:history="1">
            <w:r>
              <w:t>突发环境事件危害后果分析</w:t>
              <w:tab/>
            </w:r>
            <w:r>
              <w:rPr>
                <w:position w:val="-3"/>
                <w:sz w:val="31"/>
              </w:rPr>
              <w:t>60</w:t>
            </w:r>
          </w:hyperlink>
        </w:p>
        <w:p>
          <w:pPr>
            <w:pStyle w:val="TOC1"/>
            <w:numPr>
              <w:ilvl w:val="0"/>
              <w:numId w:val="32"/>
            </w:numPr>
            <w:tabs>
              <w:tab w:val="left" w:pos="990"/>
              <w:tab w:val="left" w:leader="dot" w:pos="13983"/>
            </w:tabs>
            <w:spacing w:before="4" w:after="0" w:line="240" w:lineRule="auto"/>
            <w:ind w:left="989" w:right="0" w:hanging="282"/>
            <w:jc w:val="left"/>
            <w:rPr>
              <w:b w:val="0"/>
              <w:sz w:val="31"/>
            </w:rPr>
          </w:pPr>
          <w:hyperlink w:anchor="_TOC_250012" w:history="1">
            <w:r>
              <w:t>现有环境风险防控和应急措施差距分析</w:t>
              <w:tab/>
            </w:r>
            <w:r>
              <w:rPr>
                <w:b w:val="0"/>
                <w:position w:val="-3"/>
                <w:sz w:val="31"/>
              </w:rPr>
              <w:t>62</w:t>
            </w:r>
          </w:hyperlink>
        </w:p>
        <w:p>
          <w:pPr>
            <w:pStyle w:val="TOC3"/>
            <w:numPr>
              <w:ilvl w:val="1"/>
              <w:numId w:val="32"/>
            </w:numPr>
            <w:tabs>
              <w:tab w:val="left" w:pos="1990"/>
              <w:tab w:val="left" w:leader="dot" w:pos="13983"/>
            </w:tabs>
            <w:spacing w:before="0" w:after="0" w:line="487" w:lineRule="exact"/>
            <w:ind w:left="1989" w:right="0" w:hanging="652"/>
            <w:jc w:val="left"/>
            <w:rPr>
              <w:sz w:val="31"/>
            </w:rPr>
          </w:pPr>
          <w:hyperlink w:anchor="_TOC_250011" w:history="1">
            <w:r>
              <w:t>环境风险管理制度</w:t>
              <w:tab/>
            </w:r>
            <w:r>
              <w:rPr>
                <w:position w:val="-3"/>
                <w:sz w:val="31"/>
              </w:rPr>
              <w:t>62</w:t>
            </w:r>
          </w:hyperlink>
        </w:p>
        <w:p>
          <w:pPr>
            <w:pStyle w:val="TOC3"/>
            <w:numPr>
              <w:ilvl w:val="1"/>
              <w:numId w:val="32"/>
            </w:numPr>
            <w:tabs>
              <w:tab w:val="left" w:pos="2091"/>
              <w:tab w:val="left" w:leader="dot" w:pos="13983"/>
            </w:tabs>
            <w:spacing w:before="3" w:after="0" w:line="487" w:lineRule="exact"/>
            <w:ind w:left="2090" w:right="0" w:hanging="753"/>
            <w:jc w:val="left"/>
            <w:rPr>
              <w:sz w:val="31"/>
            </w:rPr>
          </w:pPr>
          <w:hyperlink w:anchor="_TOC_250010" w:history="1">
            <w:r>
              <w:t>环境风险防控与应急措施</w:t>
              <w:tab/>
            </w:r>
            <w:r>
              <w:rPr>
                <w:position w:val="-3"/>
                <w:sz w:val="31"/>
              </w:rPr>
              <w:t>62</w:t>
            </w:r>
          </w:hyperlink>
        </w:p>
        <w:p>
          <w:pPr>
            <w:pStyle w:val="TOC4"/>
            <w:numPr>
              <w:ilvl w:val="1"/>
              <w:numId w:val="32"/>
            </w:numPr>
            <w:tabs>
              <w:tab w:val="left" w:pos="1990"/>
              <w:tab w:val="left" w:leader="dot" w:pos="13983"/>
            </w:tabs>
            <w:spacing w:before="0" w:after="0" w:line="487" w:lineRule="exact"/>
            <w:ind w:left="1989" w:right="0" w:hanging="652"/>
            <w:jc w:val="left"/>
            <w:rPr>
              <w:b w:val="0"/>
              <w:i w:val="0"/>
              <w:sz w:val="31"/>
            </w:rPr>
          </w:pPr>
          <w:hyperlink w:anchor="_TOC_250009" w:history="1">
            <w:r>
              <w:rPr>
                <w:b w:val="0"/>
                <w:i w:val="0"/>
                <w:sz w:val="36"/>
              </w:rPr>
              <w:t>环境应急资源</w:t>
              <w:tab/>
            </w:r>
            <w:r>
              <w:rPr>
                <w:b w:val="0"/>
                <w:i w:val="0"/>
                <w:position w:val="-3"/>
                <w:sz w:val="31"/>
              </w:rPr>
              <w:t>63</w:t>
            </w:r>
          </w:hyperlink>
        </w:p>
        <w:p>
          <w:pPr>
            <w:pStyle w:val="TOC3"/>
            <w:numPr>
              <w:ilvl w:val="1"/>
              <w:numId w:val="32"/>
            </w:numPr>
            <w:tabs>
              <w:tab w:val="left" w:pos="1990"/>
              <w:tab w:val="left" w:leader="dot" w:pos="13983"/>
            </w:tabs>
            <w:spacing w:before="5" w:after="0" w:line="240" w:lineRule="auto"/>
            <w:ind w:left="1989" w:right="0" w:hanging="652"/>
            <w:jc w:val="left"/>
            <w:rPr>
              <w:sz w:val="31"/>
            </w:rPr>
          </w:pPr>
          <w:hyperlink w:anchor="_TOC_250008" w:history="1">
            <w:r>
              <w:t>历史经验教训总结</w:t>
              <w:tab/>
            </w:r>
            <w:r>
              <w:rPr>
                <w:position w:val="-3"/>
                <w:sz w:val="31"/>
              </w:rPr>
              <w:t>63</w:t>
            </w:r>
          </w:hyperlink>
        </w:p>
        <w:p>
          <w:pPr>
            <w:pStyle w:val="TOC3"/>
            <w:numPr>
              <w:ilvl w:val="1"/>
              <w:numId w:val="32"/>
            </w:numPr>
            <w:tabs>
              <w:tab w:val="left" w:pos="1990"/>
              <w:tab w:val="left" w:leader="dot" w:pos="13983"/>
            </w:tabs>
            <w:spacing w:before="0" w:after="0" w:line="487" w:lineRule="exact"/>
            <w:ind w:left="1989" w:right="0" w:hanging="652"/>
            <w:jc w:val="left"/>
            <w:rPr>
              <w:sz w:val="31"/>
            </w:rPr>
          </w:pPr>
          <w:hyperlink w:anchor="_TOC_250007" w:history="1">
            <w:r>
              <w:t>需要整改的短期、中期和长期项目内容</w:t>
              <w:tab/>
            </w:r>
            <w:r>
              <w:rPr>
                <w:position w:val="-3"/>
                <w:sz w:val="31"/>
              </w:rPr>
              <w:t>64</w:t>
            </w:r>
          </w:hyperlink>
        </w:p>
        <w:p>
          <w:pPr>
            <w:pStyle w:val="TOC1"/>
            <w:numPr>
              <w:ilvl w:val="0"/>
              <w:numId w:val="32"/>
            </w:numPr>
            <w:tabs>
              <w:tab w:val="left" w:pos="990"/>
              <w:tab w:val="left" w:leader="dot" w:pos="13983"/>
            </w:tabs>
            <w:spacing w:before="5" w:after="0" w:line="240" w:lineRule="auto"/>
            <w:ind w:left="989" w:right="0" w:hanging="282"/>
            <w:jc w:val="left"/>
            <w:rPr>
              <w:b w:val="0"/>
              <w:sz w:val="31"/>
            </w:rPr>
          </w:pPr>
          <w:hyperlink w:anchor="_TOC_250006" w:history="1">
            <w:r>
              <w:t>完善环境风险防控和应急措施的实施计划</w:t>
              <w:tab/>
            </w:r>
            <w:r>
              <w:rPr>
                <w:b w:val="0"/>
                <w:position w:val="-3"/>
                <w:sz w:val="31"/>
              </w:rPr>
              <w:t>65</w:t>
            </w:r>
          </w:hyperlink>
        </w:p>
        <w:p>
          <w:pPr>
            <w:pStyle w:val="TOC1"/>
            <w:numPr>
              <w:ilvl w:val="0"/>
              <w:numId w:val="32"/>
            </w:numPr>
            <w:tabs>
              <w:tab w:val="left" w:pos="990"/>
              <w:tab w:val="left" w:leader="dot" w:pos="13983"/>
            </w:tabs>
            <w:spacing w:before="0" w:after="0" w:line="487" w:lineRule="exact"/>
            <w:ind w:left="989" w:right="0" w:hanging="282"/>
            <w:jc w:val="left"/>
            <w:rPr>
              <w:b w:val="0"/>
              <w:sz w:val="31"/>
            </w:rPr>
          </w:pPr>
          <w:hyperlink w:anchor="_TOC_250005" w:history="1">
            <w:r>
              <w:t>企业突发环境事件风险等级</w:t>
              <w:tab/>
            </w:r>
            <w:r>
              <w:rPr>
                <w:b w:val="0"/>
                <w:position w:val="-3"/>
                <w:sz w:val="31"/>
              </w:rPr>
              <w:t>66</w:t>
            </w:r>
          </w:hyperlink>
        </w:p>
        <w:p>
          <w:pPr>
            <w:pStyle w:val="TOC3"/>
            <w:numPr>
              <w:ilvl w:val="1"/>
              <w:numId w:val="32"/>
            </w:numPr>
            <w:tabs>
              <w:tab w:val="left" w:pos="1990"/>
              <w:tab w:val="left" w:leader="dot" w:pos="13983"/>
            </w:tabs>
            <w:spacing w:before="3" w:after="0" w:line="487" w:lineRule="exact"/>
            <w:ind w:left="1989" w:right="0" w:hanging="652"/>
            <w:jc w:val="left"/>
            <w:rPr>
              <w:sz w:val="31"/>
            </w:rPr>
          </w:pPr>
          <w:hyperlink w:anchor="_TOC_250004" w:history="1">
            <w:r>
              <w:t>环境风险物质数量与临界量比值（</w:t>
            </w:r>
            <w:r>
              <w:rPr>
                <w:spacing w:val="6"/>
              </w:rPr>
              <w:t xml:space="preserve"> </w:t>
            </w:r>
            <w:r>
              <w:t>Q）</w:t>
              <w:tab/>
            </w:r>
            <w:r>
              <w:rPr>
                <w:position w:val="-3"/>
                <w:sz w:val="31"/>
              </w:rPr>
              <w:t>66</w:t>
            </w:r>
          </w:hyperlink>
        </w:p>
        <w:p>
          <w:pPr>
            <w:pStyle w:val="TOC3"/>
            <w:numPr>
              <w:ilvl w:val="1"/>
              <w:numId w:val="32"/>
            </w:numPr>
            <w:tabs>
              <w:tab w:val="left" w:pos="1990"/>
              <w:tab w:val="left" w:leader="dot" w:pos="13983"/>
            </w:tabs>
            <w:spacing w:before="2" w:after="0" w:line="240" w:lineRule="auto"/>
            <w:ind w:left="1989" w:right="0" w:hanging="652"/>
            <w:jc w:val="left"/>
            <w:rPr>
              <w:sz w:val="31"/>
            </w:rPr>
          </w:pPr>
          <w:hyperlink w:anchor="_TOC_250003" w:history="1">
            <w:r>
              <w:t>生产工艺与环境风险控制水平（</w:t>
            </w:r>
            <w:r>
              <w:rPr>
                <w:spacing w:val="-5"/>
              </w:rPr>
              <w:t xml:space="preserve"> </w:t>
            </w:r>
            <w:r>
              <w:t>M）</w:t>
              <w:tab/>
            </w:r>
            <w:r>
              <w:rPr>
                <w:position w:val="-3"/>
                <w:sz w:val="31"/>
              </w:rPr>
              <w:t>66</w:t>
            </w:r>
          </w:hyperlink>
        </w:p>
        <w:p>
          <w:pPr>
            <w:pStyle w:val="TOC3"/>
            <w:numPr>
              <w:ilvl w:val="1"/>
              <w:numId w:val="32"/>
            </w:numPr>
            <w:tabs>
              <w:tab w:val="left" w:pos="1990"/>
              <w:tab w:val="left" w:leader="dot" w:pos="13983"/>
            </w:tabs>
            <w:spacing w:before="0" w:after="0" w:line="487" w:lineRule="exact"/>
            <w:ind w:left="1989" w:right="0" w:hanging="652"/>
            <w:jc w:val="left"/>
            <w:rPr>
              <w:sz w:val="31"/>
            </w:rPr>
          </w:pPr>
          <w:hyperlink w:anchor="_TOC_250002" w:history="1">
            <w:r>
              <w:t>环境风险受体敏感性（</w:t>
            </w:r>
            <w:r>
              <w:rPr>
                <w:spacing w:val="-57"/>
              </w:rPr>
              <w:t xml:space="preserve"> </w:t>
            </w:r>
            <w:r>
              <w:rPr>
                <w:spacing w:val="3"/>
              </w:rPr>
              <w:t>E）</w:t>
              <w:tab/>
            </w:r>
            <w:r>
              <w:rPr>
                <w:position w:val="-3"/>
                <w:sz w:val="31"/>
              </w:rPr>
              <w:t>68</w:t>
            </w:r>
          </w:hyperlink>
        </w:p>
        <w:p>
          <w:pPr>
            <w:pStyle w:val="TOC3"/>
            <w:numPr>
              <w:ilvl w:val="1"/>
              <w:numId w:val="32"/>
            </w:numPr>
            <w:tabs>
              <w:tab w:val="left" w:pos="1990"/>
              <w:tab w:val="left" w:leader="dot" w:pos="13983"/>
            </w:tabs>
            <w:spacing w:before="6" w:after="0" w:line="240" w:lineRule="auto"/>
            <w:ind w:left="1989" w:right="0" w:hanging="652"/>
            <w:jc w:val="left"/>
            <w:rPr>
              <w:sz w:val="31"/>
            </w:rPr>
          </w:pPr>
          <w:hyperlink w:anchor="_TOC_250001" w:history="1">
            <w:r>
              <w:t>企业环境风险等级划分</w:t>
              <w:tab/>
            </w:r>
            <w:r>
              <w:rPr>
                <w:position w:val="-3"/>
                <w:sz w:val="31"/>
              </w:rPr>
              <w:t>68</w:t>
            </w:r>
          </w:hyperlink>
        </w:p>
        <w:p>
          <w:pPr>
            <w:pStyle w:val="TOC1"/>
            <w:numPr>
              <w:ilvl w:val="0"/>
              <w:numId w:val="32"/>
            </w:numPr>
            <w:tabs>
              <w:tab w:val="left" w:pos="990"/>
              <w:tab w:val="left" w:leader="dot" w:pos="13983"/>
            </w:tabs>
            <w:spacing w:before="0" w:after="0" w:line="487" w:lineRule="exact"/>
            <w:ind w:left="989" w:right="0" w:hanging="282"/>
            <w:jc w:val="left"/>
            <w:rPr>
              <w:b w:val="0"/>
              <w:sz w:val="31"/>
            </w:rPr>
          </w:pPr>
          <w:hyperlink w:anchor="_TOC_250000" w:history="1">
            <w:r>
              <w:t>环境风险评价结论</w:t>
              <w:tab/>
            </w:r>
            <w:r>
              <w:rPr>
                <w:b w:val="0"/>
                <w:position w:val="-3"/>
                <w:sz w:val="31"/>
              </w:rPr>
              <w:t>69</w:t>
            </w:r>
          </w:hyperlink>
        </w:p>
      </w:sdtContent>
    </w:sdt>
    <w:p>
      <w:pPr>
        <w:spacing w:after="0" w:line="487" w:lineRule="exact"/>
        <w:jc w:val="left"/>
        <w:rPr>
          <w:sz w:val="31"/>
        </w:rPr>
        <w:sectPr>
          <w:headerReference w:type="default" r:id="rId6"/>
          <w:footerReference w:type="default" r:id="rId7"/>
          <w:pgSz w:w="17860" w:h="25260"/>
          <w:pgMar w:top="1380" w:right="1360" w:bottom="2020" w:left="1420" w:header="1083" w:footer="1826"/>
          <w:pgNumType w:start="2"/>
          <w:cols w:space="708"/>
        </w:sectPr>
      </w:pPr>
    </w:p>
    <w:p>
      <w:pPr>
        <w:pStyle w:val="BodyText"/>
        <w:spacing w:before="5"/>
        <w:rPr>
          <w:sz w:val="43"/>
        </w:rPr>
      </w:pPr>
    </w:p>
    <w:p>
      <w:pPr>
        <w:pStyle w:val="Heading1"/>
        <w:numPr>
          <w:ilvl w:val="0"/>
          <w:numId w:val="31"/>
        </w:numPr>
        <w:tabs>
          <w:tab w:val="left" w:pos="1180"/>
        </w:tabs>
        <w:spacing w:before="1" w:after="0" w:line="240" w:lineRule="auto"/>
        <w:ind w:left="1180" w:right="0" w:hanging="472"/>
        <w:jc w:val="left"/>
      </w:pPr>
      <w:bookmarkStart w:id="0" w:name="_TOC_250030"/>
      <w:bookmarkEnd w:id="0"/>
      <w:r>
        <w:t>前言</w:t>
      </w:r>
    </w:p>
    <w:p>
      <w:pPr>
        <w:pStyle w:val="BodyText"/>
        <w:spacing w:before="1"/>
        <w:rPr>
          <w:b/>
          <w:sz w:val="32"/>
        </w:rPr>
      </w:pPr>
    </w:p>
    <w:p>
      <w:pPr>
        <w:pStyle w:val="BodyText"/>
        <w:spacing w:line="381" w:lineRule="auto"/>
        <w:ind w:left="708" w:right="329" w:firstLine="720"/>
      </w:pPr>
      <w:r>
        <w:rPr>
          <w:spacing w:val="-3"/>
        </w:rPr>
        <w:t xml:space="preserve">某某县某某化工有限公司原名为某某县某某油脂有限公司，成立于 </w:t>
      </w:r>
      <w:r>
        <w:t>2003</w:t>
      </w:r>
      <w:r>
        <w:rPr>
          <w:spacing w:val="-60"/>
        </w:rPr>
        <w:t xml:space="preserve"> 年 </w:t>
      </w:r>
      <w:r>
        <w:t>7</w:t>
      </w:r>
      <w:r>
        <w:rPr>
          <w:spacing w:val="-23"/>
        </w:rPr>
        <w:t xml:space="preserve"> 月；是一个集油脂加工及销售为一体的股份制企业，</w:t>
      </w:r>
      <w:r>
        <w:rPr>
          <w:spacing w:val="-9"/>
        </w:rPr>
        <w:t>2010</w:t>
      </w:r>
      <w:r>
        <w:rPr>
          <w:spacing w:val="-60"/>
        </w:rPr>
        <w:t xml:space="preserve"> 年 </w:t>
      </w:r>
      <w:r>
        <w:t>10</w:t>
      </w:r>
      <w:r>
        <w:rPr>
          <w:spacing w:val="-12"/>
        </w:rPr>
        <w:t xml:space="preserve"> 月经工商注册，企业名称变更为</w:t>
      </w:r>
      <w:r>
        <w:rPr>
          <w:spacing w:val="-16"/>
        </w:rPr>
        <w:t xml:space="preserve">某某县某某化工有限公司，注册资本变更为人民币 </w:t>
      </w:r>
      <w:r>
        <w:t>1000</w:t>
      </w:r>
      <w:r>
        <w:rPr>
          <w:spacing w:val="-17"/>
        </w:rPr>
        <w:t xml:space="preserve"> 万元；该企业占地面积 </w:t>
      </w:r>
      <w:r>
        <w:t>30325</w:t>
      </w:r>
      <w:r>
        <w:rPr>
          <w:spacing w:val="-45"/>
        </w:rPr>
        <w:t xml:space="preserve"> 平</w:t>
      </w:r>
      <w:r>
        <w:rPr>
          <w:spacing w:val="-32"/>
        </w:rPr>
        <w:t>方米，储存能力</w:t>
      </w:r>
      <w:r>
        <w:rPr>
          <w:spacing w:val="-14"/>
        </w:rPr>
        <w:t>5000m</w:t>
      </w:r>
      <w:r>
        <w:rPr>
          <w:spacing w:val="-14"/>
          <w:position w:val="3"/>
          <w:sz w:val="29"/>
        </w:rPr>
        <w:t>3</w:t>
      </w:r>
      <w:r>
        <w:rPr>
          <w:spacing w:val="-14"/>
        </w:rPr>
        <w:t xml:space="preserve">；公司拥有运输车 </w:t>
      </w:r>
      <w:r>
        <w:t>2</w:t>
      </w:r>
      <w:r>
        <w:rPr>
          <w:spacing w:val="-13"/>
        </w:rPr>
        <w:t xml:space="preserve"> 辆，消防车一辆；主要产品为重交沥青及溶剂</w:t>
      </w:r>
      <w:r>
        <w:rPr>
          <w:spacing w:val="-14"/>
        </w:rPr>
        <w:t>油。公司产品主要销往北京、天津、河北等地，凭借公司的良好服务和产品质量，销售业</w:t>
      </w:r>
      <w:r>
        <w:t>绩逐步提升。</w:t>
      </w:r>
    </w:p>
    <w:p>
      <w:pPr>
        <w:pStyle w:val="BodyText"/>
        <w:spacing w:before="4" w:line="381" w:lineRule="auto"/>
        <w:ind w:left="708" w:right="418" w:firstLine="720"/>
        <w:jc w:val="both"/>
      </w:pPr>
      <w:r>
        <w:rPr>
          <w:spacing w:val="-9"/>
        </w:rPr>
        <w:t xml:space="preserve">重交沥青生产项目包括 </w:t>
      </w:r>
      <w:r>
        <w:t>100＃</w:t>
      </w:r>
      <w:r>
        <w:rPr>
          <w:spacing w:val="-5"/>
        </w:rPr>
        <w:t>道路沥青、</w:t>
      </w:r>
      <w:r>
        <w:t>60＃</w:t>
      </w:r>
      <w:r>
        <w:rPr>
          <w:spacing w:val="-5"/>
        </w:rPr>
        <w:t>道路沥青、</w:t>
      </w:r>
      <w:r>
        <w:t>10＃道路沥青、石脑油，生</w:t>
      </w:r>
      <w:r>
        <w:rPr>
          <w:spacing w:val="-14"/>
        </w:rPr>
        <w:t xml:space="preserve">产能力分别为 </w:t>
      </w:r>
      <w:r>
        <w:t>50000t/a</w:t>
      </w:r>
      <w:r>
        <w:rPr>
          <w:spacing w:val="-43"/>
        </w:rPr>
        <w:t>、</w:t>
      </w:r>
      <w:r>
        <w:t>20000t/a</w:t>
      </w:r>
      <w:r>
        <w:rPr>
          <w:spacing w:val="-44"/>
        </w:rPr>
        <w:t>、</w:t>
      </w:r>
      <w:r>
        <w:t>70000t/a</w:t>
      </w:r>
      <w:r>
        <w:rPr>
          <w:spacing w:val="-43"/>
        </w:rPr>
        <w:t>、</w:t>
      </w:r>
      <w:r>
        <w:rPr>
          <w:spacing w:val="-5"/>
        </w:rPr>
        <w:t>10000t/a</w:t>
      </w:r>
      <w:r>
        <w:rPr>
          <w:spacing w:val="-11"/>
        </w:rPr>
        <w:t xml:space="preserve">；溶剂油生产项目包括 </w:t>
      </w:r>
      <w:r>
        <w:t>200＃溶剂油、180＃溶剂油、120＃溶剂油、6＃</w:t>
      </w:r>
      <w:r>
        <w:rPr>
          <w:spacing w:val="-8"/>
        </w:rPr>
        <w:t xml:space="preserve">溶剂油，生产能力分别为 </w:t>
      </w:r>
      <w:r>
        <w:t>40000t/a、10000t/a</w:t>
      </w:r>
      <w:r>
        <w:rPr>
          <w:spacing w:val="-17"/>
        </w:rPr>
        <w:t>、</w:t>
      </w:r>
      <w:r>
        <w:t>40000t/a、10000t/a。</w:t>
      </w:r>
    </w:p>
    <w:p>
      <w:pPr>
        <w:pStyle w:val="BodyText"/>
        <w:spacing w:line="381" w:lineRule="auto"/>
        <w:ind w:left="708" w:right="503" w:firstLine="720"/>
        <w:jc w:val="both"/>
      </w:pPr>
      <w:r>
        <w:t>2010</w:t>
      </w:r>
      <w:r>
        <w:rPr>
          <w:spacing w:val="-16"/>
        </w:rPr>
        <w:t xml:space="preserve"> 年某某县某某化工有限公司委托××工程设计研究有限公司编写《</w:t>
      </w:r>
      <w:r>
        <w:t>14</w:t>
      </w:r>
      <w:r>
        <w:rPr>
          <w:spacing w:val="-30"/>
        </w:rPr>
        <w:t xml:space="preserve"> 万吨</w:t>
      </w:r>
      <w:r>
        <w:t>/</w:t>
      </w:r>
      <w:r>
        <w:rPr>
          <w:spacing w:val="-8"/>
        </w:rPr>
        <w:t>年重</w:t>
      </w:r>
      <w:r>
        <w:rPr>
          <w:spacing w:val="-19"/>
        </w:rPr>
        <w:t xml:space="preserve">交沥青及 </w:t>
      </w:r>
      <w:r>
        <w:t>10</w:t>
      </w:r>
      <w:r>
        <w:rPr>
          <w:spacing w:val="-30"/>
        </w:rPr>
        <w:t xml:space="preserve"> 万吨</w:t>
      </w:r>
      <w:r>
        <w:t>/</w:t>
      </w:r>
      <w:r>
        <w:rPr>
          <w:spacing w:val="-5"/>
        </w:rPr>
        <w:t xml:space="preserve">年溶剂油生产项目环境影响报告书》，并于 </w:t>
      </w:r>
      <w:r>
        <w:t>2011</w:t>
      </w:r>
      <w:r>
        <w:rPr>
          <w:spacing w:val="-60"/>
        </w:rPr>
        <w:t xml:space="preserve"> 年 </w:t>
      </w:r>
      <w:r>
        <w:t>4</w:t>
      </w:r>
      <w:r>
        <w:rPr>
          <w:spacing w:val="-60"/>
        </w:rPr>
        <w:t xml:space="preserve"> 月 </w:t>
      </w:r>
      <w:r>
        <w:t>6</w:t>
      </w:r>
      <w:r>
        <w:rPr>
          <w:spacing w:val="-18"/>
        </w:rPr>
        <w:t xml:space="preserve"> 日通过某某</w:t>
      </w:r>
      <w:r>
        <w:t>市环保局的环保验收（某某字[2011]69</w:t>
      </w:r>
      <w:r>
        <w:rPr>
          <w:spacing w:val="-45"/>
        </w:rPr>
        <w:t xml:space="preserve"> 号</w:t>
      </w:r>
      <w:r>
        <w:t>）。</w:t>
      </w:r>
    </w:p>
    <w:p>
      <w:pPr>
        <w:pStyle w:val="BodyText"/>
        <w:spacing w:line="381" w:lineRule="auto"/>
        <w:ind w:left="708" w:right="415" w:firstLine="720"/>
      </w:pPr>
      <w:r>
        <w:rPr>
          <w:spacing w:val="-7"/>
        </w:rPr>
        <w:t>某某县某某化工有限公司为查清目前存在的环境风险隐患，科学评估环境风险防控能</w:t>
      </w:r>
      <w:r>
        <w:rPr>
          <w:spacing w:val="-14"/>
        </w:rPr>
        <w:t>力，客观界定环境风险等级，并为环境安全达标建设提供参考和依据，并按照《企业突发</w:t>
      </w:r>
    </w:p>
    <w:p>
      <w:pPr>
        <w:pStyle w:val="BodyText"/>
        <w:spacing w:before="2" w:line="379" w:lineRule="auto"/>
        <w:ind w:left="708" w:right="509"/>
      </w:pPr>
      <w:r>
        <w:rPr>
          <w:spacing w:val="-10"/>
        </w:rPr>
        <w:t>环境事件风险评估指南(试行)》(以下简称“评估指南”)的要求，编制该公司的突发环境</w:t>
      </w:r>
      <w:r>
        <w:t>事件风险评估报告。</w:t>
      </w:r>
    </w:p>
    <w:p>
      <w:pPr>
        <w:pStyle w:val="BodyText"/>
        <w:spacing w:line="336" w:lineRule="exact"/>
        <w:ind w:left="1428"/>
      </w:pPr>
      <w:r>
        <w:t>在本环境风险评估报告的编制过程中，各级环境保护行政主管部门给予了大力支持，</w:t>
      </w:r>
    </w:p>
    <w:p>
      <w:pPr>
        <w:pStyle w:val="BodyText"/>
        <w:spacing w:before="241"/>
        <w:ind w:left="708"/>
      </w:pPr>
      <w:r>
        <w:t>在此深表感谢。</w:t>
      </w:r>
    </w:p>
    <w:p>
      <w:pPr>
        <w:spacing w:after="0"/>
        <w:sectPr>
          <w:headerReference w:type="default" r:id="rId8"/>
          <w:footerReference w:type="default" r:id="rId9"/>
          <w:pgSz w:w="17860" w:h="25260"/>
          <w:pgMar w:top="1380" w:right="1360" w:bottom="2020" w:left="1420" w:header="1083" w:footer="1826"/>
          <w:pgNumType w:start="3"/>
          <w:cols w:space="708"/>
        </w:sectPr>
      </w:pPr>
    </w:p>
    <w:p>
      <w:pPr>
        <w:pStyle w:val="BodyText"/>
        <w:rPr>
          <w:sz w:val="20"/>
        </w:rPr>
      </w:pPr>
    </w:p>
    <w:p>
      <w:pPr>
        <w:pStyle w:val="BodyText"/>
        <w:spacing w:before="7"/>
        <w:rPr>
          <w:sz w:val="20"/>
        </w:rPr>
      </w:pPr>
    </w:p>
    <w:p>
      <w:pPr>
        <w:pStyle w:val="Heading1"/>
        <w:numPr>
          <w:ilvl w:val="0"/>
          <w:numId w:val="31"/>
        </w:numPr>
        <w:tabs>
          <w:tab w:val="left" w:pos="1058"/>
        </w:tabs>
        <w:spacing w:before="37" w:after="0" w:line="240" w:lineRule="auto"/>
        <w:ind w:left="1057" w:right="0" w:hanging="350"/>
        <w:jc w:val="left"/>
      </w:pPr>
      <w:bookmarkStart w:id="1" w:name="_TOC_250029"/>
      <w:bookmarkEnd w:id="1"/>
      <w:r>
        <w:t>总则</w:t>
      </w:r>
    </w:p>
    <w:p>
      <w:pPr>
        <w:pStyle w:val="BodyText"/>
        <w:spacing w:before="7"/>
        <w:rPr>
          <w:b/>
          <w:sz w:val="34"/>
        </w:rPr>
      </w:pPr>
    </w:p>
    <w:p>
      <w:pPr>
        <w:pStyle w:val="Heading2"/>
        <w:numPr>
          <w:ilvl w:val="1"/>
          <w:numId w:val="31"/>
        </w:numPr>
        <w:tabs>
          <w:tab w:val="left" w:pos="1468"/>
        </w:tabs>
        <w:spacing w:before="0" w:after="0" w:line="240" w:lineRule="auto"/>
        <w:ind w:left="1468" w:right="0" w:hanging="760"/>
        <w:jc w:val="left"/>
      </w:pPr>
      <w:bookmarkStart w:id="2" w:name="_TOC_250028"/>
      <w:bookmarkEnd w:id="2"/>
      <w:r>
        <w:t>编制原则</w:t>
      </w:r>
    </w:p>
    <w:p>
      <w:pPr>
        <w:pStyle w:val="BodyText"/>
        <w:rPr>
          <w:b/>
          <w:sz w:val="32"/>
        </w:rPr>
      </w:pPr>
    </w:p>
    <w:p>
      <w:pPr>
        <w:pStyle w:val="ListParagraph"/>
        <w:numPr>
          <w:ilvl w:val="2"/>
          <w:numId w:val="31"/>
        </w:numPr>
        <w:tabs>
          <w:tab w:val="left" w:pos="2330"/>
        </w:tabs>
        <w:spacing w:before="0" w:after="0" w:line="381" w:lineRule="auto"/>
        <w:ind w:left="708" w:right="329" w:firstLine="720"/>
        <w:jc w:val="left"/>
        <w:rPr>
          <w:sz w:val="36"/>
        </w:rPr>
      </w:pPr>
      <w:r>
        <w:rPr>
          <w:sz w:val="36"/>
        </w:rPr>
        <w:t>坚持以人为本，预防为主，加强对突发环境事件危险源的监测、监控并实施监</w:t>
      </w:r>
      <w:r>
        <w:rPr>
          <w:spacing w:val="-1"/>
          <w:sz w:val="36"/>
        </w:rPr>
        <w:t>督管理，建立突发环境事件风险防范体系，积极预防、及时控制、消除隐患、提高突发性</w:t>
      </w:r>
      <w:r>
        <w:rPr>
          <w:spacing w:val="-11"/>
          <w:sz w:val="36"/>
        </w:rPr>
        <w:t>环境事件防范和处理能力，尽可能的避免或减少突发环境事件的发生，消除或减轻突发环境事件造成的中长期影响，最大程度地保障公众健康，保护人民群众生命财产安全。</w:t>
      </w:r>
    </w:p>
    <w:p>
      <w:pPr>
        <w:pStyle w:val="ListParagraph"/>
        <w:numPr>
          <w:ilvl w:val="2"/>
          <w:numId w:val="31"/>
        </w:numPr>
        <w:tabs>
          <w:tab w:val="left" w:pos="2330"/>
        </w:tabs>
        <w:spacing w:before="1" w:after="0" w:line="381" w:lineRule="auto"/>
        <w:ind w:left="708" w:right="501" w:firstLine="720"/>
        <w:jc w:val="both"/>
        <w:rPr>
          <w:sz w:val="36"/>
        </w:rPr>
      </w:pPr>
      <w:r>
        <w:rPr>
          <w:sz w:val="36"/>
        </w:rPr>
        <w:t>坚持统一领导，分类管理，分级相应，加强企业各部门之间协同与合作，提高</w:t>
      </w:r>
      <w:r>
        <w:rPr>
          <w:spacing w:val="-13"/>
          <w:sz w:val="36"/>
        </w:rPr>
        <w:t>快速反应能力，针对不同污染源所造成的环境污染特点，实施分类管理，充分发挥部门专</w:t>
      </w:r>
      <w:r>
        <w:rPr>
          <w:sz w:val="36"/>
        </w:rPr>
        <w:t>业优势，使采取的措施与突发环境污染事故造成的危害范围和社会影响相适应。</w:t>
      </w:r>
    </w:p>
    <w:p>
      <w:pPr>
        <w:pStyle w:val="ListParagraph"/>
        <w:numPr>
          <w:ilvl w:val="2"/>
          <w:numId w:val="31"/>
        </w:numPr>
        <w:tabs>
          <w:tab w:val="left" w:pos="2330"/>
        </w:tabs>
        <w:spacing w:before="0" w:after="0" w:line="381" w:lineRule="auto"/>
        <w:ind w:left="708" w:right="329" w:firstLine="720"/>
        <w:jc w:val="left"/>
        <w:rPr>
          <w:sz w:val="36"/>
        </w:rPr>
      </w:pPr>
      <w:r>
        <w:rPr>
          <w:sz w:val="36"/>
        </w:rPr>
        <w:t>坚持平战结合，专兼结合，充分利用现有资源，积极做好应对突发环境事件的</w:t>
      </w:r>
      <w:r>
        <w:rPr>
          <w:spacing w:val="-1"/>
          <w:sz w:val="36"/>
        </w:rPr>
        <w:t>思想准备、物资准备、技术准备、工作准备，加强培训演练，应急系统做到常备不懈，在</w:t>
      </w:r>
      <w:r>
        <w:rPr>
          <w:sz w:val="36"/>
        </w:rPr>
        <w:t>应急时快速有效。</w:t>
      </w:r>
    </w:p>
    <w:p>
      <w:pPr>
        <w:pStyle w:val="Heading2"/>
        <w:numPr>
          <w:ilvl w:val="1"/>
          <w:numId w:val="31"/>
        </w:numPr>
        <w:tabs>
          <w:tab w:val="left" w:pos="1468"/>
        </w:tabs>
        <w:spacing w:before="34" w:after="0" w:line="240" w:lineRule="auto"/>
        <w:ind w:left="1468" w:right="0" w:hanging="760"/>
        <w:jc w:val="left"/>
      </w:pPr>
      <w:bookmarkStart w:id="3" w:name="_TOC_250027"/>
      <w:bookmarkEnd w:id="3"/>
      <w:r>
        <w:t>编制依据</w:t>
      </w:r>
    </w:p>
    <w:p>
      <w:pPr>
        <w:pStyle w:val="BodyText"/>
        <w:spacing w:before="10"/>
        <w:rPr>
          <w:b/>
          <w:sz w:val="31"/>
        </w:rPr>
      </w:pPr>
    </w:p>
    <w:p>
      <w:pPr>
        <w:pStyle w:val="Heading3"/>
        <w:numPr>
          <w:ilvl w:val="2"/>
          <w:numId w:val="30"/>
        </w:numPr>
        <w:tabs>
          <w:tab w:val="left" w:pos="1706"/>
        </w:tabs>
        <w:spacing w:before="0" w:after="0" w:line="240" w:lineRule="auto"/>
        <w:ind w:left="1705" w:right="0" w:hanging="998"/>
        <w:jc w:val="left"/>
      </w:pPr>
      <w:r>
        <w:t>国家法律、法规和文件</w:t>
      </w:r>
    </w:p>
    <w:p>
      <w:pPr>
        <w:pStyle w:val="ListParagraph"/>
        <w:numPr>
          <w:ilvl w:val="0"/>
          <w:numId w:val="29"/>
        </w:numPr>
        <w:tabs>
          <w:tab w:val="left" w:pos="1610"/>
        </w:tabs>
        <w:spacing w:before="273" w:after="0" w:line="240" w:lineRule="auto"/>
        <w:ind w:left="1609" w:right="0" w:hanging="902"/>
        <w:jc w:val="left"/>
        <w:rPr>
          <w:sz w:val="36"/>
        </w:rPr>
      </w:pPr>
      <w:r>
        <w:rPr>
          <w:sz w:val="36"/>
        </w:rPr>
        <w:t>《中华人民共和国环境保护法》（2015.1.1）；</w:t>
      </w:r>
    </w:p>
    <w:p>
      <w:pPr>
        <w:pStyle w:val="ListParagraph"/>
        <w:numPr>
          <w:ilvl w:val="0"/>
          <w:numId w:val="29"/>
        </w:numPr>
        <w:tabs>
          <w:tab w:val="left" w:pos="1610"/>
        </w:tabs>
        <w:spacing w:before="273" w:after="0" w:line="240" w:lineRule="auto"/>
        <w:ind w:left="1609" w:right="0" w:hanging="902"/>
        <w:jc w:val="left"/>
        <w:rPr>
          <w:sz w:val="36"/>
        </w:rPr>
      </w:pPr>
      <w:r>
        <w:rPr>
          <w:sz w:val="36"/>
        </w:rPr>
        <w:t>《中华人民共和国突发事件应对法》(2007.11.1）；</w:t>
      </w:r>
    </w:p>
    <w:p>
      <w:pPr>
        <w:pStyle w:val="ListParagraph"/>
        <w:numPr>
          <w:ilvl w:val="0"/>
          <w:numId w:val="29"/>
        </w:numPr>
        <w:tabs>
          <w:tab w:val="left" w:pos="1610"/>
        </w:tabs>
        <w:spacing w:before="273" w:after="0" w:line="240" w:lineRule="auto"/>
        <w:ind w:left="1609" w:right="0" w:hanging="902"/>
        <w:jc w:val="left"/>
        <w:rPr>
          <w:sz w:val="36"/>
        </w:rPr>
      </w:pPr>
      <w:r>
        <w:rPr>
          <w:sz w:val="36"/>
        </w:rPr>
        <w:t>《中华人民共和国大气污染防治法》（2000.4.29）；</w:t>
      </w:r>
    </w:p>
    <w:p>
      <w:pPr>
        <w:pStyle w:val="ListParagraph"/>
        <w:numPr>
          <w:ilvl w:val="0"/>
          <w:numId w:val="29"/>
        </w:numPr>
        <w:tabs>
          <w:tab w:val="left" w:pos="1610"/>
        </w:tabs>
        <w:spacing w:before="270" w:after="0" w:line="240" w:lineRule="auto"/>
        <w:ind w:left="1609" w:right="0" w:hanging="902"/>
        <w:jc w:val="left"/>
        <w:rPr>
          <w:sz w:val="36"/>
        </w:rPr>
      </w:pPr>
      <w:r>
        <w:rPr>
          <w:sz w:val="36"/>
        </w:rPr>
        <w:t>《中华人民共和国水污染防治法》（2008.2.28）；</w:t>
      </w:r>
    </w:p>
    <w:p>
      <w:pPr>
        <w:pStyle w:val="ListParagraph"/>
        <w:numPr>
          <w:ilvl w:val="0"/>
          <w:numId w:val="29"/>
        </w:numPr>
        <w:tabs>
          <w:tab w:val="left" w:pos="1610"/>
        </w:tabs>
        <w:spacing w:before="273" w:after="0" w:line="240" w:lineRule="auto"/>
        <w:ind w:left="1609" w:right="0" w:hanging="902"/>
        <w:jc w:val="left"/>
        <w:rPr>
          <w:sz w:val="36"/>
        </w:rPr>
      </w:pPr>
      <w:r>
        <w:rPr>
          <w:sz w:val="36"/>
        </w:rPr>
        <w:t>《中华人民共和国固体废物污染环境防治法》（2013.6.29）；</w:t>
      </w:r>
    </w:p>
    <w:p>
      <w:pPr>
        <w:pStyle w:val="ListParagraph"/>
        <w:numPr>
          <w:ilvl w:val="0"/>
          <w:numId w:val="29"/>
        </w:numPr>
        <w:tabs>
          <w:tab w:val="left" w:pos="1610"/>
        </w:tabs>
        <w:spacing w:before="273" w:after="0" w:line="240" w:lineRule="auto"/>
        <w:ind w:left="1609" w:right="0" w:hanging="902"/>
        <w:jc w:val="left"/>
        <w:rPr>
          <w:sz w:val="36"/>
        </w:rPr>
      </w:pPr>
      <w:r>
        <w:rPr>
          <w:sz w:val="36"/>
        </w:rPr>
        <w:t>《中华人民共和国环境噪声污染防治法》（1996.10.29）；</w:t>
      </w:r>
    </w:p>
    <w:p>
      <w:pPr>
        <w:pStyle w:val="ListParagraph"/>
        <w:numPr>
          <w:ilvl w:val="0"/>
          <w:numId w:val="29"/>
        </w:numPr>
        <w:tabs>
          <w:tab w:val="left" w:pos="1610"/>
        </w:tabs>
        <w:spacing w:before="274" w:after="0" w:line="240" w:lineRule="auto"/>
        <w:ind w:left="1609" w:right="0" w:hanging="902"/>
        <w:jc w:val="left"/>
        <w:rPr>
          <w:sz w:val="36"/>
        </w:rPr>
      </w:pPr>
      <w:r>
        <w:rPr>
          <w:sz w:val="36"/>
        </w:rPr>
        <w:t>《中华人民共和国清洁生产促进法》（2012.2.29）；</w:t>
      </w:r>
    </w:p>
    <w:p>
      <w:pPr>
        <w:pStyle w:val="ListParagraph"/>
        <w:numPr>
          <w:ilvl w:val="0"/>
          <w:numId w:val="29"/>
        </w:numPr>
        <w:tabs>
          <w:tab w:val="left" w:pos="1610"/>
        </w:tabs>
        <w:spacing w:before="270" w:after="0" w:line="240" w:lineRule="auto"/>
        <w:ind w:left="1609" w:right="0" w:hanging="902"/>
        <w:jc w:val="left"/>
        <w:rPr>
          <w:sz w:val="36"/>
        </w:rPr>
      </w:pPr>
      <w:r>
        <w:rPr>
          <w:sz w:val="36"/>
        </w:rPr>
        <w:t>《中华人民共和国安全生产法》（2002.11.1）；</w:t>
      </w:r>
    </w:p>
    <w:p>
      <w:pPr>
        <w:pStyle w:val="ListParagraph"/>
        <w:numPr>
          <w:ilvl w:val="0"/>
          <w:numId w:val="29"/>
        </w:numPr>
        <w:tabs>
          <w:tab w:val="left" w:pos="1610"/>
        </w:tabs>
        <w:spacing w:before="273" w:after="0" w:line="240" w:lineRule="auto"/>
        <w:ind w:left="1609" w:right="0" w:hanging="902"/>
        <w:jc w:val="left"/>
        <w:rPr>
          <w:sz w:val="36"/>
        </w:rPr>
      </w:pPr>
      <w:r>
        <w:rPr>
          <w:sz w:val="36"/>
        </w:rPr>
        <w:t>《中华人民共和国节约能源法》（2007.10.28）；</w:t>
      </w:r>
    </w:p>
    <w:p>
      <w:pPr>
        <w:pStyle w:val="ListParagraph"/>
        <w:numPr>
          <w:ilvl w:val="0"/>
          <w:numId w:val="29"/>
        </w:numPr>
        <w:tabs>
          <w:tab w:val="left" w:pos="1790"/>
        </w:tabs>
        <w:spacing w:before="273" w:after="0" w:line="240" w:lineRule="auto"/>
        <w:ind w:left="1789" w:right="0" w:hanging="1082"/>
        <w:jc w:val="left"/>
        <w:rPr>
          <w:sz w:val="36"/>
        </w:rPr>
      </w:pPr>
      <w:r>
        <w:rPr>
          <w:spacing w:val="-19"/>
          <w:sz w:val="36"/>
        </w:rPr>
        <w:t xml:space="preserve">国务院第 </w:t>
      </w:r>
      <w:r>
        <w:rPr>
          <w:sz w:val="36"/>
        </w:rPr>
        <w:t>253</w:t>
      </w:r>
      <w:r>
        <w:rPr>
          <w:spacing w:val="-10"/>
          <w:sz w:val="36"/>
        </w:rPr>
        <w:t xml:space="preserve"> 号令《建设项目环境保护管理条例》</w:t>
      </w:r>
      <w:r>
        <w:rPr>
          <w:sz w:val="36"/>
        </w:rPr>
        <w:t>（1998.11.29）；</w:t>
      </w:r>
    </w:p>
    <w:p>
      <w:pPr>
        <w:pStyle w:val="ListParagraph"/>
        <w:numPr>
          <w:ilvl w:val="0"/>
          <w:numId w:val="29"/>
        </w:numPr>
        <w:tabs>
          <w:tab w:val="left" w:pos="1790"/>
        </w:tabs>
        <w:spacing w:before="273" w:after="0" w:line="240" w:lineRule="auto"/>
        <w:ind w:left="1789" w:right="0" w:hanging="1082"/>
        <w:jc w:val="left"/>
        <w:rPr>
          <w:sz w:val="36"/>
        </w:rPr>
      </w:pPr>
      <w:r>
        <w:rPr>
          <w:spacing w:val="-19"/>
          <w:sz w:val="36"/>
        </w:rPr>
        <w:t xml:space="preserve">国务院第 </w:t>
      </w:r>
      <w:r>
        <w:rPr>
          <w:sz w:val="36"/>
        </w:rPr>
        <w:t>645</w:t>
      </w:r>
      <w:r>
        <w:rPr>
          <w:spacing w:val="-10"/>
          <w:sz w:val="36"/>
        </w:rPr>
        <w:t xml:space="preserve"> 号令《危险化学品安全管理条例》</w:t>
      </w:r>
      <w:r>
        <w:rPr>
          <w:sz w:val="36"/>
        </w:rPr>
        <w:t>（2013.12.7）；</w:t>
      </w:r>
    </w:p>
    <w:p>
      <w:pPr>
        <w:pStyle w:val="ListParagraph"/>
        <w:numPr>
          <w:ilvl w:val="0"/>
          <w:numId w:val="29"/>
        </w:numPr>
        <w:tabs>
          <w:tab w:val="left" w:pos="1790"/>
        </w:tabs>
        <w:spacing w:before="270" w:after="0" w:line="240" w:lineRule="auto"/>
        <w:ind w:left="1789" w:right="0" w:hanging="1082"/>
        <w:jc w:val="left"/>
        <w:rPr>
          <w:sz w:val="36"/>
        </w:rPr>
      </w:pPr>
      <w:r>
        <w:rPr>
          <w:spacing w:val="-9"/>
          <w:sz w:val="36"/>
        </w:rPr>
        <w:t xml:space="preserve">国家环境保护总局令第 </w:t>
      </w:r>
      <w:r>
        <w:rPr>
          <w:sz w:val="36"/>
        </w:rPr>
        <w:t>27</w:t>
      </w:r>
      <w:r>
        <w:rPr>
          <w:spacing w:val="-21"/>
          <w:sz w:val="36"/>
        </w:rPr>
        <w:t xml:space="preserve"> 号《废弃危险化学品污染环境防治办法》</w:t>
      </w:r>
      <w:r>
        <w:rPr>
          <w:spacing w:val="-6"/>
          <w:sz w:val="36"/>
        </w:rPr>
        <w:t>（2005.8.30）；</w:t>
      </w:r>
    </w:p>
    <w:p>
      <w:pPr>
        <w:pStyle w:val="ListParagraph"/>
        <w:numPr>
          <w:ilvl w:val="0"/>
          <w:numId w:val="29"/>
        </w:numPr>
        <w:tabs>
          <w:tab w:val="left" w:pos="1790"/>
        </w:tabs>
        <w:spacing w:before="273" w:after="0" w:line="240" w:lineRule="auto"/>
        <w:ind w:left="1789" w:right="0" w:hanging="1082"/>
        <w:jc w:val="left"/>
        <w:rPr>
          <w:sz w:val="36"/>
        </w:rPr>
      </w:pPr>
      <w:r>
        <w:rPr>
          <w:sz w:val="36"/>
        </w:rPr>
        <w:t>《关于加强环境影响评价管理防范环境风险的通知》（环发[2005]152</w:t>
      </w:r>
      <w:r>
        <w:rPr>
          <w:spacing w:val="-45"/>
          <w:sz w:val="36"/>
        </w:rPr>
        <w:t xml:space="preserve"> 号</w:t>
      </w:r>
      <w:r>
        <w:rPr>
          <w:sz w:val="36"/>
        </w:rPr>
        <w:t>）；</w:t>
      </w:r>
    </w:p>
    <w:p>
      <w:pPr>
        <w:spacing w:after="0" w:line="240" w:lineRule="auto"/>
        <w:jc w:val="left"/>
        <w:rPr>
          <w:sz w:val="36"/>
        </w:rPr>
        <w:sectPr>
          <w:headerReference w:type="default" r:id="rId10"/>
          <w:footerReference w:type="default" r:id="rId11"/>
          <w:pgSz w:w="17860" w:h="25260"/>
          <w:pgMar w:top="1380" w:right="1360" w:bottom="2020" w:left="1420" w:header="1083" w:footer="1826"/>
          <w:pgNumType w:start="4"/>
          <w:cols w:space="708"/>
        </w:sectPr>
      </w:pPr>
    </w:p>
    <w:p>
      <w:pPr>
        <w:pStyle w:val="BodyText"/>
        <w:rPr>
          <w:sz w:val="20"/>
        </w:rPr>
      </w:pPr>
    </w:p>
    <w:p>
      <w:pPr>
        <w:pStyle w:val="BodyText"/>
        <w:spacing w:before="7"/>
        <w:rPr>
          <w:sz w:val="20"/>
        </w:rPr>
      </w:pPr>
    </w:p>
    <w:p>
      <w:pPr>
        <w:pStyle w:val="ListParagraph"/>
        <w:numPr>
          <w:ilvl w:val="0"/>
          <w:numId w:val="29"/>
        </w:numPr>
        <w:tabs>
          <w:tab w:val="left" w:pos="1790"/>
        </w:tabs>
        <w:spacing w:before="50" w:after="0" w:line="381" w:lineRule="auto"/>
        <w:ind w:left="708" w:right="504" w:firstLine="0"/>
        <w:jc w:val="left"/>
        <w:rPr>
          <w:sz w:val="36"/>
        </w:rPr>
      </w:pPr>
      <w:r>
        <w:rPr>
          <w:spacing w:val="-5"/>
          <w:sz w:val="36"/>
        </w:rPr>
        <w:t>《关于印发&lt;石油化工企业环境应急预案编制指南&gt;的通知》</w:t>
      </w:r>
      <w:r>
        <w:rPr>
          <w:sz w:val="36"/>
        </w:rPr>
        <w:t>（环境保护部办公厅</w:t>
      </w:r>
      <w:r>
        <w:rPr>
          <w:spacing w:val="-8"/>
          <w:sz w:val="36"/>
        </w:rPr>
        <w:t>环办</w:t>
      </w:r>
      <w:r>
        <w:rPr>
          <w:sz w:val="36"/>
        </w:rPr>
        <w:t>[2010]10</w:t>
      </w:r>
      <w:r>
        <w:rPr>
          <w:spacing w:val="-31"/>
          <w:sz w:val="36"/>
        </w:rPr>
        <w:t xml:space="preserve"> 号文</w:t>
      </w:r>
      <w:r>
        <w:rPr>
          <w:sz w:val="36"/>
        </w:rPr>
        <w:t>）；</w:t>
      </w:r>
    </w:p>
    <w:p>
      <w:pPr>
        <w:pStyle w:val="ListParagraph"/>
        <w:numPr>
          <w:ilvl w:val="0"/>
          <w:numId w:val="29"/>
        </w:numPr>
        <w:tabs>
          <w:tab w:val="left" w:pos="1819"/>
        </w:tabs>
        <w:spacing w:before="0" w:after="0" w:line="381" w:lineRule="auto"/>
        <w:ind w:left="708" w:right="666" w:firstLine="0"/>
        <w:jc w:val="left"/>
        <w:rPr>
          <w:sz w:val="36"/>
        </w:rPr>
      </w:pPr>
      <w:r>
        <w:rPr>
          <w:sz w:val="36"/>
        </w:rPr>
        <w:t>《关于印发&lt;突发环境事件应急预案管理暂行办法 &gt;的通知》（</w:t>
      </w:r>
      <w:r>
        <w:rPr>
          <w:spacing w:val="-3"/>
          <w:sz w:val="36"/>
        </w:rPr>
        <w:t>环境保护部环发</w:t>
      </w:r>
      <w:r>
        <w:rPr>
          <w:sz w:val="36"/>
        </w:rPr>
        <w:t>[2010]113</w:t>
      </w:r>
      <w:r>
        <w:rPr>
          <w:spacing w:val="-31"/>
          <w:sz w:val="36"/>
        </w:rPr>
        <w:t xml:space="preserve"> 号文</w:t>
      </w:r>
      <w:r>
        <w:rPr>
          <w:sz w:val="36"/>
        </w:rPr>
        <w:t>）；</w:t>
      </w:r>
    </w:p>
    <w:p>
      <w:pPr>
        <w:pStyle w:val="ListParagraph"/>
        <w:numPr>
          <w:ilvl w:val="0"/>
          <w:numId w:val="29"/>
        </w:numPr>
        <w:tabs>
          <w:tab w:val="left" w:pos="1790"/>
        </w:tabs>
        <w:spacing w:before="0" w:after="0" w:line="381" w:lineRule="auto"/>
        <w:ind w:left="708" w:right="505" w:firstLine="0"/>
        <w:jc w:val="left"/>
        <w:rPr>
          <w:sz w:val="36"/>
        </w:rPr>
      </w:pPr>
      <w:r>
        <w:rPr>
          <w:spacing w:val="-4"/>
          <w:sz w:val="36"/>
        </w:rPr>
        <w:t>《关于开展全国重点行业企业环境风险及化学品检查工作的通知》</w:t>
      </w:r>
      <w:r>
        <w:rPr>
          <w:sz w:val="36"/>
        </w:rPr>
        <w:t>（环境保护部</w:t>
      </w:r>
      <w:r>
        <w:rPr>
          <w:spacing w:val="-4"/>
          <w:sz w:val="36"/>
        </w:rPr>
        <w:t>办公厅环办</w:t>
      </w:r>
      <w:r>
        <w:rPr>
          <w:sz w:val="36"/>
        </w:rPr>
        <w:t>[2010]13</w:t>
      </w:r>
      <w:r>
        <w:rPr>
          <w:spacing w:val="-30"/>
          <w:sz w:val="36"/>
        </w:rPr>
        <w:t xml:space="preserve"> 号文</w:t>
      </w:r>
      <w:r>
        <w:rPr>
          <w:sz w:val="36"/>
        </w:rPr>
        <w:t>）；</w:t>
      </w:r>
    </w:p>
    <w:p>
      <w:pPr>
        <w:pStyle w:val="ListParagraph"/>
        <w:numPr>
          <w:ilvl w:val="0"/>
          <w:numId w:val="29"/>
        </w:numPr>
        <w:tabs>
          <w:tab w:val="left" w:pos="1790"/>
        </w:tabs>
        <w:spacing w:before="0" w:after="0" w:line="460" w:lineRule="exact"/>
        <w:ind w:left="1789" w:right="0" w:hanging="1082"/>
        <w:jc w:val="left"/>
        <w:rPr>
          <w:sz w:val="36"/>
        </w:rPr>
      </w:pPr>
      <w:r>
        <w:rPr>
          <w:sz w:val="36"/>
        </w:rPr>
        <w:t>《关于印发&lt;全国重点行业企业环境风险及化学品检查质量核查工作方案&gt;的通知》</w:t>
      </w:r>
    </w:p>
    <w:p>
      <w:pPr>
        <w:pStyle w:val="BodyText"/>
        <w:spacing w:before="274"/>
        <w:ind w:left="708"/>
      </w:pPr>
      <w:r>
        <w:t>（环境保护部办公厅环办[2010]109 号文）；</w:t>
      </w:r>
    </w:p>
    <w:p>
      <w:pPr>
        <w:pStyle w:val="ListParagraph"/>
        <w:numPr>
          <w:ilvl w:val="0"/>
          <w:numId w:val="29"/>
        </w:numPr>
        <w:tabs>
          <w:tab w:val="left" w:pos="1790"/>
        </w:tabs>
        <w:spacing w:before="273" w:after="0" w:line="381" w:lineRule="auto"/>
        <w:ind w:left="708" w:right="505" w:firstLine="0"/>
        <w:jc w:val="left"/>
        <w:rPr>
          <w:sz w:val="36"/>
        </w:rPr>
      </w:pPr>
      <w:r>
        <w:rPr>
          <w:spacing w:val="-3"/>
          <w:sz w:val="36"/>
        </w:rPr>
        <w:t>《关于开展全国重点行业企业环境风险及化学品检查验收工作的通知》</w:t>
      </w:r>
      <w:r>
        <w:rPr>
          <w:sz w:val="36"/>
        </w:rPr>
        <w:t>（环境保</w:t>
      </w:r>
      <w:r>
        <w:rPr>
          <w:spacing w:val="-4"/>
          <w:sz w:val="36"/>
        </w:rPr>
        <w:t>护部办公厅环办</w:t>
      </w:r>
      <w:r>
        <w:rPr>
          <w:sz w:val="36"/>
        </w:rPr>
        <w:t>[2011]25</w:t>
      </w:r>
      <w:r>
        <w:rPr>
          <w:spacing w:val="-30"/>
          <w:sz w:val="36"/>
        </w:rPr>
        <w:t xml:space="preserve"> 号文</w:t>
      </w:r>
      <w:r>
        <w:rPr>
          <w:sz w:val="36"/>
        </w:rPr>
        <w:t>）。</w:t>
      </w:r>
    </w:p>
    <w:p>
      <w:pPr>
        <w:pStyle w:val="Heading3"/>
        <w:numPr>
          <w:ilvl w:val="2"/>
          <w:numId w:val="30"/>
        </w:numPr>
        <w:tabs>
          <w:tab w:val="left" w:pos="1706"/>
        </w:tabs>
        <w:spacing w:before="0" w:after="0" w:line="460" w:lineRule="exact"/>
        <w:ind w:left="1705" w:right="0" w:hanging="998"/>
        <w:jc w:val="left"/>
      </w:pPr>
      <w:r>
        <w:t>地方法规和文件</w:t>
      </w:r>
    </w:p>
    <w:p>
      <w:pPr>
        <w:pStyle w:val="ListParagraph"/>
        <w:numPr>
          <w:ilvl w:val="0"/>
          <w:numId w:val="28"/>
        </w:numPr>
        <w:tabs>
          <w:tab w:val="left" w:pos="1610"/>
        </w:tabs>
        <w:spacing w:before="273" w:after="0" w:line="240" w:lineRule="auto"/>
        <w:ind w:left="1609" w:right="0" w:hanging="902"/>
        <w:jc w:val="left"/>
        <w:rPr>
          <w:sz w:val="36"/>
        </w:rPr>
      </w:pPr>
      <w:r>
        <w:rPr>
          <w:sz w:val="36"/>
        </w:rPr>
        <w:t>《山东省环境保护条例》（</w:t>
      </w:r>
      <w:r>
        <w:rPr>
          <w:spacing w:val="-13"/>
          <w:sz w:val="36"/>
        </w:rPr>
        <w:t xml:space="preserve">山东省人大第 </w:t>
      </w:r>
      <w:r>
        <w:rPr>
          <w:sz w:val="36"/>
        </w:rPr>
        <w:t>99</w:t>
      </w:r>
      <w:r>
        <w:rPr>
          <w:spacing w:val="-23"/>
          <w:sz w:val="36"/>
        </w:rPr>
        <w:t xml:space="preserve"> 号公告</w:t>
      </w:r>
      <w:r>
        <w:rPr>
          <w:sz w:val="36"/>
        </w:rPr>
        <w:t>，2001.12.7</w:t>
      </w:r>
      <w:r>
        <w:rPr>
          <w:spacing w:val="-30"/>
          <w:sz w:val="36"/>
        </w:rPr>
        <w:t xml:space="preserve"> 修正</w:t>
      </w:r>
      <w:r>
        <w:rPr>
          <w:sz w:val="36"/>
        </w:rPr>
        <w:t>）；</w:t>
      </w:r>
    </w:p>
    <w:p>
      <w:pPr>
        <w:pStyle w:val="ListParagraph"/>
        <w:numPr>
          <w:ilvl w:val="0"/>
          <w:numId w:val="28"/>
        </w:numPr>
        <w:tabs>
          <w:tab w:val="left" w:pos="1610"/>
        </w:tabs>
        <w:spacing w:before="273" w:after="0" w:line="240" w:lineRule="auto"/>
        <w:ind w:left="1609" w:right="0" w:hanging="902"/>
        <w:jc w:val="left"/>
        <w:rPr>
          <w:sz w:val="36"/>
        </w:rPr>
      </w:pPr>
      <w:r>
        <w:rPr>
          <w:sz w:val="36"/>
        </w:rPr>
        <w:t>《山东省水污染防治条例》（山东省人大常委会，2000.10）；</w:t>
      </w:r>
    </w:p>
    <w:p>
      <w:pPr>
        <w:pStyle w:val="ListParagraph"/>
        <w:numPr>
          <w:ilvl w:val="0"/>
          <w:numId w:val="28"/>
        </w:numPr>
        <w:tabs>
          <w:tab w:val="left" w:pos="1610"/>
        </w:tabs>
        <w:spacing w:before="274" w:after="0" w:line="240" w:lineRule="auto"/>
        <w:ind w:left="1609" w:right="0" w:hanging="902"/>
        <w:jc w:val="left"/>
        <w:rPr>
          <w:sz w:val="36"/>
        </w:rPr>
      </w:pPr>
      <w:r>
        <w:rPr>
          <w:spacing w:val="-1"/>
          <w:sz w:val="36"/>
        </w:rPr>
        <w:t>《山东省实施&lt;中华人民共和国大气污染防治法&gt;办法</w:t>
      </w:r>
      <w:r>
        <w:rPr>
          <w:spacing w:val="-303"/>
          <w:sz w:val="36"/>
        </w:rPr>
        <w:t>》</w:t>
      </w:r>
      <w:r>
        <w:rPr>
          <w:sz w:val="36"/>
        </w:rPr>
        <w:t>（</w:t>
      </w:r>
      <w:r>
        <w:rPr>
          <w:spacing w:val="-17"/>
          <w:sz w:val="36"/>
        </w:rPr>
        <w:t>山东省人大常委会，</w:t>
      </w:r>
      <w:r>
        <w:rPr>
          <w:sz w:val="36"/>
        </w:rPr>
        <w:t>2001.6</w:t>
      </w:r>
      <w:r>
        <w:rPr>
          <w:spacing w:val="-152"/>
          <w:sz w:val="36"/>
        </w:rPr>
        <w:t>）</w:t>
      </w:r>
      <w:r>
        <w:rPr>
          <w:sz w:val="36"/>
        </w:rPr>
        <w:t>；</w:t>
      </w:r>
    </w:p>
    <w:p>
      <w:pPr>
        <w:pStyle w:val="ListParagraph"/>
        <w:numPr>
          <w:ilvl w:val="0"/>
          <w:numId w:val="28"/>
        </w:numPr>
        <w:tabs>
          <w:tab w:val="left" w:pos="1610"/>
        </w:tabs>
        <w:spacing w:before="270" w:after="0" w:line="381" w:lineRule="auto"/>
        <w:ind w:left="708" w:right="509" w:firstLine="0"/>
        <w:jc w:val="left"/>
        <w:rPr>
          <w:sz w:val="36"/>
        </w:rPr>
      </w:pPr>
      <w:r>
        <w:rPr>
          <w:sz w:val="36"/>
        </w:rPr>
        <w:t>《山东省实施&lt;中华人民共和国固体废物污染环境防治法&gt;办法》（</w:t>
      </w:r>
      <w:r>
        <w:rPr>
          <w:spacing w:val="-3"/>
          <w:sz w:val="36"/>
        </w:rPr>
        <w:t>山东省人大常委</w:t>
      </w:r>
      <w:r>
        <w:rPr>
          <w:sz w:val="36"/>
        </w:rPr>
        <w:t>会，2003.1）；</w:t>
      </w:r>
    </w:p>
    <w:p>
      <w:pPr>
        <w:pStyle w:val="ListParagraph"/>
        <w:numPr>
          <w:ilvl w:val="0"/>
          <w:numId w:val="28"/>
        </w:numPr>
        <w:tabs>
          <w:tab w:val="left" w:pos="1617"/>
        </w:tabs>
        <w:spacing w:before="2" w:after="0" w:line="381" w:lineRule="auto"/>
        <w:ind w:left="708" w:right="510" w:firstLine="0"/>
        <w:jc w:val="left"/>
        <w:rPr>
          <w:sz w:val="36"/>
        </w:rPr>
      </w:pPr>
      <w:r>
        <w:rPr>
          <w:sz w:val="36"/>
        </w:rPr>
        <w:t>《山东省实施&lt;中华人民共和国环境影响评价法&gt;办法》（</w:t>
      </w:r>
      <w:r>
        <w:rPr>
          <w:spacing w:val="5"/>
          <w:sz w:val="36"/>
        </w:rPr>
        <w:t xml:space="preserve">山东省人大常委会第 </w:t>
      </w:r>
      <w:r>
        <w:rPr>
          <w:spacing w:val="-8"/>
          <w:sz w:val="36"/>
        </w:rPr>
        <w:t xml:space="preserve">67 </w:t>
      </w:r>
      <w:r>
        <w:rPr>
          <w:sz w:val="36"/>
        </w:rPr>
        <w:t>号，2006.3）；</w:t>
      </w:r>
    </w:p>
    <w:p>
      <w:pPr>
        <w:pStyle w:val="ListParagraph"/>
        <w:numPr>
          <w:ilvl w:val="0"/>
          <w:numId w:val="28"/>
        </w:numPr>
        <w:tabs>
          <w:tab w:val="left" w:pos="1610"/>
        </w:tabs>
        <w:spacing w:before="0" w:after="0" w:line="460" w:lineRule="exact"/>
        <w:ind w:left="1609" w:right="0" w:hanging="902"/>
        <w:jc w:val="left"/>
        <w:rPr>
          <w:sz w:val="36"/>
        </w:rPr>
      </w:pPr>
      <w:r>
        <w:rPr>
          <w:spacing w:val="-8"/>
          <w:sz w:val="36"/>
        </w:rPr>
        <w:t>《关于对环保突出问题处理应掌握的主要原则</w:t>
      </w:r>
      <w:r>
        <w:rPr>
          <w:sz w:val="36"/>
        </w:rPr>
        <w:t>（试行</w:t>
      </w:r>
      <w:r>
        <w:rPr>
          <w:spacing w:val="-159"/>
          <w:sz w:val="36"/>
        </w:rPr>
        <w:t>）</w:t>
      </w:r>
      <w:r>
        <w:rPr>
          <w:spacing w:val="-317"/>
          <w:sz w:val="36"/>
        </w:rPr>
        <w:t>》</w:t>
      </w:r>
      <w:r>
        <w:rPr>
          <w:sz w:val="36"/>
        </w:rPr>
        <w:t>（鲁环发[2007]17</w:t>
      </w:r>
      <w:r>
        <w:rPr>
          <w:spacing w:val="4"/>
          <w:sz w:val="36"/>
        </w:rPr>
        <w:t>8</w:t>
      </w:r>
      <w:r>
        <w:rPr>
          <w:spacing w:val="-159"/>
          <w:sz w:val="36"/>
        </w:rPr>
        <w:t>，</w:t>
      </w:r>
      <w:r>
        <w:rPr>
          <w:sz w:val="36"/>
        </w:rPr>
        <w:t>2007.12</w:t>
      </w:r>
      <w:r>
        <w:rPr>
          <w:spacing w:val="-159"/>
          <w:sz w:val="36"/>
        </w:rPr>
        <w:t>）</w:t>
      </w:r>
      <w:r>
        <w:rPr>
          <w:sz w:val="36"/>
        </w:rPr>
        <w:t>；</w:t>
      </w:r>
    </w:p>
    <w:p>
      <w:pPr>
        <w:pStyle w:val="ListParagraph"/>
        <w:numPr>
          <w:ilvl w:val="0"/>
          <w:numId w:val="28"/>
        </w:numPr>
        <w:tabs>
          <w:tab w:val="left" w:pos="1610"/>
        </w:tabs>
        <w:spacing w:before="273" w:after="0" w:line="240" w:lineRule="auto"/>
        <w:ind w:left="1609" w:right="0" w:hanging="902"/>
        <w:jc w:val="left"/>
        <w:rPr>
          <w:sz w:val="36"/>
        </w:rPr>
      </w:pPr>
      <w:r>
        <w:rPr>
          <w:sz w:val="36"/>
        </w:rPr>
        <w:t>《关于构建全省环境安全防控体系的实施意见》（鲁环发[2009]80</w:t>
      </w:r>
      <w:r>
        <w:rPr>
          <w:spacing w:val="-45"/>
          <w:sz w:val="36"/>
        </w:rPr>
        <w:t xml:space="preserve"> 号</w:t>
      </w:r>
      <w:r>
        <w:rPr>
          <w:sz w:val="36"/>
        </w:rPr>
        <w:t>）；</w:t>
      </w:r>
    </w:p>
    <w:p>
      <w:pPr>
        <w:pStyle w:val="ListParagraph"/>
        <w:numPr>
          <w:ilvl w:val="0"/>
          <w:numId w:val="28"/>
        </w:numPr>
        <w:tabs>
          <w:tab w:val="left" w:pos="1646"/>
          <w:tab w:val="left" w:pos="12205"/>
        </w:tabs>
        <w:spacing w:before="273" w:after="0" w:line="381" w:lineRule="auto"/>
        <w:ind w:left="708" w:right="517" w:firstLine="0"/>
        <w:jc w:val="left"/>
        <w:rPr>
          <w:sz w:val="36"/>
        </w:rPr>
      </w:pPr>
      <w:r>
        <w:rPr>
          <w:sz w:val="36"/>
        </w:rPr>
        <w:t>《关于进一步加强危险化学品安全生产工作的意见》（鲁政办发</w:t>
        <w:tab/>
        <w:t>[2008]68</w:t>
      </w:r>
      <w:r>
        <w:rPr>
          <w:spacing w:val="14"/>
          <w:sz w:val="36"/>
        </w:rPr>
        <w:t xml:space="preserve"> </w:t>
      </w:r>
      <w:r>
        <w:rPr>
          <w:sz w:val="36"/>
        </w:rPr>
        <w:t>号</w:t>
      </w:r>
      <w:r>
        <w:rPr>
          <w:spacing w:val="-17"/>
          <w:sz w:val="36"/>
        </w:rPr>
        <w:t xml:space="preserve">， </w:t>
      </w:r>
      <w:r>
        <w:rPr>
          <w:sz w:val="36"/>
        </w:rPr>
        <w:t>2008.12）；</w:t>
      </w:r>
    </w:p>
    <w:p>
      <w:pPr>
        <w:pStyle w:val="ListParagraph"/>
        <w:numPr>
          <w:ilvl w:val="0"/>
          <w:numId w:val="28"/>
        </w:numPr>
        <w:tabs>
          <w:tab w:val="left" w:pos="1610"/>
        </w:tabs>
        <w:spacing w:before="0" w:after="0" w:line="461" w:lineRule="exact"/>
        <w:ind w:left="1609" w:right="0" w:hanging="902"/>
        <w:jc w:val="left"/>
        <w:rPr>
          <w:sz w:val="36"/>
        </w:rPr>
      </w:pPr>
      <w:r>
        <w:rPr>
          <w:sz w:val="36"/>
        </w:rPr>
        <w:t>《关于做好环境应急预案评估工作的通知》（环函[2011]66</w:t>
      </w:r>
      <w:r>
        <w:rPr>
          <w:spacing w:val="-45"/>
          <w:sz w:val="36"/>
        </w:rPr>
        <w:t xml:space="preserve"> 号</w:t>
      </w:r>
      <w:r>
        <w:rPr>
          <w:sz w:val="36"/>
        </w:rPr>
        <w:t>）；</w:t>
      </w:r>
    </w:p>
    <w:p>
      <w:pPr>
        <w:pStyle w:val="ListParagraph"/>
        <w:numPr>
          <w:ilvl w:val="0"/>
          <w:numId w:val="28"/>
        </w:numPr>
        <w:tabs>
          <w:tab w:val="left" w:pos="1790"/>
        </w:tabs>
        <w:spacing w:before="273" w:after="0" w:line="240" w:lineRule="auto"/>
        <w:ind w:left="1789" w:right="0" w:hanging="1082"/>
        <w:jc w:val="left"/>
        <w:rPr>
          <w:sz w:val="36"/>
        </w:rPr>
      </w:pPr>
      <w:r>
        <w:rPr>
          <w:sz w:val="36"/>
        </w:rPr>
        <w:t>《某某市城市总体规划（2011-2020 年）》；</w:t>
      </w:r>
    </w:p>
    <w:p>
      <w:pPr>
        <w:pStyle w:val="ListParagraph"/>
        <w:numPr>
          <w:ilvl w:val="0"/>
          <w:numId w:val="28"/>
        </w:numPr>
        <w:tabs>
          <w:tab w:val="left" w:pos="1790"/>
        </w:tabs>
        <w:spacing w:before="273" w:after="0" w:line="240" w:lineRule="auto"/>
        <w:ind w:left="1789" w:right="0" w:hanging="1082"/>
        <w:jc w:val="left"/>
        <w:rPr>
          <w:sz w:val="36"/>
        </w:rPr>
      </w:pPr>
      <w:r>
        <w:rPr>
          <w:sz w:val="36"/>
        </w:rPr>
        <w:t>《某某市生态建设总体规划（2003-2020）》；</w:t>
      </w:r>
    </w:p>
    <w:p>
      <w:pPr>
        <w:pStyle w:val="ListParagraph"/>
        <w:numPr>
          <w:ilvl w:val="0"/>
          <w:numId w:val="28"/>
        </w:numPr>
        <w:tabs>
          <w:tab w:val="left" w:pos="1790"/>
        </w:tabs>
        <w:spacing w:before="274" w:after="0" w:line="240" w:lineRule="auto"/>
        <w:ind w:left="1789" w:right="0" w:hanging="1082"/>
        <w:jc w:val="left"/>
        <w:rPr>
          <w:sz w:val="36"/>
        </w:rPr>
      </w:pPr>
      <w:r>
        <w:rPr>
          <w:sz w:val="36"/>
        </w:rPr>
        <w:t>《某某市环境保护“十二五”规划》；</w:t>
      </w:r>
    </w:p>
    <w:p>
      <w:pPr>
        <w:pStyle w:val="ListParagraph"/>
        <w:numPr>
          <w:ilvl w:val="0"/>
          <w:numId w:val="28"/>
        </w:numPr>
        <w:tabs>
          <w:tab w:val="left" w:pos="1790"/>
        </w:tabs>
        <w:spacing w:before="269" w:after="0" w:line="240" w:lineRule="auto"/>
        <w:ind w:left="1789" w:right="0" w:hanging="1082"/>
        <w:jc w:val="left"/>
        <w:rPr>
          <w:sz w:val="36"/>
        </w:rPr>
      </w:pPr>
      <w:r>
        <w:rPr>
          <w:sz w:val="36"/>
        </w:rPr>
        <w:t>《某某市国民经济和社会发展第十二个五年规划纲要》（东政发[2011]5 号）；</w:t>
      </w:r>
    </w:p>
    <w:p>
      <w:pPr>
        <w:spacing w:after="0" w:line="240" w:lineRule="auto"/>
        <w:jc w:val="left"/>
        <w:rPr>
          <w:sz w:val="36"/>
        </w:rPr>
        <w:sectPr>
          <w:headerReference w:type="default" r:id="rId12"/>
          <w:footerReference w:type="default" r:id="rId13"/>
          <w:pgSz w:w="17860" w:h="25260"/>
          <w:pgMar w:top="1380" w:right="1360" w:bottom="2020" w:left="1420" w:header="1083" w:footer="1826"/>
          <w:pgNumType w:start="5"/>
          <w:cols w:space="708"/>
        </w:sectPr>
      </w:pPr>
    </w:p>
    <w:p>
      <w:pPr>
        <w:pStyle w:val="BodyText"/>
        <w:rPr>
          <w:sz w:val="20"/>
        </w:rPr>
      </w:pPr>
    </w:p>
    <w:p>
      <w:pPr>
        <w:pStyle w:val="BodyText"/>
        <w:spacing w:before="7"/>
        <w:rPr>
          <w:sz w:val="20"/>
        </w:rPr>
      </w:pPr>
    </w:p>
    <w:p>
      <w:pPr>
        <w:pStyle w:val="ListParagraph"/>
        <w:numPr>
          <w:ilvl w:val="0"/>
          <w:numId w:val="28"/>
        </w:numPr>
        <w:tabs>
          <w:tab w:val="left" w:pos="1790"/>
        </w:tabs>
        <w:spacing w:before="50" w:after="0" w:line="240" w:lineRule="auto"/>
        <w:ind w:left="1789" w:right="0" w:hanging="1082"/>
        <w:jc w:val="left"/>
        <w:rPr>
          <w:sz w:val="36"/>
        </w:rPr>
      </w:pPr>
      <w:r>
        <w:rPr>
          <w:sz w:val="36"/>
        </w:rPr>
        <w:t>《某某市人民政府关于印发 &lt;某某市城市区域环境噪声适用区调整方案&gt;的通知》</w:t>
      </w:r>
    </w:p>
    <w:p>
      <w:pPr>
        <w:pStyle w:val="BodyText"/>
        <w:spacing w:before="273"/>
        <w:ind w:left="708"/>
      </w:pPr>
      <w:r>
        <w:t>（东政字[2003]11 号）；</w:t>
      </w:r>
    </w:p>
    <w:p>
      <w:pPr>
        <w:pStyle w:val="ListParagraph"/>
        <w:numPr>
          <w:ilvl w:val="0"/>
          <w:numId w:val="28"/>
        </w:numPr>
        <w:tabs>
          <w:tab w:val="left" w:pos="1790"/>
        </w:tabs>
        <w:spacing w:before="269" w:after="0" w:line="381" w:lineRule="auto"/>
        <w:ind w:left="708" w:right="503" w:firstLine="0"/>
        <w:jc w:val="left"/>
        <w:rPr>
          <w:sz w:val="36"/>
        </w:rPr>
      </w:pPr>
      <w:r>
        <w:rPr>
          <w:spacing w:val="-4"/>
          <w:sz w:val="36"/>
        </w:rPr>
        <w:t>《某某市人民政府关于印发&lt;某某市环境空气质量功能区划分方案&gt;的通知》</w:t>
      </w:r>
      <w:r>
        <w:rPr>
          <w:sz w:val="36"/>
        </w:rPr>
        <w:t>（东</w:t>
      </w:r>
      <w:r>
        <w:rPr>
          <w:spacing w:val="-8"/>
          <w:sz w:val="36"/>
        </w:rPr>
        <w:t>政字</w:t>
      </w:r>
      <w:r>
        <w:rPr>
          <w:sz w:val="36"/>
        </w:rPr>
        <w:t>[2003]14</w:t>
      </w:r>
      <w:r>
        <w:rPr>
          <w:spacing w:val="-1"/>
          <w:sz w:val="36"/>
        </w:rPr>
        <w:t xml:space="preserve"> 号</w:t>
      </w:r>
      <w:r>
        <w:rPr>
          <w:sz w:val="36"/>
        </w:rPr>
        <w:t>）；</w:t>
      </w:r>
    </w:p>
    <w:p>
      <w:pPr>
        <w:pStyle w:val="BodyText"/>
        <w:spacing w:before="2" w:line="381" w:lineRule="auto"/>
        <w:ind w:left="708" w:right="508"/>
      </w:pPr>
      <w:r>
        <w:t>（16</w:t>
      </w:r>
      <w:r>
        <w:rPr>
          <w:spacing w:val="-15"/>
        </w:rPr>
        <w:t>)《某某市人民政府关于印发 &lt;某某市地表水环境质量功能区划调整方案&gt;的通知</w:t>
      </w:r>
      <w:r>
        <w:rPr>
          <w:spacing w:val="-360"/>
        </w:rPr>
        <w:t>》</w:t>
      </w:r>
      <w:r>
        <w:t>（</w:t>
      </w:r>
      <w:r>
        <w:rPr>
          <w:spacing w:val="-17"/>
        </w:rPr>
        <w:t>东</w:t>
      </w:r>
      <w:r>
        <w:t>政字[2003]21</w:t>
      </w:r>
      <w:r>
        <w:rPr>
          <w:spacing w:val="-1"/>
        </w:rPr>
        <w:t xml:space="preserve"> 号</w:t>
      </w:r>
      <w:r>
        <w:t>）；</w:t>
      </w:r>
    </w:p>
    <w:p>
      <w:pPr>
        <w:pStyle w:val="ListParagraph"/>
        <w:numPr>
          <w:ilvl w:val="0"/>
          <w:numId w:val="27"/>
        </w:numPr>
        <w:tabs>
          <w:tab w:val="left" w:pos="1790"/>
        </w:tabs>
        <w:spacing w:before="0" w:after="0" w:line="460" w:lineRule="exact"/>
        <w:ind w:left="1789" w:right="0" w:hanging="1082"/>
        <w:jc w:val="left"/>
        <w:rPr>
          <w:sz w:val="36"/>
        </w:rPr>
      </w:pPr>
      <w:r>
        <w:rPr>
          <w:sz w:val="36"/>
        </w:rPr>
        <w:t>《某某市“十二五”工业发展规划》；</w:t>
      </w:r>
    </w:p>
    <w:p>
      <w:pPr>
        <w:pStyle w:val="ListParagraph"/>
        <w:numPr>
          <w:ilvl w:val="0"/>
          <w:numId w:val="27"/>
        </w:numPr>
        <w:tabs>
          <w:tab w:val="left" w:pos="1790"/>
        </w:tabs>
        <w:spacing w:before="274" w:after="0" w:line="381" w:lineRule="auto"/>
        <w:ind w:left="708" w:right="505" w:firstLine="0"/>
        <w:jc w:val="left"/>
        <w:rPr>
          <w:sz w:val="36"/>
        </w:rPr>
      </w:pPr>
      <w:r>
        <w:rPr>
          <w:spacing w:val="-3"/>
          <w:sz w:val="36"/>
        </w:rPr>
        <w:t>《某某市人民政府办公室关于加强流域污染综合治理改善河流水质的通知》</w:t>
      </w:r>
      <w:r>
        <w:rPr>
          <w:sz w:val="36"/>
        </w:rPr>
        <w:t>（东</w:t>
      </w:r>
      <w:r>
        <w:rPr>
          <w:spacing w:val="-6"/>
          <w:sz w:val="36"/>
        </w:rPr>
        <w:t>政办字</w:t>
      </w:r>
      <w:r>
        <w:rPr>
          <w:sz w:val="36"/>
        </w:rPr>
        <w:t>[2009]115</w:t>
      </w:r>
      <w:r>
        <w:rPr>
          <w:spacing w:val="-46"/>
          <w:sz w:val="36"/>
        </w:rPr>
        <w:t xml:space="preserve"> 号</w:t>
      </w:r>
      <w:r>
        <w:rPr>
          <w:sz w:val="36"/>
        </w:rPr>
        <w:t>）；</w:t>
      </w:r>
    </w:p>
    <w:p>
      <w:pPr>
        <w:pStyle w:val="ListParagraph"/>
        <w:numPr>
          <w:ilvl w:val="0"/>
          <w:numId w:val="27"/>
        </w:numPr>
        <w:tabs>
          <w:tab w:val="left" w:pos="1790"/>
        </w:tabs>
        <w:spacing w:before="2" w:after="0" w:line="240" w:lineRule="auto"/>
        <w:ind w:left="1789" w:right="0" w:hanging="1082"/>
        <w:jc w:val="left"/>
        <w:rPr>
          <w:sz w:val="36"/>
        </w:rPr>
      </w:pPr>
      <w:r>
        <w:rPr>
          <w:sz w:val="36"/>
        </w:rPr>
        <w:t>《关于实施固定源大气颗粒物综合排放标准的通知》（东环发[2012]7</w:t>
      </w:r>
      <w:r>
        <w:rPr>
          <w:spacing w:val="-45"/>
          <w:sz w:val="36"/>
        </w:rPr>
        <w:t xml:space="preserve"> 号</w:t>
      </w:r>
      <w:r>
        <w:rPr>
          <w:sz w:val="36"/>
        </w:rPr>
        <w:t>）；</w:t>
      </w:r>
    </w:p>
    <w:p>
      <w:pPr>
        <w:pStyle w:val="ListParagraph"/>
        <w:numPr>
          <w:ilvl w:val="0"/>
          <w:numId w:val="27"/>
        </w:numPr>
        <w:tabs>
          <w:tab w:val="left" w:pos="1790"/>
        </w:tabs>
        <w:spacing w:before="270" w:after="0" w:line="240" w:lineRule="auto"/>
        <w:ind w:left="1789" w:right="0" w:hanging="1082"/>
        <w:jc w:val="left"/>
        <w:rPr>
          <w:sz w:val="36"/>
        </w:rPr>
      </w:pPr>
      <w:r>
        <w:rPr>
          <w:spacing w:val="-11"/>
          <w:sz w:val="36"/>
        </w:rPr>
        <w:t>《某某市人民政府关于印发某某市“十二五”节能减排综合性工作实施方案的通知》</w:t>
      </w:r>
    </w:p>
    <w:p>
      <w:pPr>
        <w:pStyle w:val="BodyText"/>
        <w:spacing w:before="273"/>
        <w:ind w:left="708"/>
      </w:pPr>
      <w:r>
        <w:t>（东政发[2012]10 号）；</w:t>
      </w:r>
    </w:p>
    <w:p>
      <w:pPr>
        <w:pStyle w:val="ListParagraph"/>
        <w:numPr>
          <w:ilvl w:val="0"/>
          <w:numId w:val="27"/>
        </w:numPr>
        <w:tabs>
          <w:tab w:val="left" w:pos="1790"/>
        </w:tabs>
        <w:spacing w:before="273" w:after="0" w:line="381" w:lineRule="auto"/>
        <w:ind w:left="708" w:right="504" w:firstLine="0"/>
        <w:jc w:val="left"/>
        <w:rPr>
          <w:sz w:val="36"/>
        </w:rPr>
      </w:pPr>
      <w:r>
        <w:rPr>
          <w:spacing w:val="-3"/>
          <w:sz w:val="36"/>
        </w:rPr>
        <w:t>《某某市人民政府办公室关于印发某某市公共环境改善工程实施方案的通知》</w:t>
      </w:r>
      <w:r>
        <w:rPr>
          <w:sz w:val="36"/>
        </w:rPr>
        <w:t xml:space="preserve">（ </w:t>
      </w:r>
      <w:r>
        <w:rPr>
          <w:spacing w:val="-5"/>
          <w:sz w:val="36"/>
        </w:rPr>
        <w:t>东政办字</w:t>
      </w:r>
      <w:r>
        <w:rPr>
          <w:sz w:val="36"/>
        </w:rPr>
        <w:t>[2012]27</w:t>
      </w:r>
      <w:r>
        <w:rPr>
          <w:spacing w:val="-45"/>
          <w:sz w:val="36"/>
        </w:rPr>
        <w:t xml:space="preserve"> 号</w:t>
      </w:r>
      <w:r>
        <w:rPr>
          <w:sz w:val="36"/>
        </w:rPr>
        <w:t>）；</w:t>
      </w:r>
    </w:p>
    <w:p>
      <w:pPr>
        <w:pStyle w:val="ListParagraph"/>
        <w:numPr>
          <w:ilvl w:val="0"/>
          <w:numId w:val="27"/>
        </w:numPr>
        <w:tabs>
          <w:tab w:val="left" w:pos="1790"/>
        </w:tabs>
        <w:spacing w:before="0" w:after="0" w:line="460" w:lineRule="exact"/>
        <w:ind w:left="1789" w:right="0" w:hanging="1082"/>
        <w:jc w:val="left"/>
        <w:rPr>
          <w:sz w:val="36"/>
        </w:rPr>
      </w:pPr>
      <w:r>
        <w:rPr>
          <w:sz w:val="36"/>
        </w:rPr>
        <w:t>《关于加快推进公共环境改善工程的意见》（东环发[2012]20</w:t>
      </w:r>
      <w:r>
        <w:rPr>
          <w:spacing w:val="-45"/>
          <w:sz w:val="36"/>
        </w:rPr>
        <w:t xml:space="preserve"> 号</w:t>
      </w:r>
      <w:r>
        <w:rPr>
          <w:sz w:val="36"/>
        </w:rPr>
        <w:t>）；</w:t>
      </w:r>
    </w:p>
    <w:p>
      <w:pPr>
        <w:pStyle w:val="ListParagraph"/>
        <w:numPr>
          <w:ilvl w:val="0"/>
          <w:numId w:val="27"/>
        </w:numPr>
        <w:tabs>
          <w:tab w:val="left" w:pos="1790"/>
        </w:tabs>
        <w:spacing w:before="273" w:after="0" w:line="381" w:lineRule="auto"/>
        <w:ind w:left="708" w:right="508" w:firstLine="0"/>
        <w:jc w:val="left"/>
        <w:rPr>
          <w:sz w:val="36"/>
        </w:rPr>
      </w:pPr>
      <w:r>
        <w:rPr>
          <w:spacing w:val="-20"/>
          <w:sz w:val="36"/>
        </w:rPr>
        <w:t>《关于加强“十二五”期间建设项目污染物总量确认管理的通知》</w:t>
      </w:r>
      <w:r>
        <w:rPr>
          <w:sz w:val="36"/>
        </w:rPr>
        <w:t>（东环发</w:t>
      </w:r>
      <w:r>
        <w:rPr>
          <w:spacing w:val="-3"/>
          <w:sz w:val="36"/>
        </w:rPr>
        <w:t>[2011]59</w:t>
      </w:r>
      <w:r>
        <w:rPr>
          <w:sz w:val="36"/>
        </w:rPr>
        <w:t>号）；</w:t>
      </w:r>
    </w:p>
    <w:p>
      <w:pPr>
        <w:pStyle w:val="ListParagraph"/>
        <w:numPr>
          <w:ilvl w:val="0"/>
          <w:numId w:val="27"/>
        </w:numPr>
        <w:tabs>
          <w:tab w:val="left" w:pos="1790"/>
        </w:tabs>
        <w:spacing w:before="2" w:after="0" w:line="379" w:lineRule="auto"/>
        <w:ind w:left="708" w:right="509" w:firstLine="0"/>
        <w:jc w:val="left"/>
        <w:rPr>
          <w:sz w:val="36"/>
        </w:rPr>
      </w:pPr>
      <w:r>
        <w:rPr>
          <w:sz w:val="36"/>
        </w:rPr>
        <w:t>《某某市人民政府办公室关于印发某某市清理整顿环保违规建设项目专项行动工</w:t>
      </w:r>
      <w:r>
        <w:rPr>
          <w:spacing w:val="-5"/>
          <w:sz w:val="36"/>
        </w:rPr>
        <w:t>作方案的通知》</w:t>
      </w:r>
      <w:r>
        <w:rPr>
          <w:sz w:val="36"/>
        </w:rPr>
        <w:t>（东政办字[2014]54 号）；</w:t>
      </w:r>
    </w:p>
    <w:p>
      <w:pPr>
        <w:pStyle w:val="Heading3"/>
        <w:numPr>
          <w:ilvl w:val="2"/>
          <w:numId w:val="30"/>
        </w:numPr>
        <w:tabs>
          <w:tab w:val="left" w:pos="1706"/>
        </w:tabs>
        <w:spacing w:before="8" w:after="0" w:line="240" w:lineRule="auto"/>
        <w:ind w:left="1705" w:right="0" w:hanging="998"/>
        <w:jc w:val="left"/>
      </w:pPr>
      <w:r>
        <w:t>环评技术规范</w:t>
      </w:r>
    </w:p>
    <w:p>
      <w:pPr>
        <w:pStyle w:val="ListParagraph"/>
        <w:numPr>
          <w:ilvl w:val="0"/>
          <w:numId w:val="26"/>
        </w:numPr>
        <w:tabs>
          <w:tab w:val="left" w:pos="1610"/>
        </w:tabs>
        <w:spacing w:before="273" w:after="0" w:line="240" w:lineRule="auto"/>
        <w:ind w:left="1609" w:right="0" w:hanging="902"/>
        <w:jc w:val="left"/>
        <w:rPr>
          <w:sz w:val="36"/>
        </w:rPr>
      </w:pPr>
      <w:r>
        <w:rPr>
          <w:sz w:val="36"/>
        </w:rPr>
        <w:t>《常用危险化学品分类及标志》（GB13690-92）；</w:t>
      </w:r>
    </w:p>
    <w:p>
      <w:pPr>
        <w:pStyle w:val="ListParagraph"/>
        <w:numPr>
          <w:ilvl w:val="0"/>
          <w:numId w:val="26"/>
        </w:numPr>
        <w:tabs>
          <w:tab w:val="left" w:pos="1610"/>
        </w:tabs>
        <w:spacing w:before="274" w:after="0" w:line="240" w:lineRule="auto"/>
        <w:ind w:left="1609" w:right="0" w:hanging="902"/>
        <w:jc w:val="left"/>
        <w:rPr>
          <w:sz w:val="36"/>
        </w:rPr>
      </w:pPr>
      <w:r>
        <w:rPr>
          <w:sz w:val="36"/>
        </w:rPr>
        <w:t>《常用危险化学品贮存通则》（GB15603-1995）；</w:t>
      </w:r>
    </w:p>
    <w:p>
      <w:pPr>
        <w:pStyle w:val="ListParagraph"/>
        <w:numPr>
          <w:ilvl w:val="0"/>
          <w:numId w:val="26"/>
        </w:numPr>
        <w:tabs>
          <w:tab w:val="left" w:pos="1610"/>
        </w:tabs>
        <w:spacing w:before="270" w:after="0" w:line="240" w:lineRule="auto"/>
        <w:ind w:left="1609" w:right="0" w:hanging="902"/>
        <w:jc w:val="left"/>
        <w:rPr>
          <w:sz w:val="36"/>
        </w:rPr>
      </w:pPr>
      <w:r>
        <w:rPr>
          <w:sz w:val="36"/>
        </w:rPr>
        <w:t>《道路运输危险货物车辆标志》（GB13392-2005）；</w:t>
      </w:r>
    </w:p>
    <w:p>
      <w:pPr>
        <w:pStyle w:val="ListParagraph"/>
        <w:numPr>
          <w:ilvl w:val="0"/>
          <w:numId w:val="26"/>
        </w:numPr>
        <w:tabs>
          <w:tab w:val="left" w:pos="1610"/>
        </w:tabs>
        <w:spacing w:before="273" w:after="0" w:line="240" w:lineRule="auto"/>
        <w:ind w:left="1609" w:right="0" w:hanging="902"/>
        <w:jc w:val="left"/>
        <w:rPr>
          <w:sz w:val="36"/>
        </w:rPr>
      </w:pPr>
      <w:r>
        <w:rPr>
          <w:sz w:val="36"/>
        </w:rPr>
        <w:t>《危险化学品重大危险源辨识》（GB18218-2009）；</w:t>
      </w:r>
    </w:p>
    <w:p>
      <w:pPr>
        <w:pStyle w:val="ListParagraph"/>
        <w:numPr>
          <w:ilvl w:val="0"/>
          <w:numId w:val="26"/>
        </w:numPr>
        <w:tabs>
          <w:tab w:val="left" w:pos="1610"/>
        </w:tabs>
        <w:spacing w:before="273" w:after="0" w:line="240" w:lineRule="auto"/>
        <w:ind w:left="1609" w:right="0" w:hanging="902"/>
        <w:jc w:val="left"/>
        <w:rPr>
          <w:sz w:val="36"/>
        </w:rPr>
      </w:pPr>
      <w:r>
        <w:rPr>
          <w:sz w:val="36"/>
        </w:rPr>
        <w:t>《化工建设项目环境保护设计规范》（GB50483-2009）；</w:t>
      </w:r>
    </w:p>
    <w:p>
      <w:pPr>
        <w:pStyle w:val="ListParagraph"/>
        <w:numPr>
          <w:ilvl w:val="0"/>
          <w:numId w:val="26"/>
        </w:numPr>
        <w:tabs>
          <w:tab w:val="left" w:pos="1610"/>
        </w:tabs>
        <w:spacing w:before="273" w:after="0" w:line="240" w:lineRule="auto"/>
        <w:ind w:left="1609" w:right="0" w:hanging="902"/>
        <w:jc w:val="left"/>
        <w:rPr>
          <w:sz w:val="36"/>
        </w:rPr>
      </w:pPr>
      <w:r>
        <w:rPr>
          <w:sz w:val="36"/>
        </w:rPr>
        <w:t>《环境影响评价技术导则 总纲》（HJ/T2.1-93）；</w:t>
      </w:r>
    </w:p>
    <w:p>
      <w:pPr>
        <w:pStyle w:val="ListParagraph"/>
        <w:numPr>
          <w:ilvl w:val="0"/>
          <w:numId w:val="26"/>
        </w:numPr>
        <w:tabs>
          <w:tab w:val="left" w:pos="1610"/>
        </w:tabs>
        <w:spacing w:before="270" w:after="0" w:line="240" w:lineRule="auto"/>
        <w:ind w:left="1609" w:right="0" w:hanging="902"/>
        <w:jc w:val="left"/>
        <w:rPr>
          <w:sz w:val="36"/>
        </w:rPr>
      </w:pPr>
      <w:r>
        <w:rPr>
          <w:sz w:val="36"/>
        </w:rPr>
        <w:t>《石油化工企业环境保护设计规范》（SH3024-1995）；</w:t>
      </w:r>
    </w:p>
    <w:p>
      <w:pPr>
        <w:pStyle w:val="ListParagraph"/>
        <w:numPr>
          <w:ilvl w:val="0"/>
          <w:numId w:val="26"/>
        </w:numPr>
        <w:tabs>
          <w:tab w:val="left" w:pos="1610"/>
        </w:tabs>
        <w:spacing w:before="273" w:after="0" w:line="240" w:lineRule="auto"/>
        <w:ind w:left="1609" w:right="0" w:hanging="902"/>
        <w:jc w:val="left"/>
        <w:rPr>
          <w:sz w:val="36"/>
        </w:rPr>
      </w:pPr>
      <w:r>
        <w:rPr>
          <w:sz w:val="36"/>
        </w:rPr>
        <w:t>《建设项目环境风险评价技术导则》（HJ/T169-2004）；</w:t>
      </w:r>
    </w:p>
    <w:p>
      <w:pPr>
        <w:spacing w:after="0" w:line="240" w:lineRule="auto"/>
        <w:jc w:val="left"/>
        <w:rPr>
          <w:sz w:val="36"/>
        </w:rPr>
        <w:sectPr>
          <w:headerReference w:type="default" r:id="rId14"/>
          <w:footerReference w:type="default" r:id="rId15"/>
          <w:pgSz w:w="17860" w:h="25260"/>
          <w:pgMar w:top="1380" w:right="1360" w:bottom="2020" w:left="1420" w:header="1083" w:footer="1826"/>
          <w:pgNumType w:start="6"/>
          <w:cols w:space="708"/>
        </w:sectPr>
      </w:pPr>
    </w:p>
    <w:p>
      <w:pPr>
        <w:pStyle w:val="BodyText"/>
        <w:rPr>
          <w:sz w:val="20"/>
        </w:rPr>
      </w:pPr>
    </w:p>
    <w:p>
      <w:pPr>
        <w:pStyle w:val="BodyText"/>
        <w:spacing w:before="7"/>
        <w:rPr>
          <w:sz w:val="20"/>
        </w:rPr>
      </w:pPr>
    </w:p>
    <w:p>
      <w:pPr>
        <w:pStyle w:val="ListParagraph"/>
        <w:numPr>
          <w:ilvl w:val="0"/>
          <w:numId w:val="26"/>
        </w:numPr>
        <w:tabs>
          <w:tab w:val="left" w:pos="1610"/>
        </w:tabs>
        <w:spacing w:before="50" w:after="0" w:line="240" w:lineRule="auto"/>
        <w:ind w:left="1609" w:right="0" w:hanging="902"/>
        <w:jc w:val="left"/>
        <w:rPr>
          <w:sz w:val="36"/>
        </w:rPr>
      </w:pPr>
      <w:r>
        <w:rPr>
          <w:sz w:val="36"/>
        </w:rPr>
        <w:t>《危险化学品目录》（2015</w:t>
      </w:r>
      <w:r>
        <w:rPr>
          <w:spacing w:val="-45"/>
          <w:sz w:val="36"/>
        </w:rPr>
        <w:t xml:space="preserve"> 版</w:t>
      </w:r>
      <w:r>
        <w:rPr>
          <w:sz w:val="36"/>
        </w:rPr>
        <w:t>）；</w:t>
      </w:r>
    </w:p>
    <w:p>
      <w:pPr>
        <w:pStyle w:val="ListParagraph"/>
        <w:numPr>
          <w:ilvl w:val="0"/>
          <w:numId w:val="25"/>
        </w:numPr>
        <w:tabs>
          <w:tab w:val="left" w:pos="1610"/>
        </w:tabs>
        <w:spacing w:before="273" w:after="0" w:line="240" w:lineRule="auto"/>
        <w:ind w:left="1609" w:right="0" w:hanging="902"/>
        <w:jc w:val="left"/>
        <w:rPr>
          <w:sz w:val="36"/>
        </w:rPr>
      </w:pPr>
      <w:r>
        <w:rPr>
          <w:sz w:val="36"/>
        </w:rPr>
        <w:t>《汽车运输危险货物规则》（JT617-2004）；</w:t>
      </w:r>
    </w:p>
    <w:p>
      <w:pPr>
        <w:pStyle w:val="ListParagraph"/>
        <w:numPr>
          <w:ilvl w:val="0"/>
          <w:numId w:val="25"/>
        </w:numPr>
        <w:tabs>
          <w:tab w:val="left" w:pos="1790"/>
        </w:tabs>
        <w:spacing w:before="269" w:after="0" w:line="240" w:lineRule="auto"/>
        <w:ind w:left="1789" w:right="0" w:hanging="1082"/>
        <w:jc w:val="left"/>
        <w:rPr>
          <w:sz w:val="36"/>
        </w:rPr>
      </w:pPr>
      <w:r>
        <w:rPr>
          <w:sz w:val="36"/>
        </w:rPr>
        <w:t>《大气污染治理工程技术导则》（HJ2000-2010）；</w:t>
      </w:r>
    </w:p>
    <w:p>
      <w:pPr>
        <w:pStyle w:val="ListParagraph"/>
        <w:numPr>
          <w:ilvl w:val="0"/>
          <w:numId w:val="25"/>
        </w:numPr>
        <w:tabs>
          <w:tab w:val="left" w:pos="1790"/>
        </w:tabs>
        <w:spacing w:before="273" w:after="0" w:line="240" w:lineRule="auto"/>
        <w:ind w:left="1789" w:right="0" w:hanging="1082"/>
        <w:jc w:val="left"/>
        <w:rPr>
          <w:sz w:val="36"/>
        </w:rPr>
      </w:pPr>
      <w:r>
        <w:rPr>
          <w:sz w:val="36"/>
        </w:rPr>
        <w:t>《危险废物贮存污染控制标准》（GB18596-2001）。</w:t>
      </w:r>
    </w:p>
    <w:p>
      <w:pPr>
        <w:pStyle w:val="Heading3"/>
        <w:numPr>
          <w:ilvl w:val="2"/>
          <w:numId w:val="30"/>
        </w:numPr>
        <w:tabs>
          <w:tab w:val="left" w:pos="1706"/>
        </w:tabs>
        <w:spacing w:before="274" w:after="0" w:line="240" w:lineRule="auto"/>
        <w:ind w:left="1705" w:right="0" w:hanging="998"/>
        <w:jc w:val="left"/>
      </w:pPr>
      <w:r>
        <w:t>项目相关资料</w:t>
      </w:r>
    </w:p>
    <w:p>
      <w:pPr>
        <w:pStyle w:val="ListParagraph"/>
        <w:numPr>
          <w:ilvl w:val="3"/>
          <w:numId w:val="30"/>
        </w:numPr>
        <w:tabs>
          <w:tab w:val="left" w:pos="2330"/>
        </w:tabs>
        <w:spacing w:before="273" w:after="0" w:line="379" w:lineRule="auto"/>
        <w:ind w:left="708" w:right="509" w:firstLine="720"/>
        <w:jc w:val="left"/>
        <w:rPr>
          <w:sz w:val="36"/>
        </w:rPr>
      </w:pPr>
      <w:r>
        <w:rPr>
          <w:spacing w:val="-7"/>
          <w:sz w:val="36"/>
        </w:rPr>
        <w:t xml:space="preserve">《某某县某某化工有限公司 </w:t>
      </w:r>
      <w:r>
        <w:rPr>
          <w:sz w:val="36"/>
        </w:rPr>
        <w:t>14</w:t>
      </w:r>
      <w:r>
        <w:rPr>
          <w:spacing w:val="-30"/>
          <w:sz w:val="36"/>
        </w:rPr>
        <w:t xml:space="preserve"> 万吨</w:t>
      </w:r>
      <w:r>
        <w:rPr>
          <w:sz w:val="36"/>
        </w:rPr>
        <w:t>/</w:t>
      </w:r>
      <w:r>
        <w:rPr>
          <w:spacing w:val="-13"/>
          <w:sz w:val="36"/>
        </w:rPr>
        <w:t xml:space="preserve">年重交沥青及 </w:t>
      </w:r>
      <w:r>
        <w:rPr>
          <w:sz w:val="36"/>
        </w:rPr>
        <w:t>10</w:t>
      </w:r>
      <w:r>
        <w:rPr>
          <w:spacing w:val="-30"/>
          <w:sz w:val="36"/>
        </w:rPr>
        <w:t xml:space="preserve"> 万吨</w:t>
      </w:r>
      <w:r>
        <w:rPr>
          <w:sz w:val="36"/>
        </w:rPr>
        <w:t>/</w:t>
      </w:r>
      <w:r>
        <w:rPr>
          <w:spacing w:val="-3"/>
          <w:sz w:val="36"/>
        </w:rPr>
        <w:t>年溶剂油生产项目</w:t>
      </w:r>
      <w:r>
        <w:rPr>
          <w:sz w:val="36"/>
        </w:rPr>
        <w:t>环境影响报告书》；</w:t>
      </w:r>
    </w:p>
    <w:p>
      <w:pPr>
        <w:pStyle w:val="ListParagraph"/>
        <w:numPr>
          <w:ilvl w:val="3"/>
          <w:numId w:val="30"/>
        </w:numPr>
        <w:tabs>
          <w:tab w:val="left" w:pos="2330"/>
        </w:tabs>
        <w:spacing w:before="8" w:after="0" w:line="381" w:lineRule="auto"/>
        <w:ind w:left="708" w:right="509" w:firstLine="720"/>
        <w:jc w:val="left"/>
        <w:rPr>
          <w:sz w:val="36"/>
        </w:rPr>
      </w:pPr>
      <w:r>
        <w:rPr>
          <w:spacing w:val="-7"/>
          <w:sz w:val="36"/>
        </w:rPr>
        <w:t xml:space="preserve">《某某县某某化工有限公司 </w:t>
      </w:r>
      <w:r>
        <w:rPr>
          <w:sz w:val="36"/>
        </w:rPr>
        <w:t>14</w:t>
      </w:r>
      <w:r>
        <w:rPr>
          <w:spacing w:val="-30"/>
          <w:sz w:val="36"/>
        </w:rPr>
        <w:t xml:space="preserve"> 万吨</w:t>
      </w:r>
      <w:r>
        <w:rPr>
          <w:sz w:val="36"/>
        </w:rPr>
        <w:t>/</w:t>
      </w:r>
      <w:r>
        <w:rPr>
          <w:spacing w:val="-13"/>
          <w:sz w:val="36"/>
        </w:rPr>
        <w:t xml:space="preserve">年重交沥青及 </w:t>
      </w:r>
      <w:r>
        <w:rPr>
          <w:sz w:val="36"/>
        </w:rPr>
        <w:t>10</w:t>
      </w:r>
      <w:r>
        <w:rPr>
          <w:spacing w:val="-30"/>
          <w:sz w:val="36"/>
        </w:rPr>
        <w:t xml:space="preserve"> 万吨</w:t>
      </w:r>
      <w:r>
        <w:rPr>
          <w:sz w:val="36"/>
        </w:rPr>
        <w:t>/</w:t>
      </w:r>
      <w:r>
        <w:rPr>
          <w:spacing w:val="-3"/>
          <w:sz w:val="36"/>
        </w:rPr>
        <w:t>年溶剂油生产项目</w:t>
      </w:r>
      <w:r>
        <w:rPr>
          <w:sz w:val="36"/>
        </w:rPr>
        <w:t>安全验收评价报告》。</w:t>
      </w:r>
    </w:p>
    <w:p>
      <w:pPr>
        <w:pStyle w:val="Heading2"/>
        <w:numPr>
          <w:ilvl w:val="1"/>
          <w:numId w:val="31"/>
        </w:numPr>
        <w:tabs>
          <w:tab w:val="left" w:pos="1468"/>
        </w:tabs>
        <w:spacing w:before="34" w:after="0" w:line="240" w:lineRule="auto"/>
        <w:ind w:left="1468" w:right="0" w:hanging="760"/>
        <w:jc w:val="left"/>
      </w:pPr>
      <w:bookmarkStart w:id="4" w:name="_TOC_250026"/>
      <w:bookmarkEnd w:id="4"/>
      <w:r>
        <w:t>评估目的与评估重点</w:t>
      </w:r>
    </w:p>
    <w:p>
      <w:pPr>
        <w:pStyle w:val="BodyText"/>
        <w:spacing w:before="8"/>
        <w:rPr>
          <w:b/>
          <w:sz w:val="31"/>
        </w:rPr>
      </w:pPr>
    </w:p>
    <w:p>
      <w:pPr>
        <w:pStyle w:val="Heading3"/>
        <w:numPr>
          <w:ilvl w:val="2"/>
          <w:numId w:val="24"/>
        </w:numPr>
        <w:tabs>
          <w:tab w:val="left" w:pos="1706"/>
        </w:tabs>
        <w:spacing w:before="1" w:after="0" w:line="240" w:lineRule="auto"/>
        <w:ind w:left="1705" w:right="0" w:hanging="998"/>
        <w:jc w:val="both"/>
      </w:pPr>
      <w:r>
        <w:t>风险评估目的</w:t>
      </w:r>
    </w:p>
    <w:p>
      <w:pPr>
        <w:pStyle w:val="BodyText"/>
        <w:spacing w:before="273" w:line="381" w:lineRule="auto"/>
        <w:ind w:left="708" w:right="503" w:firstLine="720"/>
        <w:jc w:val="both"/>
      </w:pPr>
      <w:r>
        <w:rPr>
          <w:spacing w:val="-8"/>
        </w:rPr>
        <w:t>环境风险评估的目的是分析和预测建设项目存在的潜在危险、有害因素，建设项目建</w:t>
      </w:r>
      <w:r>
        <w:rPr>
          <w:spacing w:val="-4"/>
        </w:rPr>
        <w:t>设和运行期间可能发生的突发性事件或事故</w:t>
      </w:r>
      <w:r>
        <w:t>（一般不包括人为破坏及自然灾害</w:t>
      </w:r>
      <w:r>
        <w:rPr>
          <w:spacing w:val="-58"/>
        </w:rPr>
        <w:t>），</w:t>
      </w:r>
      <w:r>
        <w:rPr>
          <w:spacing w:val="-6"/>
        </w:rPr>
        <w:t>引起有</w:t>
      </w:r>
      <w:r>
        <w:rPr>
          <w:spacing w:val="-11"/>
        </w:rPr>
        <w:t>毒有害和易燃易爆等物质泄漏，所造成的人身安全与环境影响和损害程度，提出合理可行</w:t>
      </w:r>
      <w:r>
        <w:t>的防范、应急与减缓措施，以使建设项目事故率、损失和环境影响达到可接受水平。</w:t>
      </w:r>
    </w:p>
    <w:p>
      <w:pPr>
        <w:pStyle w:val="Heading3"/>
        <w:numPr>
          <w:ilvl w:val="2"/>
          <w:numId w:val="24"/>
        </w:numPr>
        <w:tabs>
          <w:tab w:val="left" w:pos="1706"/>
        </w:tabs>
        <w:spacing w:before="1" w:after="0" w:line="240" w:lineRule="auto"/>
        <w:ind w:left="1705" w:right="0" w:hanging="998"/>
        <w:jc w:val="both"/>
      </w:pPr>
      <w:r>
        <w:t>评估范围</w:t>
      </w:r>
    </w:p>
    <w:p>
      <w:pPr>
        <w:pStyle w:val="BodyText"/>
        <w:spacing w:before="273" w:line="379" w:lineRule="auto"/>
        <w:ind w:left="708" w:right="504" w:firstLine="720"/>
      </w:pPr>
      <w:r>
        <w:rPr>
          <w:spacing w:val="4"/>
        </w:rPr>
        <w:t>本次环境风险评估范围为</w:t>
      </w:r>
      <w:r>
        <w:t>14</w:t>
      </w:r>
      <w:r>
        <w:rPr>
          <w:spacing w:val="-45"/>
        </w:rPr>
        <w:t xml:space="preserve"> 万吨</w:t>
      </w:r>
      <w:r>
        <w:t>/</w:t>
      </w:r>
      <w:r>
        <w:rPr>
          <w:spacing w:val="4"/>
        </w:rPr>
        <w:t>年重交沥青生产项目及</w:t>
      </w:r>
      <w:r>
        <w:t>10</w:t>
      </w:r>
      <w:r>
        <w:rPr>
          <w:spacing w:val="-45"/>
        </w:rPr>
        <w:t xml:space="preserve"> 万吨</w:t>
      </w:r>
      <w:r>
        <w:t>/</w:t>
      </w:r>
      <w:r>
        <w:rPr>
          <w:spacing w:val="-2"/>
        </w:rPr>
        <w:t>年溶剂油生产项目</w:t>
      </w:r>
      <w:r>
        <w:t>的生产工艺、原辅料以及辅助工程等情况。</w:t>
      </w:r>
    </w:p>
    <w:p>
      <w:pPr>
        <w:pStyle w:val="Heading3"/>
        <w:numPr>
          <w:ilvl w:val="2"/>
          <w:numId w:val="24"/>
        </w:numPr>
        <w:tabs>
          <w:tab w:val="left" w:pos="1799"/>
        </w:tabs>
        <w:spacing w:before="8" w:after="0" w:line="240" w:lineRule="auto"/>
        <w:ind w:left="1799" w:right="0" w:hanging="1091"/>
        <w:jc w:val="left"/>
      </w:pPr>
      <w:r>
        <w:t>评估重点</w:t>
      </w:r>
    </w:p>
    <w:p>
      <w:pPr>
        <w:pStyle w:val="BodyText"/>
        <w:spacing w:before="273" w:line="381" w:lineRule="auto"/>
        <w:ind w:left="708" w:right="329" w:firstLine="720"/>
      </w:pPr>
      <w:r>
        <w:rPr>
          <w:spacing w:val="3"/>
        </w:rPr>
        <w:t>通过对某某县某某化工有限公司</w:t>
      </w:r>
      <w:r>
        <w:t>14</w:t>
      </w:r>
      <w:r>
        <w:rPr>
          <w:spacing w:val="-45"/>
        </w:rPr>
        <w:t xml:space="preserve"> 万吨</w:t>
      </w:r>
      <w:r>
        <w:t>/</w:t>
      </w:r>
      <w:r>
        <w:rPr>
          <w:spacing w:val="7"/>
        </w:rPr>
        <w:t>年重交沥青及</w:t>
      </w:r>
      <w:r>
        <w:t>10</w:t>
      </w:r>
      <w:r>
        <w:rPr>
          <w:spacing w:val="-45"/>
        </w:rPr>
        <w:t xml:space="preserve"> 万吨</w:t>
      </w:r>
      <w:r>
        <w:t>/年溶剂油生产项目生</w:t>
      </w:r>
      <w:r>
        <w:rPr>
          <w:spacing w:val="-13"/>
        </w:rPr>
        <w:t>产线风险源项分析，判断发生风险事故的概率、通过数学模型计算发生风险事故时对外环境的影响，提出减少事故风险的措施，把事故引起厂（场）</w:t>
      </w:r>
      <w:r>
        <w:rPr>
          <w:spacing w:val="-14"/>
        </w:rPr>
        <w:t>界外人群的伤害、环境质量的</w:t>
      </w:r>
      <w:r>
        <w:t>恶化及生态系统影响的预测和防护作为评估工作重点。</w:t>
      </w:r>
    </w:p>
    <w:p>
      <w:pPr>
        <w:spacing w:after="0" w:line="381" w:lineRule="auto"/>
        <w:sectPr>
          <w:headerReference w:type="default" r:id="rId16"/>
          <w:footerReference w:type="default" r:id="rId17"/>
          <w:pgSz w:w="17860" w:h="25260"/>
          <w:pgMar w:top="1380" w:right="1360" w:bottom="2020" w:left="1420" w:header="1083" w:footer="1826"/>
          <w:pgNumType w:start="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7"/>
        </w:rPr>
      </w:pPr>
    </w:p>
    <w:p>
      <w:pPr>
        <w:pStyle w:val="Heading2"/>
        <w:numPr>
          <w:ilvl w:val="1"/>
          <w:numId w:val="31"/>
        </w:numPr>
        <w:tabs>
          <w:tab w:val="left" w:pos="1468"/>
        </w:tabs>
        <w:spacing w:before="42" w:after="0" w:line="240" w:lineRule="auto"/>
        <w:ind w:left="1468" w:right="0" w:hanging="760"/>
        <w:jc w:val="left"/>
      </w:pPr>
      <w:bookmarkStart w:id="5" w:name="_TOC_250025"/>
      <w:bookmarkEnd w:id="5"/>
      <w:r>
        <w:t>企业突发环境事件评估程序</w:t>
      </w:r>
    </w:p>
    <w:p>
      <w:pPr>
        <w:pStyle w:val="BodyText"/>
        <w:rPr>
          <w:b/>
          <w:sz w:val="20"/>
        </w:rPr>
      </w:pPr>
    </w:p>
    <w:p>
      <w:pPr>
        <w:pStyle w:val="BodyText"/>
        <w:rPr>
          <w:b/>
          <w:sz w:val="20"/>
        </w:rPr>
      </w:pPr>
    </w:p>
    <w:p>
      <w:pPr>
        <w:pStyle w:val="BodyText"/>
        <w:rPr>
          <w:b/>
          <w:sz w:val="20"/>
        </w:rPr>
      </w:pPr>
    </w:p>
    <w:p>
      <w:pPr>
        <w:pStyle w:val="BodyText"/>
        <w:spacing w:before="2"/>
        <w:rPr>
          <w:b/>
          <w:sz w:val="14"/>
        </w:rPr>
      </w:pPr>
      <w:r>
        <w:pict>
          <v:group id="_x0000_s1025" style="width:252pt;height:50pt;margin-top:11.06pt;margin-left:301pt;mso-position-horizontal-relative:page;mso-wrap-distance-left:0;mso-wrap-distance-right:0;position:absolute;z-index:-251658240" coordorigin="6020,221" coordsize="5040,10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040;height:1000;left:6020;position:absolute;top:221" stroked="f">
              <v:imagedata r:id="rId18" o:title=""/>
            </v:shape>
            <v:shapetype id="_x0000_t202" coordsize="21600,21600" o:spt="202" path="m,l,21600r21600,l21600,xe">
              <v:stroke joinstyle="miter"/>
              <v:path gradientshapeok="t" o:connecttype="rect"/>
            </v:shapetype>
            <v:shape id="_x0000_s1027" type="#_x0000_t202" style="width:5040;height:1000;left:6020;position:absolute;top:221" filled="f" stroked="f">
              <v:textbox inset="0,0,0,0">
                <w:txbxContent>
                  <w:p>
                    <w:pPr>
                      <w:spacing w:before="198"/>
                      <w:ind w:left="785" w:right="0" w:firstLine="0"/>
                      <w:jc w:val="left"/>
                      <w:rPr>
                        <w:rFonts w:ascii="宋体" w:eastAsia="宋体" w:hint="eastAsia"/>
                        <w:sz w:val="31"/>
                      </w:rPr>
                    </w:pPr>
                    <w:r>
                      <w:rPr>
                        <w:rFonts w:ascii="宋体" w:eastAsia="宋体" w:hint="eastAsia"/>
                        <w:sz w:val="31"/>
                      </w:rPr>
                      <w:t>企业基本情况调查与分析</w:t>
                    </w:r>
                  </w:p>
                </w:txbxContent>
              </v:textbox>
            </v:shape>
            <w10:wrap type="topAndBottom"/>
          </v:group>
        </w:pict>
      </w:r>
    </w:p>
    <w:p>
      <w:pPr>
        <w:pStyle w:val="BodyText"/>
        <w:spacing w:before="6"/>
        <w:rPr>
          <w:b/>
          <w:sz w:val="5"/>
        </w:rPr>
      </w:pPr>
    </w:p>
    <w:p>
      <w:pPr>
        <w:pStyle w:val="BodyText"/>
        <w:ind w:left="348"/>
        <w:rPr>
          <w:sz w:val="20"/>
        </w:rPr>
      </w:pPr>
      <w:r>
        <w:rPr>
          <w:sz w:val="20"/>
        </w:rPr>
        <w:pict>
          <v:group id="_x0000_i1028" style="width:637.6pt;height:574.65pt;mso-position-horizontal-relative:char;mso-position-vertical-relative:line" coordorigin="0,0" coordsize="12752,11493">
            <v:shape id="_x0000_s1029" type="#_x0000_t75" style="width:12752;height:11493;position:absolute" stroked="f">
              <v:imagedata r:id="rId19" o:title=""/>
            </v:shape>
            <v:shape id="_x0000_s1030" type="#_x0000_t202" style="width:722;height:338;left:2317;position:absolute;top:1511" filled="f" stroked="f">
              <v:textbox inset="0,0,0,0">
                <w:txbxContent>
                  <w:p>
                    <w:pPr>
                      <w:spacing w:before="0" w:line="337" w:lineRule="exact"/>
                      <w:ind w:left="0" w:right="0" w:firstLine="0"/>
                      <w:jc w:val="left"/>
                      <w:rPr>
                        <w:rFonts w:ascii="Times New Roman" w:eastAsia="Times New Roman"/>
                        <w:sz w:val="31"/>
                      </w:rPr>
                    </w:pPr>
                    <w:r>
                      <w:rPr>
                        <w:rFonts w:ascii="Times New Roman" w:eastAsia="Times New Roman"/>
                        <w:sz w:val="31"/>
                      </w:rPr>
                      <w:t>Q</w:t>
                    </w:r>
                    <w:r>
                      <w:rPr>
                        <w:rFonts w:ascii="宋体" w:eastAsia="宋体" w:hint="eastAsia"/>
                        <w:sz w:val="31"/>
                      </w:rPr>
                      <w:t>＜</w:t>
                    </w:r>
                    <w:r>
                      <w:rPr>
                        <w:rFonts w:ascii="Times New Roman" w:eastAsia="Times New Roman"/>
                        <w:sz w:val="31"/>
                      </w:rPr>
                      <w:t>1</w:t>
                    </w:r>
                  </w:p>
                </w:txbxContent>
              </v:textbox>
            </v:shape>
            <v:shape id="_x0000_s1031" type="#_x0000_t202" style="width:3505;height:803;left:4997;position:absolute;top:1577"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计算涉及相关环境风险物</w:t>
                    </w:r>
                  </w:p>
                  <w:p>
                    <w:pPr>
                      <w:spacing w:before="89" w:line="355" w:lineRule="exact"/>
                      <w:ind w:left="0" w:right="0" w:firstLine="0"/>
                      <w:jc w:val="left"/>
                      <w:rPr>
                        <w:rFonts w:ascii="宋体" w:eastAsia="宋体" w:hint="eastAsia"/>
                        <w:sz w:val="31"/>
                      </w:rPr>
                    </w:pPr>
                    <w:r>
                      <w:rPr>
                        <w:rFonts w:ascii="宋体" w:eastAsia="宋体" w:hint="eastAsia"/>
                        <w:sz w:val="31"/>
                      </w:rPr>
                      <w:t>质的数量与其临界量比值</w:t>
                    </w:r>
                  </w:p>
                </w:txbxContent>
              </v:textbox>
            </v:shape>
            <v:shape id="_x0000_s1032" type="#_x0000_t202" style="width:723;height:338;left:6930;position:absolute;top:3790" filled="f" stroked="f">
              <v:textbox inset="0,0,0,0">
                <w:txbxContent>
                  <w:p>
                    <w:pPr>
                      <w:spacing w:before="0" w:line="337" w:lineRule="exact"/>
                      <w:ind w:left="0" w:right="0" w:firstLine="0"/>
                      <w:jc w:val="left"/>
                      <w:rPr>
                        <w:rFonts w:ascii="Times New Roman" w:hAnsi="Times New Roman"/>
                        <w:sz w:val="31"/>
                      </w:rPr>
                    </w:pPr>
                    <w:r>
                      <w:rPr>
                        <w:rFonts w:ascii="Times New Roman" w:hAnsi="Times New Roman"/>
                        <w:sz w:val="31"/>
                      </w:rPr>
                      <w:t>Q</w:t>
                    </w:r>
                    <w:r>
                      <w:rPr>
                        <w:rFonts w:ascii="宋体" w:hAnsi="宋体"/>
                        <w:sz w:val="31"/>
                      </w:rPr>
                      <w:t>≥</w:t>
                    </w:r>
                    <w:r>
                      <w:rPr>
                        <w:rFonts w:ascii="Times New Roman" w:hAnsi="Times New Roman"/>
                        <w:sz w:val="31"/>
                      </w:rPr>
                      <w:t>1</w:t>
                    </w:r>
                  </w:p>
                </w:txbxContent>
              </v:textbox>
            </v:shape>
            <v:shape id="_x0000_s1033" type="#_x0000_t202" style="width:2872;height:815;left:1626;position:absolute;top:4907" filled="f" stroked="f">
              <v:textbox inset="0,0,0,0">
                <w:txbxContent>
                  <w:p>
                    <w:pPr>
                      <w:spacing w:before="0" w:line="359" w:lineRule="exact"/>
                      <w:ind w:left="11" w:right="30" w:firstLine="0"/>
                      <w:jc w:val="center"/>
                      <w:rPr>
                        <w:rFonts w:ascii="宋体" w:eastAsia="宋体" w:hint="eastAsia"/>
                        <w:sz w:val="31"/>
                      </w:rPr>
                    </w:pPr>
                    <w:r>
                      <w:rPr>
                        <w:rFonts w:ascii="宋体" w:eastAsia="宋体" w:hint="eastAsia"/>
                        <w:sz w:val="31"/>
                      </w:rPr>
                      <w:t>生产工艺与风险控制</w:t>
                    </w:r>
                  </w:p>
                  <w:p>
                    <w:pPr>
                      <w:spacing w:before="89" w:line="366" w:lineRule="exact"/>
                      <w:ind w:left="2" w:right="30" w:firstLine="0"/>
                      <w:jc w:val="center"/>
                      <w:rPr>
                        <w:rFonts w:ascii="宋体" w:eastAsia="宋体" w:hint="eastAsia"/>
                        <w:sz w:val="31"/>
                      </w:rPr>
                    </w:pPr>
                    <w:r>
                      <w:rPr>
                        <w:rFonts w:ascii="宋体" w:eastAsia="宋体" w:hint="eastAsia"/>
                        <w:sz w:val="31"/>
                      </w:rPr>
                      <w:t>水平（</w:t>
                    </w:r>
                    <w:r>
                      <w:rPr>
                        <w:rFonts w:ascii="Times New Roman" w:eastAsia="Times New Roman"/>
                        <w:sz w:val="31"/>
                      </w:rPr>
                      <w:t>M</w:t>
                    </w:r>
                    <w:r>
                      <w:rPr>
                        <w:rFonts w:ascii="宋体" w:eastAsia="宋体" w:hint="eastAsia"/>
                        <w:sz w:val="31"/>
                      </w:rPr>
                      <w:t>）</w:t>
                    </w:r>
                  </w:p>
                </w:txbxContent>
              </v:textbox>
            </v:shape>
            <v:shape id="_x0000_s1034" type="#_x0000_t202" style="width:2872;height:815;left:5360;position:absolute;top:4907" filled="f" stroked="f">
              <v:textbox inset="0,0,0,0">
                <w:txbxContent>
                  <w:p>
                    <w:pPr>
                      <w:spacing w:before="0" w:line="359" w:lineRule="exact"/>
                      <w:ind w:left="11" w:right="29" w:firstLine="0"/>
                      <w:jc w:val="center"/>
                      <w:rPr>
                        <w:rFonts w:ascii="宋体" w:eastAsia="宋体" w:hint="eastAsia"/>
                        <w:sz w:val="31"/>
                      </w:rPr>
                    </w:pPr>
                    <w:r>
                      <w:rPr>
                        <w:rFonts w:ascii="宋体" w:eastAsia="宋体" w:hint="eastAsia"/>
                        <w:sz w:val="31"/>
                      </w:rPr>
                      <w:t>环境风险物质数量与</w:t>
                    </w:r>
                  </w:p>
                  <w:p>
                    <w:pPr>
                      <w:spacing w:before="89" w:line="366" w:lineRule="exact"/>
                      <w:ind w:left="2" w:right="30" w:firstLine="0"/>
                      <w:jc w:val="center"/>
                      <w:rPr>
                        <w:rFonts w:ascii="宋体" w:eastAsia="宋体" w:hint="eastAsia"/>
                        <w:sz w:val="31"/>
                      </w:rPr>
                    </w:pPr>
                    <w:r>
                      <w:rPr>
                        <w:rFonts w:ascii="宋体" w:eastAsia="宋体" w:hint="eastAsia"/>
                        <w:sz w:val="31"/>
                      </w:rPr>
                      <w:t>临界量比值（</w:t>
                    </w:r>
                    <w:r>
                      <w:rPr>
                        <w:rFonts w:ascii="Times New Roman" w:eastAsia="Times New Roman"/>
                        <w:sz w:val="31"/>
                      </w:rPr>
                      <w:t>Q</w:t>
                    </w:r>
                    <w:r>
                      <w:rPr>
                        <w:rFonts w:ascii="宋体" w:eastAsia="宋体" w:hint="eastAsia"/>
                        <w:sz w:val="31"/>
                      </w:rPr>
                      <w:t>）</w:t>
                    </w:r>
                  </w:p>
                </w:txbxContent>
              </v:textbox>
            </v:shape>
            <v:shape id="_x0000_s1035" type="#_x0000_t202" style="width:2872;height:819;left:9317;position:absolute;top:4879" filled="f" stroked="f">
              <v:textbox inset="0,0,0,0">
                <w:txbxContent>
                  <w:p>
                    <w:pPr>
                      <w:spacing w:before="0" w:line="359" w:lineRule="exact"/>
                      <w:ind w:left="11" w:right="29" w:firstLine="0"/>
                      <w:jc w:val="center"/>
                      <w:rPr>
                        <w:rFonts w:ascii="宋体" w:eastAsia="宋体" w:hint="eastAsia"/>
                        <w:sz w:val="31"/>
                      </w:rPr>
                    </w:pPr>
                    <w:r>
                      <w:rPr>
                        <w:rFonts w:ascii="宋体" w:eastAsia="宋体" w:hint="eastAsia"/>
                        <w:sz w:val="31"/>
                      </w:rPr>
                      <w:t>环境风险受体敏感性</w:t>
                    </w:r>
                  </w:p>
                  <w:p>
                    <w:pPr>
                      <w:spacing w:before="92" w:line="366" w:lineRule="exact"/>
                      <w:ind w:left="1" w:right="30" w:firstLine="0"/>
                      <w:jc w:val="center"/>
                      <w:rPr>
                        <w:rFonts w:ascii="宋体" w:eastAsia="宋体" w:hint="eastAsia"/>
                        <w:sz w:val="31"/>
                      </w:rPr>
                    </w:pPr>
                    <w:r>
                      <w:rPr>
                        <w:rFonts w:ascii="宋体" w:eastAsia="宋体" w:hint="eastAsia"/>
                        <w:sz w:val="31"/>
                      </w:rPr>
                      <w:t>（</w:t>
                    </w:r>
                    <w:r>
                      <w:rPr>
                        <w:rFonts w:ascii="Times New Roman" w:eastAsia="Times New Roman"/>
                        <w:sz w:val="31"/>
                      </w:rPr>
                      <w:t>E</w:t>
                    </w:r>
                    <w:r>
                      <w:rPr>
                        <w:rFonts w:ascii="宋体" w:eastAsia="宋体" w:hint="eastAsia"/>
                        <w:sz w:val="31"/>
                      </w:rPr>
                      <w:t>）</w:t>
                    </w:r>
                  </w:p>
                </w:txbxContent>
              </v:textbox>
            </v:shape>
            <v:shape id="_x0000_s1036" type="#_x0000_t202" style="width:1921;height:317;left:2011;position:absolute;top:795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一般环境风险</w:t>
                    </w:r>
                  </w:p>
                </w:txbxContent>
              </v:textbox>
            </v:shape>
            <v:shape id="_x0000_s1037" type="#_x0000_t202" style="width:1921;height:317;left:5832;position:absolute;top:795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较大环境风险</w:t>
                    </w:r>
                  </w:p>
                </w:txbxContent>
              </v:textbox>
            </v:shape>
            <v:shape id="_x0000_s1038" type="#_x0000_t202" style="width:1921;height:317;left:9720;position:absolute;top:794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重大环境风险</w:t>
                    </w:r>
                  </w:p>
                </w:txbxContent>
              </v:textbox>
            </v:shape>
            <v:shape id="_x0000_s1039" type="#_x0000_t202" style="width:5089;height:317;left:4010;position:absolute;top:1081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企业突发环境事件风险等级评估矩阵</w:t>
                    </w:r>
                  </w:p>
                </w:txbxContent>
              </v:textbox>
            </v:shape>
            <w10:wrap type="none"/>
          </v:group>
        </w:pict>
      </w:r>
    </w:p>
    <w:p>
      <w:pPr>
        <w:spacing w:before="0" w:line="418" w:lineRule="exact"/>
        <w:ind w:left="490" w:right="311" w:firstLine="0"/>
        <w:jc w:val="center"/>
        <w:rPr>
          <w:b/>
          <w:sz w:val="36"/>
        </w:rPr>
      </w:pPr>
      <w:r>
        <w:rPr>
          <w:b/>
          <w:sz w:val="36"/>
        </w:rPr>
        <w:t>图 2-1 突发环境事件风险等级划分流程示意图</w:t>
      </w:r>
    </w:p>
    <w:p>
      <w:pPr>
        <w:spacing w:after="0" w:line="418" w:lineRule="exact"/>
        <w:jc w:val="center"/>
        <w:rPr>
          <w:sz w:val="36"/>
        </w:rPr>
        <w:sectPr>
          <w:headerReference w:type="default" r:id="rId20"/>
          <w:footerReference w:type="default" r:id="rId21"/>
          <w:pgSz w:w="17860" w:h="25260"/>
          <w:pgMar w:top="1380" w:right="1360" w:bottom="2020" w:left="1420" w:header="1083" w:footer="1826"/>
          <w:pgNumType w:start="8"/>
          <w:cols w:space="708"/>
        </w:sectPr>
      </w:pPr>
    </w:p>
    <w:p>
      <w:pPr>
        <w:pStyle w:val="BodyText"/>
        <w:rPr>
          <w:b/>
          <w:sz w:val="20"/>
        </w:rPr>
      </w:pPr>
    </w:p>
    <w:p>
      <w:pPr>
        <w:pStyle w:val="BodyText"/>
        <w:spacing w:before="11"/>
        <w:rPr>
          <w:b/>
          <w:sz w:val="18"/>
        </w:rPr>
      </w:pPr>
    </w:p>
    <w:p>
      <w:pPr>
        <w:pStyle w:val="Heading1"/>
        <w:numPr>
          <w:ilvl w:val="0"/>
          <w:numId w:val="23"/>
        </w:numPr>
        <w:tabs>
          <w:tab w:val="left" w:pos="1173"/>
        </w:tabs>
        <w:spacing w:before="37" w:after="0" w:line="240" w:lineRule="auto"/>
        <w:ind w:left="1172" w:right="0" w:hanging="465"/>
        <w:jc w:val="left"/>
      </w:pPr>
      <w:bookmarkStart w:id="6" w:name="_TOC_250024"/>
      <w:bookmarkEnd w:id="6"/>
      <w:r>
        <w:t>资料准备与环境风险识别</w:t>
      </w:r>
    </w:p>
    <w:p>
      <w:pPr>
        <w:pStyle w:val="BodyText"/>
        <w:spacing w:before="6"/>
        <w:rPr>
          <w:b/>
          <w:sz w:val="31"/>
        </w:rPr>
      </w:pPr>
    </w:p>
    <w:p>
      <w:pPr>
        <w:pStyle w:val="Heading2"/>
        <w:numPr>
          <w:ilvl w:val="1"/>
          <w:numId w:val="23"/>
        </w:numPr>
        <w:tabs>
          <w:tab w:val="left" w:pos="1468"/>
        </w:tabs>
        <w:spacing w:before="0" w:after="0" w:line="417" w:lineRule="auto"/>
        <w:ind w:left="708" w:right="10783" w:firstLine="0"/>
        <w:jc w:val="left"/>
      </w:pPr>
      <w:r>
        <w:t>企 业 概 况 3.1.1</w:t>
      </w:r>
      <w:r>
        <w:rPr>
          <w:spacing w:val="-3"/>
        </w:rPr>
        <w:t>单位情况简介</w:t>
      </w:r>
    </w:p>
    <w:p>
      <w:pPr>
        <w:pStyle w:val="ListParagraph"/>
        <w:numPr>
          <w:ilvl w:val="2"/>
          <w:numId w:val="23"/>
        </w:numPr>
        <w:tabs>
          <w:tab w:val="left" w:pos="2330"/>
        </w:tabs>
        <w:spacing w:before="0" w:after="0" w:line="436" w:lineRule="exact"/>
        <w:ind w:left="2329" w:right="0" w:hanging="902"/>
        <w:jc w:val="left"/>
        <w:rPr>
          <w:sz w:val="36"/>
        </w:rPr>
      </w:pPr>
      <w:r>
        <w:rPr>
          <w:sz w:val="36"/>
        </w:rPr>
        <w:t>单位概况</w:t>
      </w:r>
    </w:p>
    <w:p>
      <w:pPr>
        <w:pStyle w:val="BodyText"/>
        <w:spacing w:before="241" w:line="364" w:lineRule="auto"/>
        <w:ind w:left="708" w:right="580" w:firstLine="720"/>
        <w:jc w:val="both"/>
      </w:pPr>
      <w:r>
        <w:rPr>
          <w:spacing w:val="-11"/>
        </w:rPr>
        <w:t xml:space="preserve">公司位于某某市某某县盐窝镇工业集中区，占地面积 </w:t>
      </w:r>
      <w:r>
        <w:t>30325m</w:t>
      </w:r>
      <w:r>
        <w:rPr>
          <w:spacing w:val="-55"/>
          <w:position w:val="3"/>
          <w:sz w:val="29"/>
        </w:rPr>
        <w:t>2</w:t>
      </w:r>
      <w:r>
        <w:rPr>
          <w:spacing w:val="-37"/>
        </w:rPr>
        <w:t xml:space="preserve">，注册资本 </w:t>
      </w:r>
      <w:r>
        <w:t>1000</w:t>
      </w:r>
      <w:r>
        <w:rPr>
          <w:spacing w:val="-27"/>
        </w:rPr>
        <w:t xml:space="preserve"> 万元，</w:t>
      </w:r>
      <w:r>
        <w:rPr>
          <w:spacing w:val="-19"/>
        </w:rPr>
        <w:t xml:space="preserve">现有员工 </w:t>
      </w:r>
      <w:r>
        <w:t>126</w:t>
      </w:r>
      <w:r>
        <w:rPr>
          <w:spacing w:val="-10"/>
        </w:rPr>
        <w:t xml:space="preserve"> 人，是集研发、生产、贸易于一体的高新技术化产业，主要生产经营重交沥青及溶剂油。</w:t>
      </w:r>
    </w:p>
    <w:p>
      <w:pPr>
        <w:pStyle w:val="BodyText"/>
        <w:spacing w:before="4" w:line="364" w:lineRule="auto"/>
        <w:ind w:left="708" w:right="760" w:firstLine="720"/>
      </w:pPr>
      <w:r>
        <w:rPr>
          <w:spacing w:val="-7"/>
        </w:rPr>
        <w:t xml:space="preserve">重交沥青生产项目包括 </w:t>
      </w:r>
      <w:r>
        <w:t>100＃道路沥青、60＃道路沥青、10＃</w:t>
      </w:r>
      <w:r>
        <w:rPr>
          <w:spacing w:val="-2"/>
        </w:rPr>
        <w:t xml:space="preserve">道路沥青、石脑油， </w:t>
      </w:r>
      <w:r>
        <w:rPr>
          <w:spacing w:val="-12"/>
        </w:rPr>
        <w:t xml:space="preserve">生产能力分别为 </w:t>
      </w:r>
      <w:r>
        <w:t>50000t/a</w:t>
      </w:r>
      <w:r>
        <w:rPr>
          <w:spacing w:val="-18"/>
        </w:rPr>
        <w:t>、</w:t>
      </w:r>
      <w:r>
        <w:t>20000t/a</w:t>
      </w:r>
      <w:r>
        <w:rPr>
          <w:spacing w:val="-18"/>
        </w:rPr>
        <w:t>、</w:t>
      </w:r>
      <w:r>
        <w:t>70000t/a</w:t>
      </w:r>
      <w:r>
        <w:rPr>
          <w:spacing w:val="-18"/>
        </w:rPr>
        <w:t>、</w:t>
      </w:r>
      <w:r>
        <w:t>10000t/a；</w:t>
      </w:r>
      <w:r>
        <w:rPr>
          <w:spacing w:val="-11"/>
        </w:rPr>
        <w:t xml:space="preserve">溶剂油生产项目包括 </w:t>
      </w:r>
      <w:r>
        <w:rPr>
          <w:spacing w:val="-6"/>
        </w:rPr>
        <w:t>200</w:t>
      </w:r>
    </w:p>
    <w:p>
      <w:pPr>
        <w:pStyle w:val="BodyText"/>
        <w:spacing w:before="1" w:line="364" w:lineRule="auto"/>
        <w:ind w:left="708" w:right="580"/>
      </w:pPr>
      <w:r>
        <w:rPr>
          <w:spacing w:val="-36"/>
        </w:rPr>
        <w:t>＃溶剂油、</w:t>
      </w:r>
      <w:r>
        <w:t>180＃</w:t>
      </w:r>
      <w:r>
        <w:rPr>
          <w:spacing w:val="-44"/>
        </w:rPr>
        <w:t>溶剂油、</w:t>
      </w:r>
      <w:r>
        <w:t>120＃</w:t>
      </w:r>
      <w:r>
        <w:rPr>
          <w:spacing w:val="-45"/>
        </w:rPr>
        <w:t>溶剂油、</w:t>
      </w:r>
      <w:r>
        <w:t>6＃</w:t>
      </w:r>
      <w:r>
        <w:rPr>
          <w:spacing w:val="-24"/>
        </w:rPr>
        <w:t xml:space="preserve">溶剂油，生产能力分别为 </w:t>
      </w:r>
      <w:r>
        <w:t>40000t/a</w:t>
      </w:r>
      <w:r>
        <w:rPr>
          <w:spacing w:val="-177"/>
        </w:rPr>
        <w:t>、</w:t>
      </w:r>
      <w:r>
        <w:t>10000t/a</w:t>
      </w:r>
      <w:r>
        <w:rPr>
          <w:spacing w:val="-16"/>
        </w:rPr>
        <w:t>、</w:t>
      </w:r>
      <w:r>
        <w:t>40000t/a、10000t/a。</w:t>
      </w:r>
    </w:p>
    <w:p>
      <w:pPr>
        <w:pStyle w:val="BodyText"/>
        <w:spacing w:before="2" w:line="364" w:lineRule="auto"/>
        <w:ind w:left="708" w:right="689" w:firstLine="720"/>
      </w:pPr>
      <w:r>
        <w:t>项目厂界东邻冷藏厂、西邻腾达化工厂、北侧为空地、南侧为永馆路，项目厂址周围 500m 范围内无环境敏感点，主要以工业企业及树林农田为主。</w:t>
      </w:r>
    </w:p>
    <w:p>
      <w:pPr>
        <w:pStyle w:val="BodyText"/>
        <w:spacing w:before="2"/>
        <w:ind w:left="1428"/>
      </w:pPr>
      <w:r>
        <w:drawing>
          <wp:anchor distT="0" distB="0" distL="0" distR="0" simplePos="0" relativeHeight="251659264" behindDoc="1" locked="0" layoutInCell="1" allowOverlap="1">
            <wp:simplePos x="0" y="0"/>
            <wp:positionH relativeFrom="page">
              <wp:posOffset>1333500</wp:posOffset>
            </wp:positionH>
            <wp:positionV relativeFrom="paragraph">
              <wp:posOffset>810767</wp:posOffset>
            </wp:positionV>
            <wp:extent cx="8665083" cy="2749010"/>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22" cstate="print"/>
                    <a:stretch>
                      <a:fillRect/>
                    </a:stretch>
                  </pic:blipFill>
                  <pic:spPr>
                    <a:xfrm>
                      <a:off x="0" y="0"/>
                      <a:ext cx="8665083" cy="2749010"/>
                    </a:xfrm>
                    <a:prstGeom prst="rect">
                      <a:avLst/>
                    </a:prstGeom>
                  </pic:spPr>
                </pic:pic>
              </a:graphicData>
            </a:graphic>
          </wp:anchor>
        </w:drawing>
      </w:r>
      <w:r>
        <w:t>某某县某某化工有限公司基本情况见表 3.1-1。</w:t>
      </w:r>
    </w:p>
    <w:p>
      <w:pPr>
        <w:pStyle w:val="BodyText"/>
        <w:spacing w:before="9"/>
        <w:rPr>
          <w:sz w:val="22"/>
        </w:rPr>
      </w:pPr>
    </w:p>
    <w:tbl>
      <w:tblPr>
        <w:tblStyle w:val="TableNormal0"/>
        <w:tblW w:w="0" w:type="auto"/>
        <w:jc w:val="left"/>
        <w:tblInd w:w="1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46"/>
        <w:gridCol w:w="2776"/>
        <w:gridCol w:w="5061"/>
        <w:gridCol w:w="1716"/>
      </w:tblGrid>
      <w:tr>
        <w:tblPrEx>
          <w:tblW w:w="0" w:type="auto"/>
          <w:jc w:val="left"/>
          <w:tblInd w:w="1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1"/>
          <w:jc w:val="left"/>
        </w:trPr>
        <w:tc>
          <w:tcPr>
            <w:tcW w:w="2646" w:type="dxa"/>
          </w:tcPr>
          <w:p>
            <w:pPr>
              <w:pStyle w:val="TableParagraph"/>
              <w:jc w:val="left"/>
              <w:rPr>
                <w:rFonts w:ascii="Times New Roman"/>
                <w:sz w:val="34"/>
              </w:rPr>
            </w:pPr>
          </w:p>
        </w:tc>
        <w:tc>
          <w:tcPr>
            <w:tcW w:w="2776" w:type="dxa"/>
          </w:tcPr>
          <w:p>
            <w:pPr>
              <w:pStyle w:val="TableParagraph"/>
              <w:spacing w:line="411" w:lineRule="exact"/>
              <w:ind w:left="1328"/>
              <w:jc w:val="left"/>
              <w:rPr>
                <w:b/>
                <w:sz w:val="36"/>
              </w:rPr>
            </w:pPr>
            <w:r>
              <w:rPr>
                <w:b/>
                <w:spacing w:val="-47"/>
                <w:sz w:val="36"/>
              </w:rPr>
              <w:t xml:space="preserve">表 </w:t>
            </w:r>
            <w:r>
              <w:rPr>
                <w:b/>
                <w:sz w:val="36"/>
              </w:rPr>
              <w:t>3.1-1</w:t>
            </w:r>
          </w:p>
        </w:tc>
        <w:tc>
          <w:tcPr>
            <w:tcW w:w="5061" w:type="dxa"/>
          </w:tcPr>
          <w:p>
            <w:pPr>
              <w:pStyle w:val="TableParagraph"/>
              <w:spacing w:line="411" w:lineRule="exact"/>
              <w:ind w:left="93"/>
              <w:jc w:val="left"/>
              <w:rPr>
                <w:b/>
                <w:sz w:val="36"/>
              </w:rPr>
            </w:pPr>
            <w:r>
              <w:rPr>
                <w:b/>
                <w:sz w:val="36"/>
              </w:rPr>
              <w:t>企业基本情况一览表</w:t>
            </w:r>
          </w:p>
        </w:tc>
        <w:tc>
          <w:tcPr>
            <w:tcW w:w="1716" w:type="dxa"/>
            <w:vMerge w:val="restart"/>
          </w:tcPr>
          <w:p>
            <w:pPr>
              <w:pStyle w:val="TableParagraph"/>
              <w:jc w:val="left"/>
              <w:rPr>
                <w:rFonts w:ascii="Times New Roman"/>
                <w:sz w:val="34"/>
              </w:rPr>
            </w:pPr>
          </w:p>
        </w:tc>
      </w:tr>
      <w:tr>
        <w:tblPrEx>
          <w:tblW w:w="0" w:type="auto"/>
          <w:jc w:val="left"/>
          <w:tblInd w:w="1144" w:type="dxa"/>
          <w:tblLayout w:type="fixed"/>
          <w:tblCellMar>
            <w:top w:w="0" w:type="dxa"/>
            <w:left w:w="0" w:type="dxa"/>
            <w:bottom w:w="0" w:type="dxa"/>
            <w:right w:w="0" w:type="dxa"/>
          </w:tblCellMar>
          <w:tblLook w:val="01E0"/>
        </w:tblPrEx>
        <w:trPr>
          <w:trHeight w:val="1254"/>
          <w:jc w:val="left"/>
        </w:trPr>
        <w:tc>
          <w:tcPr>
            <w:tcW w:w="2646" w:type="dxa"/>
          </w:tcPr>
          <w:p>
            <w:pPr>
              <w:pStyle w:val="TableParagraph"/>
              <w:spacing w:before="143"/>
              <w:ind w:left="50"/>
              <w:jc w:val="left"/>
              <w:rPr>
                <w:b/>
                <w:sz w:val="31"/>
              </w:rPr>
            </w:pPr>
            <w:r>
              <w:rPr>
                <w:b/>
                <w:sz w:val="31"/>
              </w:rPr>
              <w:t>企业名称</w:t>
            </w:r>
          </w:p>
          <w:p>
            <w:pPr>
              <w:pStyle w:val="TableParagraph"/>
              <w:spacing w:before="212"/>
              <w:ind w:left="50"/>
              <w:jc w:val="left"/>
              <w:rPr>
                <w:b/>
                <w:sz w:val="31"/>
              </w:rPr>
            </w:pPr>
            <w:r>
              <w:rPr>
                <w:b/>
                <w:sz w:val="31"/>
              </w:rPr>
              <w:t>注册地址</w:t>
            </w:r>
          </w:p>
        </w:tc>
        <w:tc>
          <w:tcPr>
            <w:tcW w:w="2776" w:type="dxa"/>
          </w:tcPr>
          <w:p>
            <w:pPr>
              <w:pStyle w:val="TableParagraph"/>
              <w:jc w:val="left"/>
              <w:rPr>
                <w:rFonts w:ascii="Times New Roman"/>
                <w:sz w:val="34"/>
              </w:rPr>
            </w:pPr>
          </w:p>
        </w:tc>
        <w:tc>
          <w:tcPr>
            <w:tcW w:w="5061" w:type="dxa"/>
          </w:tcPr>
          <w:p>
            <w:pPr>
              <w:pStyle w:val="TableParagraph"/>
              <w:spacing w:before="143"/>
              <w:ind w:left="197" w:right="1101"/>
              <w:rPr>
                <w:sz w:val="31"/>
              </w:rPr>
            </w:pPr>
            <w:r>
              <w:rPr>
                <w:sz w:val="31"/>
              </w:rPr>
              <w:t>某某县某某化工有限公司</w:t>
            </w:r>
          </w:p>
          <w:p>
            <w:pPr>
              <w:pStyle w:val="TableParagraph"/>
              <w:spacing w:before="212"/>
              <w:ind w:left="197" w:right="1103"/>
              <w:rPr>
                <w:sz w:val="31"/>
              </w:rPr>
            </w:pPr>
            <w:r>
              <w:rPr>
                <w:sz w:val="31"/>
              </w:rPr>
              <w:t>某某市某某县盐窝镇盐中村</w:t>
            </w:r>
          </w:p>
        </w:tc>
        <w:tc>
          <w:tcPr>
            <w:tcW w:w="1716" w:type="dxa"/>
            <w:vMerge/>
            <w:tcBorders>
              <w:top w:val="nil"/>
            </w:tcBorders>
          </w:tcPr>
          <w:p>
            <w:pPr>
              <w:rPr>
                <w:sz w:val="2"/>
                <w:szCs w:val="2"/>
              </w:rPr>
            </w:pPr>
          </w:p>
        </w:tc>
      </w:tr>
      <w:tr>
        <w:tblPrEx>
          <w:tblW w:w="0" w:type="auto"/>
          <w:jc w:val="left"/>
          <w:tblInd w:w="1144" w:type="dxa"/>
          <w:tblLayout w:type="fixed"/>
          <w:tblCellMar>
            <w:top w:w="0" w:type="dxa"/>
            <w:left w:w="0" w:type="dxa"/>
            <w:bottom w:w="0" w:type="dxa"/>
            <w:right w:w="0" w:type="dxa"/>
          </w:tblCellMar>
          <w:tblLook w:val="01E0"/>
        </w:tblPrEx>
        <w:trPr>
          <w:trHeight w:val="611"/>
          <w:jc w:val="left"/>
        </w:trPr>
        <w:tc>
          <w:tcPr>
            <w:tcW w:w="2646" w:type="dxa"/>
          </w:tcPr>
          <w:p>
            <w:pPr>
              <w:pStyle w:val="TableParagraph"/>
              <w:spacing w:before="110"/>
              <w:ind w:left="50"/>
              <w:jc w:val="left"/>
              <w:rPr>
                <w:b/>
                <w:sz w:val="31"/>
              </w:rPr>
            </w:pPr>
            <w:r>
              <w:rPr>
                <w:b/>
                <w:sz w:val="31"/>
              </w:rPr>
              <w:t>企业类型</w:t>
            </w:r>
          </w:p>
        </w:tc>
        <w:tc>
          <w:tcPr>
            <w:tcW w:w="2776" w:type="dxa"/>
          </w:tcPr>
          <w:p>
            <w:pPr>
              <w:pStyle w:val="TableParagraph"/>
              <w:jc w:val="left"/>
              <w:rPr>
                <w:rFonts w:ascii="Times New Roman"/>
                <w:sz w:val="34"/>
              </w:rPr>
            </w:pPr>
          </w:p>
        </w:tc>
        <w:tc>
          <w:tcPr>
            <w:tcW w:w="5061" w:type="dxa"/>
          </w:tcPr>
          <w:p>
            <w:pPr>
              <w:pStyle w:val="TableParagraph"/>
              <w:spacing w:before="110"/>
              <w:ind w:left="1122"/>
              <w:jc w:val="left"/>
              <w:rPr>
                <w:sz w:val="31"/>
              </w:rPr>
            </w:pPr>
            <w:r>
              <w:rPr>
                <w:sz w:val="31"/>
              </w:rPr>
              <w:t>有限责任公司</w:t>
            </w:r>
          </w:p>
        </w:tc>
        <w:tc>
          <w:tcPr>
            <w:tcW w:w="1716" w:type="dxa"/>
            <w:vMerge/>
            <w:tcBorders>
              <w:top w:val="nil"/>
            </w:tcBorders>
          </w:tcPr>
          <w:p>
            <w:pPr>
              <w:rPr>
                <w:sz w:val="2"/>
                <w:szCs w:val="2"/>
              </w:rPr>
            </w:pPr>
          </w:p>
        </w:tc>
      </w:tr>
      <w:tr>
        <w:tblPrEx>
          <w:tblW w:w="0" w:type="auto"/>
          <w:jc w:val="left"/>
          <w:tblInd w:w="1144" w:type="dxa"/>
          <w:tblLayout w:type="fixed"/>
          <w:tblCellMar>
            <w:top w:w="0" w:type="dxa"/>
            <w:left w:w="0" w:type="dxa"/>
            <w:bottom w:w="0" w:type="dxa"/>
            <w:right w:w="0" w:type="dxa"/>
          </w:tblCellMar>
          <w:tblLook w:val="01E0"/>
        </w:tblPrEx>
        <w:trPr>
          <w:trHeight w:val="1220"/>
          <w:jc w:val="left"/>
        </w:trPr>
        <w:tc>
          <w:tcPr>
            <w:tcW w:w="2646" w:type="dxa"/>
          </w:tcPr>
          <w:p>
            <w:pPr>
              <w:pStyle w:val="TableParagraph"/>
              <w:spacing w:before="110"/>
              <w:ind w:left="50"/>
              <w:jc w:val="left"/>
              <w:rPr>
                <w:b/>
                <w:sz w:val="31"/>
              </w:rPr>
            </w:pPr>
            <w:r>
              <w:rPr>
                <w:b/>
                <w:spacing w:val="3"/>
                <w:sz w:val="31"/>
              </w:rPr>
              <w:t>负 责 人</w:t>
            </w:r>
          </w:p>
          <w:p>
            <w:pPr>
              <w:pStyle w:val="TableParagraph"/>
              <w:spacing w:before="211"/>
              <w:ind w:left="50"/>
              <w:jc w:val="left"/>
              <w:rPr>
                <w:b/>
                <w:sz w:val="31"/>
              </w:rPr>
            </w:pPr>
            <w:r>
              <w:rPr>
                <w:b/>
                <w:sz w:val="31"/>
              </w:rPr>
              <w:t>占地面积</w:t>
            </w:r>
          </w:p>
        </w:tc>
        <w:tc>
          <w:tcPr>
            <w:tcW w:w="2776" w:type="dxa"/>
          </w:tcPr>
          <w:p>
            <w:pPr>
              <w:pStyle w:val="TableParagraph"/>
              <w:jc w:val="left"/>
              <w:rPr>
                <w:rFonts w:ascii="Times New Roman"/>
                <w:sz w:val="34"/>
              </w:rPr>
            </w:pPr>
          </w:p>
        </w:tc>
        <w:tc>
          <w:tcPr>
            <w:tcW w:w="5061" w:type="dxa"/>
          </w:tcPr>
          <w:p>
            <w:pPr>
              <w:pStyle w:val="TableParagraph"/>
              <w:spacing w:before="110"/>
              <w:ind w:left="2516"/>
              <w:jc w:val="left"/>
              <w:rPr>
                <w:sz w:val="31"/>
              </w:rPr>
            </w:pPr>
            <w:r>
              <w:rPr>
                <w:sz w:val="31"/>
              </w:rPr>
              <w:t>注册资本</w:t>
            </w:r>
          </w:p>
          <w:p>
            <w:pPr>
              <w:pStyle w:val="TableParagraph"/>
              <w:spacing w:before="211"/>
              <w:ind w:left="2516"/>
              <w:jc w:val="left"/>
              <w:rPr>
                <w:sz w:val="31"/>
              </w:rPr>
            </w:pPr>
            <w:r>
              <w:rPr>
                <w:sz w:val="31"/>
              </w:rPr>
              <w:t>职工人数</w:t>
            </w:r>
          </w:p>
        </w:tc>
        <w:tc>
          <w:tcPr>
            <w:tcW w:w="1716" w:type="dxa"/>
          </w:tcPr>
          <w:p>
            <w:pPr>
              <w:pStyle w:val="TableParagraph"/>
              <w:spacing w:before="110"/>
              <w:ind w:left="639"/>
              <w:jc w:val="left"/>
              <w:rPr>
                <w:sz w:val="31"/>
              </w:rPr>
            </w:pPr>
            <w:r>
              <w:rPr>
                <w:sz w:val="31"/>
              </w:rPr>
              <w:t>5000</w:t>
            </w:r>
            <w:r>
              <w:rPr>
                <w:spacing w:val="-34"/>
                <w:sz w:val="31"/>
              </w:rPr>
              <w:t xml:space="preserve"> 万</w:t>
            </w:r>
          </w:p>
          <w:p>
            <w:pPr>
              <w:pStyle w:val="TableParagraph"/>
              <w:spacing w:before="211"/>
              <w:ind w:left="718"/>
              <w:jc w:val="left"/>
              <w:rPr>
                <w:sz w:val="31"/>
              </w:rPr>
            </w:pPr>
            <w:r>
              <w:rPr>
                <w:sz w:val="31"/>
              </w:rPr>
              <w:t>126 人</w:t>
            </w:r>
          </w:p>
        </w:tc>
      </w:tr>
      <w:tr>
        <w:tblPrEx>
          <w:tblW w:w="0" w:type="auto"/>
          <w:jc w:val="left"/>
          <w:tblInd w:w="1144" w:type="dxa"/>
          <w:tblLayout w:type="fixed"/>
          <w:tblCellMar>
            <w:top w:w="0" w:type="dxa"/>
            <w:left w:w="0" w:type="dxa"/>
            <w:bottom w:w="0" w:type="dxa"/>
            <w:right w:w="0" w:type="dxa"/>
          </w:tblCellMar>
          <w:tblLook w:val="01E0"/>
        </w:tblPrEx>
        <w:trPr>
          <w:trHeight w:val="1072"/>
          <w:jc w:val="left"/>
        </w:trPr>
        <w:tc>
          <w:tcPr>
            <w:tcW w:w="2646" w:type="dxa"/>
          </w:tcPr>
          <w:p>
            <w:pPr>
              <w:pStyle w:val="TableParagraph"/>
              <w:spacing w:before="110"/>
              <w:ind w:left="50"/>
              <w:jc w:val="left"/>
              <w:rPr>
                <w:b/>
                <w:sz w:val="31"/>
              </w:rPr>
            </w:pPr>
            <w:r>
              <w:rPr>
                <w:b/>
                <w:sz w:val="31"/>
              </w:rPr>
              <w:t>电子邮件</w:t>
            </w:r>
          </w:p>
          <w:p>
            <w:pPr>
              <w:pStyle w:val="TableParagraph"/>
              <w:tabs>
                <w:tab w:val="left" w:pos="1000"/>
              </w:tabs>
              <w:spacing w:before="211" w:line="335" w:lineRule="exact"/>
              <w:ind w:left="50"/>
              <w:jc w:val="left"/>
              <w:rPr>
                <w:b/>
                <w:sz w:val="31"/>
              </w:rPr>
            </w:pPr>
            <w:r>
              <w:rPr>
                <w:b/>
                <w:sz w:val="31"/>
              </w:rPr>
              <w:t>电</w:t>
              <w:tab/>
              <w:t>话</w:t>
            </w:r>
          </w:p>
        </w:tc>
        <w:tc>
          <w:tcPr>
            <w:tcW w:w="2776" w:type="dxa"/>
          </w:tcPr>
          <w:p>
            <w:pPr>
              <w:pStyle w:val="TableParagraph"/>
              <w:jc w:val="left"/>
              <w:rPr>
                <w:rFonts w:ascii="Times New Roman"/>
                <w:sz w:val="34"/>
              </w:rPr>
            </w:pPr>
          </w:p>
        </w:tc>
        <w:tc>
          <w:tcPr>
            <w:tcW w:w="5061" w:type="dxa"/>
          </w:tcPr>
          <w:p>
            <w:pPr>
              <w:pStyle w:val="TableParagraph"/>
              <w:spacing w:before="110"/>
              <w:ind w:left="1247"/>
              <w:rPr>
                <w:sz w:val="31"/>
              </w:rPr>
            </w:pPr>
            <w:r>
              <w:rPr>
                <w:sz w:val="31"/>
              </w:rPr>
              <w:t>专职安全管理人员</w:t>
            </w:r>
          </w:p>
          <w:p>
            <w:pPr>
              <w:pStyle w:val="TableParagraph"/>
              <w:tabs>
                <w:tab w:val="left" w:pos="2183"/>
              </w:tabs>
              <w:spacing w:before="211" w:line="335" w:lineRule="exact"/>
              <w:ind w:left="1236"/>
              <w:rPr>
                <w:sz w:val="31"/>
              </w:rPr>
            </w:pPr>
            <w:r>
              <w:rPr>
                <w:sz w:val="31"/>
              </w:rPr>
              <w:t>传</w:t>
              <w:tab/>
              <w:t>真</w:t>
            </w:r>
          </w:p>
        </w:tc>
        <w:tc>
          <w:tcPr>
            <w:tcW w:w="1716" w:type="dxa"/>
          </w:tcPr>
          <w:p>
            <w:pPr>
              <w:pStyle w:val="TableParagraph"/>
              <w:spacing w:before="110"/>
              <w:ind w:left="876"/>
              <w:jc w:val="left"/>
              <w:rPr>
                <w:sz w:val="31"/>
              </w:rPr>
            </w:pPr>
            <w:r>
              <w:rPr>
                <w:sz w:val="31"/>
              </w:rPr>
              <w:t>1 人</w:t>
            </w:r>
          </w:p>
        </w:tc>
      </w:tr>
    </w:tbl>
    <w:p>
      <w:pPr>
        <w:pStyle w:val="ListParagraph"/>
        <w:numPr>
          <w:ilvl w:val="2"/>
          <w:numId w:val="23"/>
        </w:numPr>
        <w:tabs>
          <w:tab w:val="left" w:pos="2330"/>
        </w:tabs>
        <w:spacing w:before="238" w:after="0" w:line="240" w:lineRule="auto"/>
        <w:ind w:left="2329" w:right="0" w:hanging="902"/>
        <w:jc w:val="left"/>
        <w:rPr>
          <w:sz w:val="36"/>
        </w:rPr>
      </w:pPr>
      <w:r>
        <w:rPr>
          <w:sz w:val="36"/>
        </w:rPr>
        <w:t>工程组成及规模</w:t>
      </w:r>
    </w:p>
    <w:p>
      <w:pPr>
        <w:pStyle w:val="BodyText"/>
        <w:spacing w:before="242" w:line="364" w:lineRule="auto"/>
        <w:ind w:left="708" w:right="763" w:firstLine="720"/>
      </w:pPr>
      <w:r>
        <w:rPr>
          <w:spacing w:val="-4"/>
        </w:rPr>
        <w:t>某某县某某化工有限公司现有重交沥青产品及溶剂油产品生产线，生产能力分别为</w:t>
      </w:r>
      <w:r>
        <w:t>14</w:t>
      </w:r>
      <w:r>
        <w:rPr>
          <w:spacing w:val="-61"/>
        </w:rPr>
        <w:t xml:space="preserve"> 万 </w:t>
      </w:r>
      <w:r>
        <w:t>t/a、10</w:t>
      </w:r>
      <w:r>
        <w:rPr>
          <w:spacing w:val="-60"/>
        </w:rPr>
        <w:t xml:space="preserve"> 万 </w:t>
      </w:r>
      <w:r>
        <w:t>t/a</w:t>
      </w:r>
      <w:r>
        <w:rPr>
          <w:spacing w:val="-8"/>
        </w:rPr>
        <w:t xml:space="preserve">。本项目基本组成详见表 </w:t>
      </w:r>
      <w:r>
        <w:t>3.1-2，</w:t>
      </w:r>
      <w:r>
        <w:rPr>
          <w:spacing w:val="-12"/>
        </w:rPr>
        <w:t xml:space="preserve">产品方案详见表 </w:t>
      </w:r>
      <w:r>
        <w:t>3.1-3。</w:t>
      </w:r>
    </w:p>
    <w:p>
      <w:pPr>
        <w:pStyle w:val="Heading3"/>
        <w:spacing w:before="2"/>
        <w:ind w:left="5021"/>
      </w:pPr>
      <w:r>
        <w:t>3.1-2 项目基本组成情况一览表</w:t>
      </w:r>
    </w:p>
    <w:p>
      <w:pPr>
        <w:pStyle w:val="BodyText"/>
        <w:spacing w:before="6"/>
        <w:rPr>
          <w:b/>
          <w:sz w:val="16"/>
        </w:rPr>
      </w:pPr>
    </w:p>
    <w:p>
      <w:pPr>
        <w:spacing w:after="0"/>
        <w:rPr>
          <w:sz w:val="16"/>
        </w:rPr>
        <w:sectPr>
          <w:headerReference w:type="default" r:id="rId23"/>
          <w:footerReference w:type="default" r:id="rId24"/>
          <w:pgSz w:w="17860" w:h="25260"/>
          <w:pgMar w:top="1380" w:right="1360" w:bottom="2020" w:left="1420" w:header="1083" w:footer="1826"/>
          <w:pgNumType w:start="9"/>
          <w:cols w:space="708"/>
        </w:sectPr>
      </w:pPr>
    </w:p>
    <w:p>
      <w:pPr>
        <w:spacing w:before="63" w:line="369" w:lineRule="auto"/>
        <w:ind w:left="1014" w:right="38" w:hanging="4"/>
        <w:jc w:val="both"/>
        <w:rPr>
          <w:sz w:val="31"/>
        </w:rPr>
      </w:pPr>
      <w:r>
        <w:drawing>
          <wp:anchor distT="0" distB="0" distL="0" distR="0" simplePos="0" relativeHeight="251660288" behindDoc="1" locked="0" layoutInCell="1" allowOverlap="1">
            <wp:simplePos x="0" y="0"/>
            <wp:positionH relativeFrom="page">
              <wp:posOffset>1231900</wp:posOffset>
            </wp:positionH>
            <wp:positionV relativeFrom="paragraph">
              <wp:posOffset>-64388</wp:posOffset>
            </wp:positionV>
            <wp:extent cx="8890000" cy="1587500"/>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25" cstate="print"/>
                    <a:stretch>
                      <a:fillRect/>
                    </a:stretch>
                  </pic:blipFill>
                  <pic:spPr>
                    <a:xfrm>
                      <a:off x="0" y="0"/>
                      <a:ext cx="8890000" cy="1587500"/>
                    </a:xfrm>
                    <a:prstGeom prst="rect">
                      <a:avLst/>
                    </a:prstGeom>
                  </pic:spPr>
                </pic:pic>
              </a:graphicData>
            </a:graphic>
          </wp:anchor>
        </w:drawing>
      </w:r>
      <w:r>
        <w:rPr>
          <w:b/>
          <w:sz w:val="31"/>
        </w:rPr>
        <w:t>项目名称</w:t>
      </w:r>
      <w:r>
        <w:rPr>
          <w:sz w:val="31"/>
        </w:rPr>
        <w:t>主体工程辅助工程公用工程</w:t>
      </w:r>
    </w:p>
    <w:p>
      <w:pPr>
        <w:spacing w:before="63"/>
        <w:ind w:left="1461" w:right="4241" w:firstLine="0"/>
        <w:jc w:val="center"/>
        <w:rPr>
          <w:b/>
          <w:sz w:val="31"/>
        </w:rPr>
      </w:pPr>
      <w:r>
        <w:br w:type="column"/>
      </w:r>
      <w:r>
        <w:rPr>
          <w:b/>
          <w:sz w:val="31"/>
        </w:rPr>
        <w:t>主要组成</w:t>
      </w:r>
    </w:p>
    <w:p>
      <w:pPr>
        <w:spacing w:before="211" w:line="369" w:lineRule="auto"/>
        <w:ind w:left="1482" w:right="4241" w:firstLine="0"/>
        <w:jc w:val="center"/>
        <w:rPr>
          <w:sz w:val="31"/>
        </w:rPr>
      </w:pPr>
      <w:r>
        <w:rPr>
          <w:sz w:val="31"/>
        </w:rPr>
        <w:t>重交沥青生产线、溶剂油生产线办公楼、中间库等</w:t>
      </w:r>
    </w:p>
    <w:p>
      <w:pPr>
        <w:spacing w:before="1"/>
        <w:ind w:left="1050" w:right="3802" w:firstLine="0"/>
        <w:jc w:val="center"/>
        <w:rPr>
          <w:sz w:val="31"/>
        </w:rPr>
      </w:pPr>
      <w:r>
        <w:rPr>
          <w:sz w:val="31"/>
        </w:rPr>
        <w:t>供水：由盐窝镇工业园自来水管网提供</w:t>
      </w:r>
    </w:p>
    <w:p>
      <w:pPr>
        <w:spacing w:after="0"/>
        <w:jc w:val="center"/>
        <w:rPr>
          <w:sz w:val="31"/>
        </w:rPr>
        <w:sectPr>
          <w:headerReference w:type="default" r:id="rId26"/>
          <w:footerReference w:type="default" r:id="rId27"/>
          <w:type w:val="continuous"/>
          <w:pgSz w:w="17860" w:h="25260"/>
          <w:pgMar w:top="1380" w:right="1360" w:bottom="2020" w:left="1420" w:header="708" w:footer="708"/>
          <w:pgNumType w:start="10"/>
          <w:cols w:num="2" w:space="708" w:equalWidth="0">
            <w:col w:w="2322" w:space="2596"/>
            <w:col w:w="10162" w:space="0"/>
          </w:cols>
        </w:sectPr>
      </w:pPr>
    </w:p>
    <w:p>
      <w:pPr>
        <w:pStyle w:val="BodyText"/>
        <w:rPr>
          <w:sz w:val="20"/>
        </w:rPr>
      </w:pPr>
    </w:p>
    <w:p>
      <w:pPr>
        <w:pStyle w:val="BodyText"/>
        <w:spacing w:before="11"/>
        <w:rPr>
          <w:sz w:val="15"/>
        </w:rPr>
      </w:pPr>
    </w:p>
    <w:p>
      <w:pPr>
        <w:spacing w:after="0"/>
        <w:rPr>
          <w:sz w:val="15"/>
        </w:rPr>
        <w:sectPr>
          <w:headerReference w:type="default" r:id="rId28"/>
          <w:footerReference w:type="default" r:id="rId29"/>
          <w:pgSz w:w="17860" w:h="25260"/>
          <w:pgMar w:top="1380" w:right="1360" w:bottom="2020" w:left="1420" w:header="1083" w:footer="1826"/>
          <w:pgNumType w:start="11"/>
          <w:cols w:space="708"/>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0"/>
        <w:rPr>
          <w:sz w:val="26"/>
        </w:rPr>
      </w:pPr>
    </w:p>
    <w:p>
      <w:pPr>
        <w:spacing w:before="0"/>
        <w:ind w:left="1014" w:right="0" w:firstLine="0"/>
        <w:jc w:val="left"/>
        <w:rPr>
          <w:sz w:val="31"/>
        </w:rPr>
      </w:pPr>
      <w:r>
        <w:rPr>
          <w:spacing w:val="-5"/>
          <w:sz w:val="31"/>
        </w:rPr>
        <w:t>环保工程</w:t>
      </w:r>
    </w:p>
    <w:p>
      <w:pPr>
        <w:pStyle w:val="BodyText"/>
        <w:rPr>
          <w:sz w:val="32"/>
        </w:rPr>
      </w:pPr>
    </w:p>
    <w:p>
      <w:pPr>
        <w:pStyle w:val="BodyText"/>
        <w:rPr>
          <w:sz w:val="32"/>
        </w:rPr>
      </w:pPr>
    </w:p>
    <w:p>
      <w:pPr>
        <w:pStyle w:val="BodyText"/>
        <w:spacing w:before="2"/>
        <w:rPr>
          <w:sz w:val="24"/>
        </w:rPr>
      </w:pPr>
    </w:p>
    <w:p>
      <w:pPr>
        <w:spacing w:before="0"/>
        <w:ind w:left="1014" w:right="0" w:firstLine="0"/>
        <w:jc w:val="left"/>
        <w:rPr>
          <w:sz w:val="31"/>
        </w:rPr>
      </w:pPr>
      <w:r>
        <w:rPr>
          <w:spacing w:val="-5"/>
          <w:sz w:val="31"/>
        </w:rPr>
        <w:t>储运工程</w:t>
      </w:r>
    </w:p>
    <w:p>
      <w:pPr>
        <w:spacing w:before="63" w:line="283" w:lineRule="auto"/>
        <w:ind w:left="611" w:right="739" w:firstLine="0"/>
        <w:jc w:val="center"/>
        <w:rPr>
          <w:sz w:val="31"/>
        </w:rPr>
      </w:pPr>
      <w:r>
        <w:br w:type="column"/>
      </w:r>
      <w:r>
        <w:rPr>
          <w:sz w:val="31"/>
        </w:rPr>
        <w:t>排水：无生产废水产生；生活废水经化粪池处理后由当地环卫部门定期清掏；初期雨水及事故水由罐车运至污水处理厂进行深度处理</w:t>
      </w:r>
    </w:p>
    <w:p>
      <w:pPr>
        <w:spacing w:before="78" w:line="367" w:lineRule="auto"/>
        <w:ind w:left="1970" w:right="2153" w:firstLine="0"/>
        <w:jc w:val="center"/>
        <w:rPr>
          <w:sz w:val="31"/>
        </w:rPr>
      </w:pPr>
      <w:r>
        <w:drawing>
          <wp:anchor distT="0" distB="0" distL="0" distR="0" simplePos="0" relativeHeight="251661312" behindDoc="1" locked="0" layoutInCell="1" allowOverlap="1">
            <wp:simplePos x="0" y="0"/>
            <wp:positionH relativeFrom="page">
              <wp:posOffset>1231900</wp:posOffset>
            </wp:positionH>
            <wp:positionV relativeFrom="paragraph">
              <wp:posOffset>-652017</wp:posOffset>
            </wp:positionV>
            <wp:extent cx="8890000" cy="3352800"/>
            <wp:effectExtent l="0" t="0" r="0" b="0"/>
            <wp:wrapNone/>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30" cstate="print"/>
                    <a:stretch>
                      <a:fillRect/>
                    </a:stretch>
                  </pic:blipFill>
                  <pic:spPr>
                    <a:xfrm>
                      <a:off x="0" y="0"/>
                      <a:ext cx="8890000" cy="3352800"/>
                    </a:xfrm>
                    <a:prstGeom prst="rect">
                      <a:avLst/>
                    </a:prstGeom>
                  </pic:spPr>
                </pic:pic>
              </a:graphicData>
            </a:graphic>
          </wp:anchor>
        </w:drawing>
      </w:r>
      <w:r>
        <w:rPr>
          <w:sz w:val="31"/>
        </w:rPr>
        <w:t>循环水系统：设 2000</w:t>
      </w:r>
      <w:r>
        <w:rPr>
          <w:position w:val="4"/>
          <w:sz w:val="16"/>
        </w:rPr>
        <w:t>m</w:t>
      </w:r>
      <w:r>
        <w:rPr>
          <w:sz w:val="31"/>
        </w:rPr>
        <w:t>m</w:t>
      </w:r>
      <w:r>
        <w:rPr>
          <w:position w:val="4"/>
          <w:sz w:val="16"/>
        </w:rPr>
        <w:t xml:space="preserve">3 </w:t>
      </w:r>
      <w:r>
        <w:rPr>
          <w:sz w:val="31"/>
        </w:rPr>
        <w:t>的循环水池两座，小时循环水量 200</w:t>
      </w:r>
      <w:r>
        <w:rPr>
          <w:position w:val="4"/>
          <w:sz w:val="16"/>
        </w:rPr>
        <w:t>m</w:t>
      </w:r>
      <w:r>
        <w:rPr>
          <w:sz w:val="31"/>
        </w:rPr>
        <w:t>m</w:t>
      </w:r>
      <w:r>
        <w:rPr>
          <w:position w:val="4"/>
          <w:sz w:val="16"/>
        </w:rPr>
        <w:t xml:space="preserve">3 </w:t>
      </w:r>
      <w:r>
        <w:rPr>
          <w:sz w:val="31"/>
        </w:rPr>
        <w:t>供电：由某某县供电局盐窝线引入</w:t>
      </w:r>
    </w:p>
    <w:p>
      <w:pPr>
        <w:spacing w:before="5" w:line="369" w:lineRule="auto"/>
        <w:ind w:left="2660" w:right="2810" w:firstLine="0"/>
        <w:jc w:val="center"/>
        <w:rPr>
          <w:sz w:val="31"/>
        </w:rPr>
      </w:pPr>
      <w:r>
        <w:rPr>
          <w:spacing w:val="-1"/>
          <w:sz w:val="31"/>
        </w:rPr>
        <w:t>废水：生产废水、雨水进入园区污水管网、事故池。</w:t>
      </w:r>
      <w:r>
        <w:rPr>
          <w:sz w:val="31"/>
        </w:rPr>
        <w:t>废气：氯化氢尾气吸收装置</w:t>
      </w:r>
    </w:p>
    <w:p>
      <w:pPr>
        <w:spacing w:before="0" w:line="369" w:lineRule="auto"/>
        <w:ind w:left="4078" w:right="4241" w:firstLine="0"/>
        <w:jc w:val="center"/>
        <w:rPr>
          <w:sz w:val="31"/>
        </w:rPr>
      </w:pPr>
      <w:r>
        <w:rPr>
          <w:spacing w:val="-2"/>
          <w:sz w:val="31"/>
        </w:rPr>
        <w:t>噪声：隔声、消声、减震设施等</w:t>
      </w:r>
      <w:r>
        <w:rPr>
          <w:spacing w:val="-8"/>
          <w:sz w:val="31"/>
        </w:rPr>
        <w:t xml:space="preserve">绿化工程：厂区绿化率 </w:t>
      </w:r>
      <w:r>
        <w:rPr>
          <w:sz w:val="31"/>
        </w:rPr>
        <w:t>15%</w:t>
      </w:r>
    </w:p>
    <w:p>
      <w:pPr>
        <w:pStyle w:val="BodyText"/>
        <w:spacing w:before="11"/>
        <w:rPr>
          <w:sz w:val="45"/>
        </w:rPr>
      </w:pPr>
    </w:p>
    <w:p>
      <w:pPr>
        <w:pStyle w:val="Heading3"/>
        <w:ind w:left="3063"/>
      </w:pPr>
      <w:r>
        <w:t>3.1-3 现有产品方案一览表</w:t>
      </w:r>
    </w:p>
    <w:p>
      <w:pPr>
        <w:spacing w:after="0"/>
        <w:sectPr>
          <w:headerReference w:type="default" r:id="rId31"/>
          <w:footerReference w:type="default" r:id="rId32"/>
          <w:type w:val="continuous"/>
          <w:pgSz w:w="17860" w:h="25260"/>
          <w:pgMar w:top="1380" w:right="1360" w:bottom="2020" w:left="1420" w:header="708" w:footer="708"/>
          <w:pgNumType w:start="12"/>
          <w:cols w:num="2" w:space="708" w:equalWidth="0">
            <w:col w:w="2282" w:space="40"/>
            <w:col w:w="12758" w:space="0"/>
          </w:cols>
        </w:sectPr>
      </w:pPr>
    </w:p>
    <w:p>
      <w:pPr>
        <w:pStyle w:val="BodyText"/>
        <w:spacing w:before="4"/>
        <w:rPr>
          <w:b/>
          <w:sz w:val="9"/>
        </w:rPr>
      </w:pPr>
    </w:p>
    <w:p>
      <w:pPr>
        <w:pStyle w:val="BodyText"/>
        <w:ind w:left="520"/>
        <w:rPr>
          <w:sz w:val="20"/>
        </w:rPr>
      </w:pPr>
      <w:r>
        <w:rPr>
          <w:sz w:val="20"/>
        </w:rPr>
        <w:pict>
          <v:group id="_x0000_i1040" style="width:700pt;height:278pt;mso-position-horizontal-relative:char;mso-position-vertical-relative:line" coordorigin="0,0" coordsize="14000,5560">
            <v:shape id="_x0000_s1041" type="#_x0000_t75" style="width:14000;height:5560;position:absolute" stroked="f">
              <v:imagedata r:id="rId33" o:title=""/>
            </v:shape>
            <v:shape id="_x0000_s1042" type="#_x0000_t202" style="width:654;height:317;left:789;position:absolute;top:193" filled="f" stroked="f">
              <v:textbox inset="0,0,0,0">
                <w:txbxContent>
                  <w:p>
                    <w:pPr>
                      <w:spacing w:before="0" w:line="317" w:lineRule="exact"/>
                      <w:ind w:left="0" w:right="0" w:firstLine="0"/>
                      <w:jc w:val="left"/>
                      <w:rPr>
                        <w:b/>
                        <w:sz w:val="31"/>
                      </w:rPr>
                    </w:pPr>
                    <w:r>
                      <w:rPr>
                        <w:b/>
                        <w:sz w:val="31"/>
                      </w:rPr>
                      <w:t>序号</w:t>
                    </w:r>
                  </w:p>
                </w:txbxContent>
              </v:textbox>
            </v:shape>
            <v:shape id="_x0000_s1043" type="#_x0000_t202" style="width:1288;height:317;left:3954;position:absolute;top:193" filled="f" stroked="f">
              <v:textbox inset="0,0,0,0">
                <w:txbxContent>
                  <w:p>
                    <w:pPr>
                      <w:spacing w:before="0" w:line="317" w:lineRule="exact"/>
                      <w:ind w:left="0" w:right="0" w:firstLine="0"/>
                      <w:jc w:val="left"/>
                      <w:rPr>
                        <w:b/>
                        <w:sz w:val="31"/>
                      </w:rPr>
                    </w:pPr>
                    <w:r>
                      <w:rPr>
                        <w:b/>
                        <w:sz w:val="31"/>
                      </w:rPr>
                      <w:t>产品名称</w:t>
                    </w:r>
                  </w:p>
                </w:txbxContent>
              </v:textbox>
            </v:shape>
            <v:shape id="_x0000_s1044" type="#_x0000_t202" style="width:2793;height:317;left:7345;position:absolute;top:193" filled="f" stroked="f">
              <v:textbox inset="0,0,0,0">
                <w:txbxContent>
                  <w:p>
                    <w:pPr>
                      <w:spacing w:before="0" w:line="317" w:lineRule="exact"/>
                      <w:ind w:left="0" w:right="0" w:firstLine="0"/>
                      <w:jc w:val="left"/>
                      <w:rPr>
                        <w:b/>
                        <w:sz w:val="31"/>
                      </w:rPr>
                    </w:pPr>
                    <w:r>
                      <w:rPr>
                        <w:b/>
                        <w:sz w:val="31"/>
                      </w:rPr>
                      <w:t>设计能力（</w:t>
                    </w:r>
                    <w:r>
                      <w:rPr>
                        <w:b/>
                        <w:spacing w:val="-21"/>
                        <w:sz w:val="31"/>
                      </w:rPr>
                      <w:t xml:space="preserve">万 </w:t>
                    </w:r>
                    <w:r>
                      <w:rPr>
                        <w:b/>
                        <w:sz w:val="31"/>
                      </w:rPr>
                      <w:t>t/a）</w:t>
                    </w:r>
                  </w:p>
                </w:txbxContent>
              </v:textbox>
            </v:shape>
            <v:shape id="_x0000_s1045" type="#_x0000_t202" style="width:2714;height:317;left:10867;position:absolute;top:193" filled="f" stroked="f">
              <v:textbox inset="0,0,0,0">
                <w:txbxContent>
                  <w:p>
                    <w:pPr>
                      <w:spacing w:before="0" w:line="317" w:lineRule="exact"/>
                      <w:ind w:left="0" w:right="0" w:firstLine="0"/>
                      <w:jc w:val="left"/>
                      <w:rPr>
                        <w:b/>
                        <w:sz w:val="31"/>
                      </w:rPr>
                    </w:pPr>
                    <w:r>
                      <w:rPr>
                        <w:b/>
                        <w:sz w:val="31"/>
                      </w:rPr>
                      <w:t>年运行时数（h/a）</w:t>
                    </w:r>
                  </w:p>
                </w:txbxContent>
              </v:textbox>
            </v:shape>
            <v:shape id="_x0000_s1046" type="#_x0000_t202" style="width:179;height:317;left:1027;position:absolute;top:805" filled="f" stroked="f">
              <v:textbox inset="0,0,0,0">
                <w:txbxContent>
                  <w:p>
                    <w:pPr>
                      <w:spacing w:before="0" w:line="317" w:lineRule="exact"/>
                      <w:ind w:left="0" w:right="0" w:firstLine="0"/>
                      <w:jc w:val="left"/>
                      <w:rPr>
                        <w:sz w:val="31"/>
                      </w:rPr>
                    </w:pPr>
                    <w:r>
                      <w:rPr>
                        <w:w w:val="102"/>
                        <w:sz w:val="31"/>
                      </w:rPr>
                      <w:t>1</w:t>
                    </w:r>
                  </w:p>
                </w:txbxContent>
              </v:textbox>
            </v:shape>
            <v:shape id="_x0000_s1047" type="#_x0000_t202" style="width:2081;height:317;left:3561;position:absolute;top:805" filled="f" stroked="f">
              <v:textbox inset="0,0,0,0">
                <w:txbxContent>
                  <w:p>
                    <w:pPr>
                      <w:spacing w:before="0" w:line="317" w:lineRule="exact"/>
                      <w:ind w:left="0" w:right="0" w:firstLine="0"/>
                      <w:jc w:val="left"/>
                      <w:rPr>
                        <w:sz w:val="31"/>
                      </w:rPr>
                    </w:pPr>
                    <w:r>
                      <w:rPr>
                        <w:sz w:val="31"/>
                      </w:rPr>
                      <w:t>100＃道路沥青</w:t>
                    </w:r>
                  </w:p>
                </w:txbxContent>
              </v:textbox>
            </v:shape>
            <v:shape id="_x0000_s1048" type="#_x0000_t202" style="width:179;height:317;left:8653;position:absolute;top:805" filled="f" stroked="f">
              <v:textbox inset="0,0,0,0">
                <w:txbxContent>
                  <w:p>
                    <w:pPr>
                      <w:spacing w:before="0" w:line="317" w:lineRule="exact"/>
                      <w:ind w:left="0" w:right="0" w:firstLine="0"/>
                      <w:jc w:val="left"/>
                      <w:rPr>
                        <w:sz w:val="31"/>
                      </w:rPr>
                    </w:pPr>
                    <w:r>
                      <w:rPr>
                        <w:w w:val="102"/>
                        <w:sz w:val="31"/>
                      </w:rPr>
                      <w:t>5</w:t>
                    </w:r>
                  </w:p>
                </w:txbxContent>
              </v:textbox>
            </v:shape>
            <v:shape id="_x0000_s1049" type="#_x0000_t202" style="width:654;height:317;left:11897;position:absolute;top:805" filled="f" stroked="f">
              <v:textbox inset="0,0,0,0">
                <w:txbxContent>
                  <w:p>
                    <w:pPr>
                      <w:spacing w:before="0" w:line="317" w:lineRule="exact"/>
                      <w:ind w:left="0" w:right="0" w:firstLine="0"/>
                      <w:jc w:val="left"/>
                      <w:rPr>
                        <w:sz w:val="31"/>
                      </w:rPr>
                    </w:pPr>
                    <w:r>
                      <w:rPr>
                        <w:sz w:val="31"/>
                      </w:rPr>
                      <w:t>7200</w:t>
                    </w:r>
                  </w:p>
                </w:txbxContent>
              </v:textbox>
            </v:shape>
            <v:shape id="_x0000_s1050" type="#_x0000_t202" style="width:179;height:317;left:1027;position:absolute;top:1413" filled="f" stroked="f">
              <v:textbox inset="0,0,0,0">
                <w:txbxContent>
                  <w:p>
                    <w:pPr>
                      <w:spacing w:before="0" w:line="317" w:lineRule="exact"/>
                      <w:ind w:left="0" w:right="0" w:firstLine="0"/>
                      <w:jc w:val="left"/>
                      <w:rPr>
                        <w:sz w:val="31"/>
                      </w:rPr>
                    </w:pPr>
                    <w:r>
                      <w:rPr>
                        <w:w w:val="102"/>
                        <w:sz w:val="31"/>
                      </w:rPr>
                      <w:t>2</w:t>
                    </w:r>
                  </w:p>
                </w:txbxContent>
              </v:textbox>
            </v:shape>
            <v:shape id="_x0000_s1051" type="#_x0000_t202" style="width:1922;height:317;left:3640;position:absolute;top:1413" filled="f" stroked="f">
              <v:textbox inset="0,0,0,0">
                <w:txbxContent>
                  <w:p>
                    <w:pPr>
                      <w:spacing w:before="0" w:line="317" w:lineRule="exact"/>
                      <w:ind w:left="0" w:right="0" w:firstLine="0"/>
                      <w:jc w:val="left"/>
                      <w:rPr>
                        <w:sz w:val="31"/>
                      </w:rPr>
                    </w:pPr>
                    <w:r>
                      <w:rPr>
                        <w:sz w:val="31"/>
                      </w:rPr>
                      <w:t>60＃道路沥青</w:t>
                    </w:r>
                  </w:p>
                </w:txbxContent>
              </v:textbox>
            </v:shape>
            <v:shape id="_x0000_s1052" type="#_x0000_t202" style="width:179;height:317;left:8653;position:absolute;top:1413" filled="f" stroked="f">
              <v:textbox inset="0,0,0,0">
                <w:txbxContent>
                  <w:p>
                    <w:pPr>
                      <w:spacing w:before="0" w:line="317" w:lineRule="exact"/>
                      <w:ind w:left="0" w:right="0" w:firstLine="0"/>
                      <w:jc w:val="left"/>
                      <w:rPr>
                        <w:sz w:val="31"/>
                      </w:rPr>
                    </w:pPr>
                    <w:r>
                      <w:rPr>
                        <w:w w:val="102"/>
                        <w:sz w:val="31"/>
                      </w:rPr>
                      <w:t>2</w:t>
                    </w:r>
                  </w:p>
                </w:txbxContent>
              </v:textbox>
            </v:shape>
            <v:shape id="_x0000_s1053" type="#_x0000_t202" style="width:654;height:317;left:11897;position:absolute;top:1413" filled="f" stroked="f">
              <v:textbox inset="0,0,0,0">
                <w:txbxContent>
                  <w:p>
                    <w:pPr>
                      <w:spacing w:before="0" w:line="317" w:lineRule="exact"/>
                      <w:ind w:left="0" w:right="0" w:firstLine="0"/>
                      <w:jc w:val="left"/>
                      <w:rPr>
                        <w:sz w:val="31"/>
                      </w:rPr>
                    </w:pPr>
                    <w:r>
                      <w:rPr>
                        <w:sz w:val="31"/>
                      </w:rPr>
                      <w:t>7200</w:t>
                    </w:r>
                  </w:p>
                </w:txbxContent>
              </v:textbox>
            </v:shape>
            <v:shape id="_x0000_s1054" type="#_x0000_t202" style="width:179;height:317;left:1027;position:absolute;top:2025" filled="f" stroked="f">
              <v:textbox inset="0,0,0,0">
                <w:txbxContent>
                  <w:p>
                    <w:pPr>
                      <w:spacing w:before="0" w:line="317" w:lineRule="exact"/>
                      <w:ind w:left="0" w:right="0" w:firstLine="0"/>
                      <w:jc w:val="left"/>
                      <w:rPr>
                        <w:sz w:val="31"/>
                      </w:rPr>
                    </w:pPr>
                    <w:r>
                      <w:rPr>
                        <w:w w:val="102"/>
                        <w:sz w:val="31"/>
                      </w:rPr>
                      <w:t>3</w:t>
                    </w:r>
                  </w:p>
                </w:txbxContent>
              </v:textbox>
            </v:shape>
            <v:shape id="_x0000_s1055" type="#_x0000_t202" style="width:1922;height:317;left:3640;position:absolute;top:2025" filled="f" stroked="f">
              <v:textbox inset="0,0,0,0">
                <w:txbxContent>
                  <w:p>
                    <w:pPr>
                      <w:spacing w:before="0" w:line="317" w:lineRule="exact"/>
                      <w:ind w:left="0" w:right="0" w:firstLine="0"/>
                      <w:jc w:val="left"/>
                      <w:rPr>
                        <w:sz w:val="31"/>
                      </w:rPr>
                    </w:pPr>
                    <w:r>
                      <w:rPr>
                        <w:sz w:val="31"/>
                      </w:rPr>
                      <w:t>10＃道路沥青</w:t>
                    </w:r>
                  </w:p>
                </w:txbxContent>
              </v:textbox>
            </v:shape>
            <v:shape id="_x0000_s1056" type="#_x0000_t202" style="width:179;height:317;left:8653;position:absolute;top:2025" filled="f" stroked="f">
              <v:textbox inset="0,0,0,0">
                <w:txbxContent>
                  <w:p>
                    <w:pPr>
                      <w:spacing w:before="0" w:line="317" w:lineRule="exact"/>
                      <w:ind w:left="0" w:right="0" w:firstLine="0"/>
                      <w:jc w:val="left"/>
                      <w:rPr>
                        <w:sz w:val="31"/>
                      </w:rPr>
                    </w:pPr>
                    <w:r>
                      <w:rPr>
                        <w:w w:val="102"/>
                        <w:sz w:val="31"/>
                      </w:rPr>
                      <w:t>7</w:t>
                    </w:r>
                  </w:p>
                </w:txbxContent>
              </v:textbox>
            </v:shape>
            <v:shape id="_x0000_s1057" type="#_x0000_t202" style="width:654;height:317;left:11897;position:absolute;top:2025" filled="f" stroked="f">
              <v:textbox inset="0,0,0,0">
                <w:txbxContent>
                  <w:p>
                    <w:pPr>
                      <w:spacing w:before="0" w:line="317" w:lineRule="exact"/>
                      <w:ind w:left="0" w:right="0" w:firstLine="0"/>
                      <w:jc w:val="left"/>
                      <w:rPr>
                        <w:sz w:val="31"/>
                      </w:rPr>
                    </w:pPr>
                    <w:r>
                      <w:rPr>
                        <w:sz w:val="31"/>
                      </w:rPr>
                      <w:t>7200</w:t>
                    </w:r>
                  </w:p>
                </w:txbxContent>
              </v:textbox>
            </v:shape>
            <v:shape id="_x0000_s1058" type="#_x0000_t202" style="width:179;height:317;left:1027;position:absolute;top:2633" filled="f" stroked="f">
              <v:textbox inset="0,0,0,0">
                <w:txbxContent>
                  <w:p>
                    <w:pPr>
                      <w:spacing w:before="0" w:line="317" w:lineRule="exact"/>
                      <w:ind w:left="0" w:right="0" w:firstLine="0"/>
                      <w:jc w:val="left"/>
                      <w:rPr>
                        <w:sz w:val="31"/>
                      </w:rPr>
                    </w:pPr>
                    <w:r>
                      <w:rPr>
                        <w:w w:val="102"/>
                        <w:sz w:val="31"/>
                      </w:rPr>
                      <w:t>4</w:t>
                    </w:r>
                  </w:p>
                </w:txbxContent>
              </v:textbox>
            </v:shape>
            <v:shape id="_x0000_s1059" type="#_x0000_t202" style="width:971;height:317;left:4113;position:absolute;top:2633" filled="f" stroked="f">
              <v:textbox inset="0,0,0,0">
                <w:txbxContent>
                  <w:p>
                    <w:pPr>
                      <w:spacing w:before="0" w:line="317" w:lineRule="exact"/>
                      <w:ind w:left="0" w:right="0" w:firstLine="0"/>
                      <w:jc w:val="left"/>
                      <w:rPr>
                        <w:sz w:val="31"/>
                      </w:rPr>
                    </w:pPr>
                    <w:r>
                      <w:rPr>
                        <w:sz w:val="31"/>
                      </w:rPr>
                      <w:t>石脑油</w:t>
                    </w:r>
                  </w:p>
                </w:txbxContent>
              </v:textbox>
            </v:shape>
            <v:shape id="_x0000_s1060" type="#_x0000_t202" style="width:179;height:317;left:8653;position:absolute;top:2633" filled="f" stroked="f">
              <v:textbox inset="0,0,0,0">
                <w:txbxContent>
                  <w:p>
                    <w:pPr>
                      <w:spacing w:before="0" w:line="317" w:lineRule="exact"/>
                      <w:ind w:left="0" w:right="0" w:firstLine="0"/>
                      <w:jc w:val="left"/>
                      <w:rPr>
                        <w:sz w:val="31"/>
                      </w:rPr>
                    </w:pPr>
                    <w:r>
                      <w:rPr>
                        <w:w w:val="102"/>
                        <w:sz w:val="31"/>
                      </w:rPr>
                      <w:t>1</w:t>
                    </w:r>
                  </w:p>
                </w:txbxContent>
              </v:textbox>
            </v:shape>
            <v:shape id="_x0000_s1061" type="#_x0000_t202" style="width:654;height:317;left:11897;position:absolute;top:2633" filled="f" stroked="f">
              <v:textbox inset="0,0,0,0">
                <w:txbxContent>
                  <w:p>
                    <w:pPr>
                      <w:spacing w:before="0" w:line="317" w:lineRule="exact"/>
                      <w:ind w:left="0" w:right="0" w:firstLine="0"/>
                      <w:jc w:val="left"/>
                      <w:rPr>
                        <w:sz w:val="31"/>
                      </w:rPr>
                    </w:pPr>
                    <w:r>
                      <w:rPr>
                        <w:sz w:val="31"/>
                      </w:rPr>
                      <w:t>7200</w:t>
                    </w:r>
                  </w:p>
                </w:txbxContent>
              </v:textbox>
            </v:shape>
            <v:shape id="_x0000_s1062" type="#_x0000_t202" style="width:179;height:317;left:1027;position:absolute;top:3245" filled="f" stroked="f">
              <v:textbox inset="0,0,0,0">
                <w:txbxContent>
                  <w:p>
                    <w:pPr>
                      <w:spacing w:before="0" w:line="317" w:lineRule="exact"/>
                      <w:ind w:left="0" w:right="0" w:firstLine="0"/>
                      <w:jc w:val="left"/>
                      <w:rPr>
                        <w:sz w:val="31"/>
                      </w:rPr>
                    </w:pPr>
                    <w:r>
                      <w:rPr>
                        <w:w w:val="102"/>
                        <w:sz w:val="31"/>
                      </w:rPr>
                      <w:t>5</w:t>
                    </w:r>
                  </w:p>
                </w:txbxContent>
              </v:textbox>
            </v:shape>
            <v:shape id="_x0000_s1063" type="#_x0000_t202" style="width:1764;height:317;left:3719;position:absolute;top:3245" filled="f" stroked="f">
              <v:textbox inset="0,0,0,0">
                <w:txbxContent>
                  <w:p>
                    <w:pPr>
                      <w:spacing w:before="0" w:line="317" w:lineRule="exact"/>
                      <w:ind w:left="0" w:right="0" w:firstLine="0"/>
                      <w:jc w:val="left"/>
                      <w:rPr>
                        <w:sz w:val="31"/>
                      </w:rPr>
                    </w:pPr>
                    <w:r>
                      <w:rPr>
                        <w:sz w:val="31"/>
                      </w:rPr>
                      <w:t>200＃溶剂油</w:t>
                    </w:r>
                  </w:p>
                </w:txbxContent>
              </v:textbox>
            </v:shape>
            <v:shape id="_x0000_s1064" type="#_x0000_t202" style="width:179;height:317;left:8653;position:absolute;top:3245" filled="f" stroked="f">
              <v:textbox inset="0,0,0,0">
                <w:txbxContent>
                  <w:p>
                    <w:pPr>
                      <w:spacing w:before="0" w:line="317" w:lineRule="exact"/>
                      <w:ind w:left="0" w:right="0" w:firstLine="0"/>
                      <w:jc w:val="left"/>
                      <w:rPr>
                        <w:sz w:val="31"/>
                      </w:rPr>
                    </w:pPr>
                    <w:r>
                      <w:rPr>
                        <w:w w:val="102"/>
                        <w:sz w:val="31"/>
                      </w:rPr>
                      <w:t>4</w:t>
                    </w:r>
                  </w:p>
                </w:txbxContent>
              </v:textbox>
            </v:shape>
            <v:shape id="_x0000_s1065" type="#_x0000_t202" style="width:654;height:317;left:11897;position:absolute;top:3245" filled="f" stroked="f">
              <v:textbox inset="0,0,0,0">
                <w:txbxContent>
                  <w:p>
                    <w:pPr>
                      <w:spacing w:before="0" w:line="317" w:lineRule="exact"/>
                      <w:ind w:left="0" w:right="0" w:firstLine="0"/>
                      <w:jc w:val="left"/>
                      <w:rPr>
                        <w:sz w:val="31"/>
                      </w:rPr>
                    </w:pPr>
                    <w:r>
                      <w:rPr>
                        <w:sz w:val="31"/>
                      </w:rPr>
                      <w:t>7200</w:t>
                    </w:r>
                  </w:p>
                </w:txbxContent>
              </v:textbox>
            </v:shape>
            <v:shape id="_x0000_s1066" type="#_x0000_t202" style="width:179;height:317;left:1027;position:absolute;top:3857" filled="f" stroked="f">
              <v:textbox inset="0,0,0,0">
                <w:txbxContent>
                  <w:p>
                    <w:pPr>
                      <w:spacing w:before="0" w:line="317" w:lineRule="exact"/>
                      <w:ind w:left="0" w:right="0" w:firstLine="0"/>
                      <w:jc w:val="left"/>
                      <w:rPr>
                        <w:sz w:val="31"/>
                      </w:rPr>
                    </w:pPr>
                    <w:r>
                      <w:rPr>
                        <w:w w:val="102"/>
                        <w:sz w:val="31"/>
                      </w:rPr>
                      <w:t>6</w:t>
                    </w:r>
                  </w:p>
                </w:txbxContent>
              </v:textbox>
            </v:shape>
            <v:shape id="_x0000_s1067" type="#_x0000_t202" style="width:1764;height:317;left:3719;position:absolute;top:3857" filled="f" stroked="f">
              <v:textbox inset="0,0,0,0">
                <w:txbxContent>
                  <w:p>
                    <w:pPr>
                      <w:spacing w:before="0" w:line="317" w:lineRule="exact"/>
                      <w:ind w:left="0" w:right="0" w:firstLine="0"/>
                      <w:jc w:val="left"/>
                      <w:rPr>
                        <w:sz w:val="31"/>
                      </w:rPr>
                    </w:pPr>
                    <w:r>
                      <w:rPr>
                        <w:sz w:val="31"/>
                      </w:rPr>
                      <w:t>180＃溶剂油</w:t>
                    </w:r>
                  </w:p>
                </w:txbxContent>
              </v:textbox>
            </v:shape>
            <v:shape id="_x0000_s1068" type="#_x0000_t202" style="width:179;height:317;left:8653;position:absolute;top:3857" filled="f" stroked="f">
              <v:textbox inset="0,0,0,0">
                <w:txbxContent>
                  <w:p>
                    <w:pPr>
                      <w:spacing w:before="0" w:line="317" w:lineRule="exact"/>
                      <w:ind w:left="0" w:right="0" w:firstLine="0"/>
                      <w:jc w:val="left"/>
                      <w:rPr>
                        <w:sz w:val="31"/>
                      </w:rPr>
                    </w:pPr>
                    <w:r>
                      <w:rPr>
                        <w:w w:val="102"/>
                        <w:sz w:val="31"/>
                      </w:rPr>
                      <w:t>1</w:t>
                    </w:r>
                  </w:p>
                </w:txbxContent>
              </v:textbox>
            </v:shape>
            <v:shape id="_x0000_s1069" type="#_x0000_t202" style="width:654;height:317;left:11897;position:absolute;top:3857" filled="f" stroked="f">
              <v:textbox inset="0,0,0,0">
                <w:txbxContent>
                  <w:p>
                    <w:pPr>
                      <w:spacing w:before="0" w:line="317" w:lineRule="exact"/>
                      <w:ind w:left="0" w:right="0" w:firstLine="0"/>
                      <w:jc w:val="left"/>
                      <w:rPr>
                        <w:sz w:val="31"/>
                      </w:rPr>
                    </w:pPr>
                    <w:r>
                      <w:rPr>
                        <w:sz w:val="31"/>
                      </w:rPr>
                      <w:t>7200</w:t>
                    </w:r>
                  </w:p>
                </w:txbxContent>
              </v:textbox>
            </v:shape>
            <v:shape id="_x0000_s1070" type="#_x0000_t202" style="width:179;height:317;left:1027;position:absolute;top:4466" filled="f" stroked="f">
              <v:textbox inset="0,0,0,0">
                <w:txbxContent>
                  <w:p>
                    <w:pPr>
                      <w:spacing w:before="0" w:line="317" w:lineRule="exact"/>
                      <w:ind w:left="0" w:right="0" w:firstLine="0"/>
                      <w:jc w:val="left"/>
                      <w:rPr>
                        <w:sz w:val="31"/>
                      </w:rPr>
                    </w:pPr>
                    <w:r>
                      <w:rPr>
                        <w:w w:val="102"/>
                        <w:sz w:val="31"/>
                      </w:rPr>
                      <w:t>7</w:t>
                    </w:r>
                  </w:p>
                </w:txbxContent>
              </v:textbox>
            </v:shape>
            <v:shape id="_x0000_s1071" type="#_x0000_t202" style="width:1764;height:317;left:3719;position:absolute;top:4466" filled="f" stroked="f">
              <v:textbox inset="0,0,0,0">
                <w:txbxContent>
                  <w:p>
                    <w:pPr>
                      <w:spacing w:before="0" w:line="317" w:lineRule="exact"/>
                      <w:ind w:left="0" w:right="0" w:firstLine="0"/>
                      <w:jc w:val="left"/>
                      <w:rPr>
                        <w:sz w:val="31"/>
                      </w:rPr>
                    </w:pPr>
                    <w:r>
                      <w:rPr>
                        <w:sz w:val="31"/>
                      </w:rPr>
                      <w:t>120＃溶剂油</w:t>
                    </w:r>
                  </w:p>
                </w:txbxContent>
              </v:textbox>
            </v:shape>
            <v:shape id="_x0000_s1072" type="#_x0000_t202" style="width:179;height:317;left:8653;position:absolute;top:4466" filled="f" stroked="f">
              <v:textbox inset="0,0,0,0">
                <w:txbxContent>
                  <w:p>
                    <w:pPr>
                      <w:spacing w:before="0" w:line="317" w:lineRule="exact"/>
                      <w:ind w:left="0" w:right="0" w:firstLine="0"/>
                      <w:jc w:val="left"/>
                      <w:rPr>
                        <w:sz w:val="31"/>
                      </w:rPr>
                    </w:pPr>
                    <w:r>
                      <w:rPr>
                        <w:w w:val="102"/>
                        <w:sz w:val="31"/>
                      </w:rPr>
                      <w:t>4</w:t>
                    </w:r>
                  </w:p>
                </w:txbxContent>
              </v:textbox>
            </v:shape>
            <v:shape id="_x0000_s1073" type="#_x0000_t202" style="width:654;height:317;left:11897;position:absolute;top:4466" filled="f" stroked="f">
              <v:textbox inset="0,0,0,0">
                <w:txbxContent>
                  <w:p>
                    <w:pPr>
                      <w:spacing w:before="0" w:line="317" w:lineRule="exact"/>
                      <w:ind w:left="0" w:right="0" w:firstLine="0"/>
                      <w:jc w:val="left"/>
                      <w:rPr>
                        <w:sz w:val="31"/>
                      </w:rPr>
                    </w:pPr>
                    <w:r>
                      <w:rPr>
                        <w:sz w:val="31"/>
                      </w:rPr>
                      <w:t>7200</w:t>
                    </w:r>
                  </w:p>
                </w:txbxContent>
              </v:textbox>
            </v:shape>
            <v:shape id="_x0000_s1074" type="#_x0000_t202" style="width:179;height:317;left:1027;position:absolute;top:5078" filled="f" stroked="f">
              <v:textbox inset="0,0,0,0">
                <w:txbxContent>
                  <w:p>
                    <w:pPr>
                      <w:spacing w:before="0" w:line="317" w:lineRule="exact"/>
                      <w:ind w:left="0" w:right="0" w:firstLine="0"/>
                      <w:jc w:val="left"/>
                      <w:rPr>
                        <w:sz w:val="31"/>
                      </w:rPr>
                    </w:pPr>
                    <w:r>
                      <w:rPr>
                        <w:w w:val="102"/>
                        <w:sz w:val="31"/>
                      </w:rPr>
                      <w:t>8</w:t>
                    </w:r>
                  </w:p>
                </w:txbxContent>
              </v:textbox>
            </v:shape>
            <v:shape id="_x0000_s1075" type="#_x0000_t202" style="width:1446;height:317;left:3879;position:absolute;top:5078" filled="f" stroked="f">
              <v:textbox inset="0,0,0,0">
                <w:txbxContent>
                  <w:p>
                    <w:pPr>
                      <w:spacing w:before="0" w:line="317" w:lineRule="exact"/>
                      <w:ind w:left="0" w:right="0" w:firstLine="0"/>
                      <w:jc w:val="left"/>
                      <w:rPr>
                        <w:sz w:val="31"/>
                      </w:rPr>
                    </w:pPr>
                    <w:r>
                      <w:rPr>
                        <w:sz w:val="31"/>
                      </w:rPr>
                      <w:t>6＃溶剂油</w:t>
                    </w:r>
                  </w:p>
                </w:txbxContent>
              </v:textbox>
            </v:shape>
            <v:shape id="_x0000_s1076" type="#_x0000_t202" style="width:179;height:317;left:8653;position:absolute;top:5078" filled="f" stroked="f">
              <v:textbox inset="0,0,0,0">
                <w:txbxContent>
                  <w:p>
                    <w:pPr>
                      <w:spacing w:before="0" w:line="317" w:lineRule="exact"/>
                      <w:ind w:left="0" w:right="0" w:firstLine="0"/>
                      <w:jc w:val="left"/>
                      <w:rPr>
                        <w:sz w:val="31"/>
                      </w:rPr>
                    </w:pPr>
                    <w:r>
                      <w:rPr>
                        <w:w w:val="102"/>
                        <w:sz w:val="31"/>
                      </w:rPr>
                      <w:t>1</w:t>
                    </w:r>
                  </w:p>
                </w:txbxContent>
              </v:textbox>
            </v:shape>
            <v:shape id="_x0000_s1077" type="#_x0000_t202" style="width:654;height:317;left:11897;position:absolute;top:5078" filled="f" stroked="f">
              <v:textbox inset="0,0,0,0">
                <w:txbxContent>
                  <w:p>
                    <w:pPr>
                      <w:spacing w:before="0" w:line="317" w:lineRule="exact"/>
                      <w:ind w:left="0" w:right="0" w:firstLine="0"/>
                      <w:jc w:val="left"/>
                      <w:rPr>
                        <w:sz w:val="31"/>
                      </w:rPr>
                    </w:pPr>
                    <w:r>
                      <w:rPr>
                        <w:sz w:val="31"/>
                      </w:rPr>
                      <w:t>7200</w:t>
                    </w:r>
                  </w:p>
                </w:txbxContent>
              </v:textbox>
            </v:shape>
            <w10:wrap type="none"/>
          </v:group>
        </w:pict>
      </w:r>
    </w:p>
    <w:p>
      <w:pPr>
        <w:pStyle w:val="ListParagraph"/>
        <w:numPr>
          <w:ilvl w:val="2"/>
          <w:numId w:val="33"/>
        </w:numPr>
        <w:tabs>
          <w:tab w:val="left" w:pos="2330"/>
        </w:tabs>
        <w:spacing w:before="64" w:after="0" w:line="240" w:lineRule="auto"/>
        <w:ind w:left="2329" w:right="0" w:hanging="902"/>
        <w:jc w:val="left"/>
        <w:rPr>
          <w:sz w:val="36"/>
        </w:rPr>
      </w:pPr>
      <w:r>
        <w:rPr>
          <w:sz w:val="36"/>
        </w:rPr>
        <w:t>厂区总平面布置</w:t>
      </w:r>
    </w:p>
    <w:p>
      <w:pPr>
        <w:pStyle w:val="BodyText"/>
        <w:spacing w:before="241" w:line="364" w:lineRule="auto"/>
        <w:ind w:left="708" w:right="689" w:firstLine="720"/>
        <w:jc w:val="both"/>
      </w:pPr>
      <w:r>
        <w:t>本项目厂区自东向西依次布置有溶剂油罐区、溶剂油装置区、渣油罐区、沥青池、重交沥青装置区。厂区设有运输及疏散通道，主道路宽 6m，次要道路宽不小于 4m。本项目办公及职工休息室位于项目厂区的南侧，出于当地主导风向的上风向，对职工的办公生活影响较小。项目厂区平面布置图见附图 2。</w:t>
      </w:r>
    </w:p>
    <w:p>
      <w:pPr>
        <w:pStyle w:val="Heading2"/>
        <w:numPr>
          <w:ilvl w:val="2"/>
          <w:numId w:val="22"/>
        </w:numPr>
        <w:tabs>
          <w:tab w:val="left" w:pos="1767"/>
        </w:tabs>
        <w:spacing w:before="28" w:after="0" w:line="240" w:lineRule="auto"/>
        <w:ind w:left="1766" w:right="0" w:hanging="1059"/>
        <w:jc w:val="left"/>
        <w:rPr>
          <w:sz w:val="40"/>
        </w:rPr>
      </w:pPr>
      <w:r>
        <w:t>自然环境概况</w:t>
      </w:r>
    </w:p>
    <w:p>
      <w:pPr>
        <w:pStyle w:val="Heading3"/>
        <w:spacing w:before="373"/>
        <w:ind w:left="1417"/>
      </w:pPr>
      <w:r>
        <w:t>一、地理位置</w:t>
      </w:r>
    </w:p>
    <w:p>
      <w:pPr>
        <w:pStyle w:val="BodyText"/>
        <w:spacing w:before="242" w:line="364" w:lineRule="auto"/>
        <w:ind w:left="1428" w:right="689"/>
      </w:pPr>
      <w:r>
        <w:t>本项目位于某某市某某县盐窝镇工业集中区内（</w:t>
      </w:r>
      <w:r>
        <w:rPr>
          <w:spacing w:val="-18"/>
        </w:rPr>
        <w:t xml:space="preserve">详见附图 </w:t>
      </w:r>
      <w:r>
        <w:t>1</w:t>
      </w:r>
      <w:r>
        <w:rPr>
          <w:spacing w:val="-13"/>
        </w:rPr>
        <w:t xml:space="preserve"> 企业地理位置图</w:t>
      </w:r>
      <w:r>
        <w:t>）。</w:t>
      </w:r>
      <w:r>
        <w:rPr>
          <w:spacing w:val="-1"/>
        </w:rPr>
        <w:t>某某县东依黄河，东北濒临渤海，东与垦利县、某某区为邻，东南与博兴县隔河相</w:t>
      </w:r>
    </w:p>
    <w:p>
      <w:pPr>
        <w:pStyle w:val="BodyText"/>
        <w:tabs>
          <w:tab w:val="left" w:pos="12871"/>
        </w:tabs>
        <w:spacing w:before="2" w:line="364" w:lineRule="auto"/>
        <w:ind w:left="708" w:right="579"/>
      </w:pPr>
      <w:r>
        <w:t>望，西与滨州市、滨城区、沾化县接壤，北与河口区相交。县境沿黄河呈带状，南北长</w:t>
      </w:r>
      <w:r>
        <w:rPr>
          <w:spacing w:val="-7"/>
        </w:rPr>
        <w:t>102.5km，</w:t>
      </w:r>
      <w:r>
        <w:t>东西宽</w:t>
      </w:r>
      <w:r>
        <w:rPr>
          <w:spacing w:val="-89"/>
        </w:rPr>
        <w:t xml:space="preserve"> </w:t>
      </w:r>
      <w:r>
        <w:rPr>
          <w:spacing w:val="-5"/>
        </w:rPr>
        <w:t>8.5km～25km，</w:t>
      </w:r>
      <w:r>
        <w:t>总面积</w:t>
      </w:r>
      <w:r>
        <w:rPr>
          <w:spacing w:val="-89"/>
        </w:rPr>
        <w:t xml:space="preserve"> </w:t>
      </w:r>
      <w:r>
        <w:t>1665.6km</w:t>
      </w:r>
      <w:r>
        <w:rPr>
          <w:position w:val="3"/>
          <w:sz w:val="18"/>
        </w:rPr>
        <w:t>2</w:t>
      </w:r>
      <w:r>
        <w:rPr>
          <w:spacing w:val="-54"/>
        </w:rPr>
        <w:t>。</w:t>
      </w:r>
      <w:r>
        <w:t>利津经济开发区位于某某县西南部</w:t>
      </w:r>
      <w:r>
        <w:rPr>
          <w:spacing w:val="-15"/>
        </w:rPr>
        <w:t xml:space="preserve">， </w:t>
      </w:r>
      <w:r>
        <w:t>某某县城西北侧，东起老城区，西至津十路，南起大桥路，北至利十二路，</w:t>
        <w:tab/>
        <w:t>规划面积为</w:t>
      </w:r>
      <w:r>
        <w:rPr>
          <w:spacing w:val="-90"/>
        </w:rPr>
        <w:t xml:space="preserve"> </w:t>
      </w:r>
      <w:r>
        <w:t>26.22km</w:t>
      </w:r>
      <w:r>
        <w:rPr>
          <w:position w:val="3"/>
          <w:sz w:val="18"/>
        </w:rPr>
        <w:t>2</w:t>
      </w:r>
      <w:r>
        <w:t>。</w:t>
      </w:r>
    </w:p>
    <w:p>
      <w:pPr>
        <w:spacing w:after="0" w:line="364" w:lineRule="auto"/>
        <w:sectPr>
          <w:headerReference w:type="default" r:id="rId34"/>
          <w:footerReference w:type="default" r:id="rId35"/>
          <w:type w:val="continuous"/>
          <w:pgSz w:w="17860" w:h="25260"/>
          <w:pgMar w:top="1380" w:right="1360" w:bottom="2020" w:left="1420" w:header="708" w:footer="708"/>
          <w:pgNumType w:start="13"/>
          <w:cols w:space="708"/>
        </w:sectPr>
      </w:pPr>
    </w:p>
    <w:p>
      <w:pPr>
        <w:pStyle w:val="BodyText"/>
        <w:rPr>
          <w:sz w:val="20"/>
        </w:rPr>
      </w:pPr>
    </w:p>
    <w:p>
      <w:pPr>
        <w:pStyle w:val="BodyText"/>
        <w:spacing w:before="5"/>
        <w:rPr>
          <w:sz w:val="19"/>
        </w:rPr>
      </w:pPr>
    </w:p>
    <w:p>
      <w:pPr>
        <w:pStyle w:val="Heading3"/>
        <w:spacing w:before="49"/>
        <w:ind w:left="1417"/>
      </w:pPr>
      <w:r>
        <w:t>二、地质、地形、地貌</w:t>
      </w:r>
    </w:p>
    <w:p>
      <w:pPr>
        <w:pStyle w:val="BodyText"/>
        <w:spacing w:before="242" w:line="364" w:lineRule="auto"/>
        <w:ind w:left="708" w:right="579" w:firstLine="720"/>
        <w:jc w:val="right"/>
      </w:pPr>
      <w:r>
        <w:rPr>
          <w:spacing w:val="-5"/>
        </w:rPr>
        <w:t>某某县地处华北断坳济阳坳陷之东部，济阳坳陷是在中生代地堑式断陷基础上发展起来的新生代沉积盆地，中生代以前与鲁西断隆区同为一体。自中生代以后，在燕山运动和喜山运动后的影响下，发生强烈的块断运动，与鲁西断隆区分化、脱节，并形成以坳为主，坳中有隆的坳陷区，接受了巨厚的中生代、新生代沉积。境域内广为第四系掩</w:t>
      </w:r>
      <w:r>
        <w:rPr>
          <w:spacing w:val="-9"/>
        </w:rPr>
        <w:t>盖，无基岩出露，第四系之下发育有太古界、寒武系、奥陶系、侏罗-白垩系和第三系。</w:t>
      </w:r>
      <w:r>
        <w:rPr>
          <w:spacing w:val="-16"/>
        </w:rPr>
        <w:t>全境地形为一狭长带状，沿黄河去海岸，呈西南—东北走向，整个地势向东北倾斜，</w:t>
      </w:r>
    </w:p>
    <w:p>
      <w:pPr>
        <w:pStyle w:val="BodyText"/>
        <w:spacing w:before="5" w:line="364" w:lineRule="auto"/>
        <w:ind w:left="708" w:right="760"/>
        <w:jc w:val="both"/>
      </w:pPr>
      <w:r>
        <w:rPr>
          <w:spacing w:val="-3"/>
        </w:rPr>
        <w:t xml:space="preserve">西南高，东北低，近黄河处高，远黄河处低。西南端地面平均海拔为 </w:t>
      </w:r>
      <w:r>
        <w:t>11.5m</w:t>
      </w:r>
      <w:r>
        <w:rPr>
          <w:spacing w:val="-3"/>
        </w:rPr>
        <w:t>，东北端沿</w:t>
      </w:r>
      <w:r>
        <w:t>海滩涂地面平均海拔为 2m，</w:t>
      </w:r>
      <w:r>
        <w:rPr>
          <w:spacing w:val="-7"/>
        </w:rPr>
        <w:t xml:space="preserve">自然比降为 </w:t>
      </w:r>
      <w:r>
        <w:t>1/11000，</w:t>
      </w:r>
      <w:r>
        <w:rPr>
          <w:spacing w:val="-4"/>
        </w:rPr>
        <w:t xml:space="preserve">黄河滩地高于背河地面 </w:t>
      </w:r>
      <w:r>
        <w:t>2m～3m，</w:t>
      </w:r>
      <w:r>
        <w:rPr>
          <w:spacing w:val="-18"/>
        </w:rPr>
        <w:t>自</w:t>
      </w:r>
      <w:r>
        <w:rPr>
          <w:spacing w:val="-19"/>
        </w:rPr>
        <w:t xml:space="preserve">然比降为 </w:t>
      </w:r>
      <w:r>
        <w:t>1/7000。</w:t>
      </w:r>
    </w:p>
    <w:p>
      <w:pPr>
        <w:pStyle w:val="BodyText"/>
        <w:spacing w:before="4" w:line="364" w:lineRule="auto"/>
        <w:ind w:left="708" w:right="579" w:firstLine="720"/>
        <w:jc w:val="both"/>
      </w:pPr>
      <w:r>
        <w:t xml:space="preserve">境地虽系平原，但由于历史上黄河决口频繁，即受洪水反复冲切，又有淤积套叠， </w:t>
      </w:r>
      <w:r>
        <w:rPr>
          <w:spacing w:val="-18"/>
        </w:rPr>
        <w:t>故形成岗、坡洼相间的微地貌。微地貌大致可分为河滩高地、缓岗、海滩地、浅平洼地、</w:t>
      </w:r>
      <w:r>
        <w:rPr>
          <w:spacing w:val="-1"/>
        </w:rPr>
        <w:t xml:space="preserve">微倾平地等 </w:t>
      </w:r>
      <w:r>
        <w:t>5</w:t>
      </w:r>
      <w:r>
        <w:rPr>
          <w:spacing w:val="-30"/>
        </w:rPr>
        <w:t xml:space="preserve"> 种。</w:t>
      </w:r>
    </w:p>
    <w:p>
      <w:pPr>
        <w:pStyle w:val="Heading3"/>
        <w:spacing w:before="2"/>
        <w:ind w:left="1432"/>
      </w:pPr>
      <w:r>
        <w:t>三、气候、气象</w:t>
      </w:r>
    </w:p>
    <w:p>
      <w:pPr>
        <w:pStyle w:val="BodyText"/>
        <w:spacing w:before="241" w:line="364" w:lineRule="auto"/>
        <w:ind w:left="708" w:right="580" w:firstLine="720"/>
        <w:jc w:val="both"/>
      </w:pPr>
      <w:r>
        <w:t xml:space="preserve">某某县地处温带季风气候区，虽濒临渤海，但大陆性季风影响明显，属温带半湿润气候，冬冷夏热，四季分明。冬季气候寒冷干燥，雨雪稀少，夏季受来自太平洋东南季风的影响，气候高温多雨，春季温暖干燥，秋季天高气爽。常年主导风向为偏东南风， </w:t>
      </w:r>
      <w:r>
        <w:rPr>
          <w:spacing w:val="-23"/>
        </w:rPr>
        <w:t xml:space="preserve">频率为 </w:t>
      </w:r>
      <w:r>
        <w:rPr>
          <w:spacing w:val="-9"/>
        </w:rPr>
        <w:t>10.1%</w:t>
      </w:r>
      <w:r>
        <w:rPr>
          <w:spacing w:val="-14"/>
        </w:rPr>
        <w:t xml:space="preserve">，年平均风速为 </w:t>
      </w:r>
      <w:r>
        <w:rPr>
          <w:spacing w:val="-8"/>
        </w:rPr>
        <w:t>2.8m/s</w:t>
      </w:r>
      <w:r>
        <w:rPr>
          <w:spacing w:val="-16"/>
        </w:rPr>
        <w:t xml:space="preserve">，年平均气温 </w:t>
      </w:r>
      <w:r>
        <w:rPr>
          <w:spacing w:val="-9"/>
        </w:rPr>
        <w:t>12.4℃</w:t>
      </w:r>
      <w:r>
        <w:rPr>
          <w:spacing w:val="-3"/>
        </w:rPr>
        <w:t xml:space="preserve">，历年极端最低气温-11.8℃， </w:t>
      </w:r>
      <w:r>
        <w:rPr>
          <w:spacing w:val="-13"/>
        </w:rPr>
        <w:t xml:space="preserve">极端最高气温 </w:t>
      </w:r>
      <w:r>
        <w:t>36.3℃</w:t>
      </w:r>
      <w:r>
        <w:rPr>
          <w:spacing w:val="-13"/>
        </w:rPr>
        <w:t xml:space="preserve">。年均降雨量 </w:t>
      </w:r>
      <w:r>
        <w:t>533mm。其基本数据如下：</w:t>
      </w:r>
    </w:p>
    <w:p>
      <w:pPr>
        <w:pStyle w:val="BodyText"/>
        <w:spacing w:before="5"/>
        <w:ind w:left="1428"/>
      </w:pPr>
      <w:r>
        <w:t>1）气温</w:t>
      </w:r>
    </w:p>
    <w:p>
      <w:pPr>
        <w:pStyle w:val="BodyText"/>
        <w:spacing w:before="241" w:line="364" w:lineRule="auto"/>
        <w:ind w:left="1428" w:right="10228"/>
      </w:pPr>
      <w:r>
        <w:t xml:space="preserve">年平均气温 12.4℃ </w:t>
      </w:r>
      <w:r>
        <w:rPr>
          <w:spacing w:val="-13"/>
        </w:rPr>
        <w:t xml:space="preserve">绝对最高气温 </w:t>
      </w:r>
      <w:r>
        <w:t>36.3℃ 绝对最低气温</w:t>
      </w:r>
      <w:r>
        <w:rPr>
          <w:spacing w:val="-3"/>
        </w:rPr>
        <w:t>-11.8℃</w:t>
      </w:r>
    </w:p>
    <w:p>
      <w:pPr>
        <w:pStyle w:val="BodyText"/>
        <w:spacing w:before="4" w:line="364" w:lineRule="auto"/>
        <w:ind w:left="1428" w:right="7078"/>
        <w:jc w:val="both"/>
      </w:pPr>
      <w:r>
        <w:t>最热月（七月）</w:t>
      </w:r>
      <w:r>
        <w:rPr>
          <w:spacing w:val="-10"/>
        </w:rPr>
        <w:t xml:space="preserve">日最高气温平均值 </w:t>
      </w:r>
      <w:r>
        <w:rPr>
          <w:spacing w:val="-4"/>
        </w:rPr>
        <w:t xml:space="preserve">26.4℃ </w:t>
      </w:r>
      <w:r>
        <w:t>最冷月（一月）日最低气温平均值-5.5℃ 2）空气湿度</w:t>
      </w:r>
    </w:p>
    <w:p>
      <w:pPr>
        <w:pStyle w:val="BodyText"/>
        <w:spacing w:before="2"/>
        <w:ind w:left="1428"/>
        <w:jc w:val="both"/>
      </w:pPr>
      <w:r>
        <w:t>年平均最大相对湿度 84.7%</w:t>
      </w:r>
    </w:p>
    <w:p>
      <w:pPr>
        <w:pStyle w:val="BodyText"/>
        <w:spacing w:before="241" w:line="364" w:lineRule="auto"/>
        <w:ind w:left="1428" w:right="9418"/>
      </w:pPr>
      <w:r>
        <w:rPr>
          <w:spacing w:val="-9"/>
        </w:rPr>
        <w:t xml:space="preserve">年平均最小相对湿度 </w:t>
      </w:r>
      <w:r>
        <w:rPr>
          <w:spacing w:val="-4"/>
        </w:rPr>
        <w:t xml:space="preserve">56.6% </w:t>
      </w:r>
      <w:r>
        <w:rPr>
          <w:spacing w:val="-12"/>
        </w:rPr>
        <w:t xml:space="preserve">年平均相对湿度 </w:t>
      </w:r>
      <w:r>
        <w:t>63%</w:t>
      </w:r>
    </w:p>
    <w:p>
      <w:pPr>
        <w:pStyle w:val="ListParagraph"/>
        <w:numPr>
          <w:ilvl w:val="0"/>
          <w:numId w:val="21"/>
        </w:numPr>
        <w:tabs>
          <w:tab w:val="left" w:pos="1970"/>
        </w:tabs>
        <w:spacing w:before="2" w:after="0" w:line="240" w:lineRule="auto"/>
        <w:ind w:left="1969" w:right="0" w:hanging="542"/>
        <w:jc w:val="left"/>
        <w:rPr>
          <w:sz w:val="36"/>
        </w:rPr>
      </w:pPr>
      <w:r>
        <w:rPr>
          <w:sz w:val="36"/>
        </w:rPr>
        <w:t>风</w:t>
      </w:r>
    </w:p>
    <w:p>
      <w:pPr>
        <w:spacing w:after="0" w:line="240" w:lineRule="auto"/>
        <w:jc w:val="left"/>
        <w:rPr>
          <w:sz w:val="36"/>
        </w:rPr>
        <w:sectPr>
          <w:headerReference w:type="default" r:id="rId36"/>
          <w:footerReference w:type="default" r:id="rId37"/>
          <w:pgSz w:w="17860" w:h="25260"/>
          <w:pgMar w:top="1380" w:right="1360" w:bottom="2020" w:left="1420" w:header="1083" w:footer="1826"/>
          <w:pgNumType w:start="14"/>
          <w:cols w:space="708"/>
        </w:sectPr>
      </w:pPr>
    </w:p>
    <w:p>
      <w:pPr>
        <w:pStyle w:val="BodyText"/>
        <w:rPr>
          <w:sz w:val="20"/>
        </w:rPr>
      </w:pPr>
    </w:p>
    <w:p>
      <w:pPr>
        <w:pStyle w:val="BodyText"/>
        <w:spacing w:before="5"/>
        <w:rPr>
          <w:sz w:val="19"/>
        </w:rPr>
      </w:pPr>
    </w:p>
    <w:p>
      <w:pPr>
        <w:pStyle w:val="BodyText"/>
        <w:spacing w:before="49" w:line="364" w:lineRule="auto"/>
        <w:ind w:left="1428" w:right="10409"/>
      </w:pPr>
      <w:r>
        <w:rPr>
          <w:spacing w:val="-16"/>
        </w:rPr>
        <w:t xml:space="preserve">年平均风速 </w:t>
      </w:r>
      <w:r>
        <w:t xml:space="preserve">2.8m/s 年主导风向南南东 夏季主导风向东南 </w:t>
      </w:r>
      <w:r>
        <w:rPr>
          <w:spacing w:val="-2"/>
        </w:rPr>
        <w:t>冬季主导风向西北风</w:t>
      </w:r>
    </w:p>
    <w:p>
      <w:pPr>
        <w:pStyle w:val="BodyText"/>
        <w:spacing w:before="5" w:line="364" w:lineRule="auto"/>
        <w:ind w:left="1428" w:right="7348"/>
        <w:rPr>
          <w:sz w:val="18"/>
        </w:rPr>
      </w:pPr>
      <w:r>
        <w:t>瞬时最大风速（</w:t>
      </w:r>
      <w:r>
        <w:rPr>
          <w:spacing w:val="-18"/>
        </w:rPr>
        <w:t xml:space="preserve">地面以上 </w:t>
      </w:r>
      <w:r>
        <w:t>10m</w:t>
      </w:r>
      <w:r>
        <w:rPr>
          <w:spacing w:val="-45"/>
        </w:rPr>
        <w:t xml:space="preserve"> 处</w:t>
      </w:r>
      <w:r>
        <w:rPr>
          <w:spacing w:val="-3"/>
        </w:rPr>
        <w:t xml:space="preserve">）30m/s </w:t>
      </w:r>
      <w:r>
        <w:rPr>
          <w:spacing w:val="-19"/>
        </w:rPr>
        <w:t xml:space="preserve">基本风压 </w:t>
      </w:r>
      <w:r>
        <w:t>0.6kN/m</w:t>
      </w:r>
      <w:r>
        <w:rPr>
          <w:position w:val="3"/>
          <w:sz w:val="18"/>
        </w:rPr>
        <w:t>2</w:t>
      </w:r>
    </w:p>
    <w:p>
      <w:pPr>
        <w:pStyle w:val="ListParagraph"/>
        <w:numPr>
          <w:ilvl w:val="0"/>
          <w:numId w:val="21"/>
        </w:numPr>
        <w:tabs>
          <w:tab w:val="left" w:pos="1970"/>
        </w:tabs>
        <w:spacing w:before="1" w:after="0" w:line="240" w:lineRule="auto"/>
        <w:ind w:left="1969" w:right="0" w:hanging="542"/>
        <w:jc w:val="left"/>
        <w:rPr>
          <w:sz w:val="36"/>
        </w:rPr>
      </w:pPr>
      <w:r>
        <w:rPr>
          <w:sz w:val="36"/>
        </w:rPr>
        <w:t>降雨量</w:t>
      </w:r>
    </w:p>
    <w:p>
      <w:pPr>
        <w:pStyle w:val="BodyText"/>
        <w:spacing w:before="241" w:line="364" w:lineRule="auto"/>
        <w:ind w:left="1428" w:right="10139"/>
      </w:pPr>
      <w:r>
        <w:rPr>
          <w:spacing w:val="-13"/>
        </w:rPr>
        <w:t xml:space="preserve">年平均降雨量 </w:t>
      </w:r>
      <w:r>
        <w:t xml:space="preserve">533mm </w:t>
      </w:r>
      <w:r>
        <w:rPr>
          <w:spacing w:val="-12"/>
        </w:rPr>
        <w:t xml:space="preserve">最大年降雨总量 </w:t>
      </w:r>
      <w:r>
        <w:rPr>
          <w:spacing w:val="-4"/>
        </w:rPr>
        <w:t xml:space="preserve">797mm </w:t>
      </w:r>
      <w:r>
        <w:rPr>
          <w:spacing w:val="-13"/>
        </w:rPr>
        <w:t xml:space="preserve">日最大降雨量 </w:t>
      </w:r>
      <w:r>
        <w:rPr>
          <w:spacing w:val="-3"/>
        </w:rPr>
        <w:t>149.1mm</w:t>
      </w:r>
    </w:p>
    <w:p>
      <w:pPr>
        <w:pStyle w:val="BodyText"/>
        <w:spacing w:before="4" w:line="364" w:lineRule="auto"/>
        <w:ind w:left="1428" w:right="9959"/>
      </w:pPr>
      <w:r>
        <w:rPr>
          <w:spacing w:val="-12"/>
        </w:rPr>
        <w:t xml:space="preserve">小时最大降水量 </w:t>
      </w:r>
      <w:r>
        <w:rPr>
          <w:spacing w:val="-3"/>
        </w:rPr>
        <w:t xml:space="preserve">66.1mm </w:t>
      </w:r>
      <w:r>
        <w:t>5）雪</w:t>
      </w:r>
    </w:p>
    <w:p>
      <w:pPr>
        <w:pStyle w:val="BodyText"/>
        <w:spacing w:before="1" w:line="364" w:lineRule="auto"/>
        <w:ind w:left="1428" w:right="9959"/>
        <w:rPr>
          <w:b/>
        </w:rPr>
      </w:pPr>
      <w:r>
        <w:t>基本雪压值 0.4kN/m</w:t>
      </w:r>
      <w:r>
        <w:rPr>
          <w:position w:val="3"/>
          <w:sz w:val="18"/>
        </w:rPr>
        <w:t>2</w:t>
      </w:r>
      <w:r>
        <w:rPr>
          <w:sz w:val="18"/>
        </w:rPr>
        <w:t xml:space="preserve"> </w:t>
      </w:r>
      <w:r>
        <w:rPr>
          <w:spacing w:val="13"/>
        </w:rPr>
        <w:t xml:space="preserve">最大积雪厚度 </w:t>
      </w:r>
      <w:r>
        <w:t>37mm 6）</w:t>
      </w:r>
      <w:r>
        <w:rPr>
          <w:spacing w:val="-13"/>
        </w:rPr>
        <w:t xml:space="preserve">最大冻土深度 </w:t>
      </w:r>
      <w:r>
        <w:rPr>
          <w:spacing w:val="-4"/>
        </w:rPr>
        <w:t xml:space="preserve">0.93m </w:t>
      </w:r>
      <w:r>
        <w:rPr>
          <w:b/>
          <w:spacing w:val="3"/>
        </w:rPr>
        <w:t>四</w:t>
      </w:r>
      <w:r>
        <w:t>、</w:t>
      </w:r>
      <w:r>
        <w:rPr>
          <w:b/>
        </w:rPr>
        <w:t>水文</w:t>
      </w:r>
    </w:p>
    <w:p>
      <w:pPr>
        <w:pStyle w:val="ListParagraph"/>
        <w:numPr>
          <w:ilvl w:val="0"/>
          <w:numId w:val="20"/>
        </w:numPr>
        <w:tabs>
          <w:tab w:val="left" w:pos="1970"/>
        </w:tabs>
        <w:spacing w:before="5" w:after="0" w:line="240" w:lineRule="auto"/>
        <w:ind w:left="1969" w:right="0" w:hanging="542"/>
        <w:jc w:val="left"/>
        <w:rPr>
          <w:sz w:val="36"/>
        </w:rPr>
      </w:pPr>
      <w:r>
        <w:rPr>
          <w:sz w:val="36"/>
        </w:rPr>
        <w:t>地表水</w:t>
      </w:r>
    </w:p>
    <w:p>
      <w:pPr>
        <w:pStyle w:val="BodyText"/>
        <w:spacing w:before="240" w:line="364" w:lineRule="auto"/>
        <w:ind w:left="708" w:right="689" w:firstLine="720"/>
        <w:jc w:val="both"/>
      </w:pPr>
      <w:r>
        <w:rPr>
          <w:spacing w:val="-1"/>
        </w:rPr>
        <w:t>某某县境内有黄河、太平河、褚官河、马新河、沾利河、挑河、草桥沟西干流、草</w:t>
      </w:r>
      <w:r>
        <w:rPr>
          <w:spacing w:val="-30"/>
        </w:rPr>
        <w:t xml:space="preserve">桥沟 </w:t>
      </w:r>
      <w:r>
        <w:t>8</w:t>
      </w:r>
      <w:r>
        <w:rPr>
          <w:spacing w:val="-9"/>
        </w:rPr>
        <w:t xml:space="preserve"> 条河流。其中黄河是唯一的自然河流，其它</w:t>
      </w:r>
      <w:r>
        <w:t>7</w:t>
      </w:r>
      <w:r>
        <w:rPr>
          <w:spacing w:val="-10"/>
        </w:rPr>
        <w:t xml:space="preserve"> 条河流均为人工排水河道，雨季和引黄用水时排水，旱时和冬季大都干涸。各主要河流的基本情况如下：</w:t>
      </w:r>
    </w:p>
    <w:p>
      <w:pPr>
        <w:pStyle w:val="BodyText"/>
        <w:spacing w:before="3" w:line="364" w:lineRule="auto"/>
        <w:ind w:left="708" w:right="689" w:firstLine="720"/>
      </w:pPr>
      <w:r>
        <w:t>黄河：黄河利津段全长 74km，流向为西南—东北。上界起自南宋乡董王村，下界至西河口纵贯全境，沿县南流经南宋、店子乡、利津镇、王庄乡、盐窝镇、北岭乡、陈庄镇、集贤乡、傅窝乡、渤海农场，从西河口折向东北，过垦利县地入海。年平均径流量 423.1×108m3，平均含沙量 12.96kg/m3。</w:t>
      </w:r>
    </w:p>
    <w:p>
      <w:pPr>
        <w:pStyle w:val="BodyText"/>
        <w:spacing w:before="5"/>
        <w:ind w:left="1428"/>
      </w:pPr>
      <w:r>
        <w:t>太平河：全长 40km，起自利津镇，流经明集乡进沾化县入潮河。</w:t>
      </w:r>
    </w:p>
    <w:p>
      <w:pPr>
        <w:pStyle w:val="BodyText"/>
        <w:spacing w:before="240" w:line="364" w:lineRule="auto"/>
        <w:ind w:left="1428" w:right="584"/>
      </w:pPr>
      <w:r>
        <w:rPr>
          <w:spacing w:val="-21"/>
        </w:rPr>
        <w:t xml:space="preserve">褚官河：全长 </w:t>
      </w:r>
      <w:r>
        <w:rPr>
          <w:spacing w:val="-9"/>
        </w:rPr>
        <w:t>31.7km</w:t>
      </w:r>
      <w:r>
        <w:rPr>
          <w:spacing w:val="-17"/>
        </w:rPr>
        <w:t>，起自南宋乡，流经店子、北宋、明集乡入潮河，由潮河入海。</w:t>
      </w:r>
      <w:r>
        <w:rPr>
          <w:spacing w:val="-12"/>
        </w:rPr>
        <w:t xml:space="preserve">马新河：境内段 </w:t>
      </w:r>
      <w:r>
        <w:t>15.44km，起自大赵乡进河口区入海。</w:t>
      </w:r>
    </w:p>
    <w:p>
      <w:pPr>
        <w:pStyle w:val="BodyText"/>
        <w:spacing w:before="2" w:line="364" w:lineRule="auto"/>
        <w:ind w:left="1428" w:right="1678"/>
      </w:pPr>
      <w:r>
        <w:rPr>
          <w:spacing w:val="-12"/>
        </w:rPr>
        <w:t xml:space="preserve">沾利河：境内段 </w:t>
      </w:r>
      <w:r>
        <w:t>29.1km，</w:t>
      </w:r>
      <w:r>
        <w:rPr>
          <w:spacing w:val="-1"/>
        </w:rPr>
        <w:t>起自王庄乡，流经盐窝镇、大赵乡进河口区入海。</w:t>
      </w:r>
      <w:r>
        <w:rPr>
          <w:spacing w:val="-16"/>
        </w:rPr>
        <w:t xml:space="preserve">挑河：全长 </w:t>
      </w:r>
      <w:r>
        <w:t>32.62km，起自傅窝乡，流经罗镇乡、利北、六合乡入海。</w:t>
      </w:r>
    </w:p>
    <w:p>
      <w:pPr>
        <w:spacing w:after="0" w:line="364" w:lineRule="auto"/>
        <w:sectPr>
          <w:headerReference w:type="default" r:id="rId38"/>
          <w:footerReference w:type="default" r:id="rId39"/>
          <w:pgSz w:w="17860" w:h="25260"/>
          <w:pgMar w:top="1380" w:right="1360" w:bottom="2020" w:left="1420" w:header="1083" w:footer="1826"/>
          <w:pgNumType w:start="15"/>
          <w:cols w:space="708"/>
        </w:sectPr>
      </w:pPr>
    </w:p>
    <w:p>
      <w:pPr>
        <w:pStyle w:val="BodyText"/>
        <w:rPr>
          <w:sz w:val="20"/>
        </w:rPr>
      </w:pPr>
    </w:p>
    <w:p>
      <w:pPr>
        <w:pStyle w:val="BodyText"/>
        <w:spacing w:before="5"/>
        <w:rPr>
          <w:sz w:val="19"/>
        </w:rPr>
      </w:pPr>
    </w:p>
    <w:p>
      <w:pPr>
        <w:pStyle w:val="BodyText"/>
        <w:spacing w:before="49" w:line="364" w:lineRule="auto"/>
        <w:ind w:left="708" w:right="598" w:firstLine="720"/>
      </w:pPr>
      <w:r>
        <w:rPr>
          <w:spacing w:val="-8"/>
        </w:rPr>
        <w:t xml:space="preserve">草桥沟西干流：全长 </w:t>
      </w:r>
      <w:r>
        <w:t>28.04km，起自北岭乡，流经傅窝乡、陈庄镇、罗镇乡入草桥</w:t>
      </w:r>
      <w:r>
        <w:rPr>
          <w:spacing w:val="-11"/>
        </w:rPr>
        <w:t xml:space="preserve">沟。草桥沟：全长 </w:t>
      </w:r>
      <w:r>
        <w:t>26km，</w:t>
      </w:r>
      <w:r>
        <w:rPr>
          <w:spacing w:val="-1"/>
        </w:rPr>
        <w:t>起自北岭乡，流经傅窝乡、陈庄镇、罗镇乡，进河口区入海。</w:t>
      </w:r>
    </w:p>
    <w:p>
      <w:pPr>
        <w:pStyle w:val="ListParagraph"/>
        <w:numPr>
          <w:ilvl w:val="0"/>
          <w:numId w:val="20"/>
        </w:numPr>
        <w:tabs>
          <w:tab w:val="left" w:pos="1970"/>
        </w:tabs>
        <w:spacing w:before="3" w:after="0" w:line="240" w:lineRule="auto"/>
        <w:ind w:left="1969" w:right="0" w:hanging="542"/>
        <w:jc w:val="left"/>
        <w:rPr>
          <w:sz w:val="36"/>
        </w:rPr>
      </w:pPr>
      <w:r>
        <w:rPr>
          <w:sz w:val="36"/>
        </w:rPr>
        <w:t>地下水</w:t>
      </w:r>
    </w:p>
    <w:p>
      <w:pPr>
        <w:pStyle w:val="BodyText"/>
        <w:tabs>
          <w:tab w:val="left" w:pos="12504"/>
        </w:tabs>
        <w:spacing w:before="241" w:line="364" w:lineRule="auto"/>
        <w:ind w:left="708" w:right="688" w:firstLine="720"/>
      </w:pPr>
      <w:r>
        <w:t>某某县在成土和发育过程中，一面受河流泥沙淤淀，一面受海水浸渍，深层土壤</w:t>
      </w:r>
      <w:r>
        <w:rPr>
          <w:spacing w:val="-17"/>
        </w:rPr>
        <w:t>大</w:t>
      </w:r>
      <w:r>
        <w:t>都是含盐度很高的重盐土，故浅层地下</w:t>
      </w:r>
      <w:r>
        <w:rPr>
          <w:spacing w:val="-25"/>
        </w:rPr>
        <w:t xml:space="preserve"> </w:t>
      </w:r>
      <w:r>
        <w:t>500m 之内基本无淡水。据省、地水利部门物探勘测，除黄河滩区、黄河古道以及县境南部成土年龄较早的个别点片，在</w:t>
        <w:tab/>
        <w:t>5-30m</w:t>
      </w:r>
      <w:r>
        <w:rPr>
          <w:spacing w:val="7"/>
        </w:rPr>
        <w:t xml:space="preserve"> </w:t>
      </w:r>
      <w:r>
        <w:t>处有微量淡水外，绝大部分地区为全咸区，没有发展井灌的条件。浅层地下水受黄河侧渗</w:t>
      </w:r>
      <w:r>
        <w:rPr>
          <w:spacing w:val="-17"/>
        </w:rPr>
        <w:t>和</w:t>
      </w:r>
      <w:r>
        <w:t>海水顶托，潜水位高、出流微弱。地下水平均埋深</w:t>
      </w:r>
      <w:r>
        <w:rPr>
          <w:spacing w:val="48"/>
        </w:rPr>
        <w:t>度</w:t>
      </w:r>
      <w:r>
        <w:t>2.89m，变幅为</w:t>
      </w:r>
      <w:r>
        <w:rPr>
          <w:spacing w:val="-105"/>
        </w:rPr>
        <w:t xml:space="preserve"> </w:t>
      </w:r>
      <w:r>
        <w:t>0.7-0.9m。潜水埋深度小于</w:t>
      </w:r>
      <w:r>
        <w:rPr>
          <w:spacing w:val="-91"/>
        </w:rPr>
        <w:t xml:space="preserve"> </w:t>
      </w:r>
      <w:r>
        <w:t>1m</w:t>
      </w:r>
      <w:r>
        <w:rPr>
          <w:spacing w:val="-90"/>
        </w:rPr>
        <w:t xml:space="preserve"> </w:t>
      </w:r>
      <w:r>
        <w:t>的面积占总面积的</w:t>
      </w:r>
      <w:r>
        <w:rPr>
          <w:spacing w:val="-90"/>
        </w:rPr>
        <w:t xml:space="preserve"> </w:t>
      </w:r>
      <w:r>
        <w:t>0.15%</w:t>
      </w:r>
      <w:r>
        <w:rPr>
          <w:spacing w:val="-166"/>
        </w:rPr>
        <w:t>，</w:t>
      </w:r>
      <w:r>
        <w:t>主要分布在利津镇的大刘家夹河以西和盐窝镇的前、后左村的水稻区，一般埋深</w:t>
      </w:r>
      <w:r>
        <w:rPr>
          <w:spacing w:val="-90"/>
        </w:rPr>
        <w:t xml:space="preserve"> </w:t>
      </w:r>
      <w:r>
        <w:t>0.7-0.8m。埋深度</w:t>
      </w:r>
      <w:r>
        <w:rPr>
          <w:spacing w:val="-89"/>
        </w:rPr>
        <w:t xml:space="preserve"> </w:t>
      </w:r>
      <w:r>
        <w:t>1-2m</w:t>
      </w:r>
      <w:r>
        <w:rPr>
          <w:spacing w:val="-89"/>
        </w:rPr>
        <w:t xml:space="preserve"> </w:t>
      </w:r>
      <w:r>
        <w:t>的面积，占总面积的</w:t>
      </w:r>
      <w:r>
        <w:rPr>
          <w:spacing w:val="-88"/>
        </w:rPr>
        <w:t xml:space="preserve"> </w:t>
      </w:r>
      <w:r>
        <w:rPr>
          <w:spacing w:val="-3"/>
        </w:rPr>
        <w:t xml:space="preserve">17.49%， </w:t>
      </w:r>
      <w:r>
        <w:t>主要分布在利津镇、盐窝镇、南宋等乡镇的稻田区、北宋镇褚官河两岸有点片地段。</w:t>
      </w:r>
      <w:r>
        <w:rPr>
          <w:spacing w:val="-17"/>
        </w:rPr>
        <w:t>埋</w:t>
      </w:r>
      <w:r>
        <w:t>深度</w:t>
      </w:r>
      <w:r>
        <w:rPr>
          <w:spacing w:val="-90"/>
        </w:rPr>
        <w:t xml:space="preserve"> </w:t>
      </w:r>
      <w:r>
        <w:t>2-3m</w:t>
      </w:r>
      <w:r>
        <w:rPr>
          <w:spacing w:val="-91"/>
        </w:rPr>
        <w:t xml:space="preserve"> </w:t>
      </w:r>
      <w:r>
        <w:t>的面积，占总面积的 30.82%，主要分布在北宋镇和利津镇的绝大部分地区</w:t>
      </w:r>
      <w:r>
        <w:rPr>
          <w:spacing w:val="-16"/>
        </w:rPr>
        <w:t>、</w:t>
      </w:r>
      <w:r>
        <w:t>盐窝镇、汀罗镇大部，沿海滩涂全部，以及陈庄镇、虎滩、北岭、南宋等乡，有零星</w:t>
      </w:r>
      <w:r>
        <w:rPr>
          <w:spacing w:val="-17"/>
        </w:rPr>
        <w:t>点</w:t>
      </w:r>
      <w:r>
        <w:t>片地块。埋深</w:t>
      </w:r>
      <w:r>
        <w:rPr>
          <w:spacing w:val="-109"/>
        </w:rPr>
        <w:t xml:space="preserve"> </w:t>
      </w:r>
      <w:r>
        <w:t>3-4m</w:t>
      </w:r>
      <w:r>
        <w:rPr>
          <w:spacing w:val="-90"/>
        </w:rPr>
        <w:t xml:space="preserve"> </w:t>
      </w:r>
      <w:r>
        <w:t>的面积，占总面积的</w:t>
      </w:r>
      <w:r>
        <w:rPr>
          <w:spacing w:val="-18"/>
        </w:rPr>
        <w:t xml:space="preserve"> </w:t>
      </w:r>
      <w:r>
        <w:t>45.43%，主要分布在县境中部和褚官河、太平河下游、南宋乡南部、利津镇有点片地块。埋</w:t>
      </w:r>
      <w:r>
        <w:rPr>
          <w:spacing w:val="-6"/>
        </w:rPr>
        <w:t>深</w:t>
      </w:r>
      <w:r>
        <w:t>4-5m</w:t>
      </w:r>
      <w:r>
        <w:rPr>
          <w:spacing w:val="-90"/>
        </w:rPr>
        <w:t xml:space="preserve"> </w:t>
      </w:r>
      <w:r>
        <w:t>的面积，占总面积</w:t>
      </w:r>
      <w:r>
        <w:rPr>
          <w:spacing w:val="58"/>
        </w:rPr>
        <w:t>的</w:t>
      </w:r>
      <w:r>
        <w:t>6.11%，主要分布在付窝乡东部的河滩高地和北岭乡盐窝镇之间的缓岗带、罗镇乡西北部有点片地 块。</w:t>
      </w:r>
    </w:p>
    <w:p>
      <w:pPr>
        <w:pStyle w:val="BodyText"/>
        <w:spacing w:before="14" w:line="364" w:lineRule="auto"/>
        <w:ind w:left="708" w:right="498" w:firstLine="720"/>
      </w:pPr>
      <w:r>
        <w:t>地下水埋深度的年变化，与环境条件和引黄溉排状况关系密切。一般情形，潜水自</w:t>
      </w:r>
      <w:r>
        <w:rPr>
          <w:spacing w:val="-11"/>
        </w:rPr>
        <w:t xml:space="preserve">上年秋后到来年 </w:t>
      </w:r>
      <w:r>
        <w:t>1</w:t>
      </w:r>
      <w:r>
        <w:rPr>
          <w:spacing w:val="-22"/>
        </w:rPr>
        <w:t xml:space="preserve"> 月缓慢下降，至 </w:t>
      </w:r>
      <w:r>
        <w:t>3</w:t>
      </w:r>
      <w:r>
        <w:rPr>
          <w:spacing w:val="-10"/>
        </w:rPr>
        <w:t xml:space="preserve"> 月中旬保持平衡并形成全年第一次低水期。</w:t>
      </w:r>
      <w:r>
        <w:t>3</w:t>
      </w:r>
      <w:r>
        <w:rPr>
          <w:spacing w:val="-30"/>
        </w:rPr>
        <w:t xml:space="preserve"> 月下</w:t>
      </w:r>
      <w:r>
        <w:rPr>
          <w:spacing w:val="-27"/>
        </w:rPr>
        <w:t>旬后，因降雨而潜水上升，到</w:t>
      </w:r>
      <w:r>
        <w:t>5</w:t>
      </w:r>
      <w:r>
        <w:rPr>
          <w:spacing w:val="-24"/>
        </w:rPr>
        <w:t xml:space="preserve"> 月中旬可上升 </w:t>
      </w:r>
      <w:r>
        <w:t>20-40cm；</w:t>
      </w:r>
      <w:r>
        <w:rPr>
          <w:spacing w:val="-2"/>
        </w:rPr>
        <w:t xml:space="preserve">在引黄灌溉区，由于连续灌水， </w:t>
      </w:r>
      <w:r>
        <w:rPr>
          <w:spacing w:val="-12"/>
        </w:rPr>
        <w:t xml:space="preserve">地下潜水可上升 </w:t>
      </w:r>
      <w:r>
        <w:t>1.2-1.6m</w:t>
      </w:r>
      <w:r>
        <w:rPr>
          <w:spacing w:val="-18"/>
        </w:rPr>
        <w:t>。</w:t>
      </w:r>
      <w:r>
        <w:t>5</w:t>
      </w:r>
      <w:r>
        <w:rPr>
          <w:spacing w:val="-8"/>
        </w:rPr>
        <w:t xml:space="preserve"> 月中旬后，地面蒸发强烈，潜水下降，到</w:t>
      </w:r>
      <w:r>
        <w:t>6</w:t>
      </w:r>
      <w:r>
        <w:rPr>
          <w:spacing w:val="-14"/>
        </w:rPr>
        <w:t xml:space="preserve"> 月底进入全年</w:t>
      </w:r>
      <w:r>
        <w:rPr>
          <w:spacing w:val="-18"/>
        </w:rPr>
        <w:t>第二次低水期。</w:t>
      </w:r>
      <w:r>
        <w:t>7</w:t>
      </w:r>
      <w:r>
        <w:rPr>
          <w:spacing w:val="-9"/>
        </w:rPr>
        <w:t xml:space="preserve"> 月上旬后进入雨季，潜水上升，至</w:t>
      </w:r>
      <w:r>
        <w:t>9</w:t>
      </w:r>
      <w:r>
        <w:rPr>
          <w:spacing w:val="-10"/>
        </w:rPr>
        <w:t xml:space="preserve"> 月中旬，进入潜水位全年最高期， </w:t>
      </w:r>
      <w:r>
        <w:rPr>
          <w:spacing w:val="-9"/>
        </w:rPr>
        <w:t xml:space="preserve">一般埋深 </w:t>
      </w:r>
      <w:r>
        <w:t>1-1.2m</w:t>
      </w:r>
      <w:r>
        <w:rPr>
          <w:spacing w:val="-33"/>
        </w:rPr>
        <w:t>。</w:t>
      </w:r>
      <w:r>
        <w:t>9</w:t>
      </w:r>
      <w:r>
        <w:rPr>
          <w:spacing w:val="-10"/>
        </w:rPr>
        <w:t xml:space="preserve"> 月下旬以后，潜水急速下降，冬季缓慢下降。若连续几年干旱，潜水位随之下降；若连续几年雨涝，潜水位则普遍上升，全县地下水的流向与地面坡降基本一致，一般为西南-东北向。</w:t>
      </w:r>
    </w:p>
    <w:p>
      <w:pPr>
        <w:pStyle w:val="BodyText"/>
        <w:spacing w:before="8" w:line="364" w:lineRule="auto"/>
        <w:ind w:left="708" w:right="586" w:firstLine="720"/>
      </w:pPr>
      <w:r>
        <w:rPr>
          <w:spacing w:val="-8"/>
        </w:rPr>
        <w:t xml:space="preserve">地下水矿化度，全县平均 </w:t>
      </w:r>
      <w:r>
        <w:t>14.43g/L，</w:t>
      </w:r>
      <w:r>
        <w:rPr>
          <w:spacing w:val="-22"/>
        </w:rPr>
        <w:t xml:space="preserve">变幅在 </w:t>
      </w:r>
      <w:r>
        <w:t>0.115-107.5g/L</w:t>
      </w:r>
      <w:r>
        <w:rPr>
          <w:spacing w:val="-10"/>
        </w:rPr>
        <w:t xml:space="preserve"> 之间。成土年龄长的</w:t>
      </w:r>
      <w:r>
        <w:rPr>
          <w:spacing w:val="-14"/>
        </w:rPr>
        <w:t xml:space="preserve">县境中南部和古河道处，其潜水矿化度低于 </w:t>
      </w:r>
      <w:r>
        <w:t xml:space="preserve">0.5-2g/L；成土时间短的县境北 部地区， </w:t>
      </w:r>
      <w:r>
        <w:rPr>
          <w:spacing w:val="-14"/>
        </w:rPr>
        <w:t xml:space="preserve">潜水矿化度偏高。全县潜水矿化度 </w:t>
      </w:r>
      <w:r>
        <w:t>5-10g/L</w:t>
      </w:r>
      <w:r>
        <w:rPr>
          <w:spacing w:val="-26"/>
        </w:rPr>
        <w:t xml:space="preserve"> 的面积，占总面积的 </w:t>
      </w:r>
      <w:r>
        <w:rPr>
          <w:spacing w:val="-8"/>
        </w:rPr>
        <w:t>15%；10-30g/L</w:t>
      </w:r>
      <w:r>
        <w:rPr>
          <w:spacing w:val="-22"/>
        </w:rPr>
        <w:t xml:space="preserve"> 的面积， </w:t>
      </w:r>
      <w:r>
        <w:rPr>
          <w:spacing w:val="-16"/>
        </w:rPr>
        <w:t xml:space="preserve">占总面积的 </w:t>
      </w:r>
      <w:r>
        <w:t>27.99%；</w:t>
      </w:r>
      <w:r>
        <w:rPr>
          <w:spacing w:val="-39"/>
        </w:rPr>
        <w:t xml:space="preserve">大于 </w:t>
      </w:r>
      <w:r>
        <w:t>30g/L</w:t>
      </w:r>
      <w:r>
        <w:rPr>
          <w:spacing w:val="-21"/>
        </w:rPr>
        <w:t xml:space="preserve"> 的面积，占总面积的 </w:t>
      </w:r>
      <w:r>
        <w:t>9.51%。浅层地下水的主要矿化物</w:t>
      </w:r>
    </w:p>
    <w:p>
      <w:pPr>
        <w:spacing w:after="0" w:line="364" w:lineRule="auto"/>
        <w:sectPr>
          <w:headerReference w:type="default" r:id="rId40"/>
          <w:footerReference w:type="default" r:id="rId41"/>
          <w:pgSz w:w="17860" w:h="25260"/>
          <w:pgMar w:top="1380" w:right="1360" w:bottom="2020" w:left="1420" w:header="1083" w:footer="1826"/>
          <w:pgNumType w:start="16"/>
          <w:cols w:space="708"/>
        </w:sectPr>
      </w:pPr>
    </w:p>
    <w:p>
      <w:pPr>
        <w:pStyle w:val="BodyText"/>
        <w:rPr>
          <w:sz w:val="20"/>
        </w:rPr>
      </w:pPr>
    </w:p>
    <w:p>
      <w:pPr>
        <w:pStyle w:val="BodyText"/>
        <w:spacing w:before="5"/>
        <w:rPr>
          <w:sz w:val="19"/>
        </w:rPr>
      </w:pPr>
    </w:p>
    <w:p>
      <w:pPr>
        <w:pStyle w:val="BodyText"/>
        <w:spacing w:before="49" w:line="364" w:lineRule="auto"/>
        <w:ind w:left="708" w:right="582"/>
      </w:pPr>
      <w:r>
        <w:rPr>
          <w:spacing w:val="-19"/>
        </w:rPr>
        <w:t xml:space="preserve">是盐类。深层地下水，咸淡水分界在 </w:t>
      </w:r>
      <w:r>
        <w:t>500m</w:t>
      </w:r>
      <w:r>
        <w:rPr>
          <w:spacing w:val="-25"/>
        </w:rPr>
        <w:t xml:space="preserve"> 以下，由境南到境北渐深，水中含氟 </w:t>
      </w:r>
      <w:r>
        <w:t xml:space="preserve">4.2mg/L， </w:t>
      </w:r>
      <w:r>
        <w:rPr>
          <w:spacing w:val="-31"/>
        </w:rPr>
        <w:t xml:space="preserve">含碘 </w:t>
      </w:r>
      <w:r>
        <w:t>1.96mg/L，均超过人畜饮用标准。</w:t>
      </w:r>
    </w:p>
    <w:p>
      <w:pPr>
        <w:pStyle w:val="Heading3"/>
        <w:spacing w:before="3"/>
        <w:ind w:left="1417"/>
      </w:pPr>
      <w:r>
        <w:t>五、地震</w:t>
      </w:r>
    </w:p>
    <w:p>
      <w:pPr>
        <w:pStyle w:val="BodyText"/>
        <w:spacing w:before="241" w:line="364" w:lineRule="auto"/>
        <w:ind w:left="708" w:right="715" w:firstLine="720"/>
        <w:jc w:val="both"/>
      </w:pPr>
      <w:r>
        <w:rPr>
          <w:spacing w:val="-1"/>
        </w:rPr>
        <w:t>根据国家地震局《中国地震动反应谱特征周期区划图</w:t>
      </w:r>
      <w:r>
        <w:t>（GB18306-2001）</w:t>
      </w:r>
      <w:r>
        <w:rPr>
          <w:spacing w:val="-4"/>
        </w:rPr>
        <w:t>》和《中国</w:t>
      </w:r>
      <w:r>
        <w:t>地震动峰值加速度区划图</w:t>
      </w:r>
      <w:r>
        <w:rPr>
          <w:spacing w:val="-3"/>
        </w:rPr>
        <w:t>（GB18306-2001）</w:t>
      </w:r>
      <w:r>
        <w:rPr>
          <w:spacing w:val="-7"/>
        </w:rPr>
        <w:t>》，厂址所在区域地震动反应谱特征周期</w:t>
      </w:r>
      <w:r>
        <w:t xml:space="preserve">Tm </w:t>
      </w:r>
      <w:r>
        <w:rPr>
          <w:spacing w:val="-46"/>
        </w:rPr>
        <w:t xml:space="preserve">为 </w:t>
      </w:r>
      <w:r>
        <w:t>0.40s</w:t>
      </w:r>
      <w:r>
        <w:rPr>
          <w:spacing w:val="-9"/>
        </w:rPr>
        <w:t xml:space="preserve">，地震动峰值加速度 </w:t>
      </w:r>
      <w:r>
        <w:t>PGA</w:t>
      </w:r>
      <w:r>
        <w:rPr>
          <w:spacing w:val="-60"/>
        </w:rPr>
        <w:t xml:space="preserve"> 为 </w:t>
      </w:r>
      <w:r>
        <w:t>0.1g，相当于地震烈度Ⅶ度。</w:t>
      </w:r>
    </w:p>
    <w:p>
      <w:pPr>
        <w:pStyle w:val="Heading3"/>
        <w:spacing w:before="2"/>
        <w:ind w:left="1417"/>
      </w:pPr>
      <w:r>
        <w:t>六、植被、生物多样性</w:t>
      </w:r>
    </w:p>
    <w:p>
      <w:pPr>
        <w:pStyle w:val="BodyText"/>
        <w:spacing w:before="241" w:line="364" w:lineRule="auto"/>
        <w:ind w:left="708" w:right="760" w:firstLine="720"/>
        <w:jc w:val="both"/>
      </w:pPr>
      <w:r>
        <w:rPr>
          <w:spacing w:val="1"/>
        </w:rPr>
        <w:t>境内以潮土、盐土为主，其次是褐土，少量沙姜黑土和水稻土。按表层地质 可划</w:t>
      </w:r>
      <w:r>
        <w:rPr>
          <w:spacing w:val="-5"/>
        </w:rPr>
        <w:t>分为沙壤土、轻壤土、中壤土、重壤土和粘土。 土壤缺乏有机质，普遍缺氧， 严重缺</w:t>
      </w:r>
      <w:r>
        <w:t>磷，氮磷比例失调，钾较丰富。</w:t>
      </w:r>
    </w:p>
    <w:p>
      <w:pPr>
        <w:pStyle w:val="BodyText"/>
        <w:spacing w:before="4" w:line="364" w:lineRule="auto"/>
        <w:ind w:left="708" w:right="581" w:firstLine="720"/>
        <w:jc w:val="both"/>
      </w:pPr>
      <w:r>
        <w:t>植被属暖温带落叶林区，植被受水分土壤含盐量、潜水位与矿化度和地貌类型的制约，类型少、结构简单、组成单纯。评价区内无地带性植被类型，木本植 物较少，以</w:t>
      </w:r>
      <w:r>
        <w:rPr>
          <w:spacing w:val="-16"/>
        </w:rPr>
        <w:t>草甸景观为主。天然植被以滨海盐生植被为主，主要分布黄须菜、柽柳、马绊草、芦苇、</w:t>
      </w:r>
    </w:p>
    <w:p>
      <w:pPr>
        <w:pStyle w:val="BodyText"/>
        <w:spacing w:before="2"/>
        <w:ind w:left="708"/>
      </w:pPr>
      <w:r>
        <w:t>白茅等。</w:t>
      </w:r>
    </w:p>
    <w:p>
      <w:pPr>
        <w:pStyle w:val="Heading2"/>
        <w:numPr>
          <w:ilvl w:val="2"/>
          <w:numId w:val="22"/>
        </w:numPr>
        <w:tabs>
          <w:tab w:val="left" w:pos="1979"/>
        </w:tabs>
        <w:spacing w:before="71" w:after="0" w:line="240" w:lineRule="auto"/>
        <w:ind w:left="1979" w:right="0" w:hanging="1271"/>
        <w:jc w:val="left"/>
      </w:pPr>
      <w:r>
        <w:t>环境功能区环境标准</w:t>
      </w:r>
    </w:p>
    <w:p>
      <w:pPr>
        <w:pStyle w:val="BodyText"/>
        <w:spacing w:before="2"/>
        <w:rPr>
          <w:b/>
          <w:sz w:val="49"/>
        </w:rPr>
      </w:pPr>
    </w:p>
    <w:p>
      <w:pPr>
        <w:pStyle w:val="BodyText"/>
        <w:ind w:left="1403"/>
      </w:pPr>
      <w:r>
        <w:t>一、大气环境</w:t>
      </w:r>
    </w:p>
    <w:p>
      <w:pPr>
        <w:pStyle w:val="BodyText"/>
        <w:spacing w:before="241" w:line="364" w:lineRule="auto"/>
        <w:ind w:left="708" w:right="786" w:firstLine="720"/>
      </w:pPr>
      <w:r>
        <w:t>该项目区域环境空气执行《环境空气质量标准》（</w:t>
      </w:r>
      <w:r>
        <w:rPr>
          <w:spacing w:val="-98"/>
        </w:rPr>
        <w:t xml:space="preserve"> </w:t>
      </w:r>
      <w:r>
        <w:t>GB3095-2012）</w:t>
      </w:r>
      <w:r>
        <w:rPr>
          <w:spacing w:val="-3"/>
        </w:rPr>
        <w:t>二级标准，具体</w:t>
      </w:r>
      <w:r>
        <w:rPr>
          <w:spacing w:val="-16"/>
        </w:rPr>
        <w:t xml:space="preserve">标准值见表 </w:t>
      </w:r>
      <w:r>
        <w:t>3.1-4。</w:t>
      </w:r>
    </w:p>
    <w:p>
      <w:pPr>
        <w:pStyle w:val="Heading3"/>
        <w:spacing w:before="1"/>
        <w:ind w:left="490" w:right="557"/>
        <w:jc w:val="center"/>
      </w:pPr>
      <w:r>
        <w:pict>
          <v:group id="_x0000_s1078" style="width:692pt;height:365pt;margin-top:28.6pt;margin-left:101pt;mso-position-horizontal-relative:page;mso-wrap-distance-left:0;mso-wrap-distance-right:0;position:absolute;z-index:-251654144" coordorigin="2020,572" coordsize="13840,7300">
            <v:shape id="_x0000_s1079" type="#_x0000_t75" style="width:13840;height:7300;left:2020;position:absolute;top:572" stroked="f">
              <v:imagedata r:id="rId42" o:title=""/>
            </v:shape>
            <v:shape id="_x0000_s1080" type="#_x0000_t202" style="width:1604;height:317;left:2128;position:absolute;top:766" filled="f" stroked="f">
              <v:textbox inset="0,0,0,0">
                <w:txbxContent>
                  <w:p>
                    <w:pPr>
                      <w:spacing w:before="0" w:line="317" w:lineRule="exact"/>
                      <w:ind w:left="0" w:right="0" w:firstLine="0"/>
                      <w:jc w:val="left"/>
                      <w:rPr>
                        <w:b/>
                        <w:sz w:val="31"/>
                      </w:rPr>
                    </w:pPr>
                    <w:r>
                      <w:rPr>
                        <w:b/>
                        <w:sz w:val="31"/>
                      </w:rPr>
                      <w:t>污染物项目</w:t>
                    </w:r>
                  </w:p>
                </w:txbxContent>
              </v:textbox>
            </v:shape>
            <v:shape id="_x0000_s1081" type="#_x0000_t202" style="width:1288;height:317;left:4997;position:absolute;top:766" filled="f" stroked="f">
              <v:textbox inset="0,0,0,0">
                <w:txbxContent>
                  <w:p>
                    <w:pPr>
                      <w:spacing w:before="0" w:line="317" w:lineRule="exact"/>
                      <w:ind w:left="0" w:right="0" w:firstLine="0"/>
                      <w:jc w:val="left"/>
                      <w:rPr>
                        <w:b/>
                        <w:sz w:val="31"/>
                      </w:rPr>
                    </w:pPr>
                    <w:r>
                      <w:rPr>
                        <w:b/>
                        <w:sz w:val="31"/>
                      </w:rPr>
                      <w:t>平均时间</w:t>
                    </w:r>
                  </w:p>
                </w:txbxContent>
              </v:textbox>
            </v:shape>
            <v:shape id="_x0000_s1082" type="#_x0000_t202" style="width:2937;height:317;left:7262;position:absolute;top:766" filled="f" stroked="f">
              <v:textbox inset="0,0,0,0">
                <w:txbxContent>
                  <w:p>
                    <w:pPr>
                      <w:tabs>
                        <w:tab w:val="left" w:pos="2599"/>
                      </w:tabs>
                      <w:spacing w:before="0" w:line="317" w:lineRule="exact"/>
                      <w:ind w:left="0" w:right="0" w:firstLine="0"/>
                      <w:jc w:val="left"/>
                      <w:rPr>
                        <w:b/>
                        <w:sz w:val="31"/>
                      </w:rPr>
                    </w:pPr>
                    <w:r>
                      <w:rPr>
                        <w:b/>
                        <w:sz w:val="31"/>
                      </w:rPr>
                      <w:t>浓度限</w:t>
                    </w:r>
                    <w:r>
                      <w:rPr>
                        <w:b/>
                        <w:spacing w:val="-69"/>
                        <w:sz w:val="31"/>
                      </w:rPr>
                      <w:t>值</w:t>
                    </w:r>
                    <w:r>
                      <w:rPr>
                        <w:b/>
                        <w:sz w:val="31"/>
                      </w:rPr>
                      <w:t>（μg/m</w:t>
                      <w:tab/>
                      <w:t>）</w:t>
                    </w:r>
                  </w:p>
                </w:txbxContent>
              </v:textbox>
            </v:shape>
            <v:shape id="_x0000_s1083" type="#_x0000_t202" style="width:1288;height:317;left:12339;position:absolute;top:766" filled="f" stroked="f">
              <v:textbox inset="0,0,0,0">
                <w:txbxContent>
                  <w:p>
                    <w:pPr>
                      <w:spacing w:before="0" w:line="317" w:lineRule="exact"/>
                      <w:ind w:left="0" w:right="0" w:firstLine="0"/>
                      <w:jc w:val="left"/>
                      <w:rPr>
                        <w:b/>
                        <w:sz w:val="31"/>
                      </w:rPr>
                    </w:pPr>
                    <w:r>
                      <w:rPr>
                        <w:b/>
                        <w:sz w:val="31"/>
                      </w:rPr>
                      <w:t>标准来源</w:t>
                    </w:r>
                  </w:p>
                </w:txbxContent>
              </v:textbox>
            </v:shape>
            <v:shape id="_x0000_s1084" type="#_x0000_t202" style="width:971;height:317;left:5145;position:absolute;top:1367" filled="f" stroked="f">
              <v:textbox inset="0,0,0,0">
                <w:txbxContent>
                  <w:p>
                    <w:pPr>
                      <w:spacing w:before="0" w:line="317" w:lineRule="exact"/>
                      <w:ind w:left="0" w:right="0" w:firstLine="0"/>
                      <w:jc w:val="left"/>
                      <w:rPr>
                        <w:sz w:val="31"/>
                      </w:rPr>
                    </w:pPr>
                    <w:r>
                      <w:rPr>
                        <w:sz w:val="31"/>
                      </w:rPr>
                      <w:t>年平均</w:t>
                    </w:r>
                  </w:p>
                </w:txbxContent>
              </v:textbox>
            </v:shape>
            <v:shape id="_x0000_s1085" type="#_x0000_t202" style="width:337;height:317;left:8483;position:absolute;top:1367" filled="f" stroked="f">
              <v:textbox inset="0,0,0,0">
                <w:txbxContent>
                  <w:p>
                    <w:pPr>
                      <w:spacing w:before="0" w:line="317" w:lineRule="exact"/>
                      <w:ind w:left="0" w:right="0" w:firstLine="0"/>
                      <w:jc w:val="left"/>
                      <w:rPr>
                        <w:sz w:val="31"/>
                      </w:rPr>
                    </w:pPr>
                    <w:r>
                      <w:rPr>
                        <w:sz w:val="31"/>
                      </w:rPr>
                      <w:t>60</w:t>
                    </w:r>
                  </w:p>
                </w:txbxContent>
              </v:textbox>
            </v:shape>
            <v:shape id="_x0000_s1086" type="#_x0000_t202" style="width:420;height:440;left:2855;position:absolute;top:1972" filled="f" stroked="f">
              <v:textbox inset="0,0,0,0">
                <w:txbxContent>
                  <w:p>
                    <w:pPr>
                      <w:spacing w:before="0" w:line="308" w:lineRule="exact"/>
                      <w:ind w:left="0" w:right="0" w:firstLine="0"/>
                      <w:jc w:val="left"/>
                      <w:rPr>
                        <w:sz w:val="31"/>
                      </w:rPr>
                    </w:pPr>
                    <w:r>
                      <w:rPr>
                        <w:sz w:val="31"/>
                      </w:rPr>
                      <w:t>SO</w:t>
                    </w:r>
                  </w:p>
                  <w:p>
                    <w:pPr>
                      <w:spacing w:before="0" w:line="132" w:lineRule="exact"/>
                      <w:ind w:left="0" w:right="18" w:firstLine="0"/>
                      <w:jc w:val="right"/>
                      <w:rPr>
                        <w:sz w:val="16"/>
                      </w:rPr>
                    </w:pPr>
                    <w:r>
                      <w:rPr>
                        <w:w w:val="103"/>
                        <w:sz w:val="16"/>
                      </w:rPr>
                      <w:t>2</w:t>
                    </w:r>
                  </w:p>
                </w:txbxContent>
              </v:textbox>
            </v:shape>
            <v:shape id="_x0000_s1087" type="#_x0000_t202" style="width:1684;height:317;left:4792;position:absolute;top:1972" filled="f" stroked="f">
              <v:textbox inset="0,0,0,0">
                <w:txbxContent>
                  <w:p>
                    <w:pPr>
                      <w:spacing w:before="0" w:line="317" w:lineRule="exact"/>
                      <w:ind w:left="0" w:right="0" w:firstLine="0"/>
                      <w:jc w:val="left"/>
                      <w:rPr>
                        <w:sz w:val="31"/>
                      </w:rPr>
                    </w:pPr>
                    <w:r>
                      <w:rPr>
                        <w:sz w:val="31"/>
                      </w:rPr>
                      <w:t>24</w:t>
                    </w:r>
                    <w:r>
                      <w:rPr>
                        <w:spacing w:val="-11"/>
                        <w:sz w:val="31"/>
                      </w:rPr>
                      <w:t xml:space="preserve"> 小时平均</w:t>
                    </w:r>
                  </w:p>
                </w:txbxContent>
              </v:textbox>
            </v:shape>
            <v:shape id="_x0000_s1088" type="#_x0000_t202" style="width:496;height:317;left:8407;position:absolute;top:1972" filled="f" stroked="f">
              <v:textbox inset="0,0,0,0">
                <w:txbxContent>
                  <w:p>
                    <w:pPr>
                      <w:spacing w:before="0" w:line="317" w:lineRule="exact"/>
                      <w:ind w:left="0" w:right="0" w:firstLine="0"/>
                      <w:jc w:val="left"/>
                      <w:rPr>
                        <w:sz w:val="31"/>
                      </w:rPr>
                    </w:pPr>
                    <w:r>
                      <w:rPr>
                        <w:sz w:val="31"/>
                      </w:rPr>
                      <w:t>150</w:t>
                    </w:r>
                  </w:p>
                </w:txbxContent>
              </v:textbox>
            </v:shape>
            <v:shape id="_x0000_s1089" type="#_x0000_t202" style="width:1518;height:317;left:4882;position:absolute;top:2573" filled="f" stroked="f">
              <v:textbox inset="0,0,0,0">
                <w:txbxContent>
                  <w:p>
                    <w:pPr>
                      <w:spacing w:before="0" w:line="317" w:lineRule="exact"/>
                      <w:ind w:left="0" w:right="0" w:firstLine="0"/>
                      <w:jc w:val="left"/>
                      <w:rPr>
                        <w:sz w:val="31"/>
                      </w:rPr>
                    </w:pPr>
                    <w:r>
                      <w:rPr>
                        <w:sz w:val="31"/>
                      </w:rPr>
                      <w:t>1</w:t>
                    </w:r>
                    <w:r>
                      <w:rPr>
                        <w:spacing w:val="-12"/>
                        <w:sz w:val="31"/>
                      </w:rPr>
                      <w:t xml:space="preserve"> 小时平均</w:t>
                    </w:r>
                  </w:p>
                </w:txbxContent>
              </v:textbox>
            </v:shape>
            <v:shape id="_x0000_s1090" type="#_x0000_t202" style="width:496;height:317;left:8407;position:absolute;top:2573" filled="f" stroked="f">
              <v:textbox inset="0,0,0,0">
                <w:txbxContent>
                  <w:p>
                    <w:pPr>
                      <w:spacing w:before="0" w:line="317" w:lineRule="exact"/>
                      <w:ind w:left="0" w:right="0" w:firstLine="0"/>
                      <w:jc w:val="left"/>
                      <w:rPr>
                        <w:sz w:val="31"/>
                      </w:rPr>
                    </w:pPr>
                    <w:r>
                      <w:rPr>
                        <w:sz w:val="31"/>
                      </w:rPr>
                      <w:t>500</w:t>
                    </w:r>
                  </w:p>
                </w:txbxContent>
              </v:textbox>
            </v:shape>
            <v:shape id="_x0000_s1091" type="#_x0000_t202" style="width:971;height:317;left:5145;position:absolute;top:3178" filled="f" stroked="f">
              <v:textbox inset="0,0,0,0">
                <w:txbxContent>
                  <w:p>
                    <w:pPr>
                      <w:spacing w:before="0" w:line="317" w:lineRule="exact"/>
                      <w:ind w:left="0" w:right="0" w:firstLine="0"/>
                      <w:jc w:val="left"/>
                      <w:rPr>
                        <w:sz w:val="31"/>
                      </w:rPr>
                    </w:pPr>
                    <w:r>
                      <w:rPr>
                        <w:sz w:val="31"/>
                      </w:rPr>
                      <w:t>年平均</w:t>
                    </w:r>
                  </w:p>
                </w:txbxContent>
              </v:textbox>
            </v:shape>
            <v:shape id="_x0000_s1092" type="#_x0000_t202" style="width:337;height:317;left:8483;position:absolute;top:3178" filled="f" stroked="f">
              <v:textbox inset="0,0,0,0">
                <w:txbxContent>
                  <w:p>
                    <w:pPr>
                      <w:spacing w:before="0" w:line="317" w:lineRule="exact"/>
                      <w:ind w:left="0" w:right="0" w:firstLine="0"/>
                      <w:jc w:val="left"/>
                      <w:rPr>
                        <w:sz w:val="31"/>
                      </w:rPr>
                    </w:pPr>
                    <w:r>
                      <w:rPr>
                        <w:sz w:val="31"/>
                      </w:rPr>
                      <w:t>40</w:t>
                    </w:r>
                  </w:p>
                </w:txbxContent>
              </v:textbox>
            </v:shape>
            <v:shape id="_x0000_s1093" type="#_x0000_t202" style="width:420;height:440;left:2855;position:absolute;top:3780" filled="f" stroked="f">
              <v:textbox inset="0,0,0,0">
                <w:txbxContent>
                  <w:p>
                    <w:pPr>
                      <w:spacing w:before="0" w:line="308" w:lineRule="exact"/>
                      <w:ind w:left="0" w:right="0" w:firstLine="0"/>
                      <w:jc w:val="left"/>
                      <w:rPr>
                        <w:sz w:val="31"/>
                      </w:rPr>
                    </w:pPr>
                    <w:r>
                      <w:rPr>
                        <w:sz w:val="31"/>
                      </w:rPr>
                      <w:t>NO</w:t>
                    </w:r>
                  </w:p>
                  <w:p>
                    <w:pPr>
                      <w:spacing w:before="0" w:line="132" w:lineRule="exact"/>
                      <w:ind w:left="0" w:right="18" w:firstLine="0"/>
                      <w:jc w:val="right"/>
                      <w:rPr>
                        <w:sz w:val="16"/>
                      </w:rPr>
                    </w:pPr>
                    <w:r>
                      <w:rPr>
                        <w:w w:val="103"/>
                        <w:sz w:val="16"/>
                      </w:rPr>
                      <w:t>2</w:t>
                    </w:r>
                  </w:p>
                </w:txbxContent>
              </v:textbox>
            </v:shape>
            <v:shape id="_x0000_s1094" type="#_x0000_t202" style="width:1673;height:317;left:4806;position:absolute;top:3780" filled="f" stroked="f">
              <v:textbox inset="0,0,0,0">
                <w:txbxContent>
                  <w:p>
                    <w:pPr>
                      <w:spacing w:before="0" w:line="317" w:lineRule="exact"/>
                      <w:ind w:left="0" w:right="0" w:firstLine="0"/>
                      <w:jc w:val="left"/>
                      <w:rPr>
                        <w:sz w:val="31"/>
                      </w:rPr>
                    </w:pPr>
                    <w:r>
                      <w:rPr>
                        <w:sz w:val="31"/>
                      </w:rPr>
                      <w:t>24</w:t>
                    </w:r>
                    <w:r>
                      <w:rPr>
                        <w:spacing w:val="-13"/>
                        <w:sz w:val="31"/>
                      </w:rPr>
                      <w:t xml:space="preserve"> 小时平均</w:t>
                    </w:r>
                  </w:p>
                </w:txbxContent>
              </v:textbox>
            </v:shape>
            <v:shape id="_x0000_s1095" type="#_x0000_t202" style="width:337;height:317;left:8483;position:absolute;top:3780" filled="f" stroked="f">
              <v:textbox inset="0,0,0,0">
                <w:txbxContent>
                  <w:p>
                    <w:pPr>
                      <w:spacing w:before="0" w:line="317" w:lineRule="exact"/>
                      <w:ind w:left="0" w:right="0" w:firstLine="0"/>
                      <w:jc w:val="left"/>
                      <w:rPr>
                        <w:sz w:val="31"/>
                      </w:rPr>
                    </w:pPr>
                    <w:r>
                      <w:rPr>
                        <w:sz w:val="31"/>
                      </w:rPr>
                      <w:t>80</w:t>
                    </w:r>
                  </w:p>
                </w:txbxContent>
              </v:textbox>
            </v:shape>
            <v:shape id="_x0000_s1096" type="#_x0000_t202" style="width:1518;height:317;left:4882;position:absolute;top:4385" filled="f" stroked="f">
              <v:textbox inset="0,0,0,0">
                <w:txbxContent>
                  <w:p>
                    <w:pPr>
                      <w:spacing w:before="0" w:line="317" w:lineRule="exact"/>
                      <w:ind w:left="0" w:right="0" w:firstLine="0"/>
                      <w:jc w:val="left"/>
                      <w:rPr>
                        <w:sz w:val="31"/>
                      </w:rPr>
                    </w:pPr>
                    <w:r>
                      <w:rPr>
                        <w:sz w:val="31"/>
                      </w:rPr>
                      <w:t>1</w:t>
                    </w:r>
                    <w:r>
                      <w:rPr>
                        <w:spacing w:val="-12"/>
                        <w:sz w:val="31"/>
                      </w:rPr>
                      <w:t xml:space="preserve"> 小时平均</w:t>
                    </w:r>
                  </w:p>
                </w:txbxContent>
              </v:textbox>
            </v:shape>
            <v:shape id="_x0000_s1097" type="#_x0000_t202" style="width:496;height:317;left:8407;position:absolute;top:4385" filled="f" stroked="f">
              <v:textbox inset="0,0,0,0">
                <w:txbxContent>
                  <w:p>
                    <w:pPr>
                      <w:spacing w:before="0" w:line="317" w:lineRule="exact"/>
                      <w:ind w:left="0" w:right="0" w:firstLine="0"/>
                      <w:jc w:val="left"/>
                      <w:rPr>
                        <w:sz w:val="31"/>
                      </w:rPr>
                    </w:pPr>
                    <w:r>
                      <w:rPr>
                        <w:sz w:val="31"/>
                      </w:rPr>
                      <w:t>200</w:t>
                    </w:r>
                  </w:p>
                </w:txbxContent>
              </v:textbox>
            </v:shape>
            <v:shape id="_x0000_s1098" type="#_x0000_t202" style="width:5536;height:785;left:10204;position:absolute;top:4151" filled="f" stroked="f">
              <v:textbox inset="0,0,0,0">
                <w:txbxContent>
                  <w:p>
                    <w:pPr>
                      <w:spacing w:before="0" w:line="359" w:lineRule="exact"/>
                      <w:ind w:left="26" w:right="44" w:firstLine="0"/>
                      <w:jc w:val="center"/>
                      <w:rPr>
                        <w:sz w:val="31"/>
                      </w:rPr>
                    </w:pPr>
                    <w:r>
                      <w:rPr>
                        <w:sz w:val="31"/>
                      </w:rPr>
                      <w:t>《环境空气质量标准》（GB3095-2012）</w:t>
                    </w:r>
                  </w:p>
                  <w:p>
                    <w:pPr>
                      <w:spacing w:before="71" w:line="355" w:lineRule="exact"/>
                      <w:ind w:left="25" w:right="44" w:firstLine="0"/>
                      <w:jc w:val="center"/>
                      <w:rPr>
                        <w:sz w:val="31"/>
                      </w:rPr>
                    </w:pPr>
                    <w:r>
                      <w:rPr>
                        <w:sz w:val="31"/>
                      </w:rPr>
                      <w:t>二级标准</w:t>
                    </w:r>
                  </w:p>
                </w:txbxContent>
              </v:textbox>
            </v:shape>
            <v:shape id="_x0000_s1099" type="#_x0000_t202" style="width:4190;height:317;left:4792;position:absolute;top:4986" filled="f" stroked="f">
              <v:textbox inset="0,0,0,0">
                <w:txbxContent>
                  <w:p>
                    <w:pPr>
                      <w:tabs>
                        <w:tab w:val="right" w:pos="4169"/>
                      </w:tabs>
                      <w:spacing w:before="0" w:line="317" w:lineRule="exact"/>
                      <w:ind w:left="0" w:right="0" w:firstLine="0"/>
                      <w:jc w:val="left"/>
                      <w:rPr>
                        <w:sz w:val="31"/>
                      </w:rPr>
                    </w:pPr>
                    <w:r>
                      <w:rPr>
                        <w:sz w:val="31"/>
                      </w:rPr>
                      <w:t>24</w:t>
                    </w:r>
                    <w:r>
                      <w:rPr>
                        <w:spacing w:val="-75"/>
                        <w:sz w:val="31"/>
                      </w:rPr>
                      <w:t xml:space="preserve"> </w:t>
                    </w:r>
                    <w:r>
                      <w:rPr>
                        <w:sz w:val="31"/>
                      </w:rPr>
                      <w:t>小时平均</w:t>
                      <w:tab/>
                      <w:t>4000</w:t>
                    </w:r>
                  </w:p>
                </w:txbxContent>
              </v:textbox>
            </v:shape>
            <v:shape id="_x0000_s1100" type="#_x0000_t202" style="width:337;height:317;left:2895;position:absolute;top:5289" filled="f" stroked="f">
              <v:textbox inset="0,0,0,0">
                <w:txbxContent>
                  <w:p>
                    <w:pPr>
                      <w:spacing w:before="0" w:line="317" w:lineRule="exact"/>
                      <w:ind w:left="0" w:right="0" w:firstLine="0"/>
                      <w:jc w:val="left"/>
                      <w:rPr>
                        <w:sz w:val="31"/>
                      </w:rPr>
                    </w:pPr>
                    <w:r>
                      <w:rPr>
                        <w:sz w:val="31"/>
                      </w:rPr>
                      <w:t>CO</w:t>
                    </w:r>
                  </w:p>
                </w:txbxContent>
              </v:textbox>
            </v:shape>
            <v:shape id="_x0000_s1101" type="#_x0000_t202" style="width:1518;height:317;left:4882;position:absolute;top:5591" filled="f" stroked="f">
              <v:textbox inset="0,0,0,0">
                <w:txbxContent>
                  <w:p>
                    <w:pPr>
                      <w:spacing w:before="0" w:line="317" w:lineRule="exact"/>
                      <w:ind w:left="0" w:right="0" w:firstLine="0"/>
                      <w:jc w:val="left"/>
                      <w:rPr>
                        <w:sz w:val="31"/>
                      </w:rPr>
                    </w:pPr>
                    <w:r>
                      <w:rPr>
                        <w:sz w:val="31"/>
                      </w:rPr>
                      <w:t>1</w:t>
                    </w:r>
                    <w:r>
                      <w:rPr>
                        <w:spacing w:val="-12"/>
                        <w:sz w:val="31"/>
                      </w:rPr>
                      <w:t xml:space="preserve"> 小时平均</w:t>
                    </w:r>
                  </w:p>
                </w:txbxContent>
              </v:textbox>
            </v:shape>
            <v:shape id="_x0000_s1102" type="#_x0000_t202" style="width:812;height:317;left:8252;position:absolute;top:5591" filled="f" stroked="f">
              <v:textbox inset="0,0,0,0">
                <w:txbxContent>
                  <w:p>
                    <w:pPr>
                      <w:spacing w:before="0" w:line="317" w:lineRule="exact"/>
                      <w:ind w:left="0" w:right="0" w:firstLine="0"/>
                      <w:jc w:val="left"/>
                      <w:rPr>
                        <w:sz w:val="31"/>
                      </w:rPr>
                    </w:pPr>
                    <w:r>
                      <w:rPr>
                        <w:sz w:val="31"/>
                      </w:rPr>
                      <w:t>10000</w:t>
                    </w:r>
                  </w:p>
                </w:txbxContent>
              </v:textbox>
            </v:shape>
            <v:shape id="_x0000_s1103" type="#_x0000_t202" style="width:2551;height:317;left:4356;position:absolute;top:6192" filled="f" stroked="f">
              <v:textbox inset="0,0,0,0">
                <w:txbxContent>
                  <w:p>
                    <w:pPr>
                      <w:spacing w:before="0" w:line="317" w:lineRule="exact"/>
                      <w:ind w:left="0" w:right="0" w:firstLine="0"/>
                      <w:jc w:val="left"/>
                      <w:rPr>
                        <w:sz w:val="31"/>
                      </w:rPr>
                    </w:pPr>
                    <w:r>
                      <w:rPr>
                        <w:spacing w:val="-15"/>
                        <w:sz w:val="31"/>
                      </w:rPr>
                      <w:t xml:space="preserve">日最大 </w:t>
                    </w:r>
                    <w:r>
                      <w:rPr>
                        <w:sz w:val="31"/>
                      </w:rPr>
                      <w:t>8</w:t>
                    </w:r>
                    <w:r>
                      <w:rPr>
                        <w:spacing w:val="-12"/>
                        <w:sz w:val="31"/>
                      </w:rPr>
                      <w:t xml:space="preserve"> 小时平均</w:t>
                    </w:r>
                  </w:p>
                </w:txbxContent>
              </v:textbox>
            </v:shape>
            <v:shape id="_x0000_s1104" type="#_x0000_t202" style="width:496;height:317;left:8407;position:absolute;top:6192" filled="f" stroked="f">
              <v:textbox inset="0,0,0,0">
                <w:txbxContent>
                  <w:p>
                    <w:pPr>
                      <w:spacing w:before="0" w:line="317" w:lineRule="exact"/>
                      <w:ind w:left="0" w:right="0" w:firstLine="0"/>
                      <w:jc w:val="left"/>
                      <w:rPr>
                        <w:sz w:val="31"/>
                      </w:rPr>
                    </w:pPr>
                    <w:r>
                      <w:rPr>
                        <w:sz w:val="31"/>
                      </w:rPr>
                      <w:t>160</w:t>
                    </w:r>
                  </w:p>
                </w:txbxContent>
              </v:textbox>
            </v:shape>
            <v:shape id="_x0000_s1105" type="#_x0000_t202" style="width:261;height:440;left:2931;position:absolute;top:6495" filled="f" stroked="f">
              <v:textbox inset="0,0,0,0">
                <w:txbxContent>
                  <w:p>
                    <w:pPr>
                      <w:spacing w:before="0" w:line="308" w:lineRule="exact"/>
                      <w:ind w:left="0" w:right="0" w:firstLine="0"/>
                      <w:jc w:val="left"/>
                      <w:rPr>
                        <w:sz w:val="31"/>
                      </w:rPr>
                    </w:pPr>
                    <w:r>
                      <w:rPr>
                        <w:w w:val="102"/>
                        <w:sz w:val="31"/>
                      </w:rPr>
                      <w:t>O</w:t>
                    </w:r>
                  </w:p>
                  <w:p>
                    <w:pPr>
                      <w:spacing w:before="0" w:line="132" w:lineRule="exact"/>
                      <w:ind w:left="158" w:right="0" w:firstLine="0"/>
                      <w:jc w:val="left"/>
                      <w:rPr>
                        <w:sz w:val="16"/>
                      </w:rPr>
                    </w:pPr>
                    <w:r>
                      <w:rPr>
                        <w:w w:val="103"/>
                        <w:sz w:val="16"/>
                      </w:rPr>
                      <w:t>3</w:t>
                    </w:r>
                  </w:p>
                </w:txbxContent>
              </v:textbox>
            </v:shape>
            <v:shape id="_x0000_s1106" type="#_x0000_t202" style="width:1518;height:317;left:4882;position:absolute;top:6797" filled="f" stroked="f">
              <v:textbox inset="0,0,0,0">
                <w:txbxContent>
                  <w:p>
                    <w:pPr>
                      <w:spacing w:before="0" w:line="317" w:lineRule="exact"/>
                      <w:ind w:left="0" w:right="0" w:firstLine="0"/>
                      <w:jc w:val="left"/>
                      <w:rPr>
                        <w:sz w:val="31"/>
                      </w:rPr>
                    </w:pPr>
                    <w:r>
                      <w:rPr>
                        <w:sz w:val="31"/>
                      </w:rPr>
                      <w:t>1</w:t>
                    </w:r>
                    <w:r>
                      <w:rPr>
                        <w:spacing w:val="-12"/>
                        <w:sz w:val="31"/>
                      </w:rPr>
                      <w:t xml:space="preserve"> 小时平均</w:t>
                    </w:r>
                  </w:p>
                </w:txbxContent>
              </v:textbox>
            </v:shape>
            <v:shape id="_x0000_s1107" type="#_x0000_t202" style="width:496;height:317;left:8407;position:absolute;top:6797" filled="f" stroked="f">
              <v:textbox inset="0,0,0,0">
                <w:txbxContent>
                  <w:p>
                    <w:pPr>
                      <w:spacing w:before="0" w:line="317" w:lineRule="exact"/>
                      <w:ind w:left="0" w:right="0" w:firstLine="0"/>
                      <w:jc w:val="left"/>
                      <w:rPr>
                        <w:sz w:val="31"/>
                      </w:rPr>
                    </w:pPr>
                    <w:r>
                      <w:rPr>
                        <w:sz w:val="31"/>
                      </w:rPr>
                      <w:t>200</w:t>
                    </w:r>
                  </w:p>
                </w:txbxContent>
              </v:textbox>
            </v:shape>
            <v:shape id="_x0000_s1108" type="#_x0000_t202" style="width:503;height:440;left:2812;position:absolute;top:7398" filled="f" stroked="f">
              <v:textbox inset="0,0,0,0">
                <w:txbxContent>
                  <w:p>
                    <w:pPr>
                      <w:spacing w:before="0" w:line="308" w:lineRule="exact"/>
                      <w:ind w:left="0" w:right="0" w:firstLine="0"/>
                      <w:jc w:val="left"/>
                      <w:rPr>
                        <w:sz w:val="31"/>
                      </w:rPr>
                    </w:pPr>
                    <w:r>
                      <w:rPr>
                        <w:sz w:val="31"/>
                      </w:rPr>
                      <w:t>PM</w:t>
                    </w:r>
                  </w:p>
                  <w:p>
                    <w:pPr>
                      <w:spacing w:before="0" w:line="132" w:lineRule="exact"/>
                      <w:ind w:left="316" w:right="0" w:firstLine="0"/>
                      <w:jc w:val="left"/>
                      <w:rPr>
                        <w:sz w:val="16"/>
                      </w:rPr>
                    </w:pPr>
                    <w:r>
                      <w:rPr>
                        <w:w w:val="105"/>
                        <w:sz w:val="16"/>
                      </w:rPr>
                      <w:t>10</w:t>
                    </w:r>
                  </w:p>
                </w:txbxContent>
              </v:textbox>
            </v:shape>
            <v:shape id="_x0000_s1109" type="#_x0000_t202" style="width:971;height:317;left:5145;position:absolute;top:7398" filled="f" stroked="f">
              <v:textbox inset="0,0,0,0">
                <w:txbxContent>
                  <w:p>
                    <w:pPr>
                      <w:spacing w:before="0" w:line="317" w:lineRule="exact"/>
                      <w:ind w:left="0" w:right="0" w:firstLine="0"/>
                      <w:jc w:val="left"/>
                      <w:rPr>
                        <w:sz w:val="31"/>
                      </w:rPr>
                    </w:pPr>
                    <w:r>
                      <w:rPr>
                        <w:sz w:val="31"/>
                      </w:rPr>
                      <w:t>年平均</w:t>
                    </w:r>
                  </w:p>
                </w:txbxContent>
              </v:textbox>
            </v:shape>
            <v:shape id="_x0000_s1110" type="#_x0000_t202" style="width:337;height:317;left:8483;position:absolute;top:7398" filled="f" stroked="f">
              <v:textbox inset="0,0,0,0">
                <w:txbxContent>
                  <w:p>
                    <w:pPr>
                      <w:spacing w:before="0" w:line="317" w:lineRule="exact"/>
                      <w:ind w:left="0" w:right="0" w:firstLine="0"/>
                      <w:jc w:val="left"/>
                      <w:rPr>
                        <w:sz w:val="31"/>
                      </w:rPr>
                    </w:pPr>
                    <w:r>
                      <w:rPr>
                        <w:sz w:val="31"/>
                      </w:rPr>
                      <w:t>70</w:t>
                    </w:r>
                  </w:p>
                </w:txbxContent>
              </v:textbox>
            </v:shape>
            <w10:wrap type="topAndBottom"/>
          </v:group>
        </w:pict>
      </w:r>
      <w:r>
        <w:t>表 3.1-4 环境空气质量标准</w:t>
      </w:r>
    </w:p>
    <w:p>
      <w:pPr>
        <w:spacing w:after="0"/>
        <w:jc w:val="center"/>
        <w:sectPr>
          <w:headerReference w:type="default" r:id="rId43"/>
          <w:footerReference w:type="default" r:id="rId44"/>
          <w:pgSz w:w="17860" w:h="25260"/>
          <w:pgMar w:top="1380" w:right="1360" w:bottom="2020" w:left="1420" w:header="1083" w:footer="1826"/>
          <w:pgNumType w:start="17"/>
          <w:cols w:space="708"/>
        </w:sectPr>
      </w:pPr>
    </w:p>
    <w:p>
      <w:pPr>
        <w:pStyle w:val="BodyText"/>
        <w:rPr>
          <w:b/>
          <w:sz w:val="20"/>
        </w:rPr>
      </w:pPr>
    </w:p>
    <w:p>
      <w:pPr>
        <w:pStyle w:val="BodyText"/>
        <w:spacing w:before="8"/>
        <w:rPr>
          <w:b/>
          <w:sz w:val="12"/>
        </w:rPr>
      </w:pPr>
    </w:p>
    <w:p>
      <w:pPr>
        <w:pStyle w:val="BodyText"/>
        <w:ind w:left="600"/>
        <w:rPr>
          <w:sz w:val="20"/>
        </w:rPr>
      </w:pPr>
      <w:r>
        <w:rPr>
          <w:sz w:val="20"/>
        </w:rPr>
        <w:pict>
          <v:group id="_x0000_i1111" style="width:692pt;height:94pt;mso-position-horizontal-relative:char;mso-position-vertical-relative:line" coordorigin="0,0" coordsize="13840,1880">
            <v:shape id="_x0000_s1112" type="#_x0000_t75" style="width:13840;height:1880;position:absolute" stroked="f">
              <v:imagedata r:id="rId45" o:title=""/>
            </v:shape>
            <v:shape id="_x0000_s1113" type="#_x0000_t202" style="width:1673;height:317;left:2786;position:absolute;top:199" filled="f" stroked="f">
              <v:textbox inset="0,0,0,0">
                <w:txbxContent>
                  <w:p>
                    <w:pPr>
                      <w:spacing w:before="0" w:line="317" w:lineRule="exact"/>
                      <w:ind w:left="0" w:right="0" w:firstLine="0"/>
                      <w:jc w:val="left"/>
                      <w:rPr>
                        <w:sz w:val="31"/>
                      </w:rPr>
                    </w:pPr>
                    <w:r>
                      <w:rPr>
                        <w:sz w:val="31"/>
                      </w:rPr>
                      <w:t>24</w:t>
                    </w:r>
                    <w:r>
                      <w:rPr>
                        <w:spacing w:val="-13"/>
                        <w:sz w:val="31"/>
                      </w:rPr>
                      <w:t xml:space="preserve"> 小时平均</w:t>
                    </w:r>
                  </w:p>
                </w:txbxContent>
              </v:textbox>
            </v:shape>
            <v:shape id="_x0000_s1114" type="#_x0000_t202" style="width:496;height:317;left:6387;position:absolute;top:199" filled="f" stroked="f">
              <v:textbox inset="0,0,0,0">
                <w:txbxContent>
                  <w:p>
                    <w:pPr>
                      <w:spacing w:before="0" w:line="317" w:lineRule="exact"/>
                      <w:ind w:left="0" w:right="0" w:firstLine="0"/>
                      <w:jc w:val="left"/>
                      <w:rPr>
                        <w:sz w:val="31"/>
                      </w:rPr>
                    </w:pPr>
                    <w:r>
                      <w:rPr>
                        <w:sz w:val="31"/>
                      </w:rPr>
                      <w:t>150</w:t>
                    </w:r>
                  </w:p>
                </w:txbxContent>
              </v:textbox>
            </v:shape>
            <v:shape id="_x0000_s1115" type="#_x0000_t202" style="width:971;height:317;left:3132;position:absolute;top:801" filled="f" stroked="f">
              <v:textbox inset="0,0,0,0">
                <w:txbxContent>
                  <w:p>
                    <w:pPr>
                      <w:spacing w:before="0" w:line="317" w:lineRule="exact"/>
                      <w:ind w:left="0" w:right="0" w:firstLine="0"/>
                      <w:jc w:val="left"/>
                      <w:rPr>
                        <w:sz w:val="31"/>
                      </w:rPr>
                    </w:pPr>
                    <w:r>
                      <w:rPr>
                        <w:sz w:val="31"/>
                      </w:rPr>
                      <w:t>年平均</w:t>
                    </w:r>
                  </w:p>
                </w:txbxContent>
              </v:textbox>
            </v:shape>
            <v:shape id="_x0000_s1116" type="#_x0000_t202" style="width:337;height:317;left:6463;position:absolute;top:801" filled="f" stroked="f">
              <v:textbox inset="0,0,0,0">
                <w:txbxContent>
                  <w:p>
                    <w:pPr>
                      <w:spacing w:before="0" w:line="317" w:lineRule="exact"/>
                      <w:ind w:left="0" w:right="0" w:firstLine="0"/>
                      <w:jc w:val="left"/>
                      <w:rPr>
                        <w:sz w:val="31"/>
                      </w:rPr>
                    </w:pPr>
                    <w:r>
                      <w:rPr>
                        <w:sz w:val="31"/>
                      </w:rPr>
                      <w:t>35</w:t>
                    </w:r>
                  </w:p>
                </w:txbxContent>
              </v:textbox>
            </v:shape>
            <v:shape id="_x0000_s1117" type="#_x0000_t202" style="width:585;height:440;left:752;position:absolute;top:1103" filled="f" stroked="f">
              <v:textbox inset="0,0,0,0">
                <w:txbxContent>
                  <w:p>
                    <w:pPr>
                      <w:spacing w:before="0" w:line="308" w:lineRule="exact"/>
                      <w:ind w:left="0" w:right="0" w:firstLine="0"/>
                      <w:jc w:val="left"/>
                      <w:rPr>
                        <w:sz w:val="16"/>
                      </w:rPr>
                    </w:pPr>
                    <w:r>
                      <w:rPr>
                        <w:w w:val="105"/>
                        <w:sz w:val="31"/>
                      </w:rPr>
                      <w:t>PM</w:t>
                    </w:r>
                    <w:r>
                      <w:rPr>
                        <w:w w:val="105"/>
                        <w:position w:val="4"/>
                        <w:sz w:val="16"/>
                      </w:rPr>
                      <w:t>2</w:t>
                    </w:r>
                  </w:p>
                  <w:p>
                    <w:pPr>
                      <w:spacing w:before="0" w:line="132" w:lineRule="exact"/>
                      <w:ind w:left="0" w:right="18" w:firstLine="0"/>
                      <w:jc w:val="right"/>
                      <w:rPr>
                        <w:sz w:val="16"/>
                      </w:rPr>
                    </w:pPr>
                    <w:r>
                      <w:rPr>
                        <w:sz w:val="16"/>
                      </w:rPr>
                      <w:t>.5</w:t>
                    </w:r>
                  </w:p>
                </w:txbxContent>
              </v:textbox>
            </v:shape>
            <v:shape id="_x0000_s1118" type="#_x0000_t202" style="width:1673;height:317;left:2786;position:absolute;top:1405" filled="f" stroked="f">
              <v:textbox inset="0,0,0,0">
                <w:txbxContent>
                  <w:p>
                    <w:pPr>
                      <w:spacing w:before="0" w:line="317" w:lineRule="exact"/>
                      <w:ind w:left="0" w:right="0" w:firstLine="0"/>
                      <w:jc w:val="left"/>
                      <w:rPr>
                        <w:sz w:val="31"/>
                      </w:rPr>
                    </w:pPr>
                    <w:r>
                      <w:rPr>
                        <w:sz w:val="31"/>
                      </w:rPr>
                      <w:t>24</w:t>
                    </w:r>
                    <w:r>
                      <w:rPr>
                        <w:spacing w:val="-13"/>
                        <w:sz w:val="31"/>
                      </w:rPr>
                      <w:t xml:space="preserve"> 小时平均</w:t>
                    </w:r>
                  </w:p>
                </w:txbxContent>
              </v:textbox>
            </v:shape>
            <v:shape id="_x0000_s1119" type="#_x0000_t202" style="width:337;height:317;left:6322;position:absolute;top:1405" filled="f" stroked="f">
              <v:textbox inset="0,0,0,0">
                <w:txbxContent>
                  <w:p>
                    <w:pPr>
                      <w:spacing w:before="0" w:line="317" w:lineRule="exact"/>
                      <w:ind w:left="0" w:right="0" w:firstLine="0"/>
                      <w:jc w:val="left"/>
                      <w:rPr>
                        <w:sz w:val="31"/>
                      </w:rPr>
                    </w:pPr>
                    <w:r>
                      <w:rPr>
                        <w:sz w:val="31"/>
                      </w:rPr>
                      <w:t>75</w:t>
                    </w:r>
                  </w:p>
                </w:txbxContent>
              </v:textbox>
            </v:shape>
            <w10:wrap type="none"/>
          </v:group>
        </w:pict>
      </w:r>
    </w:p>
    <w:p>
      <w:pPr>
        <w:pStyle w:val="BodyText"/>
        <w:spacing w:before="1"/>
        <w:rPr>
          <w:b/>
          <w:sz w:val="19"/>
        </w:rPr>
      </w:pPr>
    </w:p>
    <w:p>
      <w:pPr>
        <w:pStyle w:val="BodyText"/>
        <w:spacing w:before="50"/>
        <w:ind w:left="708"/>
      </w:pPr>
      <w:r>
        <w:t>二、地表水</w:t>
      </w:r>
    </w:p>
    <w:p>
      <w:pPr>
        <w:pStyle w:val="BodyText"/>
        <w:spacing w:before="241" w:line="364" w:lineRule="auto"/>
        <w:ind w:left="708" w:right="760" w:firstLine="720"/>
      </w:pPr>
      <w:r>
        <w:rPr>
          <w:spacing w:val="-5"/>
        </w:rPr>
        <w:t>该项目所在区域地表水环境质量执行《地表水环境质量标准》</w:t>
      </w:r>
      <w:r>
        <w:t>（GB3838-2002）</w:t>
      </w:r>
      <w:r>
        <w:rPr>
          <w:spacing w:val="50"/>
        </w:rPr>
        <w:t>中</w:t>
      </w:r>
      <w:r>
        <w:rPr>
          <w:spacing w:val="-18"/>
        </w:rPr>
        <w:t xml:space="preserve">V </w:t>
      </w:r>
      <w:r>
        <w:rPr>
          <w:spacing w:val="-8"/>
        </w:rPr>
        <w:t xml:space="preserve">类标准，具体标准值见表 </w:t>
      </w:r>
      <w:r>
        <w:t>3.1-5。</w:t>
      </w:r>
    </w:p>
    <w:p>
      <w:pPr>
        <w:pStyle w:val="Heading3"/>
        <w:spacing w:line="344" w:lineRule="exact"/>
        <w:ind w:left="490" w:right="564"/>
        <w:jc w:val="center"/>
      </w:pPr>
      <w:r>
        <w:t>表 3.1-5 地表水环境质量标准</w:t>
      </w:r>
    </w:p>
    <w:p>
      <w:pPr>
        <w:pStyle w:val="BodyText"/>
        <w:rPr>
          <w:b/>
          <w:sz w:val="20"/>
        </w:rPr>
      </w:pPr>
    </w:p>
    <w:p>
      <w:pPr>
        <w:pStyle w:val="BodyText"/>
        <w:spacing w:before="9"/>
        <w:rPr>
          <w:b/>
          <w:sz w:val="12"/>
        </w:rPr>
      </w:pPr>
    </w:p>
    <w:tbl>
      <w:tblPr>
        <w:tblStyle w:val="TableNormal1"/>
        <w:tblW w:w="0" w:type="auto"/>
        <w:jc w:val="left"/>
        <w:tblInd w:w="8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53"/>
        <w:gridCol w:w="3098"/>
        <w:gridCol w:w="3112"/>
      </w:tblGrid>
      <w:tr>
        <w:tblPrEx>
          <w:tblW w:w="0" w:type="auto"/>
          <w:jc w:val="left"/>
          <w:tblInd w:w="8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8"/>
          <w:jc w:val="left"/>
        </w:trPr>
        <w:tc>
          <w:tcPr>
            <w:tcW w:w="1353" w:type="dxa"/>
          </w:tcPr>
          <w:p>
            <w:pPr>
              <w:pStyle w:val="TableParagraph"/>
              <w:spacing w:line="359" w:lineRule="exact"/>
              <w:ind w:left="36" w:right="653"/>
              <w:rPr>
                <w:b/>
                <w:sz w:val="31"/>
              </w:rPr>
            </w:pPr>
            <w:r>
              <w:rPr>
                <w:b/>
                <w:sz w:val="31"/>
              </w:rPr>
              <w:t>序号</w:t>
            </w:r>
          </w:p>
        </w:tc>
        <w:tc>
          <w:tcPr>
            <w:tcW w:w="3098" w:type="dxa"/>
          </w:tcPr>
          <w:p>
            <w:pPr>
              <w:pStyle w:val="TableParagraph"/>
              <w:spacing w:line="359" w:lineRule="exact"/>
              <w:ind w:left="664" w:right="836"/>
              <w:rPr>
                <w:b/>
                <w:sz w:val="31"/>
              </w:rPr>
            </w:pPr>
            <w:r>
              <w:rPr>
                <w:b/>
                <w:sz w:val="31"/>
              </w:rPr>
              <w:t>污染物名称</w:t>
            </w:r>
          </w:p>
        </w:tc>
        <w:tc>
          <w:tcPr>
            <w:tcW w:w="3112" w:type="dxa"/>
          </w:tcPr>
          <w:p>
            <w:pPr>
              <w:pStyle w:val="TableParagraph"/>
              <w:spacing w:line="359" w:lineRule="exact"/>
              <w:ind w:left="834" w:right="53"/>
              <w:rPr>
                <w:b/>
                <w:sz w:val="31"/>
              </w:rPr>
            </w:pPr>
            <w:r>
              <w:rPr>
                <w:b/>
                <w:sz w:val="31"/>
              </w:rPr>
              <w:t>标准值(mg/L)</w:t>
            </w:r>
          </w:p>
        </w:tc>
      </w:tr>
      <w:tr>
        <w:tblPrEx>
          <w:tblW w:w="0" w:type="auto"/>
          <w:jc w:val="left"/>
          <w:tblInd w:w="892" w:type="dxa"/>
          <w:tblLayout w:type="fixed"/>
          <w:tblCellMar>
            <w:top w:w="0" w:type="dxa"/>
            <w:left w:w="0" w:type="dxa"/>
            <w:bottom w:w="0" w:type="dxa"/>
            <w:right w:w="0" w:type="dxa"/>
          </w:tblCellMar>
          <w:tblLook w:val="01E0"/>
        </w:tblPrEx>
        <w:trPr>
          <w:trHeight w:val="603"/>
          <w:jc w:val="left"/>
        </w:trPr>
        <w:tc>
          <w:tcPr>
            <w:tcW w:w="1353" w:type="dxa"/>
          </w:tcPr>
          <w:p>
            <w:pPr>
              <w:pStyle w:val="TableParagraph"/>
              <w:spacing w:before="104"/>
              <w:ind w:right="617"/>
              <w:rPr>
                <w:sz w:val="31"/>
              </w:rPr>
            </w:pPr>
            <w:r>
              <w:rPr>
                <w:w w:val="102"/>
                <w:sz w:val="31"/>
              </w:rPr>
              <w:t>1</w:t>
            </w:r>
          </w:p>
        </w:tc>
        <w:tc>
          <w:tcPr>
            <w:tcW w:w="3098" w:type="dxa"/>
          </w:tcPr>
          <w:p>
            <w:pPr>
              <w:pStyle w:val="TableParagraph"/>
              <w:spacing w:before="104"/>
              <w:ind w:left="655" w:right="836"/>
              <w:rPr>
                <w:sz w:val="31"/>
              </w:rPr>
            </w:pPr>
            <w:r>
              <w:rPr>
                <w:sz w:val="31"/>
              </w:rPr>
              <w:t>pH</w:t>
            </w:r>
          </w:p>
        </w:tc>
        <w:tc>
          <w:tcPr>
            <w:tcW w:w="3112" w:type="dxa"/>
          </w:tcPr>
          <w:p>
            <w:pPr>
              <w:pStyle w:val="TableParagraph"/>
              <w:spacing w:before="104"/>
              <w:ind w:left="848" w:right="53"/>
              <w:rPr>
                <w:sz w:val="31"/>
              </w:rPr>
            </w:pPr>
            <w:r>
              <w:rPr>
                <w:sz w:val="31"/>
              </w:rPr>
              <w:t>6～9（无量纲）</w:t>
            </w:r>
          </w:p>
        </w:tc>
      </w:tr>
      <w:tr>
        <w:tblPrEx>
          <w:tblW w:w="0" w:type="auto"/>
          <w:jc w:val="left"/>
          <w:tblInd w:w="892" w:type="dxa"/>
          <w:tblLayout w:type="fixed"/>
          <w:tblCellMar>
            <w:top w:w="0" w:type="dxa"/>
            <w:left w:w="0" w:type="dxa"/>
            <w:bottom w:w="0" w:type="dxa"/>
            <w:right w:w="0" w:type="dxa"/>
          </w:tblCellMar>
          <w:tblLook w:val="01E0"/>
        </w:tblPrEx>
        <w:trPr>
          <w:trHeight w:val="603"/>
          <w:jc w:val="left"/>
        </w:trPr>
        <w:tc>
          <w:tcPr>
            <w:tcW w:w="1353" w:type="dxa"/>
          </w:tcPr>
          <w:p>
            <w:pPr>
              <w:pStyle w:val="TableParagraph"/>
              <w:spacing w:before="106"/>
              <w:ind w:right="617"/>
              <w:rPr>
                <w:sz w:val="31"/>
              </w:rPr>
            </w:pPr>
            <w:r>
              <w:rPr>
                <w:w w:val="102"/>
                <w:sz w:val="31"/>
              </w:rPr>
              <w:t>2</w:t>
            </w:r>
          </w:p>
        </w:tc>
        <w:tc>
          <w:tcPr>
            <w:tcW w:w="3098" w:type="dxa"/>
          </w:tcPr>
          <w:p>
            <w:pPr>
              <w:pStyle w:val="TableParagraph"/>
              <w:spacing w:before="106"/>
              <w:ind w:left="664" w:right="836"/>
              <w:rPr>
                <w:sz w:val="31"/>
              </w:rPr>
            </w:pPr>
            <w:r>
              <w:rPr>
                <w:sz w:val="31"/>
              </w:rPr>
              <w:t>COD</w:t>
            </w:r>
          </w:p>
        </w:tc>
        <w:tc>
          <w:tcPr>
            <w:tcW w:w="3112" w:type="dxa"/>
          </w:tcPr>
          <w:p>
            <w:pPr>
              <w:pStyle w:val="TableParagraph"/>
              <w:spacing w:before="106"/>
              <w:ind w:left="841" w:right="53"/>
              <w:rPr>
                <w:sz w:val="31"/>
              </w:rPr>
            </w:pPr>
            <w:r>
              <w:rPr>
                <w:sz w:val="31"/>
              </w:rPr>
              <w:t>≤40</w:t>
            </w:r>
          </w:p>
        </w:tc>
      </w:tr>
      <w:tr>
        <w:tblPrEx>
          <w:tblW w:w="0" w:type="auto"/>
          <w:jc w:val="left"/>
          <w:tblInd w:w="892" w:type="dxa"/>
          <w:tblLayout w:type="fixed"/>
          <w:tblCellMar>
            <w:top w:w="0" w:type="dxa"/>
            <w:left w:w="0" w:type="dxa"/>
            <w:bottom w:w="0" w:type="dxa"/>
            <w:right w:w="0" w:type="dxa"/>
          </w:tblCellMar>
          <w:tblLook w:val="01E0"/>
        </w:tblPrEx>
        <w:trPr>
          <w:trHeight w:val="458"/>
          <w:jc w:val="left"/>
        </w:trPr>
        <w:tc>
          <w:tcPr>
            <w:tcW w:w="1353" w:type="dxa"/>
          </w:tcPr>
          <w:p>
            <w:pPr>
              <w:pStyle w:val="TableParagraph"/>
              <w:spacing w:before="104" w:line="335" w:lineRule="exact"/>
              <w:ind w:right="617"/>
              <w:rPr>
                <w:sz w:val="31"/>
              </w:rPr>
            </w:pPr>
            <w:r>
              <w:rPr>
                <w:w w:val="102"/>
                <w:sz w:val="31"/>
              </w:rPr>
              <w:t>3</w:t>
            </w:r>
          </w:p>
        </w:tc>
        <w:tc>
          <w:tcPr>
            <w:tcW w:w="3098" w:type="dxa"/>
          </w:tcPr>
          <w:p>
            <w:pPr>
              <w:pStyle w:val="TableParagraph"/>
              <w:spacing w:before="104" w:line="346" w:lineRule="exact"/>
              <w:ind w:left="577" w:right="836"/>
              <w:rPr>
                <w:sz w:val="31"/>
              </w:rPr>
            </w:pPr>
            <w:r>
              <w:rPr>
                <w:sz w:val="31"/>
              </w:rPr>
              <w:t>BOD</w:t>
            </w:r>
          </w:p>
          <w:p>
            <w:pPr>
              <w:pStyle w:val="TableParagraph"/>
              <w:spacing w:line="11" w:lineRule="exact"/>
              <w:ind w:left="296"/>
              <w:rPr>
                <w:sz w:val="16"/>
              </w:rPr>
            </w:pPr>
            <w:r>
              <w:rPr>
                <w:w w:val="103"/>
                <w:sz w:val="16"/>
              </w:rPr>
              <w:t>5</w:t>
            </w:r>
          </w:p>
        </w:tc>
        <w:tc>
          <w:tcPr>
            <w:tcW w:w="3112" w:type="dxa"/>
          </w:tcPr>
          <w:p>
            <w:pPr>
              <w:pStyle w:val="TableParagraph"/>
              <w:spacing w:before="104" w:line="335" w:lineRule="exact"/>
              <w:ind w:left="841" w:right="53"/>
              <w:rPr>
                <w:sz w:val="31"/>
              </w:rPr>
            </w:pPr>
            <w:r>
              <w:rPr>
                <w:sz w:val="31"/>
              </w:rPr>
              <w:t>≤10</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20"/>
        </w:rPr>
      </w:pPr>
    </w:p>
    <w:p>
      <w:pPr>
        <w:pStyle w:val="BodyText"/>
        <w:spacing w:before="50"/>
        <w:ind w:left="1413"/>
      </w:pPr>
      <w:r>
        <w:pict>
          <v:group id="_x0000_s1120" style="width:699.75pt;height:274.9pt;margin-top:-270.04pt;margin-left:97.25pt;mso-position-horizontal-relative:page;position:absolute;z-index:-251653120" coordorigin="1945,-5401" coordsize="13995,5498">
            <v:shape id="_x0000_s1121" type="#_x0000_t75" style="width:13995;height:5498;left:1945;position:absolute;top:-5401" stroked="f">
              <v:imagedata r:id="rId46" o:title=""/>
            </v:shape>
            <v:shape id="_x0000_s1122" type="#_x0000_t202" style="width:1288;height:317;left:12591;position:absolute;top:-5302" filled="f" stroked="f">
              <v:textbox inset="0,0,0,0">
                <w:txbxContent>
                  <w:p>
                    <w:pPr>
                      <w:spacing w:before="0" w:line="317" w:lineRule="exact"/>
                      <w:ind w:left="0" w:right="0" w:firstLine="0"/>
                      <w:jc w:val="left"/>
                      <w:rPr>
                        <w:b/>
                        <w:sz w:val="31"/>
                      </w:rPr>
                    </w:pPr>
                    <w:r>
                      <w:rPr>
                        <w:b/>
                        <w:sz w:val="31"/>
                      </w:rPr>
                      <w:t>标准来源</w:t>
                    </w:r>
                  </w:p>
                </w:txbxContent>
              </v:textbox>
            </v:shape>
            <v:shape id="_x0000_s1123" type="#_x0000_t202" style="width:179;height:918;left:2592;position:absolute;top:-2796" filled="f" stroked="f">
              <v:textbox inset="0,0,0,0">
                <w:txbxContent>
                  <w:p>
                    <w:pPr>
                      <w:spacing w:before="0" w:line="359" w:lineRule="exact"/>
                      <w:ind w:left="0" w:right="0" w:firstLine="0"/>
                      <w:jc w:val="left"/>
                      <w:rPr>
                        <w:sz w:val="31"/>
                      </w:rPr>
                    </w:pPr>
                    <w:r>
                      <w:rPr>
                        <w:w w:val="102"/>
                        <w:sz w:val="31"/>
                      </w:rPr>
                      <w:t>4</w:t>
                    </w:r>
                  </w:p>
                  <w:p>
                    <w:pPr>
                      <w:spacing w:before="204" w:line="355" w:lineRule="exact"/>
                      <w:ind w:left="0" w:right="0" w:firstLine="0"/>
                      <w:jc w:val="left"/>
                      <w:rPr>
                        <w:sz w:val="31"/>
                      </w:rPr>
                    </w:pPr>
                    <w:r>
                      <w:rPr>
                        <w:w w:val="102"/>
                        <w:sz w:val="31"/>
                      </w:rPr>
                      <w:t>5</w:t>
                    </w:r>
                  </w:p>
                </w:txbxContent>
              </v:textbox>
            </v:shape>
            <v:shape id="_x0000_s1124" type="#_x0000_t202" style="width:1604;height:828;left:4327;position:absolute;top:-2796" filled="f" stroked="f">
              <v:textbox inset="0,0,0,0">
                <w:txbxContent>
                  <w:p>
                    <w:pPr>
                      <w:spacing w:before="0" w:line="359" w:lineRule="exact"/>
                      <w:ind w:left="0" w:right="18" w:firstLine="0"/>
                      <w:jc w:val="center"/>
                      <w:rPr>
                        <w:sz w:val="31"/>
                      </w:rPr>
                    </w:pPr>
                    <w:r>
                      <w:rPr>
                        <w:sz w:val="31"/>
                      </w:rPr>
                      <w:t>氨氮</w:t>
                    </w:r>
                  </w:p>
                  <w:p>
                    <w:pPr>
                      <w:spacing w:before="114" w:line="355" w:lineRule="exact"/>
                      <w:ind w:left="0" w:right="18" w:firstLine="0"/>
                      <w:jc w:val="center"/>
                      <w:rPr>
                        <w:sz w:val="31"/>
                      </w:rPr>
                    </w:pPr>
                    <w:r>
                      <w:rPr>
                        <w:sz w:val="31"/>
                      </w:rPr>
                      <w:t>粪大肠菌群</w:t>
                    </w:r>
                  </w:p>
                </w:txbxContent>
              </v:textbox>
            </v:shape>
            <v:shape id="_x0000_s1125" type="#_x0000_t202" style="width:2386;height:918;left:7521;position:absolute;top:-2796" filled="f" stroked="f">
              <v:textbox inset="0,0,0,0">
                <w:txbxContent>
                  <w:p>
                    <w:pPr>
                      <w:spacing w:before="0" w:line="359" w:lineRule="exact"/>
                      <w:ind w:left="1" w:right="15" w:firstLine="0"/>
                      <w:jc w:val="center"/>
                      <w:rPr>
                        <w:sz w:val="31"/>
                      </w:rPr>
                    </w:pPr>
                    <w:r>
                      <w:rPr>
                        <w:sz w:val="31"/>
                      </w:rPr>
                      <w:t>≤2.0</w:t>
                    </w:r>
                  </w:p>
                  <w:p>
                    <w:pPr>
                      <w:spacing w:before="204" w:line="355" w:lineRule="exact"/>
                      <w:ind w:left="1" w:right="19" w:firstLine="0"/>
                      <w:jc w:val="center"/>
                      <w:rPr>
                        <w:sz w:val="31"/>
                      </w:rPr>
                    </w:pPr>
                    <w:r>
                      <w:rPr>
                        <w:sz w:val="31"/>
                      </w:rPr>
                      <w:t>≤40000（个/L）</w:t>
                    </w:r>
                  </w:p>
                </w:txbxContent>
              </v:textbox>
            </v:shape>
            <v:shape id="_x0000_s1126" type="#_x0000_t202" style="width:1921;height:724;left:12278;position:absolute;top:-2698" filled="f" stroked="f">
              <v:textbox inset="0,0,0,0">
                <w:txbxContent>
                  <w:p>
                    <w:pPr>
                      <w:spacing w:before="0" w:line="359" w:lineRule="exact"/>
                      <w:ind w:left="79" w:right="0" w:firstLine="0"/>
                      <w:jc w:val="left"/>
                      <w:rPr>
                        <w:sz w:val="31"/>
                      </w:rPr>
                    </w:pPr>
                    <w:r>
                      <w:rPr>
                        <w:sz w:val="31"/>
                      </w:rPr>
                      <w:t>GB3838-2002</w:t>
                    </w:r>
                  </w:p>
                  <w:p>
                    <w:pPr>
                      <w:spacing w:before="9" w:line="355" w:lineRule="exact"/>
                      <w:ind w:left="0" w:right="0" w:firstLine="0"/>
                      <w:jc w:val="left"/>
                      <w:rPr>
                        <w:sz w:val="31"/>
                      </w:rPr>
                    </w:pPr>
                    <w:r>
                      <w:rPr>
                        <w:spacing w:val="-29"/>
                        <w:sz w:val="31"/>
                      </w:rPr>
                      <w:t xml:space="preserve">中 </w:t>
                    </w:r>
                    <w:r>
                      <w:rPr>
                        <w:sz w:val="31"/>
                      </w:rPr>
                      <w:t>V</w:t>
                    </w:r>
                    <w:r>
                      <w:rPr>
                        <w:spacing w:val="-12"/>
                        <w:sz w:val="31"/>
                      </w:rPr>
                      <w:t xml:space="preserve"> 类区标准</w:t>
                    </w:r>
                  </w:p>
                </w:txbxContent>
              </v:textbox>
            </v:shape>
            <v:shape id="_x0000_s1127" type="#_x0000_t202" style="width:179;height:317;left:2592;position:absolute;top:-1590" filled="f" stroked="f">
              <v:textbox inset="0,0,0,0">
                <w:txbxContent>
                  <w:p>
                    <w:pPr>
                      <w:spacing w:before="0" w:line="317" w:lineRule="exact"/>
                      <w:ind w:left="0" w:right="0" w:firstLine="0"/>
                      <w:jc w:val="left"/>
                      <w:rPr>
                        <w:sz w:val="31"/>
                      </w:rPr>
                    </w:pPr>
                    <w:r>
                      <w:rPr>
                        <w:w w:val="102"/>
                        <w:sz w:val="31"/>
                      </w:rPr>
                      <w:t>6</w:t>
                    </w:r>
                  </w:p>
                </w:txbxContent>
              </v:textbox>
            </v:shape>
            <v:shape id="_x0000_s1128" type="#_x0000_t202" style="width:337;height:317;left:4957;position:absolute;top:-1683" filled="f" stroked="f">
              <v:textbox inset="0,0,0,0">
                <w:txbxContent>
                  <w:p>
                    <w:pPr>
                      <w:spacing w:before="0" w:line="317" w:lineRule="exact"/>
                      <w:ind w:left="0" w:right="0" w:firstLine="0"/>
                      <w:jc w:val="left"/>
                      <w:rPr>
                        <w:sz w:val="31"/>
                      </w:rPr>
                    </w:pPr>
                    <w:r>
                      <w:rPr>
                        <w:sz w:val="31"/>
                      </w:rPr>
                      <w:t>DO</w:t>
                    </w:r>
                  </w:p>
                </w:txbxContent>
              </v:textbox>
            </v:shape>
            <v:shape id="_x0000_s1129" type="#_x0000_t202" style="width:496;height:317;left:8468;position:absolute;top:-1590" filled="f" stroked="f">
              <v:textbox inset="0,0,0,0">
                <w:txbxContent>
                  <w:p>
                    <w:pPr>
                      <w:spacing w:before="0" w:line="317" w:lineRule="exact"/>
                      <w:ind w:left="0" w:right="0" w:firstLine="0"/>
                      <w:jc w:val="left"/>
                      <w:rPr>
                        <w:sz w:val="31"/>
                      </w:rPr>
                    </w:pPr>
                    <w:r>
                      <w:rPr>
                        <w:sz w:val="31"/>
                      </w:rPr>
                      <w:t>≥2</w:t>
                    </w:r>
                  </w:p>
                </w:txbxContent>
              </v:textbox>
            </v:shape>
            <v:shape id="_x0000_s1130" type="#_x0000_t202" style="width:179;height:317;left:2592;position:absolute;top:-985" filled="f" stroked="f">
              <v:textbox inset="0,0,0,0">
                <w:txbxContent>
                  <w:p>
                    <w:pPr>
                      <w:spacing w:before="0" w:line="317" w:lineRule="exact"/>
                      <w:ind w:left="0" w:right="0" w:firstLine="0"/>
                      <w:jc w:val="left"/>
                      <w:rPr>
                        <w:sz w:val="31"/>
                      </w:rPr>
                    </w:pPr>
                    <w:r>
                      <w:rPr>
                        <w:w w:val="102"/>
                        <w:sz w:val="31"/>
                      </w:rPr>
                      <w:t>7</w:t>
                    </w:r>
                  </w:p>
                </w:txbxContent>
              </v:textbox>
            </v:shape>
            <v:shape id="_x0000_s1131" type="#_x0000_t202" style="width:654;height:317;left:4803;position:absolute;top:-1078" filled="f" stroked="f">
              <v:textbox inset="0,0,0,0">
                <w:txbxContent>
                  <w:p>
                    <w:pPr>
                      <w:spacing w:before="0" w:line="317" w:lineRule="exact"/>
                      <w:ind w:left="0" w:right="0" w:firstLine="0"/>
                      <w:jc w:val="left"/>
                      <w:rPr>
                        <w:sz w:val="31"/>
                      </w:rPr>
                    </w:pPr>
                    <w:r>
                      <w:rPr>
                        <w:sz w:val="31"/>
                      </w:rPr>
                      <w:t>总磷</w:t>
                    </w:r>
                  </w:p>
                </w:txbxContent>
              </v:textbox>
            </v:shape>
            <v:shape id="_x0000_s1132" type="#_x0000_t202" style="width:2937;height:317;left:7248;position:absolute;top:-985" filled="f" stroked="f">
              <v:textbox inset="0,0,0,0">
                <w:txbxContent>
                  <w:p>
                    <w:pPr>
                      <w:spacing w:before="0" w:line="317" w:lineRule="exact"/>
                      <w:ind w:left="0" w:right="0" w:firstLine="0"/>
                      <w:jc w:val="left"/>
                      <w:rPr>
                        <w:sz w:val="31"/>
                      </w:rPr>
                    </w:pPr>
                    <w:r>
                      <w:rPr>
                        <w:sz w:val="31"/>
                      </w:rPr>
                      <w:t>≤0.4（</w:t>
                    </w:r>
                    <w:r>
                      <w:rPr>
                        <w:spacing w:val="-11"/>
                        <w:sz w:val="31"/>
                      </w:rPr>
                      <w:t xml:space="preserve">湖、库 </w:t>
                    </w:r>
                    <w:r>
                      <w:rPr>
                        <w:sz w:val="31"/>
                      </w:rPr>
                      <w:t>0.1）</w:t>
                    </w:r>
                  </w:p>
                </w:txbxContent>
              </v:textbox>
            </v:shape>
            <v:shape id="_x0000_s1133" type="#_x0000_t202" style="width:179;height:317;left:2592;position:absolute;top:-384" filled="f" stroked="f">
              <v:textbox inset="0,0,0,0">
                <w:txbxContent>
                  <w:p>
                    <w:pPr>
                      <w:spacing w:before="0" w:line="317" w:lineRule="exact"/>
                      <w:ind w:left="0" w:right="0" w:firstLine="0"/>
                      <w:jc w:val="left"/>
                      <w:rPr>
                        <w:sz w:val="31"/>
                      </w:rPr>
                    </w:pPr>
                    <w:r>
                      <w:rPr>
                        <w:w w:val="102"/>
                        <w:sz w:val="31"/>
                      </w:rPr>
                      <w:t>8</w:t>
                    </w:r>
                  </w:p>
                </w:txbxContent>
              </v:textbox>
            </v:shape>
            <v:shape id="_x0000_s1134" type="#_x0000_t202" style="width:971;height:317;left:4644;position:absolute;top:-477" filled="f" stroked="f">
              <v:textbox inset="0,0,0,0">
                <w:txbxContent>
                  <w:p>
                    <w:pPr>
                      <w:spacing w:before="0" w:line="317" w:lineRule="exact"/>
                      <w:ind w:left="0" w:right="0" w:firstLine="0"/>
                      <w:jc w:val="left"/>
                      <w:rPr>
                        <w:sz w:val="31"/>
                      </w:rPr>
                    </w:pPr>
                    <w:r>
                      <w:rPr>
                        <w:sz w:val="31"/>
                      </w:rPr>
                      <w:t>石油类</w:t>
                    </w:r>
                  </w:p>
                </w:txbxContent>
              </v:textbox>
            </v:shape>
            <v:shape id="_x0000_s1135" type="#_x0000_t202" style="width:812;height:317;left:8310;position:absolute;top:-384" filled="f" stroked="f">
              <v:textbox inset="0,0,0,0">
                <w:txbxContent>
                  <w:p>
                    <w:pPr>
                      <w:spacing w:before="0" w:line="317" w:lineRule="exact"/>
                      <w:ind w:left="0" w:right="0" w:firstLine="0"/>
                      <w:jc w:val="left"/>
                      <w:rPr>
                        <w:sz w:val="31"/>
                      </w:rPr>
                    </w:pPr>
                    <w:r>
                      <w:rPr>
                        <w:sz w:val="31"/>
                      </w:rPr>
                      <w:t>≤1.0</w:t>
                    </w:r>
                  </w:p>
                </w:txbxContent>
              </v:textbox>
            </v:shape>
          </v:group>
        </w:pict>
      </w:r>
      <w:r>
        <w:t>三、地下水</w:t>
      </w:r>
    </w:p>
    <w:p>
      <w:pPr>
        <w:pStyle w:val="BodyText"/>
        <w:spacing w:before="10"/>
        <w:rPr>
          <w:sz w:val="27"/>
        </w:rPr>
      </w:pPr>
    </w:p>
    <w:p>
      <w:pPr>
        <w:pStyle w:val="BodyText"/>
        <w:spacing w:line="364" w:lineRule="auto"/>
        <w:ind w:left="708" w:right="672" w:firstLine="720"/>
      </w:pPr>
      <w:r>
        <w:t>项目所在区域地下水执行《地下水质量标准》（GB/T14848-93）Ⅲ类标准，具体标准值见表 3.1-6。</w:t>
      </w:r>
    </w:p>
    <w:p>
      <w:pPr>
        <w:tabs>
          <w:tab w:val="left" w:pos="2211"/>
          <w:tab w:val="left" w:pos="6006"/>
        </w:tabs>
        <w:spacing w:before="2"/>
        <w:ind w:left="490" w:right="0" w:firstLine="0"/>
        <w:jc w:val="center"/>
        <w:rPr>
          <w:sz w:val="31"/>
        </w:rPr>
      </w:pPr>
      <w:r>
        <w:pict>
          <v:group id="_x0000_s1136" style="width:699.75pt;height:63pt;margin-top:28.47pt;margin-left:97.25pt;mso-position-horizontal-relative:page;mso-wrap-distance-left:0;mso-wrap-distance-right:0;position:absolute;z-index:-251652096" coordorigin="1945,569" coordsize="13995,1260">
            <v:shape id="_x0000_s1137" type="#_x0000_t75" style="width:13995;height:1260;left:1945;position:absolute;top:569" stroked="f">
              <v:imagedata r:id="rId47" o:title=""/>
            </v:shape>
            <v:shape id="_x0000_s1138" type="#_x0000_t202" style="width:654;height:317;left:2747;position:absolute;top:767" filled="f" stroked="f">
              <v:textbox inset="0,0,0,0">
                <w:txbxContent>
                  <w:p>
                    <w:pPr>
                      <w:spacing w:before="0" w:line="317" w:lineRule="exact"/>
                      <w:ind w:left="0" w:right="0" w:firstLine="0"/>
                      <w:jc w:val="left"/>
                      <w:rPr>
                        <w:b/>
                        <w:sz w:val="31"/>
                      </w:rPr>
                    </w:pPr>
                    <w:r>
                      <w:rPr>
                        <w:b/>
                        <w:sz w:val="31"/>
                      </w:rPr>
                      <w:t>参数</w:t>
                    </w:r>
                  </w:p>
                </w:txbxContent>
              </v:textbox>
            </v:shape>
            <v:shape id="_x0000_s1139" type="#_x0000_t202" style="width:971;height:317;left:6618;position:absolute;top:767" filled="f" stroked="f">
              <v:textbox inset="0,0,0,0">
                <w:txbxContent>
                  <w:p>
                    <w:pPr>
                      <w:spacing w:before="0" w:line="317" w:lineRule="exact"/>
                      <w:ind w:left="0" w:right="0" w:firstLine="0"/>
                      <w:jc w:val="left"/>
                      <w:rPr>
                        <w:b/>
                        <w:sz w:val="31"/>
                      </w:rPr>
                    </w:pPr>
                    <w:r>
                      <w:rPr>
                        <w:b/>
                        <w:sz w:val="31"/>
                      </w:rPr>
                      <w:t>总硬度</w:t>
                    </w:r>
                  </w:p>
                </w:txbxContent>
              </v:textbox>
            </v:shape>
            <v:shape id="_x0000_s1140" type="#_x0000_t202" style="width:1288;height:317;left:8814;position:absolute;top:767" filled="f" stroked="f">
              <v:textbox inset="0,0,0,0">
                <w:txbxContent>
                  <w:p>
                    <w:pPr>
                      <w:spacing w:before="0" w:line="317" w:lineRule="exact"/>
                      <w:ind w:left="0" w:right="0" w:firstLine="0"/>
                      <w:jc w:val="left"/>
                      <w:rPr>
                        <w:b/>
                        <w:sz w:val="31"/>
                      </w:rPr>
                    </w:pPr>
                    <w:r>
                      <w:rPr>
                        <w:b/>
                        <w:sz w:val="31"/>
                      </w:rPr>
                      <w:t>高锰酸盐</w:t>
                    </w:r>
                  </w:p>
                </w:txbxContent>
              </v:textbox>
            </v:shape>
            <v:shape id="_x0000_s1141" type="#_x0000_t202" style="width:1604;height:317;left:10964;position:absolute;top:767" filled="f" stroked="f">
              <v:textbox inset="0,0,0,0">
                <w:txbxContent>
                  <w:p>
                    <w:pPr>
                      <w:spacing w:before="0" w:line="317" w:lineRule="exact"/>
                      <w:ind w:left="0" w:right="0" w:firstLine="0"/>
                      <w:jc w:val="left"/>
                      <w:rPr>
                        <w:b/>
                        <w:sz w:val="31"/>
                      </w:rPr>
                    </w:pPr>
                    <w:r>
                      <w:rPr>
                        <w:b/>
                        <w:sz w:val="31"/>
                      </w:rPr>
                      <w:t>挥发性酚类</w:t>
                    </w:r>
                  </w:p>
                </w:txbxContent>
              </v:textbox>
            </v:shape>
            <v:shape id="_x0000_s1142" type="#_x0000_t202" style="width:737;height:440;left:14035;position:absolute;top:767" filled="f" stroked="f">
              <v:textbox inset="0,0,0,0">
                <w:txbxContent>
                  <w:p>
                    <w:pPr>
                      <w:spacing w:before="0" w:line="308" w:lineRule="exact"/>
                      <w:ind w:left="0" w:right="18" w:firstLine="0"/>
                      <w:jc w:val="center"/>
                      <w:rPr>
                        <w:b/>
                        <w:sz w:val="31"/>
                      </w:rPr>
                    </w:pPr>
                    <w:r>
                      <w:rPr>
                        <w:b/>
                        <w:sz w:val="31"/>
                      </w:rPr>
                      <w:t>NH</w:t>
                    </w:r>
                    <w:r>
                      <w:rPr>
                        <w:b/>
                        <w:spacing w:val="-66"/>
                        <w:sz w:val="31"/>
                      </w:rPr>
                      <w:t xml:space="preserve"> </w:t>
                    </w:r>
                    <w:r>
                      <w:rPr>
                        <w:b/>
                        <w:spacing w:val="-9"/>
                        <w:sz w:val="31"/>
                      </w:rPr>
                      <w:t>-N</w:t>
                    </w:r>
                  </w:p>
                  <w:p>
                    <w:pPr>
                      <w:spacing w:before="0" w:line="132" w:lineRule="exact"/>
                      <w:ind w:left="0" w:right="18" w:firstLine="0"/>
                      <w:jc w:val="center"/>
                      <w:rPr>
                        <w:b/>
                        <w:sz w:val="16"/>
                      </w:rPr>
                    </w:pPr>
                    <w:r>
                      <w:rPr>
                        <w:b/>
                        <w:w w:val="102"/>
                        <w:sz w:val="16"/>
                      </w:rPr>
                      <w:t>3</w:t>
                    </w:r>
                  </w:p>
                </w:txbxContent>
              </v:textbox>
            </v:shape>
            <v:shape id="_x0000_s1143" type="#_x0000_t202" style="width:654;height:317;left:2751;position:absolute;top:1368" filled="f" stroked="f">
              <v:textbox inset="0,0,0,0">
                <w:txbxContent>
                  <w:p>
                    <w:pPr>
                      <w:spacing w:before="0" w:line="317" w:lineRule="exact"/>
                      <w:ind w:left="0" w:right="0" w:firstLine="0"/>
                      <w:jc w:val="left"/>
                      <w:rPr>
                        <w:sz w:val="31"/>
                      </w:rPr>
                    </w:pPr>
                    <w:r>
                      <w:rPr>
                        <w:sz w:val="31"/>
                      </w:rPr>
                      <w:t>Ⅲ类</w:t>
                    </w:r>
                  </w:p>
                </w:txbxContent>
              </v:textbox>
            </v:shape>
            <v:shape id="_x0000_s1144" type="#_x0000_t202" style="width:1129;height:904;left:4489;position:absolute;top:782" filled="f" stroked="f">
              <v:textbox inset="0,0,0,0">
                <w:txbxContent>
                  <w:p>
                    <w:pPr>
                      <w:spacing w:before="0" w:line="359" w:lineRule="exact"/>
                      <w:ind w:left="154" w:right="0" w:firstLine="0"/>
                      <w:jc w:val="left"/>
                      <w:rPr>
                        <w:b/>
                        <w:sz w:val="31"/>
                      </w:rPr>
                    </w:pPr>
                    <w:r>
                      <w:rPr>
                        <w:b/>
                        <w:sz w:val="31"/>
                      </w:rPr>
                      <w:t>pH</w:t>
                    </w:r>
                  </w:p>
                  <w:p>
                    <w:pPr>
                      <w:spacing w:before="189" w:line="355" w:lineRule="exact"/>
                      <w:ind w:left="0" w:right="0" w:firstLine="0"/>
                      <w:jc w:val="left"/>
                      <w:rPr>
                        <w:sz w:val="31"/>
                      </w:rPr>
                    </w:pPr>
                    <w:r>
                      <w:rPr>
                        <w:sz w:val="31"/>
                      </w:rPr>
                      <w:t>6.5-8.5</w:t>
                    </w:r>
                  </w:p>
                </w:txbxContent>
              </v:textbox>
            </v:shape>
            <v:shape id="_x0000_s1145" type="#_x0000_t202" style="width:812;height:317;left:6697;position:absolute;top:1368" filled="f" stroked="f">
              <v:textbox inset="0,0,0,0">
                <w:txbxContent>
                  <w:p>
                    <w:pPr>
                      <w:spacing w:before="0" w:line="317" w:lineRule="exact"/>
                      <w:ind w:left="0" w:right="0" w:firstLine="0"/>
                      <w:jc w:val="left"/>
                      <w:rPr>
                        <w:sz w:val="31"/>
                      </w:rPr>
                    </w:pPr>
                    <w:r>
                      <w:rPr>
                        <w:sz w:val="31"/>
                      </w:rPr>
                      <w:t>≤450</w:t>
                    </w:r>
                  </w:p>
                </w:txbxContent>
              </v:textbox>
            </v:shape>
            <v:shape id="_x0000_s1146" type="#_x0000_t202" style="width:812;height:317;left:9051;position:absolute;top:1368" filled="f" stroked="f">
              <v:textbox inset="0,0,0,0">
                <w:txbxContent>
                  <w:p>
                    <w:pPr>
                      <w:spacing w:before="0" w:line="317" w:lineRule="exact"/>
                      <w:ind w:left="0" w:right="0" w:firstLine="0"/>
                      <w:jc w:val="left"/>
                      <w:rPr>
                        <w:sz w:val="31"/>
                      </w:rPr>
                    </w:pPr>
                    <w:r>
                      <w:rPr>
                        <w:sz w:val="31"/>
                      </w:rPr>
                      <w:t>≤3.0</w:t>
                    </w:r>
                  </w:p>
                </w:txbxContent>
              </v:textbox>
            </v:shape>
            <v:shape id="_x0000_s1147" type="#_x0000_t202" style="width:1129;height:317;left:11205;position:absolute;top:1368" filled="f" stroked="f">
              <v:textbox inset="0,0,0,0">
                <w:txbxContent>
                  <w:p>
                    <w:pPr>
                      <w:spacing w:before="0" w:line="317" w:lineRule="exact"/>
                      <w:ind w:left="0" w:right="0" w:firstLine="0"/>
                      <w:jc w:val="left"/>
                      <w:rPr>
                        <w:sz w:val="31"/>
                      </w:rPr>
                    </w:pPr>
                    <w:r>
                      <w:rPr>
                        <w:sz w:val="31"/>
                      </w:rPr>
                      <w:t>≤0.002</w:t>
                    </w:r>
                  </w:p>
                </w:txbxContent>
              </v:textbox>
            </v:shape>
            <v:shape id="_x0000_s1148" type="#_x0000_t202" style="width:812;height:317;left:13999;position:absolute;top:1368" filled="f" stroked="f">
              <v:textbox inset="0,0,0,0">
                <w:txbxContent>
                  <w:p>
                    <w:pPr>
                      <w:spacing w:before="0" w:line="317" w:lineRule="exact"/>
                      <w:ind w:left="0" w:right="0" w:firstLine="0"/>
                      <w:jc w:val="left"/>
                      <w:rPr>
                        <w:sz w:val="31"/>
                      </w:rPr>
                    </w:pPr>
                    <w:r>
                      <w:rPr>
                        <w:sz w:val="31"/>
                      </w:rPr>
                      <w:t>≤0.2</w:t>
                    </w:r>
                  </w:p>
                </w:txbxContent>
              </v:textbox>
            </v:shape>
            <w10:wrap type="topAndBottom"/>
          </v:group>
        </w:pict>
      </w:r>
      <w:r>
        <w:rPr>
          <w:b/>
          <w:sz w:val="36"/>
        </w:rPr>
        <w:t>表</w:t>
      </w:r>
      <w:r>
        <w:rPr>
          <w:b/>
          <w:spacing w:val="-95"/>
          <w:sz w:val="36"/>
        </w:rPr>
        <w:t xml:space="preserve"> </w:t>
      </w:r>
      <w:r>
        <w:rPr>
          <w:b/>
          <w:sz w:val="36"/>
        </w:rPr>
        <w:t>3.1-6</w:t>
        <w:tab/>
        <w:t>地下水环境质量标准</w:t>
        <w:tab/>
      </w:r>
      <w:r>
        <w:rPr>
          <w:position w:val="-3"/>
          <w:sz w:val="31"/>
        </w:rPr>
        <w:t>单位：mg/L，pH</w:t>
      </w:r>
      <w:r>
        <w:rPr>
          <w:spacing w:val="-79"/>
          <w:position w:val="-3"/>
          <w:sz w:val="31"/>
        </w:rPr>
        <w:t xml:space="preserve"> </w:t>
      </w:r>
      <w:r>
        <w:rPr>
          <w:position w:val="-3"/>
          <w:sz w:val="31"/>
        </w:rPr>
        <w:t>除外</w:t>
      </w:r>
    </w:p>
    <w:p>
      <w:pPr>
        <w:pStyle w:val="BodyText"/>
        <w:rPr>
          <w:sz w:val="19"/>
        </w:rPr>
      </w:pPr>
    </w:p>
    <w:p>
      <w:pPr>
        <w:pStyle w:val="BodyText"/>
        <w:spacing w:before="49"/>
        <w:ind w:left="1410"/>
      </w:pPr>
      <w:r>
        <w:t>四、声环境</w:t>
      </w:r>
    </w:p>
    <w:p>
      <w:pPr>
        <w:pStyle w:val="BodyText"/>
        <w:spacing w:before="241" w:line="364" w:lineRule="auto"/>
        <w:ind w:left="708" w:right="686" w:firstLine="720"/>
      </w:pPr>
      <w:r>
        <w:t>项目所在地区域声环境执行《声环境质量标准》(GB3096-2008)中的 2 类标准，详见表 3.1-7。</w:t>
      </w:r>
    </w:p>
    <w:p>
      <w:pPr>
        <w:tabs>
          <w:tab w:val="left" w:pos="11390"/>
        </w:tabs>
        <w:spacing w:before="3"/>
        <w:ind w:left="5331" w:right="0" w:firstLine="0"/>
        <w:jc w:val="left"/>
        <w:rPr>
          <w:sz w:val="31"/>
        </w:rPr>
      </w:pPr>
      <w:r>
        <w:pict>
          <v:group id="_x0000_s1149" style="width:699.75pt;height:63pt;margin-top:28.71pt;margin-left:97.25pt;mso-position-horizontal-relative:page;mso-wrap-distance-left:0;mso-wrap-distance-right:0;position:absolute;z-index:-251651072" coordorigin="1945,574" coordsize="13995,1260">
            <v:shape id="_x0000_s1150" type="#_x0000_t75" style="width:13995;height:1260;left:1945;position:absolute;top:574" stroked="f">
              <v:imagedata r:id="rId48" o:title=""/>
            </v:shape>
            <v:shape id="_x0000_s1151" type="#_x0000_t202" style="width:971;height:317;left:3813;position:absolute;top:703" filled="f" stroked="f">
              <v:textbox inset="0,0,0,0">
                <w:txbxContent>
                  <w:p>
                    <w:pPr>
                      <w:tabs>
                        <w:tab w:val="left" w:pos="633"/>
                      </w:tabs>
                      <w:spacing w:before="0" w:line="317" w:lineRule="exact"/>
                      <w:ind w:left="0" w:right="0" w:firstLine="0"/>
                      <w:jc w:val="left"/>
                      <w:rPr>
                        <w:b/>
                        <w:sz w:val="31"/>
                      </w:rPr>
                    </w:pPr>
                    <w:r>
                      <w:rPr>
                        <w:b/>
                        <w:sz w:val="31"/>
                      </w:rPr>
                      <w:t>类</w:t>
                      <w:tab/>
                      <w:t>别</w:t>
                    </w:r>
                  </w:p>
                </w:txbxContent>
              </v:textbox>
            </v:shape>
            <v:shape id="_x0000_s1152" type="#_x0000_t202" style="width:971;height:317;left:8454;position:absolute;top:703" filled="f" stroked="f">
              <v:textbox inset="0,0,0,0">
                <w:txbxContent>
                  <w:p>
                    <w:pPr>
                      <w:tabs>
                        <w:tab w:val="left" w:pos="633"/>
                      </w:tabs>
                      <w:spacing w:before="0" w:line="317" w:lineRule="exact"/>
                      <w:ind w:left="0" w:right="0" w:firstLine="0"/>
                      <w:jc w:val="left"/>
                      <w:rPr>
                        <w:b/>
                        <w:sz w:val="31"/>
                      </w:rPr>
                    </w:pPr>
                    <w:r>
                      <w:rPr>
                        <w:b/>
                        <w:sz w:val="31"/>
                      </w:rPr>
                      <w:t>昼</w:t>
                      <w:tab/>
                      <w:t>间</w:t>
                    </w:r>
                  </w:p>
                </w:txbxContent>
              </v:textbox>
            </v:shape>
            <v:shape id="_x0000_s1153" type="#_x0000_t202" style="width:972;height:317;left:13098;position:absolute;top:703" filled="f" stroked="f">
              <v:textbox inset="0,0,0,0">
                <w:txbxContent>
                  <w:p>
                    <w:pPr>
                      <w:tabs>
                        <w:tab w:val="left" w:pos="634"/>
                      </w:tabs>
                      <w:spacing w:before="0" w:line="317" w:lineRule="exact"/>
                      <w:ind w:left="0" w:right="0" w:firstLine="0"/>
                      <w:jc w:val="left"/>
                      <w:rPr>
                        <w:b/>
                        <w:sz w:val="31"/>
                      </w:rPr>
                    </w:pPr>
                    <w:r>
                      <w:rPr>
                        <w:b/>
                        <w:sz w:val="31"/>
                      </w:rPr>
                      <w:t>夜</w:t>
                      <w:tab/>
                      <w:t>间</w:t>
                    </w:r>
                  </w:p>
                </w:txbxContent>
              </v:textbox>
            </v:shape>
            <v:shape id="_x0000_s1154" type="#_x0000_t202" style="width:3415;height:317;left:2592;position:absolute;top:1308" filled="f" stroked="f">
              <v:textbox inset="0,0,0,0">
                <w:txbxContent>
                  <w:p>
                    <w:pPr>
                      <w:spacing w:before="0" w:line="317" w:lineRule="exact"/>
                      <w:ind w:left="0" w:right="0" w:firstLine="0"/>
                      <w:jc w:val="left"/>
                      <w:rPr>
                        <w:sz w:val="31"/>
                      </w:rPr>
                    </w:pPr>
                    <w:r>
                      <w:rPr>
                        <w:sz w:val="31"/>
                      </w:rPr>
                      <w:t>GB3096-2008</w:t>
                    </w:r>
                    <w:r>
                      <w:rPr>
                        <w:spacing w:val="-42"/>
                        <w:sz w:val="31"/>
                      </w:rPr>
                      <w:t xml:space="preserve"> 中 </w:t>
                    </w:r>
                    <w:r>
                      <w:rPr>
                        <w:sz w:val="31"/>
                      </w:rPr>
                      <w:t>2</w:t>
                    </w:r>
                    <w:r>
                      <w:rPr>
                        <w:spacing w:val="-15"/>
                        <w:sz w:val="31"/>
                      </w:rPr>
                      <w:t xml:space="preserve"> 类标准</w:t>
                    </w:r>
                  </w:p>
                </w:txbxContent>
              </v:textbox>
            </v:shape>
            <v:shape id="_x0000_s1155" type="#_x0000_t202" style="width:337;height:317;left:8771;position:absolute;top:1308" filled="f" stroked="f">
              <v:textbox inset="0,0,0,0">
                <w:txbxContent>
                  <w:p>
                    <w:pPr>
                      <w:spacing w:before="0" w:line="317" w:lineRule="exact"/>
                      <w:ind w:left="0" w:right="0" w:firstLine="0"/>
                      <w:jc w:val="left"/>
                      <w:rPr>
                        <w:sz w:val="31"/>
                      </w:rPr>
                    </w:pPr>
                    <w:r>
                      <w:rPr>
                        <w:sz w:val="31"/>
                      </w:rPr>
                      <w:t>60</w:t>
                    </w:r>
                  </w:p>
                </w:txbxContent>
              </v:textbox>
            </v:shape>
            <v:shape id="_x0000_s1156" type="#_x0000_t202" style="width:337;height:317;left:13416;position:absolute;top:1308" filled="f" stroked="f">
              <v:textbox inset="0,0,0,0">
                <w:txbxContent>
                  <w:p>
                    <w:pPr>
                      <w:spacing w:before="0" w:line="317" w:lineRule="exact"/>
                      <w:ind w:left="0" w:right="0" w:firstLine="0"/>
                      <w:jc w:val="left"/>
                      <w:rPr>
                        <w:sz w:val="31"/>
                      </w:rPr>
                    </w:pPr>
                    <w:r>
                      <w:rPr>
                        <w:sz w:val="31"/>
                      </w:rPr>
                      <w:t>50</w:t>
                    </w:r>
                  </w:p>
                </w:txbxContent>
              </v:textbox>
            </v:shape>
            <w10:wrap type="topAndBottom"/>
          </v:group>
        </w:pict>
      </w:r>
      <w:r>
        <w:rPr>
          <w:b/>
          <w:sz w:val="36"/>
        </w:rPr>
        <w:t>表</w:t>
      </w:r>
      <w:r>
        <w:rPr>
          <w:b/>
          <w:spacing w:val="-92"/>
          <w:sz w:val="36"/>
        </w:rPr>
        <w:t xml:space="preserve"> </w:t>
      </w:r>
      <w:r>
        <w:rPr>
          <w:b/>
          <w:sz w:val="36"/>
        </w:rPr>
        <w:t>3.1-7</w:t>
      </w:r>
      <w:r>
        <w:rPr>
          <w:b/>
          <w:spacing w:val="-1"/>
          <w:sz w:val="36"/>
        </w:rPr>
        <w:t xml:space="preserve"> </w:t>
      </w:r>
      <w:r>
        <w:rPr>
          <w:b/>
          <w:sz w:val="36"/>
        </w:rPr>
        <w:t>声环境噪声限值</w:t>
        <w:tab/>
      </w:r>
      <w:r>
        <w:rPr>
          <w:position w:val="-3"/>
          <w:sz w:val="31"/>
        </w:rPr>
        <w:t>单位：dB(A)</w:t>
      </w:r>
    </w:p>
    <w:p>
      <w:pPr>
        <w:pStyle w:val="Heading3"/>
        <w:numPr>
          <w:ilvl w:val="2"/>
          <w:numId w:val="22"/>
        </w:numPr>
        <w:tabs>
          <w:tab w:val="left" w:pos="1706"/>
        </w:tabs>
        <w:spacing w:before="0" w:after="0" w:line="398" w:lineRule="exact"/>
        <w:ind w:left="1705" w:right="0" w:hanging="998"/>
        <w:jc w:val="left"/>
      </w:pPr>
      <w:r>
        <w:t>环境质量现状</w:t>
      </w:r>
    </w:p>
    <w:p>
      <w:pPr>
        <w:pStyle w:val="BodyText"/>
        <w:rPr>
          <w:b/>
          <w:sz w:val="28"/>
        </w:rPr>
      </w:pPr>
    </w:p>
    <w:p>
      <w:pPr>
        <w:spacing w:before="0"/>
        <w:ind w:left="1432" w:right="0" w:firstLine="0"/>
        <w:jc w:val="left"/>
        <w:rPr>
          <w:b/>
          <w:sz w:val="36"/>
        </w:rPr>
      </w:pPr>
      <w:r>
        <w:rPr>
          <w:b/>
          <w:sz w:val="36"/>
        </w:rPr>
        <w:t>一、环境空气</w:t>
      </w:r>
    </w:p>
    <w:p>
      <w:pPr>
        <w:spacing w:after="0"/>
        <w:jc w:val="left"/>
        <w:rPr>
          <w:sz w:val="36"/>
        </w:rPr>
        <w:sectPr>
          <w:headerReference w:type="default" r:id="rId49"/>
          <w:footerReference w:type="default" r:id="rId50"/>
          <w:pgSz w:w="17860" w:h="25260"/>
          <w:pgMar w:top="1380" w:right="1360" w:bottom="2020" w:left="1420" w:header="1083" w:footer="1826"/>
          <w:pgNumType w:start="18"/>
          <w:cols w:space="708"/>
        </w:sectPr>
      </w:pPr>
    </w:p>
    <w:p>
      <w:pPr>
        <w:pStyle w:val="BodyText"/>
        <w:rPr>
          <w:b/>
          <w:sz w:val="20"/>
        </w:rPr>
      </w:pPr>
    </w:p>
    <w:p>
      <w:pPr>
        <w:pStyle w:val="BodyText"/>
        <w:spacing w:before="5"/>
        <w:rPr>
          <w:b/>
          <w:sz w:val="19"/>
        </w:rPr>
      </w:pPr>
    </w:p>
    <w:p>
      <w:pPr>
        <w:pStyle w:val="BodyText"/>
        <w:spacing w:before="49" w:line="364" w:lineRule="auto"/>
        <w:ind w:left="708" w:right="599" w:firstLine="720"/>
      </w:pPr>
      <w:r>
        <w:t>据查《14</w:t>
      </w:r>
      <w:r>
        <w:rPr>
          <w:spacing w:val="-30"/>
        </w:rPr>
        <w:t xml:space="preserve"> 万吨</w:t>
      </w:r>
      <w:r>
        <w:t>/</w:t>
      </w:r>
      <w:r>
        <w:rPr>
          <w:spacing w:val="-13"/>
        </w:rPr>
        <w:t xml:space="preserve">年重交沥青及 </w:t>
      </w:r>
      <w:r>
        <w:t>10</w:t>
      </w:r>
      <w:r>
        <w:rPr>
          <w:spacing w:val="-30"/>
        </w:rPr>
        <w:t xml:space="preserve"> 万吨</w:t>
      </w:r>
      <w:r>
        <w:t xml:space="preserve">/年溶剂油生产项目环境影响报告书》资料： </w:t>
      </w:r>
      <w:r>
        <w:rPr>
          <w:spacing w:val="-19"/>
        </w:rPr>
        <w:t xml:space="preserve">各监测点 </w:t>
      </w:r>
      <w:r>
        <w:t>S2、NO2、PM10</w:t>
      </w:r>
      <w:r>
        <w:rPr>
          <w:spacing w:val="-10"/>
        </w:rPr>
        <w:t xml:space="preserve"> 的小时平均浓度值和日均浓度值均满足《环境空气质量标准》(GB3095-1996)中二级标准；非甲烷总烃满足以色列标准，无超标现象存在；各监测指</w:t>
      </w:r>
      <w:r>
        <w:rPr>
          <w:spacing w:val="-13"/>
        </w:rPr>
        <w:t>标的浓度均值均能满足各自的环境空气指量标准要求，由此可知项目所在地及其周围地</w:t>
      </w:r>
      <w:r>
        <w:rPr>
          <w:spacing w:val="-18"/>
        </w:rPr>
        <w:t xml:space="preserve">区的环境空气质量现状良好，说明评价区 </w:t>
      </w:r>
      <w:r>
        <w:t>SO2、NO2、PM10</w:t>
      </w:r>
      <w:r>
        <w:rPr>
          <w:spacing w:val="-2"/>
        </w:rPr>
        <w:t>、非甲烷总烃尚有环境容量。</w:t>
      </w:r>
    </w:p>
    <w:p>
      <w:pPr>
        <w:pStyle w:val="Heading3"/>
        <w:spacing w:before="6"/>
        <w:ind w:left="1432"/>
      </w:pPr>
      <w:r>
        <w:t>二、地表水</w:t>
      </w:r>
    </w:p>
    <w:p>
      <w:pPr>
        <w:pStyle w:val="BodyText"/>
        <w:spacing w:before="240" w:line="364" w:lineRule="auto"/>
        <w:ind w:left="708" w:right="580" w:firstLine="720"/>
      </w:pPr>
      <w:r>
        <w:t>据查《14</w:t>
      </w:r>
      <w:r>
        <w:rPr>
          <w:spacing w:val="-30"/>
        </w:rPr>
        <w:t xml:space="preserve"> 万吨</w:t>
      </w:r>
      <w:r>
        <w:t>/</w:t>
      </w:r>
      <w:r>
        <w:rPr>
          <w:spacing w:val="-13"/>
        </w:rPr>
        <w:t xml:space="preserve">年重交沥青及 </w:t>
      </w:r>
      <w:r>
        <w:t>10</w:t>
      </w:r>
      <w:r>
        <w:rPr>
          <w:spacing w:val="-30"/>
        </w:rPr>
        <w:t xml:space="preserve"> 万吨</w:t>
      </w:r>
      <w:r>
        <w:t xml:space="preserve">/年溶剂油生产项目环境影响报告书》资料： </w:t>
      </w:r>
      <w:r>
        <w:rPr>
          <w:spacing w:val="-8"/>
        </w:rPr>
        <w:t xml:space="preserve">沾利河薄村断面、薄村下游 </w:t>
      </w:r>
      <w:r>
        <w:t>1.5km</w:t>
      </w:r>
      <w:r>
        <w:rPr>
          <w:spacing w:val="-15"/>
        </w:rPr>
        <w:t xml:space="preserve"> 处水质接近，</w:t>
      </w:r>
      <w:r>
        <w:rPr>
          <w:spacing w:val="-4"/>
        </w:rPr>
        <w:t>PH</w:t>
      </w:r>
      <w:r>
        <w:rPr>
          <w:spacing w:val="-11"/>
        </w:rPr>
        <w:t>、</w:t>
      </w:r>
      <w:r>
        <w:t>SS</w:t>
      </w:r>
      <w:r>
        <w:rPr>
          <w:spacing w:val="-1"/>
        </w:rPr>
        <w:t>、石油类、全盐量不超标，</w:t>
      </w:r>
      <w:r>
        <w:rPr>
          <w:spacing w:val="-10"/>
        </w:rPr>
        <w:t>COD</w:t>
      </w:r>
      <w:r>
        <w:rPr>
          <w:spacing w:val="-17"/>
        </w:rPr>
        <w:t>、</w:t>
      </w:r>
      <w:r>
        <w:t>BOD</w:t>
      </w:r>
      <w:r>
        <w:rPr>
          <w:spacing w:val="-46"/>
        </w:rPr>
        <w:t xml:space="preserve"> 超标 </w:t>
      </w:r>
      <w:r>
        <w:t>0.6</w:t>
      </w:r>
      <w:r>
        <w:rPr>
          <w:spacing w:val="-6"/>
        </w:rPr>
        <w:t xml:space="preserve"> 倍，氨氮超标较严重，超标倍数达到</w:t>
      </w:r>
      <w:r>
        <w:t>7.4</w:t>
      </w:r>
      <w:r>
        <w:rPr>
          <w:spacing w:val="-3"/>
        </w:rPr>
        <w:t xml:space="preserve"> 倍，监测期间</w:t>
      </w:r>
      <w:r>
        <w:t>COD</w:t>
      </w:r>
      <w:r>
        <w:rPr>
          <w:spacing w:val="-15"/>
        </w:rPr>
        <w:t>、</w:t>
      </w:r>
      <w:r>
        <w:t>BOD、氨氮超</w:t>
      </w:r>
      <w:r>
        <w:rPr>
          <w:spacing w:val="-31"/>
        </w:rPr>
        <w:t xml:space="preserve">标率 </w:t>
      </w:r>
      <w:r>
        <w:t>100</w:t>
      </w:r>
      <w:r>
        <w:rPr>
          <w:spacing w:val="-14"/>
        </w:rPr>
        <w:t>％。可见监测期间沾利河水质已受到严重污染，达不到《地表水环境质量标准》</w:t>
      </w:r>
    </w:p>
    <w:p>
      <w:pPr>
        <w:pStyle w:val="BodyText"/>
        <w:spacing w:before="5" w:line="364" w:lineRule="auto"/>
        <w:ind w:left="1432" w:right="9509" w:hanging="724"/>
        <w:rPr>
          <w:b/>
        </w:rPr>
      </w:pPr>
      <w:r>
        <w:t>（GB3838-2002）</w:t>
      </w:r>
      <w:r>
        <w:rPr>
          <w:spacing w:val="-46"/>
        </w:rPr>
        <w:t xml:space="preserve">中 </w:t>
      </w:r>
      <w:r>
        <w:t>V</w:t>
      </w:r>
      <w:r>
        <w:rPr>
          <w:spacing w:val="-22"/>
        </w:rPr>
        <w:t xml:space="preserve"> 类标准。</w:t>
      </w:r>
      <w:r>
        <w:rPr>
          <w:b/>
        </w:rPr>
        <w:t>三、地下水</w:t>
      </w:r>
    </w:p>
    <w:p>
      <w:pPr>
        <w:pStyle w:val="BodyText"/>
        <w:spacing w:before="1" w:line="364" w:lineRule="auto"/>
        <w:ind w:left="708" w:right="742" w:firstLine="720"/>
      </w:pPr>
      <w:r>
        <w:t>据查《14</w:t>
      </w:r>
      <w:r>
        <w:rPr>
          <w:spacing w:val="-30"/>
        </w:rPr>
        <w:t xml:space="preserve"> 万吨</w:t>
      </w:r>
      <w:r>
        <w:t>/</w:t>
      </w:r>
      <w:r>
        <w:rPr>
          <w:spacing w:val="-13"/>
        </w:rPr>
        <w:t xml:space="preserve">年重交沥青及 </w:t>
      </w:r>
      <w:r>
        <w:t>10</w:t>
      </w:r>
      <w:r>
        <w:rPr>
          <w:spacing w:val="-30"/>
        </w:rPr>
        <w:t xml:space="preserve"> 万吨</w:t>
      </w:r>
      <w:r>
        <w:t xml:space="preserve">/年溶剂油生产项目环境影响报告书》资料： </w:t>
      </w:r>
      <w:r>
        <w:rPr>
          <w:spacing w:val="1"/>
        </w:rPr>
        <w:t>高锰酸盐指数、总硬度、氨氮、硫酸盐四项指标单因子指数在</w:t>
      </w:r>
      <w:r>
        <w:t>1.19-3.82</w:t>
      </w:r>
      <w:r>
        <w:rPr>
          <w:spacing w:val="-17"/>
        </w:rPr>
        <w:t xml:space="preserve"> 之间，均超过</w:t>
      </w:r>
    </w:p>
    <w:p>
      <w:pPr>
        <w:pStyle w:val="BodyText"/>
        <w:spacing w:before="2" w:line="364" w:lineRule="auto"/>
        <w:ind w:left="708" w:right="668"/>
      </w:pPr>
      <w:r>
        <w:t>《地下水质量标准》（GB/T14848-93）中Ⅲ类标准的要求，已不适用做集中式生活饮用水水源及工农业用水。</w:t>
      </w:r>
    </w:p>
    <w:p>
      <w:pPr>
        <w:pStyle w:val="Heading3"/>
        <w:spacing w:before="3"/>
        <w:ind w:left="1432"/>
      </w:pPr>
      <w:r>
        <w:t>四、声环境</w:t>
      </w:r>
    </w:p>
    <w:p>
      <w:pPr>
        <w:pStyle w:val="BodyText"/>
        <w:spacing w:before="240" w:line="364" w:lineRule="auto"/>
        <w:ind w:left="708" w:right="727" w:firstLine="720"/>
        <w:jc w:val="both"/>
      </w:pPr>
      <w:r>
        <w:t>据查《14</w:t>
      </w:r>
      <w:r>
        <w:rPr>
          <w:spacing w:val="-30"/>
        </w:rPr>
        <w:t xml:space="preserve"> 万吨</w:t>
      </w:r>
      <w:r>
        <w:t>/</w:t>
      </w:r>
      <w:r>
        <w:rPr>
          <w:spacing w:val="-13"/>
        </w:rPr>
        <w:t xml:space="preserve">年重交沥青及 </w:t>
      </w:r>
      <w:r>
        <w:t>10</w:t>
      </w:r>
      <w:r>
        <w:rPr>
          <w:spacing w:val="-30"/>
        </w:rPr>
        <w:t xml:space="preserve"> 万吨</w:t>
      </w:r>
      <w:r>
        <w:t xml:space="preserve">/年溶剂油生产项目环境影响报告书》资料： </w:t>
      </w:r>
      <w:r>
        <w:rPr>
          <w:spacing w:val="-5"/>
        </w:rPr>
        <w:t>厂址四个厂界昼间噪声均满足《声环境质量标准》</w:t>
      </w:r>
      <w:r>
        <w:rPr>
          <w:spacing w:val="-3"/>
        </w:rPr>
        <w:t>（GB3096-2008）2</w:t>
      </w:r>
      <w:r>
        <w:rPr>
          <w:spacing w:val="-13"/>
        </w:rPr>
        <w:t xml:space="preserve"> 类标准。北厂界夜</w:t>
      </w:r>
      <w:r>
        <w:rPr>
          <w:spacing w:val="-23"/>
        </w:rPr>
        <w:t xml:space="preserve">间超标 </w:t>
      </w:r>
      <w:r>
        <w:t>7.92db(A)。</w:t>
      </w:r>
    </w:p>
    <w:p>
      <w:pPr>
        <w:pStyle w:val="Heading2"/>
        <w:numPr>
          <w:ilvl w:val="1"/>
          <w:numId w:val="23"/>
        </w:numPr>
        <w:tabs>
          <w:tab w:val="left" w:pos="1468"/>
        </w:tabs>
        <w:spacing w:before="27" w:after="0" w:line="240" w:lineRule="auto"/>
        <w:ind w:left="1468" w:right="0" w:hanging="760"/>
        <w:jc w:val="both"/>
      </w:pPr>
      <w:bookmarkStart w:id="7" w:name="_TOC_250023"/>
      <w:bookmarkEnd w:id="7"/>
      <w:r>
        <w:t>企业周边环境风险受体情况</w:t>
      </w:r>
    </w:p>
    <w:p>
      <w:pPr>
        <w:pStyle w:val="Heading3"/>
        <w:numPr>
          <w:ilvl w:val="2"/>
          <w:numId w:val="19"/>
        </w:numPr>
        <w:tabs>
          <w:tab w:val="left" w:pos="1706"/>
        </w:tabs>
        <w:spacing w:before="374" w:after="0" w:line="240" w:lineRule="auto"/>
        <w:ind w:left="1705" w:right="0" w:hanging="998"/>
        <w:jc w:val="both"/>
      </w:pPr>
      <w:r>
        <w:t>大气环境风险受体</w:t>
      </w:r>
    </w:p>
    <w:p>
      <w:pPr>
        <w:pStyle w:val="BodyText"/>
        <w:spacing w:before="241" w:line="364" w:lineRule="auto"/>
        <w:ind w:left="708" w:right="689" w:firstLine="720"/>
        <w:jc w:val="both"/>
      </w:pPr>
      <w:r>
        <w:t>本项目位于某某市某某县县盐窝镇。该厂区远离城市建成区、城镇生活区，项目周边 500m 范围内无《危险化学品安全管理条例》中的“八大场所、区域”。公司厂界外5km 范围内的大气环境风险受体情况见表 3.2-1.</w:t>
      </w:r>
    </w:p>
    <w:p>
      <w:pPr>
        <w:pStyle w:val="Heading3"/>
        <w:spacing w:before="3"/>
        <w:ind w:left="4751"/>
        <w:jc w:val="both"/>
      </w:pPr>
      <w:r>
        <w:pict>
          <v:group id="_x0000_s1157" style="width:700pt;height:112pt;margin-top:28.76pt;margin-left:97pt;mso-position-horizontal-relative:page;mso-wrap-distance-left:0;mso-wrap-distance-right:0;position:absolute;z-index:-251650048" coordorigin="1940,575" coordsize="14000,2240">
            <v:shape id="_x0000_s1158" type="#_x0000_t75" style="width:14000;height:2240;left:1940;position:absolute;top:575" stroked="f">
              <v:imagedata r:id="rId51" o:title=""/>
            </v:shape>
            <v:shape id="_x0000_s1159" type="#_x0000_t202" style="width:654;height:317;left:2175;position:absolute;top:833" filled="f" stroked="f">
              <v:textbox inset="0,0,0,0">
                <w:txbxContent>
                  <w:p>
                    <w:pPr>
                      <w:spacing w:before="0" w:line="317" w:lineRule="exact"/>
                      <w:ind w:left="0" w:right="0" w:firstLine="0"/>
                      <w:jc w:val="left"/>
                      <w:rPr>
                        <w:b/>
                        <w:sz w:val="31"/>
                      </w:rPr>
                    </w:pPr>
                    <w:r>
                      <w:rPr>
                        <w:b/>
                        <w:sz w:val="31"/>
                      </w:rPr>
                      <w:t>序号</w:t>
                    </w:r>
                  </w:p>
                </w:txbxContent>
              </v:textbox>
            </v:shape>
            <v:shape id="_x0000_s1160" type="#_x0000_t202" style="width:654;height:317;left:4169;position:absolute;top:833" filled="f" stroked="f">
              <v:textbox inset="0,0,0,0">
                <w:txbxContent>
                  <w:p>
                    <w:pPr>
                      <w:spacing w:before="0" w:line="317" w:lineRule="exact"/>
                      <w:ind w:left="0" w:right="0" w:firstLine="0"/>
                      <w:jc w:val="left"/>
                      <w:rPr>
                        <w:b/>
                        <w:sz w:val="31"/>
                      </w:rPr>
                    </w:pPr>
                    <w:r>
                      <w:rPr>
                        <w:b/>
                        <w:sz w:val="31"/>
                      </w:rPr>
                      <w:t>名称</w:t>
                    </w:r>
                  </w:p>
                </w:txbxContent>
              </v:textbox>
            </v:shape>
            <v:shape id="_x0000_s1161" type="#_x0000_t202" style="width:1921;height:317;left:6629;position:absolute;top:833" filled="f" stroked="f">
              <v:textbox inset="0,0,0,0">
                <w:txbxContent>
                  <w:p>
                    <w:pPr>
                      <w:spacing w:before="0" w:line="317" w:lineRule="exact"/>
                      <w:ind w:left="0" w:right="0" w:firstLine="0"/>
                      <w:jc w:val="left"/>
                      <w:rPr>
                        <w:b/>
                        <w:sz w:val="31"/>
                      </w:rPr>
                    </w:pPr>
                    <w:r>
                      <w:rPr>
                        <w:b/>
                        <w:sz w:val="31"/>
                      </w:rPr>
                      <w:t>相对厂址方位</w:t>
                    </w:r>
                  </w:p>
                </w:txbxContent>
              </v:textbox>
            </v:shape>
            <v:shape id="_x0000_s1162" type="#_x0000_t202" style="width:2238;height:317;left:9758;position:absolute;top:833" filled="f" stroked="f">
              <v:textbox inset="0,0,0,0">
                <w:txbxContent>
                  <w:p>
                    <w:pPr>
                      <w:spacing w:before="0" w:line="317" w:lineRule="exact"/>
                      <w:ind w:left="0" w:right="0" w:firstLine="0"/>
                      <w:jc w:val="left"/>
                      <w:rPr>
                        <w:b/>
                        <w:sz w:val="31"/>
                      </w:rPr>
                    </w:pPr>
                    <w:r>
                      <w:rPr>
                        <w:b/>
                        <w:sz w:val="31"/>
                      </w:rPr>
                      <w:t>与厂界距离(km)</w:t>
                    </w:r>
                  </w:p>
                </w:txbxContent>
              </v:textbox>
            </v:shape>
            <v:shape id="_x0000_s1163" type="#_x0000_t202" style="width:654;height:317;left:13927;position:absolute;top:833" filled="f" stroked="f">
              <v:textbox inset="0,0,0,0">
                <w:txbxContent>
                  <w:p>
                    <w:pPr>
                      <w:spacing w:before="0" w:line="317" w:lineRule="exact"/>
                      <w:ind w:left="0" w:right="0" w:firstLine="0"/>
                      <w:jc w:val="left"/>
                      <w:rPr>
                        <w:b/>
                        <w:sz w:val="31"/>
                      </w:rPr>
                    </w:pPr>
                    <w:r>
                      <w:rPr>
                        <w:b/>
                        <w:sz w:val="31"/>
                      </w:rPr>
                      <w:t>人口</w:t>
                    </w:r>
                  </w:p>
                </w:txbxContent>
              </v:textbox>
            </v:shape>
            <v:shape id="_x0000_s1164" type="#_x0000_t202" style="width:179;height:317;left:2412;position:absolute;top:1556" filled="f" stroked="f">
              <v:textbox inset="0,0,0,0">
                <w:txbxContent>
                  <w:p>
                    <w:pPr>
                      <w:spacing w:before="0" w:line="317" w:lineRule="exact"/>
                      <w:ind w:left="0" w:right="0" w:firstLine="0"/>
                      <w:jc w:val="left"/>
                      <w:rPr>
                        <w:sz w:val="31"/>
                      </w:rPr>
                    </w:pPr>
                    <w:r>
                      <w:rPr>
                        <w:w w:val="102"/>
                        <w:sz w:val="31"/>
                      </w:rPr>
                      <w:t>1</w:t>
                    </w:r>
                  </w:p>
                </w:txbxContent>
              </v:textbox>
            </v:shape>
            <v:shape id="_x0000_s1165" type="#_x0000_t202" style="width:1288;height:317;left:3856;position:absolute;top:1556" filled="f" stroked="f">
              <v:textbox inset="0,0,0,0">
                <w:txbxContent>
                  <w:p>
                    <w:pPr>
                      <w:spacing w:before="0" w:line="317" w:lineRule="exact"/>
                      <w:ind w:left="0" w:right="0" w:firstLine="0"/>
                      <w:jc w:val="left"/>
                      <w:rPr>
                        <w:sz w:val="31"/>
                      </w:rPr>
                    </w:pPr>
                    <w:r>
                      <w:rPr>
                        <w:sz w:val="31"/>
                      </w:rPr>
                      <w:t>前邢家庄</w:t>
                    </w:r>
                  </w:p>
                </w:txbxContent>
              </v:textbox>
            </v:shape>
            <v:shape id="_x0000_s1166" type="#_x0000_t202" style="width:337;height:317;left:7417;position:absolute;top:1556" filled="f" stroked="f">
              <v:textbox inset="0,0,0,0">
                <w:txbxContent>
                  <w:p>
                    <w:pPr>
                      <w:spacing w:before="0" w:line="317" w:lineRule="exact"/>
                      <w:ind w:left="0" w:right="0" w:firstLine="0"/>
                      <w:jc w:val="left"/>
                      <w:rPr>
                        <w:sz w:val="31"/>
                      </w:rPr>
                    </w:pPr>
                    <w:r>
                      <w:rPr>
                        <w:sz w:val="31"/>
                      </w:rPr>
                      <w:t>SW</w:t>
                    </w:r>
                  </w:p>
                </w:txbxContent>
              </v:textbox>
            </v:shape>
            <v:shape id="_x0000_s1167" type="#_x0000_t202" style="width:496;height:317;left:10629;position:absolute;top:1556" filled="f" stroked="f">
              <v:textbox inset="0,0,0,0">
                <w:txbxContent>
                  <w:p>
                    <w:pPr>
                      <w:spacing w:before="0" w:line="317" w:lineRule="exact"/>
                      <w:ind w:left="0" w:right="0" w:firstLine="0"/>
                      <w:jc w:val="left"/>
                      <w:rPr>
                        <w:sz w:val="31"/>
                      </w:rPr>
                    </w:pPr>
                    <w:r>
                      <w:rPr>
                        <w:sz w:val="31"/>
                      </w:rPr>
                      <w:t>1.6</w:t>
                    </w:r>
                  </w:p>
                </w:txbxContent>
              </v:textbox>
            </v:shape>
            <v:shape id="_x0000_s1168" type="#_x0000_t202" style="width:496;height:317;left:14003;position:absolute;top:1556" filled="f" stroked="f">
              <v:textbox inset="0,0,0,0">
                <w:txbxContent>
                  <w:p>
                    <w:pPr>
                      <w:spacing w:before="0" w:line="317" w:lineRule="exact"/>
                      <w:ind w:left="0" w:right="0" w:firstLine="0"/>
                      <w:jc w:val="left"/>
                      <w:rPr>
                        <w:sz w:val="31"/>
                      </w:rPr>
                    </w:pPr>
                    <w:r>
                      <w:rPr>
                        <w:sz w:val="31"/>
                      </w:rPr>
                      <w:t>791</w:t>
                    </w:r>
                  </w:p>
                </w:txbxContent>
              </v:textbox>
            </v:shape>
            <v:shape id="_x0000_s1169" type="#_x0000_t202" style="width:179;height:317;left:2412;position:absolute;top:2284" filled="f" stroked="f">
              <v:textbox inset="0,0,0,0">
                <w:txbxContent>
                  <w:p>
                    <w:pPr>
                      <w:spacing w:before="0" w:line="317" w:lineRule="exact"/>
                      <w:ind w:left="0" w:right="0" w:firstLine="0"/>
                      <w:jc w:val="left"/>
                      <w:rPr>
                        <w:sz w:val="31"/>
                      </w:rPr>
                    </w:pPr>
                    <w:r>
                      <w:rPr>
                        <w:w w:val="102"/>
                        <w:sz w:val="31"/>
                      </w:rPr>
                      <w:t>2</w:t>
                    </w:r>
                  </w:p>
                </w:txbxContent>
              </v:textbox>
            </v:shape>
            <v:shape id="_x0000_s1170" type="#_x0000_t202" style="width:1288;height:317;left:3856;position:absolute;top:2284" filled="f" stroked="f">
              <v:textbox inset="0,0,0,0">
                <w:txbxContent>
                  <w:p>
                    <w:pPr>
                      <w:spacing w:before="0" w:line="317" w:lineRule="exact"/>
                      <w:ind w:left="0" w:right="0" w:firstLine="0"/>
                      <w:jc w:val="left"/>
                      <w:rPr>
                        <w:sz w:val="31"/>
                      </w:rPr>
                    </w:pPr>
                    <w:r>
                      <w:rPr>
                        <w:sz w:val="31"/>
                      </w:rPr>
                      <w:t>后邢家村</w:t>
                    </w:r>
                  </w:p>
                </w:txbxContent>
              </v:textbox>
            </v:shape>
            <v:shape id="_x0000_s1171" type="#_x0000_t202" style="width:179;height:317;left:7496;position:absolute;top:2284" filled="f" stroked="f">
              <v:textbox inset="0,0,0,0">
                <w:txbxContent>
                  <w:p>
                    <w:pPr>
                      <w:spacing w:before="0" w:line="317" w:lineRule="exact"/>
                      <w:ind w:left="0" w:right="0" w:firstLine="0"/>
                      <w:jc w:val="left"/>
                      <w:rPr>
                        <w:sz w:val="31"/>
                      </w:rPr>
                    </w:pPr>
                    <w:r>
                      <w:rPr>
                        <w:w w:val="102"/>
                        <w:sz w:val="31"/>
                      </w:rPr>
                      <w:t>W</w:t>
                    </w:r>
                  </w:p>
                </w:txbxContent>
              </v:textbox>
            </v:shape>
            <v:shape id="_x0000_s1172" type="#_x0000_t202" style="width:496;height:317;left:10629;position:absolute;top:2284" filled="f" stroked="f">
              <v:textbox inset="0,0,0,0">
                <w:txbxContent>
                  <w:p>
                    <w:pPr>
                      <w:spacing w:before="0" w:line="317" w:lineRule="exact"/>
                      <w:ind w:left="0" w:right="0" w:firstLine="0"/>
                      <w:jc w:val="left"/>
                      <w:rPr>
                        <w:sz w:val="31"/>
                      </w:rPr>
                    </w:pPr>
                    <w:r>
                      <w:rPr>
                        <w:sz w:val="31"/>
                      </w:rPr>
                      <w:t>1.7</w:t>
                    </w:r>
                  </w:p>
                </w:txbxContent>
              </v:textbox>
            </v:shape>
            <v:shape id="_x0000_s1173" type="#_x0000_t202" style="width:654;height:317;left:13924;position:absolute;top:2284" filled="f" stroked="f">
              <v:textbox inset="0,0,0,0">
                <w:txbxContent>
                  <w:p>
                    <w:pPr>
                      <w:spacing w:before="0" w:line="317" w:lineRule="exact"/>
                      <w:ind w:left="0" w:right="0" w:firstLine="0"/>
                      <w:jc w:val="left"/>
                      <w:rPr>
                        <w:sz w:val="31"/>
                      </w:rPr>
                    </w:pPr>
                    <w:r>
                      <w:rPr>
                        <w:sz w:val="31"/>
                      </w:rPr>
                      <w:t>1096</w:t>
                    </w:r>
                  </w:p>
                </w:txbxContent>
              </v:textbox>
            </v:shape>
            <w10:wrap type="topAndBottom"/>
          </v:group>
        </w:pict>
      </w:r>
      <w:r>
        <w:t>表 3.2-1 大气环境风险受体情况表</w:t>
      </w:r>
    </w:p>
    <w:p>
      <w:pPr>
        <w:spacing w:after="0"/>
        <w:jc w:val="both"/>
        <w:sectPr>
          <w:headerReference w:type="default" r:id="rId52"/>
          <w:footerReference w:type="default" r:id="rId53"/>
          <w:pgSz w:w="17860" w:h="25260"/>
          <w:pgMar w:top="1380" w:right="1360" w:bottom="2020" w:left="1420" w:header="1083" w:footer="1826"/>
          <w:pgNumType w:start="19"/>
          <w:cols w:space="708"/>
        </w:sectPr>
      </w:pPr>
    </w:p>
    <w:p>
      <w:pPr>
        <w:pStyle w:val="BodyText"/>
        <w:rPr>
          <w:b/>
          <w:sz w:val="20"/>
        </w:rPr>
      </w:pPr>
    </w:p>
    <w:p>
      <w:pPr>
        <w:pStyle w:val="BodyText"/>
        <w:rPr>
          <w:b/>
          <w:sz w:val="20"/>
        </w:rPr>
      </w:pPr>
    </w:p>
    <w:p>
      <w:pPr>
        <w:pStyle w:val="BodyText"/>
        <w:spacing w:before="3"/>
        <w:rPr>
          <w:b/>
          <w:sz w:val="13"/>
        </w:rPr>
      </w:pPr>
    </w:p>
    <w:tbl>
      <w:tblPr>
        <w:tblStyle w:val="TableNormal2"/>
        <w:tblW w:w="0" w:type="auto"/>
        <w:jc w:val="left"/>
        <w:tblInd w:w="7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07"/>
        <w:gridCol w:w="2938"/>
        <w:gridCol w:w="2911"/>
        <w:gridCol w:w="3332"/>
        <w:gridCol w:w="2100"/>
      </w:tblGrid>
      <w:tr>
        <w:tblPrEx>
          <w:tblW w:w="0" w:type="auto"/>
          <w:jc w:val="left"/>
          <w:tblInd w:w="7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0"/>
          <w:jc w:val="left"/>
        </w:trPr>
        <w:tc>
          <w:tcPr>
            <w:tcW w:w="1207" w:type="dxa"/>
          </w:tcPr>
          <w:p>
            <w:pPr>
              <w:pStyle w:val="TableParagraph"/>
              <w:spacing w:line="359" w:lineRule="exact"/>
              <w:ind w:right="471"/>
              <w:rPr>
                <w:sz w:val="31"/>
              </w:rPr>
            </w:pPr>
            <w:r>
              <w:rPr>
                <w:w w:val="102"/>
                <w:sz w:val="31"/>
              </w:rPr>
              <w:t>3</w:t>
            </w:r>
          </w:p>
        </w:tc>
        <w:tc>
          <w:tcPr>
            <w:tcW w:w="2938" w:type="dxa"/>
          </w:tcPr>
          <w:p>
            <w:pPr>
              <w:pStyle w:val="TableParagraph"/>
              <w:spacing w:line="359" w:lineRule="exact"/>
              <w:ind w:left="519" w:right="1139"/>
              <w:rPr>
                <w:sz w:val="31"/>
              </w:rPr>
            </w:pPr>
            <w:r>
              <w:rPr>
                <w:sz w:val="31"/>
              </w:rPr>
              <w:t>曹家村</w:t>
            </w:r>
          </w:p>
        </w:tc>
        <w:tc>
          <w:tcPr>
            <w:tcW w:w="2911" w:type="dxa"/>
          </w:tcPr>
          <w:p>
            <w:pPr>
              <w:pStyle w:val="TableParagraph"/>
              <w:spacing w:line="359" w:lineRule="exact"/>
              <w:ind w:left="1132" w:right="1429"/>
              <w:rPr>
                <w:sz w:val="31"/>
              </w:rPr>
            </w:pPr>
            <w:r>
              <w:rPr>
                <w:sz w:val="31"/>
              </w:rPr>
              <w:t>SW</w:t>
            </w:r>
          </w:p>
        </w:tc>
        <w:tc>
          <w:tcPr>
            <w:tcW w:w="3332" w:type="dxa"/>
          </w:tcPr>
          <w:p>
            <w:pPr>
              <w:pStyle w:val="TableParagraph"/>
              <w:spacing w:line="359" w:lineRule="exact"/>
              <w:ind w:right="1406"/>
              <w:jc w:val="right"/>
              <w:rPr>
                <w:sz w:val="31"/>
              </w:rPr>
            </w:pPr>
            <w:r>
              <w:rPr>
                <w:sz w:val="31"/>
              </w:rPr>
              <w:t>2.5</w:t>
            </w:r>
          </w:p>
        </w:tc>
        <w:tc>
          <w:tcPr>
            <w:tcW w:w="2100" w:type="dxa"/>
          </w:tcPr>
          <w:p>
            <w:pPr>
              <w:pStyle w:val="TableParagraph"/>
              <w:spacing w:line="359" w:lineRule="exact"/>
              <w:ind w:right="132"/>
              <w:jc w:val="right"/>
              <w:rPr>
                <w:sz w:val="31"/>
              </w:rPr>
            </w:pPr>
            <w:r>
              <w:rPr>
                <w:sz w:val="31"/>
              </w:rPr>
              <w:t>600</w:t>
            </w:r>
          </w:p>
        </w:tc>
      </w:tr>
      <w:tr>
        <w:tblPrEx>
          <w:tblW w:w="0" w:type="auto"/>
          <w:jc w:val="left"/>
          <w:tblInd w:w="712" w:type="dxa"/>
          <w:tblLayout w:type="fixed"/>
          <w:tblCellMar>
            <w:top w:w="0" w:type="dxa"/>
            <w:left w:w="0" w:type="dxa"/>
            <w:bottom w:w="0" w:type="dxa"/>
            <w:right w:w="0" w:type="dxa"/>
          </w:tblCellMar>
          <w:tblLook w:val="01E0"/>
        </w:tblPrEx>
        <w:trPr>
          <w:trHeight w:val="725"/>
          <w:jc w:val="left"/>
        </w:trPr>
        <w:tc>
          <w:tcPr>
            <w:tcW w:w="1207" w:type="dxa"/>
          </w:tcPr>
          <w:p>
            <w:pPr>
              <w:pStyle w:val="TableParagraph"/>
              <w:spacing w:before="166"/>
              <w:ind w:right="471"/>
              <w:rPr>
                <w:sz w:val="31"/>
              </w:rPr>
            </w:pPr>
            <w:r>
              <w:rPr>
                <w:w w:val="102"/>
                <w:sz w:val="31"/>
              </w:rPr>
              <w:t>4</w:t>
            </w:r>
          </w:p>
        </w:tc>
        <w:tc>
          <w:tcPr>
            <w:tcW w:w="2938" w:type="dxa"/>
          </w:tcPr>
          <w:p>
            <w:pPr>
              <w:pStyle w:val="TableParagraph"/>
              <w:spacing w:before="166"/>
              <w:ind w:left="519" w:right="1139"/>
              <w:rPr>
                <w:sz w:val="31"/>
              </w:rPr>
            </w:pPr>
            <w:r>
              <w:rPr>
                <w:sz w:val="31"/>
              </w:rPr>
              <w:t>魏村</w:t>
            </w:r>
          </w:p>
        </w:tc>
        <w:tc>
          <w:tcPr>
            <w:tcW w:w="2911" w:type="dxa"/>
          </w:tcPr>
          <w:p>
            <w:pPr>
              <w:pStyle w:val="TableParagraph"/>
              <w:spacing w:before="166"/>
              <w:ind w:right="297"/>
              <w:rPr>
                <w:sz w:val="31"/>
              </w:rPr>
            </w:pPr>
            <w:r>
              <w:rPr>
                <w:w w:val="102"/>
                <w:sz w:val="31"/>
              </w:rPr>
              <w:t>N</w:t>
            </w:r>
          </w:p>
        </w:tc>
        <w:tc>
          <w:tcPr>
            <w:tcW w:w="3332" w:type="dxa"/>
          </w:tcPr>
          <w:p>
            <w:pPr>
              <w:pStyle w:val="TableParagraph"/>
              <w:spacing w:before="166"/>
              <w:ind w:right="1406"/>
              <w:jc w:val="right"/>
              <w:rPr>
                <w:sz w:val="31"/>
              </w:rPr>
            </w:pPr>
            <w:r>
              <w:rPr>
                <w:sz w:val="31"/>
              </w:rPr>
              <w:t>3.9</w:t>
            </w:r>
          </w:p>
        </w:tc>
        <w:tc>
          <w:tcPr>
            <w:tcW w:w="2100" w:type="dxa"/>
          </w:tcPr>
          <w:p>
            <w:pPr>
              <w:pStyle w:val="TableParagraph"/>
              <w:spacing w:before="166"/>
              <w:ind w:right="132"/>
              <w:jc w:val="right"/>
              <w:rPr>
                <w:sz w:val="31"/>
              </w:rPr>
            </w:pPr>
            <w:r>
              <w:rPr>
                <w:sz w:val="31"/>
              </w:rPr>
              <w:t>650</w:t>
            </w:r>
          </w:p>
        </w:tc>
      </w:tr>
      <w:tr>
        <w:tblPrEx>
          <w:tblW w:w="0" w:type="auto"/>
          <w:jc w:val="left"/>
          <w:tblInd w:w="712" w:type="dxa"/>
          <w:tblLayout w:type="fixed"/>
          <w:tblCellMar>
            <w:top w:w="0" w:type="dxa"/>
            <w:left w:w="0" w:type="dxa"/>
            <w:bottom w:w="0" w:type="dxa"/>
            <w:right w:w="0" w:type="dxa"/>
          </w:tblCellMar>
          <w:tblLook w:val="01E0"/>
        </w:tblPrEx>
        <w:trPr>
          <w:trHeight w:val="725"/>
          <w:jc w:val="left"/>
        </w:trPr>
        <w:tc>
          <w:tcPr>
            <w:tcW w:w="1207" w:type="dxa"/>
          </w:tcPr>
          <w:p>
            <w:pPr>
              <w:pStyle w:val="TableParagraph"/>
              <w:spacing w:before="167"/>
              <w:ind w:right="471"/>
              <w:rPr>
                <w:sz w:val="31"/>
              </w:rPr>
            </w:pPr>
            <w:r>
              <w:rPr>
                <w:w w:val="102"/>
                <w:sz w:val="31"/>
              </w:rPr>
              <w:t>5</w:t>
            </w:r>
          </w:p>
        </w:tc>
        <w:tc>
          <w:tcPr>
            <w:tcW w:w="2938" w:type="dxa"/>
          </w:tcPr>
          <w:p>
            <w:pPr>
              <w:pStyle w:val="TableParagraph"/>
              <w:spacing w:before="167"/>
              <w:ind w:left="519" w:right="1139"/>
              <w:rPr>
                <w:sz w:val="31"/>
              </w:rPr>
            </w:pPr>
            <w:r>
              <w:rPr>
                <w:sz w:val="31"/>
              </w:rPr>
              <w:t>新刘村</w:t>
            </w:r>
          </w:p>
        </w:tc>
        <w:tc>
          <w:tcPr>
            <w:tcW w:w="2911" w:type="dxa"/>
          </w:tcPr>
          <w:p>
            <w:pPr>
              <w:pStyle w:val="TableParagraph"/>
              <w:spacing w:before="167"/>
              <w:ind w:right="297"/>
              <w:rPr>
                <w:sz w:val="31"/>
              </w:rPr>
            </w:pPr>
            <w:r>
              <w:rPr>
                <w:w w:val="102"/>
                <w:sz w:val="31"/>
              </w:rPr>
              <w:t>N</w:t>
            </w:r>
          </w:p>
        </w:tc>
        <w:tc>
          <w:tcPr>
            <w:tcW w:w="3332" w:type="dxa"/>
          </w:tcPr>
          <w:p>
            <w:pPr>
              <w:pStyle w:val="TableParagraph"/>
              <w:spacing w:before="167"/>
              <w:ind w:right="1406"/>
              <w:jc w:val="right"/>
              <w:rPr>
                <w:sz w:val="31"/>
              </w:rPr>
            </w:pPr>
            <w:r>
              <w:rPr>
                <w:sz w:val="31"/>
              </w:rPr>
              <w:t>3.7</w:t>
            </w:r>
          </w:p>
        </w:tc>
        <w:tc>
          <w:tcPr>
            <w:tcW w:w="2100" w:type="dxa"/>
          </w:tcPr>
          <w:p>
            <w:pPr>
              <w:pStyle w:val="TableParagraph"/>
              <w:spacing w:before="167"/>
              <w:ind w:right="132"/>
              <w:jc w:val="right"/>
              <w:rPr>
                <w:sz w:val="31"/>
              </w:rPr>
            </w:pPr>
            <w:r>
              <w:rPr>
                <w:sz w:val="31"/>
              </w:rPr>
              <w:t>552</w:t>
            </w:r>
          </w:p>
        </w:tc>
      </w:tr>
      <w:tr>
        <w:tblPrEx>
          <w:tblW w:w="0" w:type="auto"/>
          <w:jc w:val="left"/>
          <w:tblInd w:w="712" w:type="dxa"/>
          <w:tblLayout w:type="fixed"/>
          <w:tblCellMar>
            <w:top w:w="0" w:type="dxa"/>
            <w:left w:w="0" w:type="dxa"/>
            <w:bottom w:w="0" w:type="dxa"/>
            <w:right w:w="0" w:type="dxa"/>
          </w:tblCellMar>
          <w:tblLook w:val="01E0"/>
        </w:tblPrEx>
        <w:trPr>
          <w:trHeight w:val="723"/>
          <w:jc w:val="left"/>
        </w:trPr>
        <w:tc>
          <w:tcPr>
            <w:tcW w:w="1207" w:type="dxa"/>
          </w:tcPr>
          <w:p>
            <w:pPr>
              <w:pStyle w:val="TableParagraph"/>
              <w:spacing w:before="165"/>
              <w:ind w:right="471"/>
              <w:rPr>
                <w:sz w:val="31"/>
              </w:rPr>
            </w:pPr>
            <w:r>
              <w:rPr>
                <w:w w:val="102"/>
                <w:sz w:val="31"/>
              </w:rPr>
              <w:t>6</w:t>
            </w:r>
          </w:p>
        </w:tc>
        <w:tc>
          <w:tcPr>
            <w:tcW w:w="2938" w:type="dxa"/>
          </w:tcPr>
          <w:p>
            <w:pPr>
              <w:pStyle w:val="TableParagraph"/>
              <w:spacing w:before="165"/>
              <w:ind w:left="519" w:right="1139"/>
              <w:rPr>
                <w:sz w:val="31"/>
              </w:rPr>
            </w:pPr>
            <w:r>
              <w:rPr>
                <w:sz w:val="31"/>
              </w:rPr>
              <w:t>滩中村</w:t>
            </w:r>
          </w:p>
        </w:tc>
        <w:tc>
          <w:tcPr>
            <w:tcW w:w="2911" w:type="dxa"/>
          </w:tcPr>
          <w:p>
            <w:pPr>
              <w:pStyle w:val="TableParagraph"/>
              <w:spacing w:before="165"/>
              <w:ind w:right="297"/>
              <w:rPr>
                <w:sz w:val="31"/>
              </w:rPr>
            </w:pPr>
            <w:r>
              <w:rPr>
                <w:w w:val="102"/>
                <w:sz w:val="31"/>
              </w:rPr>
              <w:t>E</w:t>
            </w:r>
          </w:p>
        </w:tc>
        <w:tc>
          <w:tcPr>
            <w:tcW w:w="3332" w:type="dxa"/>
          </w:tcPr>
          <w:p>
            <w:pPr>
              <w:pStyle w:val="TableParagraph"/>
              <w:spacing w:before="165"/>
              <w:ind w:right="1406"/>
              <w:jc w:val="right"/>
              <w:rPr>
                <w:sz w:val="31"/>
              </w:rPr>
            </w:pPr>
            <w:r>
              <w:rPr>
                <w:sz w:val="31"/>
              </w:rPr>
              <w:t>4.9</w:t>
            </w:r>
          </w:p>
        </w:tc>
        <w:tc>
          <w:tcPr>
            <w:tcW w:w="2100" w:type="dxa"/>
          </w:tcPr>
          <w:p>
            <w:pPr>
              <w:pStyle w:val="TableParagraph"/>
              <w:spacing w:before="165"/>
              <w:ind w:right="132"/>
              <w:jc w:val="right"/>
              <w:rPr>
                <w:sz w:val="31"/>
              </w:rPr>
            </w:pPr>
            <w:r>
              <w:rPr>
                <w:sz w:val="31"/>
              </w:rPr>
              <w:t>435</w:t>
            </w:r>
          </w:p>
        </w:tc>
      </w:tr>
      <w:tr>
        <w:tblPrEx>
          <w:tblW w:w="0" w:type="auto"/>
          <w:jc w:val="left"/>
          <w:tblInd w:w="712" w:type="dxa"/>
          <w:tblLayout w:type="fixed"/>
          <w:tblCellMar>
            <w:top w:w="0" w:type="dxa"/>
            <w:left w:w="0" w:type="dxa"/>
            <w:bottom w:w="0" w:type="dxa"/>
            <w:right w:w="0" w:type="dxa"/>
          </w:tblCellMar>
          <w:tblLook w:val="01E0"/>
        </w:tblPrEx>
        <w:trPr>
          <w:trHeight w:val="723"/>
          <w:jc w:val="left"/>
        </w:trPr>
        <w:tc>
          <w:tcPr>
            <w:tcW w:w="1207" w:type="dxa"/>
          </w:tcPr>
          <w:p>
            <w:pPr>
              <w:pStyle w:val="TableParagraph"/>
              <w:spacing w:before="165"/>
              <w:ind w:right="471"/>
              <w:rPr>
                <w:sz w:val="31"/>
              </w:rPr>
            </w:pPr>
            <w:r>
              <w:rPr>
                <w:w w:val="102"/>
                <w:sz w:val="31"/>
              </w:rPr>
              <w:t>7</w:t>
            </w:r>
          </w:p>
        </w:tc>
        <w:tc>
          <w:tcPr>
            <w:tcW w:w="2938" w:type="dxa"/>
          </w:tcPr>
          <w:p>
            <w:pPr>
              <w:pStyle w:val="TableParagraph"/>
              <w:spacing w:before="165"/>
              <w:ind w:left="519" w:right="1139"/>
              <w:rPr>
                <w:sz w:val="31"/>
              </w:rPr>
            </w:pPr>
            <w:r>
              <w:rPr>
                <w:sz w:val="31"/>
              </w:rPr>
              <w:t>康宁村</w:t>
            </w:r>
          </w:p>
        </w:tc>
        <w:tc>
          <w:tcPr>
            <w:tcW w:w="2911" w:type="dxa"/>
          </w:tcPr>
          <w:p>
            <w:pPr>
              <w:pStyle w:val="TableParagraph"/>
              <w:spacing w:before="165"/>
              <w:ind w:left="1132" w:right="1429"/>
              <w:rPr>
                <w:sz w:val="31"/>
              </w:rPr>
            </w:pPr>
            <w:r>
              <w:rPr>
                <w:sz w:val="31"/>
              </w:rPr>
              <w:t>ES</w:t>
            </w:r>
          </w:p>
        </w:tc>
        <w:tc>
          <w:tcPr>
            <w:tcW w:w="3332" w:type="dxa"/>
          </w:tcPr>
          <w:p>
            <w:pPr>
              <w:pStyle w:val="TableParagraph"/>
              <w:spacing w:before="165"/>
              <w:ind w:right="1406"/>
              <w:jc w:val="right"/>
              <w:rPr>
                <w:sz w:val="31"/>
              </w:rPr>
            </w:pPr>
            <w:r>
              <w:rPr>
                <w:sz w:val="31"/>
              </w:rPr>
              <w:t>3.8</w:t>
            </w:r>
          </w:p>
        </w:tc>
        <w:tc>
          <w:tcPr>
            <w:tcW w:w="2100" w:type="dxa"/>
          </w:tcPr>
          <w:p>
            <w:pPr>
              <w:pStyle w:val="TableParagraph"/>
              <w:spacing w:before="165"/>
              <w:ind w:right="132"/>
              <w:jc w:val="right"/>
              <w:rPr>
                <w:sz w:val="31"/>
              </w:rPr>
            </w:pPr>
            <w:r>
              <w:rPr>
                <w:sz w:val="31"/>
              </w:rPr>
              <w:t>645</w:t>
            </w:r>
          </w:p>
        </w:tc>
      </w:tr>
      <w:tr>
        <w:tblPrEx>
          <w:tblW w:w="0" w:type="auto"/>
          <w:jc w:val="left"/>
          <w:tblInd w:w="712" w:type="dxa"/>
          <w:tblLayout w:type="fixed"/>
          <w:tblCellMar>
            <w:top w:w="0" w:type="dxa"/>
            <w:left w:w="0" w:type="dxa"/>
            <w:bottom w:w="0" w:type="dxa"/>
            <w:right w:w="0" w:type="dxa"/>
          </w:tblCellMar>
          <w:tblLook w:val="01E0"/>
        </w:tblPrEx>
        <w:trPr>
          <w:trHeight w:val="725"/>
          <w:jc w:val="left"/>
        </w:trPr>
        <w:tc>
          <w:tcPr>
            <w:tcW w:w="1207" w:type="dxa"/>
          </w:tcPr>
          <w:p>
            <w:pPr>
              <w:pStyle w:val="TableParagraph"/>
              <w:spacing w:before="165"/>
              <w:ind w:right="471"/>
              <w:rPr>
                <w:sz w:val="31"/>
              </w:rPr>
            </w:pPr>
            <w:r>
              <w:rPr>
                <w:w w:val="102"/>
                <w:sz w:val="31"/>
              </w:rPr>
              <w:t>8</w:t>
            </w:r>
          </w:p>
        </w:tc>
        <w:tc>
          <w:tcPr>
            <w:tcW w:w="2938" w:type="dxa"/>
          </w:tcPr>
          <w:p>
            <w:pPr>
              <w:pStyle w:val="TableParagraph"/>
              <w:spacing w:before="165"/>
              <w:ind w:left="519" w:right="1139"/>
              <w:rPr>
                <w:sz w:val="31"/>
              </w:rPr>
            </w:pPr>
            <w:r>
              <w:rPr>
                <w:sz w:val="31"/>
              </w:rPr>
              <w:t>黄村</w:t>
            </w:r>
          </w:p>
        </w:tc>
        <w:tc>
          <w:tcPr>
            <w:tcW w:w="2911" w:type="dxa"/>
          </w:tcPr>
          <w:p>
            <w:pPr>
              <w:pStyle w:val="TableParagraph"/>
              <w:spacing w:before="165"/>
              <w:ind w:right="297"/>
              <w:rPr>
                <w:sz w:val="31"/>
              </w:rPr>
            </w:pPr>
            <w:r>
              <w:rPr>
                <w:w w:val="102"/>
                <w:sz w:val="31"/>
              </w:rPr>
              <w:t>S</w:t>
            </w:r>
          </w:p>
        </w:tc>
        <w:tc>
          <w:tcPr>
            <w:tcW w:w="3332" w:type="dxa"/>
          </w:tcPr>
          <w:p>
            <w:pPr>
              <w:pStyle w:val="TableParagraph"/>
              <w:spacing w:before="165"/>
              <w:ind w:right="1406"/>
              <w:jc w:val="right"/>
              <w:rPr>
                <w:sz w:val="31"/>
              </w:rPr>
            </w:pPr>
            <w:r>
              <w:rPr>
                <w:sz w:val="31"/>
              </w:rPr>
              <w:t>2.8</w:t>
            </w:r>
          </w:p>
        </w:tc>
        <w:tc>
          <w:tcPr>
            <w:tcW w:w="2100" w:type="dxa"/>
          </w:tcPr>
          <w:p>
            <w:pPr>
              <w:pStyle w:val="TableParagraph"/>
              <w:spacing w:before="165"/>
              <w:ind w:right="132"/>
              <w:jc w:val="right"/>
              <w:rPr>
                <w:sz w:val="31"/>
              </w:rPr>
            </w:pPr>
            <w:r>
              <w:rPr>
                <w:sz w:val="31"/>
              </w:rPr>
              <w:t>652</w:t>
            </w:r>
          </w:p>
        </w:tc>
      </w:tr>
      <w:tr>
        <w:tblPrEx>
          <w:tblW w:w="0" w:type="auto"/>
          <w:jc w:val="left"/>
          <w:tblInd w:w="712" w:type="dxa"/>
          <w:tblLayout w:type="fixed"/>
          <w:tblCellMar>
            <w:top w:w="0" w:type="dxa"/>
            <w:left w:w="0" w:type="dxa"/>
            <w:bottom w:w="0" w:type="dxa"/>
            <w:right w:w="0" w:type="dxa"/>
          </w:tblCellMar>
          <w:tblLook w:val="01E0"/>
        </w:tblPrEx>
        <w:trPr>
          <w:trHeight w:val="725"/>
          <w:jc w:val="left"/>
        </w:trPr>
        <w:tc>
          <w:tcPr>
            <w:tcW w:w="1207" w:type="dxa"/>
          </w:tcPr>
          <w:p>
            <w:pPr>
              <w:pStyle w:val="TableParagraph"/>
              <w:spacing w:before="167"/>
              <w:ind w:right="471"/>
              <w:rPr>
                <w:sz w:val="31"/>
              </w:rPr>
            </w:pPr>
            <w:r>
              <w:rPr>
                <w:w w:val="102"/>
                <w:sz w:val="31"/>
              </w:rPr>
              <w:t>9</w:t>
            </w:r>
          </w:p>
        </w:tc>
        <w:tc>
          <w:tcPr>
            <w:tcW w:w="2938" w:type="dxa"/>
          </w:tcPr>
          <w:p>
            <w:pPr>
              <w:pStyle w:val="TableParagraph"/>
              <w:spacing w:before="167"/>
              <w:ind w:left="519" w:right="1139"/>
              <w:rPr>
                <w:sz w:val="31"/>
              </w:rPr>
            </w:pPr>
            <w:r>
              <w:rPr>
                <w:sz w:val="31"/>
              </w:rPr>
              <w:t>刘村</w:t>
            </w:r>
          </w:p>
        </w:tc>
        <w:tc>
          <w:tcPr>
            <w:tcW w:w="2911" w:type="dxa"/>
          </w:tcPr>
          <w:p>
            <w:pPr>
              <w:pStyle w:val="TableParagraph"/>
              <w:spacing w:before="167"/>
              <w:ind w:right="297"/>
              <w:rPr>
                <w:sz w:val="31"/>
              </w:rPr>
            </w:pPr>
            <w:r>
              <w:rPr>
                <w:w w:val="102"/>
                <w:sz w:val="31"/>
              </w:rPr>
              <w:t>S</w:t>
            </w:r>
          </w:p>
        </w:tc>
        <w:tc>
          <w:tcPr>
            <w:tcW w:w="3332" w:type="dxa"/>
          </w:tcPr>
          <w:p>
            <w:pPr>
              <w:pStyle w:val="TableParagraph"/>
              <w:spacing w:before="167"/>
              <w:ind w:right="1406"/>
              <w:jc w:val="right"/>
              <w:rPr>
                <w:sz w:val="31"/>
              </w:rPr>
            </w:pPr>
            <w:r>
              <w:rPr>
                <w:sz w:val="31"/>
              </w:rPr>
              <w:t>3.6</w:t>
            </w:r>
          </w:p>
        </w:tc>
        <w:tc>
          <w:tcPr>
            <w:tcW w:w="2100" w:type="dxa"/>
          </w:tcPr>
          <w:p>
            <w:pPr>
              <w:pStyle w:val="TableParagraph"/>
              <w:spacing w:before="167"/>
              <w:ind w:right="53"/>
              <w:jc w:val="right"/>
              <w:rPr>
                <w:sz w:val="31"/>
              </w:rPr>
            </w:pPr>
            <w:r>
              <w:rPr>
                <w:sz w:val="31"/>
              </w:rPr>
              <w:t>1467</w:t>
            </w:r>
          </w:p>
        </w:tc>
      </w:tr>
      <w:tr>
        <w:tblPrEx>
          <w:tblW w:w="0" w:type="auto"/>
          <w:jc w:val="left"/>
          <w:tblInd w:w="712" w:type="dxa"/>
          <w:tblLayout w:type="fixed"/>
          <w:tblCellMar>
            <w:top w:w="0" w:type="dxa"/>
            <w:left w:w="0" w:type="dxa"/>
            <w:bottom w:w="0" w:type="dxa"/>
            <w:right w:w="0" w:type="dxa"/>
          </w:tblCellMar>
          <w:tblLook w:val="01E0"/>
        </w:tblPrEx>
        <w:trPr>
          <w:trHeight w:val="724"/>
          <w:jc w:val="left"/>
        </w:trPr>
        <w:tc>
          <w:tcPr>
            <w:tcW w:w="1207" w:type="dxa"/>
          </w:tcPr>
          <w:p>
            <w:pPr>
              <w:pStyle w:val="TableParagraph"/>
              <w:spacing w:before="165"/>
              <w:ind w:left="38" w:right="509"/>
              <w:rPr>
                <w:sz w:val="31"/>
              </w:rPr>
            </w:pPr>
            <w:r>
              <w:rPr>
                <w:sz w:val="31"/>
              </w:rPr>
              <w:t>10</w:t>
            </w:r>
          </w:p>
        </w:tc>
        <w:tc>
          <w:tcPr>
            <w:tcW w:w="2938" w:type="dxa"/>
          </w:tcPr>
          <w:p>
            <w:pPr>
              <w:pStyle w:val="TableParagraph"/>
              <w:spacing w:before="165"/>
              <w:ind w:left="519" w:right="1139"/>
              <w:rPr>
                <w:sz w:val="31"/>
              </w:rPr>
            </w:pPr>
            <w:r>
              <w:rPr>
                <w:sz w:val="31"/>
              </w:rPr>
              <w:t>鲍王庄村</w:t>
            </w:r>
          </w:p>
        </w:tc>
        <w:tc>
          <w:tcPr>
            <w:tcW w:w="2911" w:type="dxa"/>
          </w:tcPr>
          <w:p>
            <w:pPr>
              <w:pStyle w:val="TableParagraph"/>
              <w:spacing w:before="165"/>
              <w:ind w:right="297"/>
              <w:rPr>
                <w:sz w:val="31"/>
              </w:rPr>
            </w:pPr>
            <w:r>
              <w:rPr>
                <w:w w:val="102"/>
                <w:sz w:val="31"/>
              </w:rPr>
              <w:t>S</w:t>
            </w:r>
          </w:p>
        </w:tc>
        <w:tc>
          <w:tcPr>
            <w:tcW w:w="3332" w:type="dxa"/>
          </w:tcPr>
          <w:p>
            <w:pPr>
              <w:pStyle w:val="TableParagraph"/>
              <w:spacing w:before="165"/>
              <w:ind w:right="1406"/>
              <w:jc w:val="right"/>
              <w:rPr>
                <w:sz w:val="31"/>
              </w:rPr>
            </w:pPr>
            <w:r>
              <w:rPr>
                <w:sz w:val="31"/>
              </w:rPr>
              <w:t>3.6</w:t>
            </w:r>
          </w:p>
        </w:tc>
        <w:tc>
          <w:tcPr>
            <w:tcW w:w="2100" w:type="dxa"/>
          </w:tcPr>
          <w:p>
            <w:pPr>
              <w:pStyle w:val="TableParagraph"/>
              <w:spacing w:before="165"/>
              <w:ind w:right="132"/>
              <w:jc w:val="right"/>
              <w:rPr>
                <w:sz w:val="31"/>
              </w:rPr>
            </w:pPr>
            <w:r>
              <w:rPr>
                <w:sz w:val="31"/>
              </w:rPr>
              <w:t>896</w:t>
            </w:r>
          </w:p>
        </w:tc>
      </w:tr>
      <w:tr>
        <w:tblPrEx>
          <w:tblW w:w="0" w:type="auto"/>
          <w:jc w:val="left"/>
          <w:tblInd w:w="712" w:type="dxa"/>
          <w:tblLayout w:type="fixed"/>
          <w:tblCellMar>
            <w:top w:w="0" w:type="dxa"/>
            <w:left w:w="0" w:type="dxa"/>
            <w:bottom w:w="0" w:type="dxa"/>
            <w:right w:w="0" w:type="dxa"/>
          </w:tblCellMar>
          <w:tblLook w:val="01E0"/>
        </w:tblPrEx>
        <w:trPr>
          <w:trHeight w:val="724"/>
          <w:jc w:val="left"/>
        </w:trPr>
        <w:tc>
          <w:tcPr>
            <w:tcW w:w="1207" w:type="dxa"/>
          </w:tcPr>
          <w:p>
            <w:pPr>
              <w:pStyle w:val="TableParagraph"/>
              <w:spacing w:before="166"/>
              <w:ind w:left="38" w:right="509"/>
              <w:rPr>
                <w:sz w:val="31"/>
              </w:rPr>
            </w:pPr>
            <w:r>
              <w:rPr>
                <w:sz w:val="31"/>
              </w:rPr>
              <w:t>11</w:t>
            </w:r>
          </w:p>
        </w:tc>
        <w:tc>
          <w:tcPr>
            <w:tcW w:w="2938" w:type="dxa"/>
          </w:tcPr>
          <w:p>
            <w:pPr>
              <w:pStyle w:val="TableParagraph"/>
              <w:spacing w:before="166"/>
              <w:ind w:left="519" w:right="1139"/>
              <w:rPr>
                <w:sz w:val="31"/>
              </w:rPr>
            </w:pPr>
            <w:r>
              <w:rPr>
                <w:sz w:val="31"/>
              </w:rPr>
              <w:t>北岭二村</w:t>
            </w:r>
          </w:p>
        </w:tc>
        <w:tc>
          <w:tcPr>
            <w:tcW w:w="2911" w:type="dxa"/>
          </w:tcPr>
          <w:p>
            <w:pPr>
              <w:pStyle w:val="TableParagraph"/>
              <w:spacing w:before="166"/>
              <w:ind w:right="297"/>
              <w:rPr>
                <w:sz w:val="31"/>
              </w:rPr>
            </w:pPr>
            <w:r>
              <w:rPr>
                <w:w w:val="102"/>
                <w:sz w:val="31"/>
              </w:rPr>
              <w:t>E</w:t>
            </w:r>
          </w:p>
        </w:tc>
        <w:tc>
          <w:tcPr>
            <w:tcW w:w="3332" w:type="dxa"/>
          </w:tcPr>
          <w:p>
            <w:pPr>
              <w:pStyle w:val="TableParagraph"/>
              <w:spacing w:before="166"/>
              <w:ind w:right="1406"/>
              <w:jc w:val="right"/>
              <w:rPr>
                <w:sz w:val="31"/>
              </w:rPr>
            </w:pPr>
            <w:r>
              <w:rPr>
                <w:sz w:val="31"/>
              </w:rPr>
              <w:t>4.3</w:t>
            </w:r>
          </w:p>
        </w:tc>
        <w:tc>
          <w:tcPr>
            <w:tcW w:w="2100" w:type="dxa"/>
          </w:tcPr>
          <w:p>
            <w:pPr>
              <w:pStyle w:val="TableParagraph"/>
              <w:spacing w:before="166"/>
              <w:ind w:right="132"/>
              <w:jc w:val="right"/>
              <w:rPr>
                <w:sz w:val="31"/>
              </w:rPr>
            </w:pPr>
            <w:r>
              <w:rPr>
                <w:sz w:val="31"/>
              </w:rPr>
              <w:t>578</w:t>
            </w:r>
          </w:p>
        </w:tc>
      </w:tr>
      <w:tr>
        <w:tblPrEx>
          <w:tblW w:w="0" w:type="auto"/>
          <w:jc w:val="left"/>
          <w:tblInd w:w="712" w:type="dxa"/>
          <w:tblLayout w:type="fixed"/>
          <w:tblCellMar>
            <w:top w:w="0" w:type="dxa"/>
            <w:left w:w="0" w:type="dxa"/>
            <w:bottom w:w="0" w:type="dxa"/>
            <w:right w:w="0" w:type="dxa"/>
          </w:tblCellMar>
          <w:tblLook w:val="01E0"/>
        </w:tblPrEx>
        <w:trPr>
          <w:trHeight w:val="520"/>
          <w:jc w:val="left"/>
        </w:trPr>
        <w:tc>
          <w:tcPr>
            <w:tcW w:w="1207" w:type="dxa"/>
          </w:tcPr>
          <w:p>
            <w:pPr>
              <w:pStyle w:val="TableParagraph"/>
              <w:spacing w:before="165" w:line="335" w:lineRule="exact"/>
              <w:ind w:left="38" w:right="509"/>
              <w:rPr>
                <w:sz w:val="31"/>
              </w:rPr>
            </w:pPr>
            <w:r>
              <w:rPr>
                <w:sz w:val="31"/>
              </w:rPr>
              <w:t>合计</w:t>
            </w:r>
          </w:p>
        </w:tc>
        <w:tc>
          <w:tcPr>
            <w:tcW w:w="2938" w:type="dxa"/>
          </w:tcPr>
          <w:p>
            <w:pPr>
              <w:pStyle w:val="TableParagraph"/>
              <w:jc w:val="left"/>
              <w:rPr>
                <w:rFonts w:ascii="Times New Roman"/>
                <w:sz w:val="34"/>
              </w:rPr>
            </w:pPr>
          </w:p>
        </w:tc>
        <w:tc>
          <w:tcPr>
            <w:tcW w:w="2911" w:type="dxa"/>
          </w:tcPr>
          <w:p>
            <w:pPr>
              <w:pStyle w:val="TableParagraph"/>
              <w:jc w:val="left"/>
              <w:rPr>
                <w:rFonts w:ascii="Times New Roman"/>
                <w:sz w:val="34"/>
              </w:rPr>
            </w:pPr>
          </w:p>
        </w:tc>
        <w:tc>
          <w:tcPr>
            <w:tcW w:w="3332" w:type="dxa"/>
          </w:tcPr>
          <w:p>
            <w:pPr>
              <w:pStyle w:val="TableParagraph"/>
              <w:jc w:val="left"/>
              <w:rPr>
                <w:rFonts w:ascii="Times New Roman"/>
                <w:sz w:val="34"/>
              </w:rPr>
            </w:pPr>
          </w:p>
        </w:tc>
        <w:tc>
          <w:tcPr>
            <w:tcW w:w="2100" w:type="dxa"/>
          </w:tcPr>
          <w:p>
            <w:pPr>
              <w:pStyle w:val="TableParagraph"/>
              <w:spacing w:before="165" w:line="335" w:lineRule="exact"/>
              <w:ind w:right="46"/>
              <w:jc w:val="right"/>
              <w:rPr>
                <w:sz w:val="31"/>
              </w:rPr>
            </w:pPr>
            <w:r>
              <w:rPr>
                <w:sz w:val="31"/>
              </w:rPr>
              <w:t>8362</w:t>
            </w:r>
          </w:p>
        </w:tc>
      </w:tr>
    </w:tbl>
    <w:p>
      <w:pPr>
        <w:pStyle w:val="BodyText"/>
        <w:rPr>
          <w:b/>
          <w:sz w:val="20"/>
        </w:rPr>
      </w:pPr>
    </w:p>
    <w:p>
      <w:pPr>
        <w:pStyle w:val="BodyText"/>
        <w:rPr>
          <w:b/>
          <w:sz w:val="20"/>
        </w:rPr>
      </w:pPr>
    </w:p>
    <w:p>
      <w:pPr>
        <w:pStyle w:val="BodyText"/>
        <w:rPr>
          <w:b/>
          <w:sz w:val="20"/>
        </w:rPr>
      </w:pPr>
    </w:p>
    <w:p>
      <w:pPr>
        <w:pStyle w:val="BodyText"/>
        <w:spacing w:before="7"/>
        <w:rPr>
          <w:b/>
          <w:sz w:val="14"/>
        </w:rPr>
      </w:pPr>
    </w:p>
    <w:p>
      <w:pPr>
        <w:pStyle w:val="BodyText"/>
        <w:spacing w:before="50" w:line="364" w:lineRule="auto"/>
        <w:ind w:left="708" w:right="759" w:firstLine="720"/>
        <w:jc w:val="both"/>
      </w:pPr>
      <w:r>
        <w:drawing>
          <wp:anchor distT="0" distB="0" distL="0" distR="0" simplePos="0" relativeHeight="251668480" behindDoc="1" locked="0" layoutInCell="1" allowOverlap="1">
            <wp:simplePos x="0" y="0"/>
            <wp:positionH relativeFrom="page">
              <wp:posOffset>1231900</wp:posOffset>
            </wp:positionH>
            <wp:positionV relativeFrom="paragraph">
              <wp:posOffset>-5107051</wp:posOffset>
            </wp:positionV>
            <wp:extent cx="8867774" cy="4623911"/>
            <wp:effectExtent l="0" t="0" r="0" b="0"/>
            <wp:wrapNone/>
            <wp:docPr id="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3.png"/>
                    <pic:cNvPicPr/>
                  </pic:nvPicPr>
                  <pic:blipFill>
                    <a:blip xmlns:r="http://schemas.openxmlformats.org/officeDocument/2006/relationships" r:embed="rId54" cstate="print"/>
                    <a:stretch>
                      <a:fillRect/>
                    </a:stretch>
                  </pic:blipFill>
                  <pic:spPr>
                    <a:xfrm>
                      <a:off x="0" y="0"/>
                      <a:ext cx="8867774" cy="4623911"/>
                    </a:xfrm>
                    <a:prstGeom prst="rect">
                      <a:avLst/>
                    </a:prstGeom>
                  </pic:spPr>
                </pic:pic>
              </a:graphicData>
            </a:graphic>
          </wp:anchor>
        </w:drawing>
      </w:r>
      <w:r>
        <w:rPr>
          <w:spacing w:val="-25"/>
        </w:rPr>
        <w:t xml:space="preserve">由表 </w:t>
      </w:r>
      <w:r>
        <w:t>3.2-1</w:t>
      </w:r>
      <w:r>
        <w:rPr>
          <w:spacing w:val="-17"/>
        </w:rPr>
        <w:t xml:space="preserve"> 可知，本项目周边 </w:t>
      </w:r>
      <w:r>
        <w:t>5</w:t>
      </w:r>
      <w:r>
        <w:rPr>
          <w:spacing w:val="-14"/>
        </w:rPr>
        <w:t xml:space="preserve"> 千米范围内居住区总人口约 </w:t>
      </w:r>
      <w:r>
        <w:t>8362</w:t>
      </w:r>
      <w:r>
        <w:rPr>
          <w:spacing w:val="-13"/>
        </w:rPr>
        <w:t xml:space="preserve"> 人，此区域空气</w:t>
      </w:r>
      <w:r>
        <w:t>质量标准执行《环境空气质量标准》（</w:t>
      </w:r>
      <w:r>
        <w:rPr>
          <w:spacing w:val="-122"/>
        </w:rPr>
        <w:t xml:space="preserve"> </w:t>
      </w:r>
      <w:r>
        <w:t>GB3095-2012）二级标准。根据实际调查该项目</w:t>
      </w:r>
      <w:r>
        <w:rPr>
          <w:spacing w:val="-30"/>
        </w:rPr>
        <w:t xml:space="preserve">周边 </w:t>
      </w:r>
      <w:r>
        <w:t>5</w:t>
      </w:r>
      <w:r>
        <w:rPr>
          <w:spacing w:val="-11"/>
        </w:rPr>
        <w:t xml:space="preserve"> 千米范围内无军事禁区、军事管理区、国家相关保密区域。</w:t>
      </w:r>
    </w:p>
    <w:p>
      <w:pPr>
        <w:pStyle w:val="Heading3"/>
        <w:numPr>
          <w:ilvl w:val="2"/>
          <w:numId w:val="19"/>
        </w:numPr>
        <w:tabs>
          <w:tab w:val="left" w:pos="1706"/>
        </w:tabs>
        <w:spacing w:before="3" w:after="0" w:line="240" w:lineRule="auto"/>
        <w:ind w:left="1705" w:right="0" w:hanging="998"/>
        <w:jc w:val="both"/>
      </w:pPr>
      <w:r>
        <w:t>水环境风险受体</w:t>
      </w:r>
    </w:p>
    <w:p>
      <w:pPr>
        <w:pStyle w:val="BodyText"/>
        <w:spacing w:before="241"/>
        <w:ind w:left="1428"/>
      </w:pPr>
      <w:r>
        <w:t>经调查，本单位废水主要来源于生活污水、初期雨水及事故水。</w:t>
      </w:r>
    </w:p>
    <w:p>
      <w:pPr>
        <w:pStyle w:val="ListParagraph"/>
        <w:numPr>
          <w:ilvl w:val="3"/>
          <w:numId w:val="19"/>
        </w:numPr>
        <w:tabs>
          <w:tab w:val="left" w:pos="2330"/>
        </w:tabs>
        <w:spacing w:before="241" w:after="0" w:line="240" w:lineRule="auto"/>
        <w:ind w:left="2329" w:right="0" w:hanging="902"/>
        <w:jc w:val="left"/>
        <w:rPr>
          <w:sz w:val="36"/>
        </w:rPr>
      </w:pPr>
      <w:r>
        <w:rPr>
          <w:sz w:val="36"/>
        </w:rPr>
        <w:t>生活污水</w:t>
      </w:r>
    </w:p>
    <w:p>
      <w:pPr>
        <w:pStyle w:val="BodyText"/>
        <w:spacing w:before="241"/>
        <w:ind w:left="1428"/>
      </w:pPr>
      <w:r>
        <w:t>本项目职工生活污水经化粪池处理后，由当地环卫部门定期清掏。</w:t>
      </w:r>
    </w:p>
    <w:p>
      <w:pPr>
        <w:pStyle w:val="ListParagraph"/>
        <w:numPr>
          <w:ilvl w:val="3"/>
          <w:numId w:val="19"/>
        </w:numPr>
        <w:tabs>
          <w:tab w:val="left" w:pos="2330"/>
        </w:tabs>
        <w:spacing w:before="240" w:after="0" w:line="240" w:lineRule="auto"/>
        <w:ind w:left="2329" w:right="0" w:hanging="902"/>
        <w:jc w:val="left"/>
        <w:rPr>
          <w:sz w:val="36"/>
        </w:rPr>
      </w:pPr>
      <w:r>
        <w:rPr>
          <w:sz w:val="36"/>
        </w:rPr>
        <w:t>初期雨水</w:t>
      </w:r>
    </w:p>
    <w:p>
      <w:pPr>
        <w:pStyle w:val="BodyText"/>
        <w:spacing w:before="241"/>
        <w:ind w:left="1428"/>
      </w:pPr>
      <w:r>
        <w:t>本项目初期雨水经隔油池预处理后经罐车运至污水处理厂进行深度处理。</w:t>
      </w:r>
    </w:p>
    <w:p>
      <w:pPr>
        <w:pStyle w:val="ListParagraph"/>
        <w:numPr>
          <w:ilvl w:val="3"/>
          <w:numId w:val="19"/>
        </w:numPr>
        <w:tabs>
          <w:tab w:val="left" w:pos="2330"/>
        </w:tabs>
        <w:spacing w:before="241" w:after="0" w:line="240" w:lineRule="auto"/>
        <w:ind w:left="2329" w:right="0" w:hanging="902"/>
        <w:jc w:val="left"/>
        <w:rPr>
          <w:sz w:val="36"/>
        </w:rPr>
      </w:pPr>
      <w:r>
        <w:rPr>
          <w:sz w:val="36"/>
        </w:rPr>
        <w:t>事故水</w:t>
      </w:r>
    </w:p>
    <w:p>
      <w:pPr>
        <w:pStyle w:val="BodyText"/>
        <w:spacing w:before="241"/>
        <w:ind w:left="1428"/>
      </w:pPr>
      <w:r>
        <w:t>本项目事故水经隔油池预处理后用罐车运至污水处理厂进行深度处理。</w:t>
      </w:r>
    </w:p>
    <w:p>
      <w:pPr>
        <w:pStyle w:val="BodyText"/>
        <w:spacing w:before="240"/>
        <w:ind w:left="1428"/>
      </w:pPr>
      <w:r>
        <w:pict>
          <v:group id="_x0000_s1174" style="width:700pt;height:129pt;margin-top:80.49pt;margin-left:97pt;mso-position-horizontal-relative:page;position:absolute;z-index:-251649024" coordorigin="1940,1610" coordsize="14000,2580">
            <v:shape id="_x0000_s1175" type="#_x0000_t75" style="width:14000;height:2580;left:1940;position:absolute;top:1609" stroked="f">
              <v:imagedata r:id="rId55" o:title=""/>
            </v:shape>
            <v:shape id="_x0000_s1176" type="#_x0000_t202" style="width:14000;height:2580;left:1940;position:absolute;top:1609" filled="f" stroked="f">
              <v:textbox inset="0,0,0,0">
                <w:txbxContent>
                  <w:p>
                    <w:pPr>
                      <w:spacing w:before="165"/>
                      <w:ind w:left="9766" w:right="469" w:firstLine="0"/>
                      <w:jc w:val="center"/>
                      <w:rPr>
                        <w:b/>
                        <w:sz w:val="31"/>
                      </w:rPr>
                    </w:pPr>
                    <w:r>
                      <w:rPr>
                        <w:b/>
                        <w:sz w:val="31"/>
                      </w:rPr>
                      <w:t>环境质量标准</w:t>
                    </w:r>
                  </w:p>
                  <w:p>
                    <w:pPr>
                      <w:spacing w:before="147"/>
                      <w:ind w:left="9770" w:right="459" w:firstLine="0"/>
                      <w:jc w:val="center"/>
                      <w:rPr>
                        <w:sz w:val="31"/>
                      </w:rPr>
                    </w:pPr>
                    <w:r>
                      <w:rPr>
                        <w:sz w:val="31"/>
                      </w:rPr>
                      <w:t>《地表水环境质量标准》</w:t>
                    </w:r>
                  </w:p>
                  <w:p>
                    <w:pPr>
                      <w:spacing w:before="70"/>
                      <w:ind w:left="9770" w:right="465" w:firstLine="0"/>
                      <w:jc w:val="center"/>
                      <w:rPr>
                        <w:sz w:val="31"/>
                      </w:rPr>
                    </w:pPr>
                    <w:r>
                      <w:rPr>
                        <w:sz w:val="31"/>
                      </w:rPr>
                      <w:t>（GB3838-2002）V</w:t>
                    </w:r>
                    <w:r>
                      <w:rPr>
                        <w:spacing w:val="-5"/>
                        <w:sz w:val="31"/>
                      </w:rPr>
                      <w:t xml:space="preserve"> 类标准</w:t>
                    </w:r>
                  </w:p>
                  <w:p>
                    <w:pPr>
                      <w:spacing w:before="89"/>
                      <w:ind w:left="9770" w:right="459" w:firstLine="0"/>
                      <w:jc w:val="center"/>
                      <w:rPr>
                        <w:sz w:val="31"/>
                      </w:rPr>
                    </w:pPr>
                    <w:r>
                      <w:rPr>
                        <w:sz w:val="31"/>
                      </w:rPr>
                      <w:t>《地下水质量标准》</w:t>
                    </w:r>
                  </w:p>
                  <w:p>
                    <w:pPr>
                      <w:spacing w:before="71"/>
                      <w:ind w:left="9770" w:right="469" w:firstLine="0"/>
                      <w:jc w:val="center"/>
                      <w:rPr>
                        <w:sz w:val="31"/>
                      </w:rPr>
                    </w:pPr>
                    <w:r>
                      <w:rPr>
                        <w:sz w:val="31"/>
                      </w:rPr>
                      <w:t>（GB/T14848-93）Ⅲ类标准</w:t>
                    </w:r>
                  </w:p>
                </w:txbxContent>
              </v:textbox>
            </v:shape>
          </v:group>
        </w:pict>
      </w:r>
      <w:r>
        <w:t>本公司所在区域主要地表水水体为沾利河，具体方位及环境功能区划详见表 3.2-2。</w:t>
      </w:r>
    </w:p>
    <w:p>
      <w:pPr>
        <w:pStyle w:val="BodyText"/>
        <w:spacing w:before="11"/>
        <w:rPr>
          <w:sz w:val="22"/>
        </w:rPr>
      </w:pPr>
    </w:p>
    <w:tbl>
      <w:tblPr>
        <w:tblStyle w:val="TableNormal2"/>
        <w:tblW w:w="0" w:type="auto"/>
        <w:jc w:val="left"/>
        <w:tblInd w:w="7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33"/>
        <w:gridCol w:w="2350"/>
        <w:gridCol w:w="5905"/>
      </w:tblGrid>
      <w:tr>
        <w:tblPrEx>
          <w:tblW w:w="0" w:type="auto"/>
          <w:jc w:val="left"/>
          <w:tblInd w:w="7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89"/>
          <w:jc w:val="left"/>
        </w:trPr>
        <w:tc>
          <w:tcPr>
            <w:tcW w:w="3583" w:type="dxa"/>
            <w:gridSpan w:val="2"/>
          </w:tcPr>
          <w:p>
            <w:pPr>
              <w:pStyle w:val="TableParagraph"/>
              <w:jc w:val="left"/>
              <w:rPr>
                <w:rFonts w:ascii="Times New Roman"/>
                <w:sz w:val="34"/>
              </w:rPr>
            </w:pPr>
          </w:p>
        </w:tc>
        <w:tc>
          <w:tcPr>
            <w:tcW w:w="5905" w:type="dxa"/>
          </w:tcPr>
          <w:p>
            <w:pPr>
              <w:pStyle w:val="TableParagraph"/>
              <w:tabs>
                <w:tab w:val="left" w:pos="2252"/>
              </w:tabs>
              <w:spacing w:line="411" w:lineRule="exact"/>
              <w:ind w:left="531"/>
              <w:jc w:val="left"/>
              <w:rPr>
                <w:b/>
                <w:sz w:val="36"/>
              </w:rPr>
            </w:pPr>
            <w:r>
              <w:rPr>
                <w:b/>
                <w:sz w:val="36"/>
              </w:rPr>
              <w:t>表</w:t>
            </w:r>
            <w:r>
              <w:rPr>
                <w:b/>
                <w:spacing w:val="-91"/>
                <w:sz w:val="36"/>
              </w:rPr>
              <w:t xml:space="preserve"> </w:t>
            </w:r>
            <w:r>
              <w:rPr>
                <w:b/>
                <w:sz w:val="36"/>
              </w:rPr>
              <w:t>3.2-2</w:t>
              <w:tab/>
              <w:t>水环境风险受体情况表</w:t>
            </w:r>
          </w:p>
        </w:tc>
      </w:tr>
      <w:tr>
        <w:tblPrEx>
          <w:tblW w:w="0" w:type="auto"/>
          <w:jc w:val="left"/>
          <w:tblInd w:w="734" w:type="dxa"/>
          <w:tblLayout w:type="fixed"/>
          <w:tblCellMar>
            <w:top w:w="0" w:type="dxa"/>
            <w:left w:w="0" w:type="dxa"/>
            <w:bottom w:w="0" w:type="dxa"/>
            <w:right w:w="0" w:type="dxa"/>
          </w:tblCellMar>
          <w:tblLook w:val="01E0"/>
        </w:tblPrEx>
        <w:trPr>
          <w:trHeight w:val="776"/>
          <w:jc w:val="left"/>
        </w:trPr>
        <w:tc>
          <w:tcPr>
            <w:tcW w:w="1233" w:type="dxa"/>
          </w:tcPr>
          <w:p>
            <w:pPr>
              <w:pStyle w:val="TableParagraph"/>
              <w:spacing w:before="192"/>
              <w:ind w:left="36" w:right="533"/>
              <w:rPr>
                <w:b/>
                <w:sz w:val="31"/>
              </w:rPr>
            </w:pPr>
            <w:r>
              <w:rPr>
                <w:b/>
                <w:sz w:val="31"/>
              </w:rPr>
              <w:t>序号</w:t>
            </w:r>
          </w:p>
        </w:tc>
        <w:tc>
          <w:tcPr>
            <w:tcW w:w="2350" w:type="dxa"/>
          </w:tcPr>
          <w:p>
            <w:pPr>
              <w:pStyle w:val="TableParagraph"/>
              <w:spacing w:before="192"/>
              <w:ind w:left="539" w:right="525"/>
              <w:rPr>
                <w:b/>
                <w:sz w:val="31"/>
              </w:rPr>
            </w:pPr>
            <w:r>
              <w:rPr>
                <w:b/>
                <w:sz w:val="31"/>
              </w:rPr>
              <w:t>风险受体</w:t>
            </w:r>
          </w:p>
        </w:tc>
        <w:tc>
          <w:tcPr>
            <w:tcW w:w="5905" w:type="dxa"/>
          </w:tcPr>
          <w:p>
            <w:pPr>
              <w:pStyle w:val="TableParagraph"/>
              <w:tabs>
                <w:tab w:val="left" w:pos="3894"/>
              </w:tabs>
              <w:spacing w:before="192"/>
              <w:ind w:left="1676"/>
              <w:jc w:val="left"/>
              <w:rPr>
                <w:b/>
                <w:sz w:val="31"/>
              </w:rPr>
            </w:pPr>
            <w:r>
              <w:rPr>
                <w:b/>
                <w:sz w:val="31"/>
              </w:rPr>
              <w:t>方位</w:t>
              <w:tab/>
              <w:t>距离（m）</w:t>
            </w:r>
          </w:p>
        </w:tc>
      </w:tr>
      <w:tr>
        <w:tblPrEx>
          <w:tblW w:w="0" w:type="auto"/>
          <w:jc w:val="left"/>
          <w:tblInd w:w="734" w:type="dxa"/>
          <w:tblLayout w:type="fixed"/>
          <w:tblCellMar>
            <w:top w:w="0" w:type="dxa"/>
            <w:left w:w="0" w:type="dxa"/>
            <w:bottom w:w="0" w:type="dxa"/>
            <w:right w:w="0" w:type="dxa"/>
          </w:tblCellMar>
          <w:tblLook w:val="01E0"/>
        </w:tblPrEx>
        <w:trPr>
          <w:trHeight w:val="865"/>
          <w:jc w:val="left"/>
        </w:trPr>
        <w:tc>
          <w:tcPr>
            <w:tcW w:w="1233" w:type="dxa"/>
          </w:tcPr>
          <w:p>
            <w:pPr>
              <w:pStyle w:val="TableParagraph"/>
              <w:spacing w:before="192"/>
              <w:ind w:right="497"/>
              <w:rPr>
                <w:sz w:val="31"/>
              </w:rPr>
            </w:pPr>
            <w:r>
              <w:rPr>
                <w:w w:val="102"/>
                <w:sz w:val="31"/>
              </w:rPr>
              <w:t>1</w:t>
            </w:r>
          </w:p>
        </w:tc>
        <w:tc>
          <w:tcPr>
            <w:tcW w:w="2350" w:type="dxa"/>
          </w:tcPr>
          <w:p>
            <w:pPr>
              <w:pStyle w:val="TableParagraph"/>
              <w:spacing w:before="192"/>
              <w:ind w:left="539" w:right="525"/>
              <w:rPr>
                <w:sz w:val="31"/>
              </w:rPr>
            </w:pPr>
            <w:r>
              <w:rPr>
                <w:sz w:val="31"/>
              </w:rPr>
              <w:t>沾利河</w:t>
            </w:r>
          </w:p>
        </w:tc>
        <w:tc>
          <w:tcPr>
            <w:tcW w:w="5905" w:type="dxa"/>
          </w:tcPr>
          <w:p>
            <w:pPr>
              <w:pStyle w:val="TableParagraph"/>
              <w:tabs>
                <w:tab w:val="right" w:pos="4845"/>
              </w:tabs>
              <w:spacing w:before="192"/>
              <w:ind w:left="1914"/>
              <w:jc w:val="left"/>
              <w:rPr>
                <w:sz w:val="31"/>
              </w:rPr>
            </w:pPr>
            <w:r>
              <w:rPr>
                <w:sz w:val="31"/>
              </w:rPr>
              <w:t>W</w:t>
              <w:tab/>
              <w:t>500</w:t>
            </w:r>
          </w:p>
        </w:tc>
      </w:tr>
      <w:tr>
        <w:tblPrEx>
          <w:tblW w:w="0" w:type="auto"/>
          <w:jc w:val="left"/>
          <w:tblInd w:w="734" w:type="dxa"/>
          <w:tblLayout w:type="fixed"/>
          <w:tblCellMar>
            <w:top w:w="0" w:type="dxa"/>
            <w:left w:w="0" w:type="dxa"/>
            <w:bottom w:w="0" w:type="dxa"/>
            <w:right w:w="0" w:type="dxa"/>
          </w:tblCellMar>
          <w:tblLook w:val="01E0"/>
        </w:tblPrEx>
        <w:trPr>
          <w:trHeight w:val="635"/>
          <w:jc w:val="left"/>
        </w:trPr>
        <w:tc>
          <w:tcPr>
            <w:tcW w:w="1233" w:type="dxa"/>
          </w:tcPr>
          <w:p>
            <w:pPr>
              <w:pStyle w:val="TableParagraph"/>
              <w:spacing w:before="281" w:line="335" w:lineRule="exact"/>
              <w:ind w:right="497"/>
              <w:rPr>
                <w:sz w:val="31"/>
              </w:rPr>
            </w:pPr>
            <w:r>
              <w:rPr>
                <w:w w:val="102"/>
                <w:sz w:val="31"/>
              </w:rPr>
              <w:t>2</w:t>
            </w:r>
          </w:p>
        </w:tc>
        <w:tc>
          <w:tcPr>
            <w:tcW w:w="2350" w:type="dxa"/>
          </w:tcPr>
          <w:p>
            <w:pPr>
              <w:pStyle w:val="TableParagraph"/>
              <w:spacing w:before="281" w:line="335" w:lineRule="exact"/>
              <w:ind w:left="539" w:right="525"/>
              <w:rPr>
                <w:sz w:val="31"/>
              </w:rPr>
            </w:pPr>
            <w:r>
              <w:rPr>
                <w:sz w:val="31"/>
              </w:rPr>
              <w:t>地下水</w:t>
            </w:r>
          </w:p>
        </w:tc>
        <w:tc>
          <w:tcPr>
            <w:tcW w:w="5905" w:type="dxa"/>
          </w:tcPr>
          <w:p>
            <w:pPr>
              <w:pStyle w:val="TableParagraph"/>
              <w:tabs>
                <w:tab w:val="left" w:pos="4290"/>
              </w:tabs>
              <w:spacing w:before="281" w:line="335" w:lineRule="exact"/>
              <w:ind w:left="1046"/>
              <w:jc w:val="left"/>
              <w:rPr>
                <w:sz w:val="31"/>
              </w:rPr>
            </w:pPr>
            <w:r>
              <w:rPr>
                <w:sz w:val="31"/>
              </w:rPr>
              <w:t>公司所在区域</w:t>
              <w:tab/>
              <w:t>——</w:t>
            </w:r>
          </w:p>
        </w:tc>
      </w:tr>
    </w:tbl>
    <w:p>
      <w:pPr>
        <w:spacing w:after="0" w:line="335" w:lineRule="exact"/>
        <w:jc w:val="left"/>
        <w:rPr>
          <w:sz w:val="31"/>
        </w:rPr>
        <w:sectPr>
          <w:headerReference w:type="default" r:id="rId56"/>
          <w:footerReference w:type="default" r:id="rId57"/>
          <w:pgSz w:w="17860" w:h="25260"/>
          <w:pgMar w:top="1380" w:right="1360" w:bottom="2020" w:left="1420" w:header="1083" w:footer="1826"/>
          <w:pgNumType w:start="20"/>
          <w:cols w:space="708"/>
        </w:sectPr>
      </w:pPr>
    </w:p>
    <w:p>
      <w:pPr>
        <w:pStyle w:val="BodyText"/>
        <w:rPr>
          <w:sz w:val="20"/>
        </w:rPr>
      </w:pPr>
    </w:p>
    <w:p>
      <w:pPr>
        <w:pStyle w:val="BodyText"/>
        <w:spacing w:before="11"/>
        <w:rPr>
          <w:sz w:val="21"/>
        </w:rPr>
      </w:pPr>
    </w:p>
    <w:p>
      <w:pPr>
        <w:pStyle w:val="Heading2"/>
        <w:numPr>
          <w:ilvl w:val="1"/>
          <w:numId w:val="23"/>
        </w:numPr>
        <w:tabs>
          <w:tab w:val="left" w:pos="1468"/>
        </w:tabs>
        <w:spacing w:before="43" w:after="0" w:line="240" w:lineRule="auto"/>
        <w:ind w:left="1468" w:right="0" w:hanging="760"/>
        <w:jc w:val="left"/>
      </w:pPr>
      <w:bookmarkStart w:id="8" w:name="_TOC_250022"/>
      <w:bookmarkEnd w:id="8"/>
      <w:r>
        <w:t>涉及突发环境事件风险物质情况</w:t>
      </w:r>
    </w:p>
    <w:p>
      <w:pPr>
        <w:pStyle w:val="Heading3"/>
        <w:numPr>
          <w:ilvl w:val="2"/>
          <w:numId w:val="18"/>
        </w:numPr>
        <w:tabs>
          <w:tab w:val="left" w:pos="1799"/>
        </w:tabs>
        <w:spacing w:before="373" w:after="0" w:line="240" w:lineRule="auto"/>
        <w:ind w:left="1799" w:right="0" w:hanging="1091"/>
        <w:jc w:val="left"/>
      </w:pPr>
      <w:r>
        <w:t>环境风险物质分布及储运情况</w:t>
      </w:r>
    </w:p>
    <w:p>
      <w:pPr>
        <w:pStyle w:val="BodyText"/>
        <w:spacing w:before="241" w:line="364" w:lineRule="auto"/>
        <w:ind w:left="708" w:right="581" w:firstLine="720"/>
      </w:pPr>
      <w:r>
        <w:rPr>
          <w:spacing w:val="-10"/>
        </w:rPr>
        <w:t>利津某某化工有限公司厂区范围内环境风险物质储存规格、储存方式、最大储存量、</w:t>
      </w:r>
      <w:r>
        <w:rPr>
          <w:spacing w:val="-16"/>
        </w:rPr>
        <w:t xml:space="preserve">临界量见表 </w:t>
      </w:r>
      <w:r>
        <w:t>3.3-1：</w:t>
      </w:r>
    </w:p>
    <w:p>
      <w:pPr>
        <w:pStyle w:val="Heading3"/>
        <w:spacing w:before="2"/>
        <w:ind w:left="490" w:right="564"/>
        <w:jc w:val="center"/>
      </w:pPr>
      <w:r>
        <w:drawing>
          <wp:anchor distT="0" distB="0" distL="0" distR="0" simplePos="0" relativeHeight="251669504" behindDoc="1" locked="0" layoutInCell="1" allowOverlap="1">
            <wp:simplePos x="0" y="0"/>
            <wp:positionH relativeFrom="page">
              <wp:posOffset>1235075</wp:posOffset>
            </wp:positionH>
            <wp:positionV relativeFrom="paragraph">
              <wp:posOffset>357886</wp:posOffset>
            </wp:positionV>
            <wp:extent cx="8867877" cy="2749010"/>
            <wp:effectExtent l="0" t="0" r="0" b="0"/>
            <wp:wrapNone/>
            <wp:docPr id="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5.png"/>
                    <pic:cNvPicPr/>
                  </pic:nvPicPr>
                  <pic:blipFill>
                    <a:blip xmlns:r="http://schemas.openxmlformats.org/officeDocument/2006/relationships" r:embed="rId58" cstate="print"/>
                    <a:stretch>
                      <a:fillRect/>
                    </a:stretch>
                  </pic:blipFill>
                  <pic:spPr>
                    <a:xfrm>
                      <a:off x="0" y="0"/>
                      <a:ext cx="8867877" cy="2749010"/>
                    </a:xfrm>
                    <a:prstGeom prst="rect">
                      <a:avLst/>
                    </a:prstGeom>
                  </pic:spPr>
                </pic:pic>
              </a:graphicData>
            </a:graphic>
          </wp:anchor>
        </w:drawing>
      </w:r>
      <w:r>
        <w:t>表 3.3-1 环境风险物质储运情况表</w:t>
      </w:r>
    </w:p>
    <w:p>
      <w:pPr>
        <w:pStyle w:val="BodyText"/>
        <w:spacing w:before="7"/>
        <w:rPr>
          <w:b/>
          <w:sz w:val="26"/>
        </w:rPr>
      </w:pPr>
    </w:p>
    <w:tbl>
      <w:tblPr>
        <w:tblStyle w:val="TableNormal3"/>
        <w:tblW w:w="0" w:type="auto"/>
        <w:jc w:val="left"/>
        <w:tblInd w:w="7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8"/>
        <w:gridCol w:w="2436"/>
        <w:gridCol w:w="2456"/>
        <w:gridCol w:w="1444"/>
        <w:gridCol w:w="2306"/>
        <w:gridCol w:w="2414"/>
        <w:gridCol w:w="1278"/>
      </w:tblGrid>
      <w:tr>
        <w:tblPrEx>
          <w:tblW w:w="0" w:type="auto"/>
          <w:jc w:val="left"/>
          <w:tblInd w:w="7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0"/>
          <w:jc w:val="left"/>
        </w:trPr>
        <w:tc>
          <w:tcPr>
            <w:tcW w:w="988" w:type="dxa"/>
          </w:tcPr>
          <w:p>
            <w:pPr>
              <w:pStyle w:val="TableParagraph"/>
              <w:spacing w:line="359" w:lineRule="exact"/>
              <w:ind w:left="36" w:right="288"/>
              <w:rPr>
                <w:b/>
                <w:sz w:val="31"/>
              </w:rPr>
            </w:pPr>
            <w:r>
              <w:rPr>
                <w:b/>
                <w:sz w:val="31"/>
              </w:rPr>
              <w:t>序号</w:t>
            </w:r>
          </w:p>
        </w:tc>
        <w:tc>
          <w:tcPr>
            <w:tcW w:w="2436" w:type="dxa"/>
          </w:tcPr>
          <w:p>
            <w:pPr>
              <w:pStyle w:val="TableParagraph"/>
              <w:spacing w:line="359" w:lineRule="exact"/>
              <w:ind w:left="283" w:right="374"/>
              <w:rPr>
                <w:b/>
                <w:sz w:val="31"/>
              </w:rPr>
            </w:pPr>
            <w:r>
              <w:rPr>
                <w:b/>
                <w:sz w:val="31"/>
              </w:rPr>
              <w:t>储存物料</w:t>
            </w:r>
          </w:p>
        </w:tc>
        <w:tc>
          <w:tcPr>
            <w:tcW w:w="2456" w:type="dxa"/>
          </w:tcPr>
          <w:p>
            <w:pPr>
              <w:pStyle w:val="TableParagraph"/>
              <w:spacing w:line="359" w:lineRule="exact"/>
              <w:ind w:left="377" w:right="401"/>
              <w:rPr>
                <w:b/>
                <w:sz w:val="16"/>
              </w:rPr>
            </w:pPr>
            <w:r>
              <w:rPr>
                <w:b/>
                <w:sz w:val="31"/>
              </w:rPr>
              <w:t>单罐容量/m</w:t>
            </w:r>
            <w:r>
              <w:rPr>
                <w:b/>
                <w:position w:val="4"/>
                <w:sz w:val="16"/>
              </w:rPr>
              <w:t>3</w:t>
            </w:r>
          </w:p>
        </w:tc>
        <w:tc>
          <w:tcPr>
            <w:tcW w:w="1444" w:type="dxa"/>
          </w:tcPr>
          <w:p>
            <w:pPr>
              <w:pStyle w:val="TableParagraph"/>
              <w:spacing w:line="359" w:lineRule="exact"/>
              <w:ind w:left="391" w:right="390"/>
              <w:rPr>
                <w:b/>
                <w:sz w:val="31"/>
              </w:rPr>
            </w:pPr>
            <w:r>
              <w:rPr>
                <w:b/>
                <w:sz w:val="31"/>
              </w:rPr>
              <w:t>数量</w:t>
            </w:r>
          </w:p>
        </w:tc>
        <w:tc>
          <w:tcPr>
            <w:tcW w:w="2306" w:type="dxa"/>
          </w:tcPr>
          <w:p>
            <w:pPr>
              <w:pStyle w:val="TableParagraph"/>
              <w:spacing w:line="359" w:lineRule="exact"/>
              <w:ind w:left="395" w:right="544"/>
              <w:rPr>
                <w:b/>
                <w:sz w:val="16"/>
              </w:rPr>
            </w:pPr>
            <w:r>
              <w:rPr>
                <w:b/>
                <w:sz w:val="31"/>
              </w:rPr>
              <w:t>总储量/m</w:t>
            </w:r>
            <w:r>
              <w:rPr>
                <w:b/>
                <w:position w:val="4"/>
                <w:sz w:val="16"/>
              </w:rPr>
              <w:t>3</w:t>
            </w:r>
          </w:p>
        </w:tc>
        <w:tc>
          <w:tcPr>
            <w:tcW w:w="2414" w:type="dxa"/>
          </w:tcPr>
          <w:p>
            <w:pPr>
              <w:pStyle w:val="TableParagraph"/>
              <w:spacing w:line="359" w:lineRule="exact"/>
              <w:ind w:left="544" w:right="585"/>
              <w:rPr>
                <w:b/>
                <w:sz w:val="31"/>
              </w:rPr>
            </w:pPr>
            <w:r>
              <w:rPr>
                <w:b/>
                <w:sz w:val="31"/>
              </w:rPr>
              <w:t>储罐类型</w:t>
            </w:r>
          </w:p>
        </w:tc>
        <w:tc>
          <w:tcPr>
            <w:tcW w:w="1278" w:type="dxa"/>
          </w:tcPr>
          <w:p>
            <w:pPr>
              <w:pStyle w:val="TableParagraph"/>
              <w:spacing w:line="359" w:lineRule="exact"/>
              <w:ind w:right="48"/>
              <w:jc w:val="right"/>
              <w:rPr>
                <w:b/>
                <w:sz w:val="31"/>
              </w:rPr>
            </w:pPr>
            <w:r>
              <w:rPr>
                <w:b/>
                <w:sz w:val="31"/>
              </w:rPr>
              <w:t>材质</w:t>
            </w:r>
          </w:p>
        </w:tc>
      </w:tr>
      <w:tr>
        <w:tblPrEx>
          <w:tblW w:w="0" w:type="auto"/>
          <w:jc w:val="left"/>
          <w:tblInd w:w="737" w:type="dxa"/>
          <w:tblLayout w:type="fixed"/>
          <w:tblCellMar>
            <w:top w:w="0" w:type="dxa"/>
            <w:left w:w="0" w:type="dxa"/>
            <w:bottom w:w="0" w:type="dxa"/>
            <w:right w:w="0" w:type="dxa"/>
          </w:tblCellMar>
          <w:tblLook w:val="01E0"/>
        </w:tblPrEx>
        <w:trPr>
          <w:trHeight w:val="617"/>
          <w:jc w:val="left"/>
        </w:trPr>
        <w:tc>
          <w:tcPr>
            <w:tcW w:w="988" w:type="dxa"/>
          </w:tcPr>
          <w:p>
            <w:pPr>
              <w:pStyle w:val="TableParagraph"/>
              <w:spacing w:before="106"/>
              <w:ind w:right="252"/>
              <w:rPr>
                <w:sz w:val="31"/>
              </w:rPr>
            </w:pPr>
            <w:r>
              <w:rPr>
                <w:w w:val="102"/>
                <w:sz w:val="31"/>
              </w:rPr>
              <w:t>1</w:t>
            </w:r>
          </w:p>
        </w:tc>
        <w:tc>
          <w:tcPr>
            <w:tcW w:w="2436" w:type="dxa"/>
          </w:tcPr>
          <w:p>
            <w:pPr>
              <w:pStyle w:val="TableParagraph"/>
              <w:spacing w:before="106"/>
              <w:ind w:left="283" w:right="374"/>
              <w:rPr>
                <w:sz w:val="31"/>
              </w:rPr>
            </w:pPr>
            <w:r>
              <w:rPr>
                <w:sz w:val="31"/>
              </w:rPr>
              <w:t>石脑油</w:t>
            </w:r>
          </w:p>
        </w:tc>
        <w:tc>
          <w:tcPr>
            <w:tcW w:w="2456" w:type="dxa"/>
          </w:tcPr>
          <w:p>
            <w:pPr>
              <w:pStyle w:val="TableParagraph"/>
              <w:spacing w:before="106"/>
              <w:ind w:left="377" w:right="397"/>
              <w:rPr>
                <w:sz w:val="31"/>
              </w:rPr>
            </w:pPr>
            <w:r>
              <w:rPr>
                <w:sz w:val="31"/>
              </w:rPr>
              <w:t>500</w:t>
            </w:r>
          </w:p>
        </w:tc>
        <w:tc>
          <w:tcPr>
            <w:tcW w:w="1444" w:type="dxa"/>
          </w:tcPr>
          <w:p>
            <w:pPr>
              <w:pStyle w:val="TableParagraph"/>
              <w:spacing w:before="106"/>
              <w:ind w:left="1"/>
              <w:rPr>
                <w:sz w:val="31"/>
              </w:rPr>
            </w:pPr>
            <w:r>
              <w:rPr>
                <w:w w:val="102"/>
                <w:sz w:val="31"/>
              </w:rPr>
              <w:t>1</w:t>
            </w:r>
          </w:p>
        </w:tc>
        <w:tc>
          <w:tcPr>
            <w:tcW w:w="2306" w:type="dxa"/>
          </w:tcPr>
          <w:p>
            <w:pPr>
              <w:pStyle w:val="TableParagraph"/>
              <w:spacing w:before="106"/>
              <w:ind w:left="395" w:right="540"/>
              <w:rPr>
                <w:sz w:val="31"/>
              </w:rPr>
            </w:pPr>
            <w:r>
              <w:rPr>
                <w:sz w:val="31"/>
              </w:rPr>
              <w:t>500</w:t>
            </w:r>
          </w:p>
        </w:tc>
        <w:tc>
          <w:tcPr>
            <w:tcW w:w="2414" w:type="dxa"/>
          </w:tcPr>
          <w:p>
            <w:pPr>
              <w:pStyle w:val="TableParagraph"/>
              <w:spacing w:before="106"/>
              <w:ind w:left="544" w:right="585"/>
              <w:rPr>
                <w:sz w:val="31"/>
              </w:rPr>
            </w:pPr>
            <w:r>
              <w:rPr>
                <w:sz w:val="31"/>
              </w:rPr>
              <w:t>浮顶罐</w:t>
            </w:r>
          </w:p>
        </w:tc>
        <w:tc>
          <w:tcPr>
            <w:tcW w:w="1278" w:type="dxa"/>
          </w:tcPr>
          <w:p>
            <w:pPr>
              <w:pStyle w:val="TableParagraph"/>
              <w:spacing w:before="106"/>
              <w:ind w:right="48"/>
              <w:jc w:val="right"/>
              <w:rPr>
                <w:sz w:val="31"/>
              </w:rPr>
            </w:pPr>
            <w:r>
              <w:rPr>
                <w:sz w:val="31"/>
              </w:rPr>
              <w:t>碳钢</w:t>
            </w:r>
          </w:p>
        </w:tc>
      </w:tr>
      <w:tr>
        <w:tblPrEx>
          <w:tblW w:w="0" w:type="auto"/>
          <w:jc w:val="left"/>
          <w:tblInd w:w="737" w:type="dxa"/>
          <w:tblLayout w:type="fixed"/>
          <w:tblCellMar>
            <w:top w:w="0" w:type="dxa"/>
            <w:left w:w="0" w:type="dxa"/>
            <w:bottom w:w="0" w:type="dxa"/>
            <w:right w:w="0" w:type="dxa"/>
          </w:tblCellMar>
          <w:tblLook w:val="01E0"/>
        </w:tblPrEx>
        <w:trPr>
          <w:trHeight w:val="635"/>
          <w:jc w:val="left"/>
        </w:trPr>
        <w:tc>
          <w:tcPr>
            <w:tcW w:w="988" w:type="dxa"/>
          </w:tcPr>
          <w:p>
            <w:pPr>
              <w:pStyle w:val="TableParagraph"/>
              <w:spacing w:before="119"/>
              <w:ind w:right="252"/>
              <w:rPr>
                <w:sz w:val="31"/>
              </w:rPr>
            </w:pPr>
            <w:r>
              <w:rPr>
                <w:w w:val="102"/>
                <w:sz w:val="31"/>
              </w:rPr>
              <w:t>2</w:t>
            </w:r>
          </w:p>
        </w:tc>
        <w:tc>
          <w:tcPr>
            <w:tcW w:w="2436" w:type="dxa"/>
          </w:tcPr>
          <w:p>
            <w:pPr>
              <w:pStyle w:val="TableParagraph"/>
              <w:spacing w:before="169"/>
              <w:ind w:left="303" w:right="361"/>
              <w:rPr>
                <w:sz w:val="31"/>
              </w:rPr>
            </w:pPr>
            <w:r>
              <w:rPr>
                <w:sz w:val="31"/>
              </w:rPr>
              <w:t>200＃溶剂油</w:t>
            </w:r>
          </w:p>
        </w:tc>
        <w:tc>
          <w:tcPr>
            <w:tcW w:w="2456" w:type="dxa"/>
          </w:tcPr>
          <w:p>
            <w:pPr>
              <w:pStyle w:val="TableParagraph"/>
              <w:spacing w:before="119"/>
              <w:ind w:left="377" w:right="397"/>
              <w:rPr>
                <w:sz w:val="31"/>
              </w:rPr>
            </w:pPr>
            <w:r>
              <w:rPr>
                <w:sz w:val="31"/>
              </w:rPr>
              <w:t>500</w:t>
            </w:r>
          </w:p>
        </w:tc>
        <w:tc>
          <w:tcPr>
            <w:tcW w:w="1444" w:type="dxa"/>
          </w:tcPr>
          <w:p>
            <w:pPr>
              <w:pStyle w:val="TableParagraph"/>
              <w:spacing w:before="119"/>
              <w:ind w:left="1"/>
              <w:rPr>
                <w:sz w:val="31"/>
              </w:rPr>
            </w:pPr>
            <w:r>
              <w:rPr>
                <w:w w:val="102"/>
                <w:sz w:val="31"/>
              </w:rPr>
              <w:t>1</w:t>
            </w:r>
          </w:p>
        </w:tc>
        <w:tc>
          <w:tcPr>
            <w:tcW w:w="2306" w:type="dxa"/>
          </w:tcPr>
          <w:p>
            <w:pPr>
              <w:pStyle w:val="TableParagraph"/>
              <w:spacing w:before="119"/>
              <w:ind w:left="395" w:right="540"/>
              <w:rPr>
                <w:sz w:val="31"/>
              </w:rPr>
            </w:pPr>
            <w:r>
              <w:rPr>
                <w:sz w:val="31"/>
              </w:rPr>
              <w:t>500</w:t>
            </w:r>
          </w:p>
        </w:tc>
        <w:tc>
          <w:tcPr>
            <w:tcW w:w="2414" w:type="dxa"/>
          </w:tcPr>
          <w:p>
            <w:pPr>
              <w:pStyle w:val="TableParagraph"/>
              <w:spacing w:before="119"/>
              <w:ind w:left="544" w:right="585"/>
              <w:rPr>
                <w:sz w:val="31"/>
              </w:rPr>
            </w:pPr>
            <w:r>
              <w:rPr>
                <w:sz w:val="31"/>
              </w:rPr>
              <w:t>浮顶罐</w:t>
            </w:r>
          </w:p>
        </w:tc>
        <w:tc>
          <w:tcPr>
            <w:tcW w:w="1278" w:type="dxa"/>
          </w:tcPr>
          <w:p>
            <w:pPr>
              <w:pStyle w:val="TableParagraph"/>
              <w:spacing w:before="119"/>
              <w:ind w:right="48"/>
              <w:jc w:val="right"/>
              <w:rPr>
                <w:sz w:val="31"/>
              </w:rPr>
            </w:pPr>
            <w:r>
              <w:rPr>
                <w:sz w:val="31"/>
              </w:rPr>
              <w:t>碳钢</w:t>
            </w:r>
          </w:p>
        </w:tc>
      </w:tr>
      <w:tr>
        <w:tblPrEx>
          <w:tblW w:w="0" w:type="auto"/>
          <w:jc w:val="left"/>
          <w:tblInd w:w="737" w:type="dxa"/>
          <w:tblLayout w:type="fixed"/>
          <w:tblCellMar>
            <w:top w:w="0" w:type="dxa"/>
            <w:left w:w="0" w:type="dxa"/>
            <w:bottom w:w="0" w:type="dxa"/>
            <w:right w:w="0" w:type="dxa"/>
          </w:tblCellMar>
          <w:tblLook w:val="01E0"/>
        </w:tblPrEx>
        <w:trPr>
          <w:trHeight w:val="590"/>
          <w:jc w:val="left"/>
        </w:trPr>
        <w:tc>
          <w:tcPr>
            <w:tcW w:w="988" w:type="dxa"/>
          </w:tcPr>
          <w:p>
            <w:pPr>
              <w:pStyle w:val="TableParagraph"/>
              <w:spacing w:before="114"/>
              <w:ind w:right="252"/>
              <w:rPr>
                <w:sz w:val="31"/>
              </w:rPr>
            </w:pPr>
            <w:r>
              <w:rPr>
                <w:w w:val="102"/>
                <w:sz w:val="31"/>
              </w:rPr>
              <w:t>3</w:t>
            </w:r>
          </w:p>
        </w:tc>
        <w:tc>
          <w:tcPr>
            <w:tcW w:w="2436" w:type="dxa"/>
          </w:tcPr>
          <w:p>
            <w:pPr>
              <w:pStyle w:val="TableParagraph"/>
              <w:spacing w:before="74"/>
              <w:ind w:left="289" w:right="374"/>
              <w:rPr>
                <w:sz w:val="31"/>
              </w:rPr>
            </w:pPr>
            <w:r>
              <w:rPr>
                <w:sz w:val="31"/>
              </w:rPr>
              <w:t>180＃溶剂油</w:t>
            </w:r>
          </w:p>
        </w:tc>
        <w:tc>
          <w:tcPr>
            <w:tcW w:w="2456" w:type="dxa"/>
          </w:tcPr>
          <w:p>
            <w:pPr>
              <w:pStyle w:val="TableParagraph"/>
              <w:spacing w:before="114"/>
              <w:ind w:left="377" w:right="397"/>
              <w:rPr>
                <w:sz w:val="31"/>
              </w:rPr>
            </w:pPr>
            <w:r>
              <w:rPr>
                <w:sz w:val="31"/>
              </w:rPr>
              <w:t>500</w:t>
            </w:r>
          </w:p>
        </w:tc>
        <w:tc>
          <w:tcPr>
            <w:tcW w:w="1444" w:type="dxa"/>
          </w:tcPr>
          <w:p>
            <w:pPr>
              <w:pStyle w:val="TableParagraph"/>
              <w:spacing w:before="114"/>
              <w:ind w:left="1"/>
              <w:rPr>
                <w:sz w:val="31"/>
              </w:rPr>
            </w:pPr>
            <w:r>
              <w:rPr>
                <w:w w:val="102"/>
                <w:sz w:val="31"/>
              </w:rPr>
              <w:t>1</w:t>
            </w:r>
          </w:p>
        </w:tc>
        <w:tc>
          <w:tcPr>
            <w:tcW w:w="2306" w:type="dxa"/>
          </w:tcPr>
          <w:p>
            <w:pPr>
              <w:pStyle w:val="TableParagraph"/>
              <w:spacing w:before="114"/>
              <w:ind w:left="395" w:right="540"/>
              <w:rPr>
                <w:sz w:val="31"/>
              </w:rPr>
            </w:pPr>
            <w:r>
              <w:rPr>
                <w:sz w:val="31"/>
              </w:rPr>
              <w:t>500</w:t>
            </w:r>
          </w:p>
        </w:tc>
        <w:tc>
          <w:tcPr>
            <w:tcW w:w="2414" w:type="dxa"/>
          </w:tcPr>
          <w:p>
            <w:pPr>
              <w:pStyle w:val="TableParagraph"/>
              <w:spacing w:before="114"/>
              <w:ind w:left="544" w:right="585"/>
              <w:rPr>
                <w:sz w:val="31"/>
              </w:rPr>
            </w:pPr>
            <w:r>
              <w:rPr>
                <w:sz w:val="31"/>
              </w:rPr>
              <w:t>浮顶罐</w:t>
            </w:r>
          </w:p>
        </w:tc>
        <w:tc>
          <w:tcPr>
            <w:tcW w:w="1278" w:type="dxa"/>
          </w:tcPr>
          <w:p>
            <w:pPr>
              <w:pStyle w:val="TableParagraph"/>
              <w:spacing w:before="114"/>
              <w:ind w:right="48"/>
              <w:jc w:val="right"/>
              <w:rPr>
                <w:sz w:val="31"/>
              </w:rPr>
            </w:pPr>
            <w:r>
              <w:rPr>
                <w:sz w:val="31"/>
              </w:rPr>
              <w:t>碳钢</w:t>
            </w:r>
          </w:p>
        </w:tc>
      </w:tr>
      <w:tr>
        <w:tblPrEx>
          <w:tblW w:w="0" w:type="auto"/>
          <w:jc w:val="left"/>
          <w:tblInd w:w="737" w:type="dxa"/>
          <w:tblLayout w:type="fixed"/>
          <w:tblCellMar>
            <w:top w:w="0" w:type="dxa"/>
            <w:left w:w="0" w:type="dxa"/>
            <w:bottom w:w="0" w:type="dxa"/>
            <w:right w:w="0" w:type="dxa"/>
          </w:tblCellMar>
          <w:tblLook w:val="01E0"/>
        </w:tblPrEx>
        <w:trPr>
          <w:trHeight w:val="602"/>
          <w:jc w:val="left"/>
        </w:trPr>
        <w:tc>
          <w:tcPr>
            <w:tcW w:w="988" w:type="dxa"/>
          </w:tcPr>
          <w:p>
            <w:pPr>
              <w:pStyle w:val="TableParagraph"/>
              <w:spacing w:before="124"/>
              <w:ind w:right="252"/>
              <w:rPr>
                <w:sz w:val="31"/>
              </w:rPr>
            </w:pPr>
            <w:r>
              <w:rPr>
                <w:w w:val="102"/>
                <w:sz w:val="31"/>
              </w:rPr>
              <w:t>4</w:t>
            </w:r>
          </w:p>
        </w:tc>
        <w:tc>
          <w:tcPr>
            <w:tcW w:w="2436" w:type="dxa"/>
          </w:tcPr>
          <w:p>
            <w:pPr>
              <w:pStyle w:val="TableParagraph"/>
              <w:spacing w:before="84"/>
              <w:ind w:left="289" w:right="374"/>
              <w:rPr>
                <w:sz w:val="31"/>
              </w:rPr>
            </w:pPr>
            <w:r>
              <w:rPr>
                <w:sz w:val="31"/>
              </w:rPr>
              <w:t>120＃溶剂油</w:t>
            </w:r>
          </w:p>
        </w:tc>
        <w:tc>
          <w:tcPr>
            <w:tcW w:w="2456" w:type="dxa"/>
          </w:tcPr>
          <w:p>
            <w:pPr>
              <w:pStyle w:val="TableParagraph"/>
              <w:spacing w:before="124"/>
              <w:ind w:left="377" w:right="397"/>
              <w:rPr>
                <w:sz w:val="31"/>
              </w:rPr>
            </w:pPr>
            <w:r>
              <w:rPr>
                <w:sz w:val="31"/>
              </w:rPr>
              <w:t>500</w:t>
            </w:r>
          </w:p>
        </w:tc>
        <w:tc>
          <w:tcPr>
            <w:tcW w:w="1444" w:type="dxa"/>
          </w:tcPr>
          <w:p>
            <w:pPr>
              <w:pStyle w:val="TableParagraph"/>
              <w:spacing w:before="124"/>
              <w:ind w:left="1"/>
              <w:rPr>
                <w:sz w:val="31"/>
              </w:rPr>
            </w:pPr>
            <w:r>
              <w:rPr>
                <w:w w:val="102"/>
                <w:sz w:val="31"/>
              </w:rPr>
              <w:t>1</w:t>
            </w:r>
          </w:p>
        </w:tc>
        <w:tc>
          <w:tcPr>
            <w:tcW w:w="2306" w:type="dxa"/>
          </w:tcPr>
          <w:p>
            <w:pPr>
              <w:pStyle w:val="TableParagraph"/>
              <w:spacing w:before="124"/>
              <w:ind w:left="395" w:right="540"/>
              <w:rPr>
                <w:sz w:val="31"/>
              </w:rPr>
            </w:pPr>
            <w:r>
              <w:rPr>
                <w:sz w:val="31"/>
              </w:rPr>
              <w:t>500</w:t>
            </w:r>
          </w:p>
        </w:tc>
        <w:tc>
          <w:tcPr>
            <w:tcW w:w="2414" w:type="dxa"/>
          </w:tcPr>
          <w:p>
            <w:pPr>
              <w:pStyle w:val="TableParagraph"/>
              <w:spacing w:before="124"/>
              <w:ind w:left="544" w:right="585"/>
              <w:rPr>
                <w:sz w:val="31"/>
              </w:rPr>
            </w:pPr>
            <w:r>
              <w:rPr>
                <w:sz w:val="31"/>
              </w:rPr>
              <w:t>浮顶罐</w:t>
            </w:r>
          </w:p>
        </w:tc>
        <w:tc>
          <w:tcPr>
            <w:tcW w:w="1278" w:type="dxa"/>
          </w:tcPr>
          <w:p>
            <w:pPr>
              <w:pStyle w:val="TableParagraph"/>
              <w:spacing w:before="124"/>
              <w:ind w:right="48"/>
              <w:jc w:val="right"/>
              <w:rPr>
                <w:sz w:val="31"/>
              </w:rPr>
            </w:pPr>
            <w:r>
              <w:rPr>
                <w:sz w:val="31"/>
              </w:rPr>
              <w:t>碳钢</w:t>
            </w:r>
          </w:p>
        </w:tc>
      </w:tr>
      <w:tr>
        <w:tblPrEx>
          <w:tblW w:w="0" w:type="auto"/>
          <w:jc w:val="left"/>
          <w:tblInd w:w="737" w:type="dxa"/>
          <w:tblLayout w:type="fixed"/>
          <w:tblCellMar>
            <w:top w:w="0" w:type="dxa"/>
            <w:left w:w="0" w:type="dxa"/>
            <w:bottom w:w="0" w:type="dxa"/>
            <w:right w:w="0" w:type="dxa"/>
          </w:tblCellMar>
          <w:tblLook w:val="01E0"/>
        </w:tblPrEx>
        <w:trPr>
          <w:trHeight w:val="602"/>
          <w:jc w:val="left"/>
        </w:trPr>
        <w:tc>
          <w:tcPr>
            <w:tcW w:w="988" w:type="dxa"/>
          </w:tcPr>
          <w:p>
            <w:pPr>
              <w:pStyle w:val="TableParagraph"/>
              <w:spacing w:before="126"/>
              <w:ind w:right="252"/>
              <w:rPr>
                <w:sz w:val="31"/>
              </w:rPr>
            </w:pPr>
            <w:r>
              <w:rPr>
                <w:w w:val="102"/>
                <w:sz w:val="31"/>
              </w:rPr>
              <w:t>5</w:t>
            </w:r>
          </w:p>
        </w:tc>
        <w:tc>
          <w:tcPr>
            <w:tcW w:w="2436" w:type="dxa"/>
          </w:tcPr>
          <w:p>
            <w:pPr>
              <w:pStyle w:val="TableParagraph"/>
              <w:spacing w:before="86"/>
              <w:ind w:left="289" w:right="374"/>
              <w:rPr>
                <w:sz w:val="31"/>
              </w:rPr>
            </w:pPr>
            <w:r>
              <w:rPr>
                <w:sz w:val="31"/>
              </w:rPr>
              <w:t>6＃溶剂油</w:t>
            </w:r>
          </w:p>
        </w:tc>
        <w:tc>
          <w:tcPr>
            <w:tcW w:w="2456" w:type="dxa"/>
          </w:tcPr>
          <w:p>
            <w:pPr>
              <w:pStyle w:val="TableParagraph"/>
              <w:spacing w:before="126"/>
              <w:ind w:left="377" w:right="397"/>
              <w:rPr>
                <w:sz w:val="31"/>
              </w:rPr>
            </w:pPr>
            <w:r>
              <w:rPr>
                <w:sz w:val="31"/>
              </w:rPr>
              <w:t>500</w:t>
            </w:r>
          </w:p>
        </w:tc>
        <w:tc>
          <w:tcPr>
            <w:tcW w:w="1444" w:type="dxa"/>
          </w:tcPr>
          <w:p>
            <w:pPr>
              <w:pStyle w:val="TableParagraph"/>
              <w:spacing w:before="126"/>
              <w:ind w:left="1"/>
              <w:rPr>
                <w:sz w:val="31"/>
              </w:rPr>
            </w:pPr>
            <w:r>
              <w:rPr>
                <w:w w:val="102"/>
                <w:sz w:val="31"/>
              </w:rPr>
              <w:t>1</w:t>
            </w:r>
          </w:p>
        </w:tc>
        <w:tc>
          <w:tcPr>
            <w:tcW w:w="2306" w:type="dxa"/>
          </w:tcPr>
          <w:p>
            <w:pPr>
              <w:pStyle w:val="TableParagraph"/>
              <w:spacing w:before="126"/>
              <w:ind w:left="395" w:right="540"/>
              <w:rPr>
                <w:sz w:val="31"/>
              </w:rPr>
            </w:pPr>
            <w:r>
              <w:rPr>
                <w:sz w:val="31"/>
              </w:rPr>
              <w:t>500</w:t>
            </w:r>
          </w:p>
        </w:tc>
        <w:tc>
          <w:tcPr>
            <w:tcW w:w="2414" w:type="dxa"/>
          </w:tcPr>
          <w:p>
            <w:pPr>
              <w:pStyle w:val="TableParagraph"/>
              <w:spacing w:before="126"/>
              <w:ind w:left="544" w:right="585"/>
              <w:rPr>
                <w:sz w:val="31"/>
              </w:rPr>
            </w:pPr>
            <w:r>
              <w:rPr>
                <w:sz w:val="31"/>
              </w:rPr>
              <w:t>浮顶罐</w:t>
            </w:r>
          </w:p>
        </w:tc>
        <w:tc>
          <w:tcPr>
            <w:tcW w:w="1278" w:type="dxa"/>
          </w:tcPr>
          <w:p>
            <w:pPr>
              <w:pStyle w:val="TableParagraph"/>
              <w:spacing w:before="126"/>
              <w:ind w:right="48"/>
              <w:jc w:val="right"/>
              <w:rPr>
                <w:sz w:val="31"/>
              </w:rPr>
            </w:pPr>
            <w:r>
              <w:rPr>
                <w:sz w:val="31"/>
              </w:rPr>
              <w:t>碳钢</w:t>
            </w:r>
          </w:p>
        </w:tc>
      </w:tr>
      <w:tr>
        <w:tblPrEx>
          <w:tblW w:w="0" w:type="auto"/>
          <w:jc w:val="left"/>
          <w:tblInd w:w="737" w:type="dxa"/>
          <w:tblLayout w:type="fixed"/>
          <w:tblCellMar>
            <w:top w:w="0" w:type="dxa"/>
            <w:left w:w="0" w:type="dxa"/>
            <w:bottom w:w="0" w:type="dxa"/>
            <w:right w:w="0" w:type="dxa"/>
          </w:tblCellMar>
          <w:tblLook w:val="01E0"/>
        </w:tblPrEx>
        <w:trPr>
          <w:trHeight w:val="478"/>
          <w:jc w:val="left"/>
        </w:trPr>
        <w:tc>
          <w:tcPr>
            <w:tcW w:w="988" w:type="dxa"/>
          </w:tcPr>
          <w:p>
            <w:pPr>
              <w:pStyle w:val="TableParagraph"/>
              <w:spacing w:before="124" w:line="335" w:lineRule="exact"/>
              <w:ind w:right="252"/>
              <w:rPr>
                <w:sz w:val="31"/>
              </w:rPr>
            </w:pPr>
            <w:r>
              <w:rPr>
                <w:w w:val="102"/>
                <w:sz w:val="31"/>
              </w:rPr>
              <w:t>6</w:t>
            </w:r>
          </w:p>
        </w:tc>
        <w:tc>
          <w:tcPr>
            <w:tcW w:w="2436" w:type="dxa"/>
          </w:tcPr>
          <w:p>
            <w:pPr>
              <w:pStyle w:val="TableParagraph"/>
              <w:spacing w:before="84" w:line="374" w:lineRule="exact"/>
              <w:ind w:left="283" w:right="374"/>
              <w:rPr>
                <w:sz w:val="31"/>
              </w:rPr>
            </w:pPr>
            <w:r>
              <w:rPr>
                <w:sz w:val="31"/>
              </w:rPr>
              <w:t>渣油</w:t>
            </w:r>
          </w:p>
        </w:tc>
        <w:tc>
          <w:tcPr>
            <w:tcW w:w="2456" w:type="dxa"/>
          </w:tcPr>
          <w:p>
            <w:pPr>
              <w:pStyle w:val="TableParagraph"/>
              <w:spacing w:before="124" w:line="335" w:lineRule="exact"/>
              <w:ind w:left="377" w:right="397"/>
              <w:rPr>
                <w:sz w:val="31"/>
              </w:rPr>
            </w:pPr>
            <w:r>
              <w:rPr>
                <w:sz w:val="31"/>
              </w:rPr>
              <w:t>5000</w:t>
            </w:r>
          </w:p>
        </w:tc>
        <w:tc>
          <w:tcPr>
            <w:tcW w:w="1444" w:type="dxa"/>
          </w:tcPr>
          <w:p>
            <w:pPr>
              <w:pStyle w:val="TableParagraph"/>
              <w:spacing w:before="124" w:line="335" w:lineRule="exact"/>
              <w:ind w:left="1"/>
              <w:rPr>
                <w:sz w:val="31"/>
              </w:rPr>
            </w:pPr>
            <w:r>
              <w:rPr>
                <w:w w:val="102"/>
                <w:sz w:val="31"/>
              </w:rPr>
              <w:t>2</w:t>
            </w:r>
          </w:p>
        </w:tc>
        <w:tc>
          <w:tcPr>
            <w:tcW w:w="2306" w:type="dxa"/>
          </w:tcPr>
          <w:p>
            <w:pPr>
              <w:pStyle w:val="TableParagraph"/>
              <w:spacing w:before="124" w:line="335" w:lineRule="exact"/>
              <w:ind w:left="395" w:right="540"/>
              <w:rPr>
                <w:sz w:val="31"/>
              </w:rPr>
            </w:pPr>
            <w:r>
              <w:rPr>
                <w:sz w:val="31"/>
              </w:rPr>
              <w:t>1000</w:t>
            </w:r>
          </w:p>
        </w:tc>
        <w:tc>
          <w:tcPr>
            <w:tcW w:w="2414" w:type="dxa"/>
          </w:tcPr>
          <w:p>
            <w:pPr>
              <w:pStyle w:val="TableParagraph"/>
              <w:spacing w:before="124" w:line="335" w:lineRule="exact"/>
              <w:ind w:left="544" w:right="585"/>
              <w:rPr>
                <w:sz w:val="31"/>
              </w:rPr>
            </w:pPr>
            <w:r>
              <w:rPr>
                <w:sz w:val="31"/>
              </w:rPr>
              <w:t>浮顶罐</w:t>
            </w:r>
          </w:p>
        </w:tc>
        <w:tc>
          <w:tcPr>
            <w:tcW w:w="1278" w:type="dxa"/>
          </w:tcPr>
          <w:p>
            <w:pPr>
              <w:pStyle w:val="TableParagraph"/>
              <w:spacing w:before="124" w:line="335" w:lineRule="exact"/>
              <w:ind w:right="48"/>
              <w:jc w:val="right"/>
              <w:rPr>
                <w:sz w:val="31"/>
              </w:rPr>
            </w:pPr>
            <w:r>
              <w:rPr>
                <w:sz w:val="31"/>
              </w:rPr>
              <w:t>碳钢</w:t>
            </w:r>
          </w:p>
        </w:tc>
      </w:tr>
    </w:tbl>
    <w:p>
      <w:pPr>
        <w:pStyle w:val="BodyText"/>
        <w:rPr>
          <w:b/>
        </w:rPr>
      </w:pPr>
    </w:p>
    <w:p>
      <w:pPr>
        <w:pStyle w:val="BodyText"/>
        <w:spacing w:before="9"/>
        <w:rPr>
          <w:b/>
          <w:sz w:val="33"/>
        </w:rPr>
      </w:pPr>
    </w:p>
    <w:p>
      <w:pPr>
        <w:pStyle w:val="ListParagraph"/>
        <w:numPr>
          <w:ilvl w:val="2"/>
          <w:numId w:val="18"/>
        </w:numPr>
        <w:tabs>
          <w:tab w:val="left" w:pos="1706"/>
        </w:tabs>
        <w:spacing w:before="0" w:after="0" w:line="240" w:lineRule="auto"/>
        <w:ind w:left="1705" w:right="0" w:hanging="998"/>
        <w:jc w:val="both"/>
        <w:rPr>
          <w:b/>
          <w:sz w:val="36"/>
        </w:rPr>
      </w:pPr>
      <w:r>
        <w:rPr>
          <w:b/>
          <w:sz w:val="36"/>
        </w:rPr>
        <w:t>物质风险识别</w:t>
      </w:r>
    </w:p>
    <w:p>
      <w:pPr>
        <w:pStyle w:val="BodyText"/>
        <w:spacing w:before="241" w:line="364" w:lineRule="auto"/>
        <w:ind w:left="708" w:right="689" w:firstLine="720"/>
        <w:jc w:val="both"/>
      </w:pPr>
      <w:r>
        <w:rPr>
          <w:spacing w:val="-9"/>
        </w:rPr>
        <w:t>根据《危险化学品名录》</w:t>
      </w:r>
      <w:r>
        <w:t>（2015</w:t>
      </w:r>
      <w:r>
        <w:rPr>
          <w:spacing w:val="-45"/>
        </w:rPr>
        <w:t xml:space="preserve"> 版</w:t>
      </w:r>
      <w:r>
        <w:t>）的规定，利津某某化工有限公司在生产过程中</w:t>
      </w:r>
      <w:r>
        <w:rPr>
          <w:spacing w:val="-1"/>
        </w:rPr>
        <w:t>涉及的易燃易爆物料有石脑油、各种溶剂油、渣油。发生突发性环境事故的因素主要是</w:t>
      </w:r>
      <w:r>
        <w:rPr>
          <w:spacing w:val="-4"/>
        </w:rPr>
        <w:t>物料泄漏后发生的大气以及水体污染事故。该公司所涉及危险化学品的主要危险有害特</w:t>
      </w:r>
    </w:p>
    <w:p>
      <w:pPr>
        <w:pStyle w:val="BodyText"/>
        <w:spacing w:before="4"/>
        <w:ind w:left="708"/>
      </w:pPr>
      <w:r>
        <w:t>性见表 3.3-2。</w:t>
      </w:r>
    </w:p>
    <w:p>
      <w:pPr>
        <w:pStyle w:val="Heading3"/>
        <w:tabs>
          <w:tab w:val="left" w:pos="1721"/>
        </w:tabs>
        <w:spacing w:before="121"/>
        <w:ind w:left="0" w:right="81"/>
        <w:jc w:val="center"/>
      </w:pPr>
      <w:r>
        <w:t>表</w:t>
      </w:r>
      <w:r>
        <w:rPr>
          <w:spacing w:val="-90"/>
        </w:rPr>
        <w:t xml:space="preserve"> </w:t>
      </w:r>
      <w:r>
        <w:t>3.3-2</w:t>
        <w:tab/>
        <w:t>主要危险化学品危害特性汇总表</w:t>
      </w:r>
    </w:p>
    <w:p>
      <w:pPr>
        <w:pStyle w:val="BodyText"/>
        <w:spacing w:before="9"/>
        <w:rPr>
          <w:b/>
          <w:sz w:val="35"/>
        </w:rPr>
      </w:pPr>
    </w:p>
    <w:p>
      <w:pPr>
        <w:tabs>
          <w:tab w:val="left" w:pos="2176"/>
          <w:tab w:val="left" w:pos="3973"/>
          <w:tab w:val="left" w:pos="5914"/>
          <w:tab w:val="left" w:pos="7858"/>
          <w:tab w:val="left" w:pos="11261"/>
        </w:tabs>
        <w:spacing w:before="1"/>
        <w:ind w:left="891" w:right="0" w:firstLine="0"/>
        <w:jc w:val="left"/>
        <w:rPr>
          <w:b/>
          <w:sz w:val="31"/>
        </w:rPr>
      </w:pPr>
      <w:r>
        <w:drawing>
          <wp:anchor distT="0" distB="0" distL="0" distR="0" simplePos="0" relativeHeight="251670528" behindDoc="1" locked="0" layoutInCell="1" allowOverlap="1">
            <wp:simplePos x="0" y="0"/>
            <wp:positionH relativeFrom="page">
              <wp:posOffset>1196975</wp:posOffset>
            </wp:positionH>
            <wp:positionV relativeFrom="paragraph">
              <wp:posOffset>-138556</wp:posOffset>
            </wp:positionV>
            <wp:extent cx="8959850" cy="4721098"/>
            <wp:effectExtent l="0" t="0" r="0" b="0"/>
            <wp:wrapNone/>
            <wp:docPr id="1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6.png"/>
                    <pic:cNvPicPr/>
                  </pic:nvPicPr>
                  <pic:blipFill>
                    <a:blip xmlns:r="http://schemas.openxmlformats.org/officeDocument/2006/relationships" r:embed="rId59" cstate="print"/>
                    <a:stretch>
                      <a:fillRect/>
                    </a:stretch>
                  </pic:blipFill>
                  <pic:spPr>
                    <a:xfrm>
                      <a:off x="0" y="0"/>
                      <a:ext cx="8959850" cy="4721098"/>
                    </a:xfrm>
                    <a:prstGeom prst="rect">
                      <a:avLst/>
                    </a:prstGeom>
                  </pic:spPr>
                </pic:pic>
              </a:graphicData>
            </a:graphic>
          </wp:anchor>
        </w:drawing>
      </w:r>
      <w:r>
        <w:rPr>
          <w:b/>
          <w:sz w:val="31"/>
        </w:rPr>
        <w:t>序号</w:t>
        <w:tab/>
        <w:t>物料名称</w:t>
        <w:tab/>
        <w:t>危险性类别</w:t>
        <w:tab/>
      </w:r>
      <w:r>
        <w:rPr>
          <w:b/>
          <w:position w:val="9"/>
          <w:sz w:val="31"/>
        </w:rPr>
        <w:t>闪点（℃）</w:t>
        <w:tab/>
      </w:r>
      <w:r>
        <w:rPr>
          <w:b/>
          <w:sz w:val="31"/>
        </w:rPr>
        <w:t>火灾危险类别</w:t>
        <w:tab/>
        <w:t>主要危险特性</w:t>
      </w:r>
    </w:p>
    <w:p>
      <w:pPr>
        <w:pStyle w:val="BodyText"/>
        <w:spacing w:before="7"/>
        <w:rPr>
          <w:b/>
          <w:sz w:val="22"/>
        </w:rPr>
      </w:pPr>
    </w:p>
    <w:p>
      <w:pPr>
        <w:spacing w:after="0"/>
        <w:rPr>
          <w:sz w:val="22"/>
        </w:rPr>
        <w:sectPr>
          <w:headerReference w:type="default" r:id="rId60"/>
          <w:footerReference w:type="default" r:id="rId61"/>
          <w:pgSz w:w="17860" w:h="25260"/>
          <w:pgMar w:top="1380" w:right="1360" w:bottom="2020" w:left="1420" w:header="1083" w:footer="1826"/>
          <w:pgNumType w:start="21"/>
          <w:cols w:space="708"/>
        </w:sectPr>
      </w:pPr>
    </w:p>
    <w:p>
      <w:pPr>
        <w:pStyle w:val="BodyText"/>
        <w:rPr>
          <w:b/>
          <w:sz w:val="32"/>
        </w:rPr>
      </w:pPr>
    </w:p>
    <w:p>
      <w:pPr>
        <w:pStyle w:val="BodyText"/>
        <w:spacing w:before="12"/>
        <w:rPr>
          <w:b/>
          <w:sz w:val="45"/>
        </w:rPr>
      </w:pPr>
    </w:p>
    <w:p>
      <w:pPr>
        <w:tabs>
          <w:tab w:val="left" w:pos="2331"/>
        </w:tabs>
        <w:spacing w:before="0"/>
        <w:ind w:left="1122" w:right="0" w:firstLine="0"/>
        <w:jc w:val="left"/>
        <w:rPr>
          <w:sz w:val="31"/>
        </w:rPr>
      </w:pPr>
      <w:r>
        <w:rPr>
          <w:sz w:val="31"/>
        </w:rPr>
        <w:t>1</w:t>
        <w:tab/>
        <w:t>石脑油</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spacing w:before="229" w:line="316" w:lineRule="exact"/>
        <w:ind w:left="2101" w:right="0" w:firstLine="0"/>
        <w:jc w:val="left"/>
        <w:rPr>
          <w:sz w:val="31"/>
        </w:rPr>
      </w:pPr>
      <w:r>
        <w:rPr>
          <w:sz w:val="31"/>
        </w:rPr>
        <w:t>200＃溶剂</w:t>
      </w:r>
    </w:p>
    <w:p>
      <w:pPr>
        <w:spacing w:before="0" w:line="234" w:lineRule="exact"/>
        <w:ind w:left="1122" w:right="0" w:firstLine="0"/>
        <w:jc w:val="left"/>
        <w:rPr>
          <w:sz w:val="31"/>
        </w:rPr>
      </w:pPr>
      <w:r>
        <w:rPr>
          <w:w w:val="102"/>
          <w:sz w:val="31"/>
        </w:rPr>
        <w:t>2</w:t>
      </w:r>
    </w:p>
    <w:p>
      <w:pPr>
        <w:spacing w:before="0" w:line="316" w:lineRule="exact"/>
        <w:ind w:left="2641" w:right="0" w:firstLine="0"/>
        <w:jc w:val="left"/>
        <w:rPr>
          <w:sz w:val="31"/>
        </w:rPr>
      </w:pPr>
      <w:r>
        <w:rPr>
          <w:w w:val="102"/>
          <w:sz w:val="31"/>
        </w:rPr>
        <w:t>油</w:t>
      </w:r>
    </w:p>
    <w:p>
      <w:pPr>
        <w:pStyle w:val="BodyText"/>
        <w:rPr>
          <w:sz w:val="32"/>
        </w:rPr>
      </w:pPr>
      <w:r>
        <w:br w:type="column"/>
      </w:r>
    </w:p>
    <w:p>
      <w:pPr>
        <w:pStyle w:val="BodyText"/>
        <w:spacing w:before="8"/>
        <w:rPr>
          <w:sz w:val="27"/>
        </w:rPr>
      </w:pPr>
    </w:p>
    <w:p>
      <w:pPr>
        <w:tabs>
          <w:tab w:val="left" w:pos="1807"/>
        </w:tabs>
        <w:spacing w:before="0" w:line="283" w:lineRule="auto"/>
        <w:ind w:left="265" w:right="0" w:firstLine="3"/>
        <w:jc w:val="left"/>
        <w:rPr>
          <w:sz w:val="31"/>
        </w:rPr>
      </w:pPr>
      <w:r>
        <w:rPr>
          <w:sz w:val="31"/>
        </w:rPr>
        <w:t>第</w:t>
      </w:r>
      <w:r>
        <w:rPr>
          <w:spacing w:val="-83"/>
          <w:sz w:val="31"/>
        </w:rPr>
        <w:t xml:space="preserve"> </w:t>
      </w:r>
      <w:r>
        <w:rPr>
          <w:sz w:val="31"/>
        </w:rPr>
        <w:t>3.2</w:t>
      </w:r>
      <w:r>
        <w:rPr>
          <w:spacing w:val="-85"/>
          <w:sz w:val="31"/>
        </w:rPr>
        <w:t xml:space="preserve"> </w:t>
      </w:r>
      <w:r>
        <w:rPr>
          <w:sz w:val="31"/>
        </w:rPr>
        <w:t>类</w:t>
        <w:tab/>
        <w:t>中闪点易燃液</w:t>
      </w:r>
      <w:r>
        <w:rPr>
          <w:spacing w:val="-19"/>
          <w:sz w:val="31"/>
        </w:rPr>
        <w:t>体</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26"/>
        </w:rPr>
      </w:pPr>
    </w:p>
    <w:p>
      <w:pPr>
        <w:spacing w:before="0" w:line="283" w:lineRule="auto"/>
        <w:ind w:left="420" w:right="22" w:hanging="155"/>
        <w:jc w:val="left"/>
        <w:rPr>
          <w:sz w:val="31"/>
        </w:rPr>
      </w:pPr>
      <w:r>
        <w:rPr>
          <w:spacing w:val="-36"/>
          <w:sz w:val="31"/>
        </w:rPr>
        <w:t xml:space="preserve">第 </w:t>
      </w:r>
      <w:r>
        <w:rPr>
          <w:sz w:val="31"/>
        </w:rPr>
        <w:t>3.2</w:t>
      </w:r>
      <w:r>
        <w:rPr>
          <w:spacing w:val="-23"/>
          <w:sz w:val="31"/>
        </w:rPr>
        <w:t xml:space="preserve"> 类中闪</w:t>
      </w:r>
      <w:r>
        <w:rPr>
          <w:sz w:val="31"/>
        </w:rPr>
        <w:t>点易燃液体</w:t>
      </w:r>
    </w:p>
    <w:p>
      <w:pPr>
        <w:pStyle w:val="BodyText"/>
        <w:rPr>
          <w:sz w:val="32"/>
        </w:rPr>
      </w:pPr>
      <w:r>
        <w:br w:type="column"/>
      </w:r>
    </w:p>
    <w:p>
      <w:pPr>
        <w:pStyle w:val="BodyText"/>
        <w:spacing w:before="12"/>
        <w:rPr>
          <w:sz w:val="45"/>
        </w:rPr>
      </w:pPr>
    </w:p>
    <w:p>
      <w:pPr>
        <w:tabs>
          <w:tab w:val="left" w:pos="1865"/>
        </w:tabs>
        <w:spacing w:before="0"/>
        <w:ind w:left="0" w:right="0" w:firstLine="0"/>
        <w:jc w:val="right"/>
        <w:rPr>
          <w:sz w:val="31"/>
        </w:rPr>
      </w:pPr>
      <w:r>
        <w:rPr>
          <w:sz w:val="31"/>
        </w:rPr>
        <w:t>-2</w:t>
        <w:tab/>
        <w:t>甲类</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
      </w:pPr>
    </w:p>
    <w:p>
      <w:pPr>
        <w:tabs>
          <w:tab w:val="left" w:pos="2099"/>
        </w:tabs>
        <w:spacing w:before="0"/>
        <w:ind w:left="0" w:right="0" w:firstLine="0"/>
        <w:jc w:val="right"/>
        <w:rPr>
          <w:sz w:val="31"/>
        </w:rPr>
      </w:pPr>
      <w:r>
        <w:rPr>
          <w:sz w:val="31"/>
        </w:rPr>
        <w:t>-7~32</w:t>
        <w:tab/>
        <w:t>甲类</w:t>
      </w:r>
    </w:p>
    <w:p>
      <w:pPr>
        <w:spacing w:before="62" w:line="283" w:lineRule="auto"/>
        <w:ind w:left="788" w:right="401" w:firstLine="86"/>
        <w:jc w:val="left"/>
        <w:rPr>
          <w:sz w:val="31"/>
        </w:rPr>
      </w:pPr>
      <w:r>
        <w:br w:type="column"/>
      </w:r>
      <w:r>
        <w:rPr>
          <w:sz w:val="31"/>
        </w:rPr>
        <w:t xml:space="preserve">其蒸气与空气可形成爆炸性混合 </w:t>
      </w:r>
      <w:r>
        <w:rPr>
          <w:spacing w:val="-26"/>
          <w:sz w:val="31"/>
        </w:rPr>
        <w:t>物，遇明火、高热能引起燃烧爆炸。</w:t>
      </w:r>
      <w:r>
        <w:rPr>
          <w:sz w:val="31"/>
        </w:rPr>
        <w:t>与氧化剂能发生强烈反应</w:t>
      </w:r>
      <w:r>
        <w:rPr>
          <w:spacing w:val="-57"/>
          <w:sz w:val="31"/>
        </w:rPr>
        <w:t xml:space="preserve">。其蒸气 </w:t>
      </w:r>
      <w:r>
        <w:rPr>
          <w:spacing w:val="-29"/>
          <w:sz w:val="31"/>
        </w:rPr>
        <w:t>比空气重，能在较低处扩散到相当远的地方，遇火源会着火回燃。</w:t>
      </w:r>
    </w:p>
    <w:p>
      <w:pPr>
        <w:spacing w:before="275" w:line="283" w:lineRule="auto"/>
        <w:ind w:left="788" w:right="436" w:hanging="187"/>
        <w:jc w:val="center"/>
        <w:rPr>
          <w:sz w:val="31"/>
        </w:rPr>
      </w:pPr>
      <w:r>
        <w:rPr>
          <w:sz w:val="31"/>
        </w:rPr>
        <w:t>其蒸汽与空气形成爆炸混合物</w:t>
      </w:r>
      <w:r>
        <w:rPr>
          <w:spacing w:val="-119"/>
          <w:sz w:val="31"/>
        </w:rPr>
        <w:t xml:space="preserve">，遇  </w:t>
      </w:r>
      <w:r>
        <w:rPr>
          <w:spacing w:val="-35"/>
          <w:sz w:val="31"/>
        </w:rPr>
        <w:t xml:space="preserve">明火、高热能引起燃烧爆炸。与氧  </w:t>
      </w:r>
      <w:r>
        <w:rPr>
          <w:spacing w:val="-37"/>
          <w:sz w:val="31"/>
        </w:rPr>
        <w:t xml:space="preserve">化剂能发生强烈反应。其蒸汽比空 </w:t>
      </w:r>
      <w:r>
        <w:rPr>
          <w:spacing w:val="-19"/>
          <w:sz w:val="31"/>
        </w:rPr>
        <w:t xml:space="preserve">气重，能在较低处扩散到相当远的 </w:t>
      </w:r>
      <w:r>
        <w:rPr>
          <w:spacing w:val="-22"/>
          <w:sz w:val="31"/>
        </w:rPr>
        <w:t>地方，遇火源引着回燃</w:t>
      </w:r>
      <w:r>
        <w:rPr>
          <w:spacing w:val="-37"/>
          <w:sz w:val="31"/>
        </w:rPr>
        <w:t xml:space="preserve">。若遇高热， </w:t>
      </w:r>
      <w:r>
        <w:rPr>
          <w:sz w:val="31"/>
        </w:rPr>
        <w:t>容器内压增大</w:t>
      </w:r>
      <w:r>
        <w:rPr>
          <w:spacing w:val="-23"/>
          <w:sz w:val="31"/>
        </w:rPr>
        <w:t xml:space="preserve">，有开裂和爆炸的危 </w:t>
      </w:r>
      <w:r>
        <w:rPr>
          <w:spacing w:val="-17"/>
          <w:sz w:val="31"/>
        </w:rPr>
        <w:t>险。流速过快，容易产生和积聚静 电。</w:t>
      </w:r>
    </w:p>
    <w:p>
      <w:pPr>
        <w:spacing w:after="0" w:line="283" w:lineRule="auto"/>
        <w:jc w:val="center"/>
        <w:rPr>
          <w:sz w:val="31"/>
        </w:rPr>
        <w:sectPr>
          <w:headerReference w:type="default" r:id="rId62"/>
          <w:footerReference w:type="default" r:id="rId63"/>
          <w:type w:val="continuous"/>
          <w:pgSz w:w="17860" w:h="25260"/>
          <w:pgMar w:top="1380" w:right="1360" w:bottom="2020" w:left="1420" w:header="708" w:footer="708"/>
          <w:pgNumType w:start="22"/>
          <w:cols w:num="4" w:space="708" w:equalWidth="0">
            <w:col w:w="3517" w:space="40"/>
            <w:col w:w="2167" w:space="39"/>
            <w:col w:w="3349" w:space="40"/>
            <w:col w:w="5928" w:space="0"/>
          </w:cols>
        </w:sectPr>
      </w:pPr>
    </w:p>
    <w:p>
      <w:pPr>
        <w:pStyle w:val="BodyText"/>
        <w:rPr>
          <w:sz w:val="20"/>
        </w:rPr>
      </w:pPr>
    </w:p>
    <w:p>
      <w:pPr>
        <w:pStyle w:val="BodyText"/>
        <w:rPr>
          <w:sz w:val="20"/>
        </w:rPr>
      </w:pPr>
    </w:p>
    <w:p>
      <w:pPr>
        <w:pStyle w:val="BodyText"/>
        <w:spacing w:before="1"/>
        <w:rPr>
          <w:sz w:val="14"/>
        </w:rPr>
      </w:pPr>
    </w:p>
    <w:tbl>
      <w:tblPr>
        <w:tblStyle w:val="TableNormal4"/>
        <w:tblW w:w="0" w:type="auto"/>
        <w:jc w:val="left"/>
        <w:tblInd w:w="8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64"/>
        <w:gridCol w:w="1861"/>
        <w:gridCol w:w="2139"/>
        <w:gridCol w:w="1872"/>
        <w:gridCol w:w="2171"/>
        <w:gridCol w:w="4733"/>
      </w:tblGrid>
      <w:tr>
        <w:tblPrEx>
          <w:tblW w:w="0" w:type="auto"/>
          <w:jc w:val="left"/>
          <w:tblInd w:w="8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1"/>
          <w:jc w:val="left"/>
        </w:trPr>
        <w:tc>
          <w:tcPr>
            <w:tcW w:w="964" w:type="dxa"/>
          </w:tcPr>
          <w:p>
            <w:pPr>
              <w:pStyle w:val="TableParagraph"/>
              <w:spacing w:before="53"/>
              <w:ind w:left="36" w:right="264"/>
              <w:rPr>
                <w:b/>
                <w:sz w:val="31"/>
              </w:rPr>
            </w:pPr>
            <w:r>
              <w:rPr>
                <w:b/>
                <w:sz w:val="31"/>
              </w:rPr>
              <w:t>序号</w:t>
            </w:r>
          </w:p>
        </w:tc>
        <w:tc>
          <w:tcPr>
            <w:tcW w:w="1861" w:type="dxa"/>
          </w:tcPr>
          <w:p>
            <w:pPr>
              <w:pStyle w:val="TableParagraph"/>
              <w:spacing w:before="53"/>
              <w:ind w:left="276" w:right="128"/>
              <w:rPr>
                <w:b/>
                <w:sz w:val="31"/>
              </w:rPr>
            </w:pPr>
            <w:r>
              <w:rPr>
                <w:b/>
                <w:sz w:val="31"/>
              </w:rPr>
              <w:t>物料名称</w:t>
            </w:r>
          </w:p>
        </w:tc>
        <w:tc>
          <w:tcPr>
            <w:tcW w:w="2139" w:type="dxa"/>
          </w:tcPr>
          <w:p>
            <w:pPr>
              <w:pStyle w:val="TableParagraph"/>
              <w:spacing w:before="53"/>
              <w:ind w:left="299" w:right="242"/>
              <w:rPr>
                <w:b/>
                <w:sz w:val="31"/>
              </w:rPr>
            </w:pPr>
            <w:r>
              <w:rPr>
                <w:b/>
                <w:sz w:val="31"/>
              </w:rPr>
              <w:t>危险性类别</w:t>
            </w:r>
          </w:p>
        </w:tc>
        <w:tc>
          <w:tcPr>
            <w:tcW w:w="1872" w:type="dxa"/>
          </w:tcPr>
          <w:p>
            <w:pPr>
              <w:pStyle w:val="TableParagraph"/>
              <w:spacing w:line="359" w:lineRule="exact"/>
              <w:ind w:left="103" w:right="171"/>
              <w:rPr>
                <w:b/>
                <w:sz w:val="31"/>
              </w:rPr>
            </w:pPr>
            <w:r>
              <w:rPr>
                <w:b/>
                <w:sz w:val="31"/>
              </w:rPr>
              <w:t>闪点（℃）</w:t>
            </w:r>
          </w:p>
        </w:tc>
        <w:tc>
          <w:tcPr>
            <w:tcW w:w="2171" w:type="dxa"/>
          </w:tcPr>
          <w:p>
            <w:pPr>
              <w:pStyle w:val="TableParagraph"/>
              <w:spacing w:before="53"/>
              <w:ind w:left="177" w:right="86"/>
              <w:rPr>
                <w:b/>
                <w:sz w:val="31"/>
              </w:rPr>
            </w:pPr>
            <w:r>
              <w:rPr>
                <w:b/>
                <w:sz w:val="31"/>
              </w:rPr>
              <w:t>火灾危险类别</w:t>
            </w:r>
          </w:p>
        </w:tc>
        <w:tc>
          <w:tcPr>
            <w:tcW w:w="4733" w:type="dxa"/>
          </w:tcPr>
          <w:p>
            <w:pPr>
              <w:pStyle w:val="TableParagraph"/>
              <w:spacing w:before="53"/>
              <w:ind w:left="1412"/>
              <w:jc w:val="left"/>
              <w:rPr>
                <w:b/>
                <w:sz w:val="31"/>
              </w:rPr>
            </w:pPr>
            <w:r>
              <w:rPr>
                <w:b/>
                <w:sz w:val="31"/>
              </w:rPr>
              <w:t>主要危险特性</w:t>
            </w:r>
          </w:p>
        </w:tc>
      </w:tr>
      <w:tr>
        <w:tblPrEx>
          <w:tblW w:w="0" w:type="auto"/>
          <w:jc w:val="left"/>
          <w:tblInd w:w="849" w:type="dxa"/>
          <w:tblLayout w:type="fixed"/>
          <w:tblCellMar>
            <w:top w:w="0" w:type="dxa"/>
            <w:left w:w="0" w:type="dxa"/>
            <w:bottom w:w="0" w:type="dxa"/>
            <w:right w:w="0" w:type="dxa"/>
          </w:tblCellMar>
          <w:tblLook w:val="01E0"/>
        </w:tblPrEx>
        <w:trPr>
          <w:trHeight w:val="516"/>
          <w:jc w:val="left"/>
        </w:trPr>
        <w:tc>
          <w:tcPr>
            <w:tcW w:w="964" w:type="dxa"/>
          </w:tcPr>
          <w:p>
            <w:pPr>
              <w:pStyle w:val="TableParagraph"/>
              <w:jc w:val="left"/>
              <w:rPr>
                <w:rFonts w:ascii="Times New Roman"/>
                <w:sz w:val="30"/>
              </w:rPr>
            </w:pPr>
          </w:p>
        </w:tc>
        <w:tc>
          <w:tcPr>
            <w:tcW w:w="1861" w:type="dxa"/>
          </w:tcPr>
          <w:p>
            <w:pPr>
              <w:pStyle w:val="TableParagraph"/>
              <w:jc w:val="left"/>
              <w:rPr>
                <w:rFonts w:ascii="Times New Roman"/>
                <w:sz w:val="30"/>
              </w:rPr>
            </w:pPr>
          </w:p>
        </w:tc>
        <w:tc>
          <w:tcPr>
            <w:tcW w:w="2139" w:type="dxa"/>
          </w:tcPr>
          <w:p>
            <w:pPr>
              <w:pStyle w:val="TableParagraph"/>
              <w:jc w:val="left"/>
              <w:rPr>
                <w:rFonts w:ascii="Times New Roman"/>
                <w:sz w:val="30"/>
              </w:rPr>
            </w:pPr>
          </w:p>
        </w:tc>
        <w:tc>
          <w:tcPr>
            <w:tcW w:w="1872" w:type="dxa"/>
          </w:tcPr>
          <w:p>
            <w:pPr>
              <w:pStyle w:val="TableParagraph"/>
              <w:jc w:val="left"/>
              <w:rPr>
                <w:rFonts w:ascii="Times New Roman"/>
                <w:sz w:val="30"/>
              </w:rPr>
            </w:pPr>
          </w:p>
        </w:tc>
        <w:tc>
          <w:tcPr>
            <w:tcW w:w="2171" w:type="dxa"/>
          </w:tcPr>
          <w:p>
            <w:pPr>
              <w:pStyle w:val="TableParagraph"/>
              <w:jc w:val="left"/>
              <w:rPr>
                <w:rFonts w:ascii="Times New Roman"/>
                <w:sz w:val="30"/>
              </w:rPr>
            </w:pPr>
          </w:p>
        </w:tc>
        <w:tc>
          <w:tcPr>
            <w:tcW w:w="4733" w:type="dxa"/>
          </w:tcPr>
          <w:p>
            <w:pPr>
              <w:pStyle w:val="TableParagraph"/>
              <w:spacing w:before="86"/>
              <w:ind w:left="137"/>
              <w:jc w:val="left"/>
              <w:rPr>
                <w:sz w:val="31"/>
              </w:rPr>
            </w:pPr>
            <w:r>
              <w:rPr>
                <w:sz w:val="31"/>
              </w:rPr>
              <w:t>其蒸气与空气可形成爆炸性混</w:t>
            </w:r>
          </w:p>
        </w:tc>
      </w:tr>
      <w:tr>
        <w:tblPrEx>
          <w:tblW w:w="0" w:type="auto"/>
          <w:jc w:val="left"/>
          <w:tblInd w:w="849" w:type="dxa"/>
          <w:tblLayout w:type="fixed"/>
          <w:tblCellMar>
            <w:top w:w="0" w:type="dxa"/>
            <w:left w:w="0" w:type="dxa"/>
            <w:bottom w:w="0" w:type="dxa"/>
            <w:right w:w="0" w:type="dxa"/>
          </w:tblCellMar>
          <w:tblLook w:val="01E0"/>
        </w:tblPrEx>
        <w:trPr>
          <w:trHeight w:val="1403"/>
          <w:jc w:val="left"/>
        </w:trPr>
        <w:tc>
          <w:tcPr>
            <w:tcW w:w="964" w:type="dxa"/>
          </w:tcPr>
          <w:p>
            <w:pPr>
              <w:pStyle w:val="TableParagraph"/>
              <w:spacing w:before="6"/>
              <w:jc w:val="left"/>
              <w:rPr>
                <w:sz w:val="46"/>
              </w:rPr>
            </w:pPr>
          </w:p>
          <w:p>
            <w:pPr>
              <w:pStyle w:val="TableParagraph"/>
              <w:ind w:right="242"/>
              <w:rPr>
                <w:sz w:val="31"/>
              </w:rPr>
            </w:pPr>
            <w:r>
              <w:rPr>
                <w:w w:val="102"/>
                <w:sz w:val="31"/>
              </w:rPr>
              <w:t>3</w:t>
            </w:r>
          </w:p>
        </w:tc>
        <w:tc>
          <w:tcPr>
            <w:tcW w:w="1861" w:type="dxa"/>
          </w:tcPr>
          <w:p>
            <w:pPr>
              <w:pStyle w:val="TableParagraph"/>
              <w:spacing w:before="272" w:line="283" w:lineRule="auto"/>
              <w:ind w:left="831" w:right="152" w:hanging="551"/>
              <w:jc w:val="left"/>
              <w:rPr>
                <w:sz w:val="31"/>
              </w:rPr>
            </w:pPr>
            <w:r>
              <w:rPr>
                <w:sz w:val="31"/>
              </w:rPr>
              <w:t>180＃溶剂油</w:t>
            </w:r>
          </w:p>
        </w:tc>
        <w:tc>
          <w:tcPr>
            <w:tcW w:w="2139" w:type="dxa"/>
          </w:tcPr>
          <w:p>
            <w:pPr>
              <w:pStyle w:val="TableParagraph"/>
              <w:spacing w:before="3"/>
              <w:jc w:val="left"/>
              <w:rPr>
                <w:sz w:val="28"/>
              </w:rPr>
            </w:pPr>
          </w:p>
          <w:p>
            <w:pPr>
              <w:pStyle w:val="TableParagraph"/>
              <w:spacing w:line="283" w:lineRule="auto"/>
              <w:ind w:left="771" w:right="105" w:hanging="617"/>
              <w:jc w:val="left"/>
              <w:rPr>
                <w:sz w:val="31"/>
              </w:rPr>
            </w:pPr>
            <w:r>
              <w:rPr>
                <w:spacing w:val="-36"/>
                <w:sz w:val="31"/>
              </w:rPr>
              <w:t xml:space="preserve">第 </w:t>
            </w:r>
            <w:r>
              <w:rPr>
                <w:sz w:val="31"/>
              </w:rPr>
              <w:t>3.2</w:t>
            </w:r>
            <w:r>
              <w:rPr>
                <w:spacing w:val="-23"/>
                <w:sz w:val="31"/>
              </w:rPr>
              <w:t xml:space="preserve"> 类易燃</w:t>
            </w:r>
            <w:r>
              <w:rPr>
                <w:sz w:val="31"/>
              </w:rPr>
              <w:t>液体</w:t>
            </w:r>
          </w:p>
        </w:tc>
        <w:tc>
          <w:tcPr>
            <w:tcW w:w="1872" w:type="dxa"/>
          </w:tcPr>
          <w:p>
            <w:pPr>
              <w:pStyle w:val="TableParagraph"/>
              <w:spacing w:before="6"/>
              <w:jc w:val="left"/>
              <w:rPr>
                <w:sz w:val="46"/>
              </w:rPr>
            </w:pPr>
          </w:p>
          <w:p>
            <w:pPr>
              <w:pStyle w:val="TableParagraph"/>
              <w:ind w:left="103" w:right="37"/>
              <w:rPr>
                <w:sz w:val="31"/>
              </w:rPr>
            </w:pPr>
            <w:r>
              <w:rPr>
                <w:sz w:val="31"/>
              </w:rPr>
              <w:t>45.6</w:t>
            </w:r>
          </w:p>
        </w:tc>
        <w:tc>
          <w:tcPr>
            <w:tcW w:w="2171" w:type="dxa"/>
          </w:tcPr>
          <w:p>
            <w:pPr>
              <w:pStyle w:val="TableParagraph"/>
              <w:spacing w:before="6"/>
              <w:jc w:val="left"/>
              <w:rPr>
                <w:sz w:val="39"/>
              </w:rPr>
            </w:pPr>
          </w:p>
          <w:p>
            <w:pPr>
              <w:pStyle w:val="TableParagraph"/>
              <w:ind w:left="91" w:right="86"/>
              <w:rPr>
                <w:sz w:val="31"/>
              </w:rPr>
            </w:pPr>
            <w:r>
              <w:rPr>
                <w:sz w:val="31"/>
              </w:rPr>
              <w:t>乙类</w:t>
            </w:r>
          </w:p>
        </w:tc>
        <w:tc>
          <w:tcPr>
            <w:tcW w:w="4733" w:type="dxa"/>
          </w:tcPr>
          <w:p>
            <w:pPr>
              <w:pStyle w:val="TableParagraph"/>
              <w:spacing w:before="38" w:line="283" w:lineRule="auto"/>
              <w:ind w:left="91" w:right="212" w:firstLine="46"/>
              <w:jc w:val="left"/>
              <w:rPr>
                <w:sz w:val="31"/>
              </w:rPr>
            </w:pPr>
            <w:r>
              <w:rPr>
                <w:sz w:val="31"/>
              </w:rPr>
              <w:t xml:space="preserve">合物，遇明火、高热极易燃烧 </w:t>
            </w:r>
            <w:r>
              <w:rPr>
                <w:spacing w:val="-5"/>
                <w:sz w:val="31"/>
              </w:rPr>
              <w:t>爆炸。与氧化剂接触猛烈反应。</w:t>
            </w:r>
          </w:p>
          <w:p>
            <w:pPr>
              <w:pStyle w:val="TableParagraph"/>
              <w:spacing w:line="396" w:lineRule="exact"/>
              <w:ind w:left="137"/>
              <w:jc w:val="left"/>
              <w:rPr>
                <w:sz w:val="31"/>
              </w:rPr>
            </w:pPr>
            <w:r>
              <w:rPr>
                <w:sz w:val="31"/>
              </w:rPr>
              <w:t>若遇高热，容器内压增大，有</w:t>
            </w:r>
          </w:p>
        </w:tc>
      </w:tr>
      <w:tr>
        <w:tblPrEx>
          <w:tblW w:w="0" w:type="auto"/>
          <w:jc w:val="left"/>
          <w:tblInd w:w="849" w:type="dxa"/>
          <w:tblLayout w:type="fixed"/>
          <w:tblCellMar>
            <w:top w:w="0" w:type="dxa"/>
            <w:left w:w="0" w:type="dxa"/>
            <w:bottom w:w="0" w:type="dxa"/>
            <w:right w:w="0" w:type="dxa"/>
          </w:tblCellMar>
          <w:tblLook w:val="01E0"/>
        </w:tblPrEx>
        <w:trPr>
          <w:trHeight w:val="518"/>
          <w:jc w:val="left"/>
        </w:trPr>
        <w:tc>
          <w:tcPr>
            <w:tcW w:w="964" w:type="dxa"/>
          </w:tcPr>
          <w:p>
            <w:pPr>
              <w:pStyle w:val="TableParagraph"/>
              <w:jc w:val="left"/>
              <w:rPr>
                <w:rFonts w:ascii="Times New Roman"/>
                <w:sz w:val="30"/>
              </w:rPr>
            </w:pPr>
          </w:p>
        </w:tc>
        <w:tc>
          <w:tcPr>
            <w:tcW w:w="1861" w:type="dxa"/>
          </w:tcPr>
          <w:p>
            <w:pPr>
              <w:pStyle w:val="TableParagraph"/>
              <w:jc w:val="left"/>
              <w:rPr>
                <w:rFonts w:ascii="Times New Roman"/>
                <w:sz w:val="30"/>
              </w:rPr>
            </w:pPr>
          </w:p>
        </w:tc>
        <w:tc>
          <w:tcPr>
            <w:tcW w:w="2139" w:type="dxa"/>
          </w:tcPr>
          <w:p>
            <w:pPr>
              <w:pStyle w:val="TableParagraph"/>
              <w:jc w:val="left"/>
              <w:rPr>
                <w:rFonts w:ascii="Times New Roman"/>
                <w:sz w:val="30"/>
              </w:rPr>
            </w:pPr>
          </w:p>
        </w:tc>
        <w:tc>
          <w:tcPr>
            <w:tcW w:w="1872" w:type="dxa"/>
          </w:tcPr>
          <w:p>
            <w:pPr>
              <w:pStyle w:val="TableParagraph"/>
              <w:jc w:val="left"/>
              <w:rPr>
                <w:rFonts w:ascii="Times New Roman"/>
                <w:sz w:val="30"/>
              </w:rPr>
            </w:pPr>
          </w:p>
        </w:tc>
        <w:tc>
          <w:tcPr>
            <w:tcW w:w="2171" w:type="dxa"/>
          </w:tcPr>
          <w:p>
            <w:pPr>
              <w:pStyle w:val="TableParagraph"/>
              <w:jc w:val="left"/>
              <w:rPr>
                <w:rFonts w:ascii="Times New Roman"/>
                <w:sz w:val="30"/>
              </w:rPr>
            </w:pPr>
          </w:p>
        </w:tc>
        <w:tc>
          <w:tcPr>
            <w:tcW w:w="4733" w:type="dxa"/>
          </w:tcPr>
          <w:p>
            <w:pPr>
              <w:pStyle w:val="TableParagraph"/>
              <w:spacing w:before="38"/>
              <w:ind w:left="814"/>
              <w:jc w:val="left"/>
              <w:rPr>
                <w:sz w:val="31"/>
              </w:rPr>
            </w:pPr>
            <w:r>
              <w:rPr>
                <w:sz w:val="31"/>
              </w:rPr>
              <w:t>开裂和爆炸的危险。</w:t>
            </w:r>
          </w:p>
        </w:tc>
      </w:tr>
      <w:tr>
        <w:tblPrEx>
          <w:tblW w:w="0" w:type="auto"/>
          <w:jc w:val="left"/>
          <w:tblInd w:w="849" w:type="dxa"/>
          <w:tblLayout w:type="fixed"/>
          <w:tblCellMar>
            <w:top w:w="0" w:type="dxa"/>
            <w:left w:w="0" w:type="dxa"/>
            <w:bottom w:w="0" w:type="dxa"/>
            <w:right w:w="0" w:type="dxa"/>
          </w:tblCellMar>
          <w:tblLook w:val="01E0"/>
        </w:tblPrEx>
        <w:trPr>
          <w:trHeight w:val="518"/>
          <w:jc w:val="left"/>
        </w:trPr>
        <w:tc>
          <w:tcPr>
            <w:tcW w:w="964" w:type="dxa"/>
          </w:tcPr>
          <w:p>
            <w:pPr>
              <w:pStyle w:val="TableParagraph"/>
              <w:jc w:val="left"/>
              <w:rPr>
                <w:rFonts w:ascii="Times New Roman"/>
                <w:sz w:val="30"/>
              </w:rPr>
            </w:pPr>
          </w:p>
        </w:tc>
        <w:tc>
          <w:tcPr>
            <w:tcW w:w="1861" w:type="dxa"/>
          </w:tcPr>
          <w:p>
            <w:pPr>
              <w:pStyle w:val="TableParagraph"/>
              <w:jc w:val="left"/>
              <w:rPr>
                <w:rFonts w:ascii="Times New Roman"/>
                <w:sz w:val="30"/>
              </w:rPr>
            </w:pPr>
          </w:p>
        </w:tc>
        <w:tc>
          <w:tcPr>
            <w:tcW w:w="2139" w:type="dxa"/>
          </w:tcPr>
          <w:p>
            <w:pPr>
              <w:pStyle w:val="TableParagraph"/>
              <w:jc w:val="left"/>
              <w:rPr>
                <w:rFonts w:ascii="Times New Roman"/>
                <w:sz w:val="30"/>
              </w:rPr>
            </w:pPr>
          </w:p>
        </w:tc>
        <w:tc>
          <w:tcPr>
            <w:tcW w:w="1872" w:type="dxa"/>
          </w:tcPr>
          <w:p>
            <w:pPr>
              <w:pStyle w:val="TableParagraph"/>
              <w:jc w:val="left"/>
              <w:rPr>
                <w:rFonts w:ascii="Times New Roman"/>
                <w:sz w:val="30"/>
              </w:rPr>
            </w:pPr>
          </w:p>
        </w:tc>
        <w:tc>
          <w:tcPr>
            <w:tcW w:w="2171" w:type="dxa"/>
          </w:tcPr>
          <w:p>
            <w:pPr>
              <w:pStyle w:val="TableParagraph"/>
              <w:jc w:val="left"/>
              <w:rPr>
                <w:rFonts w:ascii="Times New Roman"/>
                <w:sz w:val="30"/>
              </w:rPr>
            </w:pPr>
          </w:p>
        </w:tc>
        <w:tc>
          <w:tcPr>
            <w:tcW w:w="4733" w:type="dxa"/>
          </w:tcPr>
          <w:p>
            <w:pPr>
              <w:pStyle w:val="TableParagraph"/>
              <w:spacing w:before="88"/>
              <w:ind w:left="91"/>
              <w:jc w:val="left"/>
              <w:rPr>
                <w:sz w:val="31"/>
              </w:rPr>
            </w:pPr>
            <w:r>
              <w:rPr>
                <w:spacing w:val="-14"/>
                <w:sz w:val="31"/>
              </w:rPr>
              <w:t>低度危险：该物质只有在加热至其</w:t>
            </w:r>
          </w:p>
        </w:tc>
      </w:tr>
      <w:tr>
        <w:tblPrEx>
          <w:tblW w:w="0" w:type="auto"/>
          <w:jc w:val="left"/>
          <w:tblInd w:w="849" w:type="dxa"/>
          <w:tblLayout w:type="fixed"/>
          <w:tblCellMar>
            <w:top w:w="0" w:type="dxa"/>
            <w:left w:w="0" w:type="dxa"/>
            <w:bottom w:w="0" w:type="dxa"/>
            <w:right w:w="0" w:type="dxa"/>
          </w:tblCellMar>
          <w:tblLook w:val="01E0"/>
        </w:tblPrEx>
        <w:trPr>
          <w:trHeight w:val="936"/>
          <w:jc w:val="left"/>
        </w:trPr>
        <w:tc>
          <w:tcPr>
            <w:tcW w:w="964" w:type="dxa"/>
          </w:tcPr>
          <w:p>
            <w:pPr>
              <w:pStyle w:val="TableParagraph"/>
              <w:spacing w:before="3"/>
              <w:jc w:val="left"/>
              <w:rPr>
                <w:sz w:val="28"/>
              </w:rPr>
            </w:pPr>
          </w:p>
          <w:p>
            <w:pPr>
              <w:pStyle w:val="TableParagraph"/>
              <w:ind w:right="242"/>
              <w:rPr>
                <w:sz w:val="31"/>
              </w:rPr>
            </w:pPr>
            <w:r>
              <w:rPr>
                <w:w w:val="102"/>
                <w:sz w:val="31"/>
              </w:rPr>
              <w:t>4</w:t>
            </w:r>
          </w:p>
        </w:tc>
        <w:tc>
          <w:tcPr>
            <w:tcW w:w="1861" w:type="dxa"/>
          </w:tcPr>
          <w:p>
            <w:pPr>
              <w:pStyle w:val="TableParagraph"/>
              <w:spacing w:before="38"/>
              <w:ind w:left="276" w:right="150"/>
              <w:rPr>
                <w:sz w:val="31"/>
              </w:rPr>
            </w:pPr>
            <w:r>
              <w:rPr>
                <w:sz w:val="31"/>
              </w:rPr>
              <w:t>120＃溶剂</w:t>
            </w:r>
          </w:p>
          <w:p>
            <w:pPr>
              <w:pStyle w:val="TableParagraph"/>
              <w:spacing w:before="70"/>
              <w:ind w:left="119"/>
              <w:rPr>
                <w:sz w:val="31"/>
              </w:rPr>
            </w:pPr>
            <w:r>
              <w:rPr>
                <w:w w:val="102"/>
                <w:sz w:val="31"/>
              </w:rPr>
              <w:t>油</w:t>
            </w:r>
          </w:p>
        </w:tc>
        <w:tc>
          <w:tcPr>
            <w:tcW w:w="2139" w:type="dxa"/>
          </w:tcPr>
          <w:p>
            <w:pPr>
              <w:pStyle w:val="TableParagraph"/>
              <w:spacing w:before="3"/>
              <w:jc w:val="left"/>
              <w:rPr>
                <w:sz w:val="28"/>
              </w:rPr>
            </w:pPr>
          </w:p>
          <w:p>
            <w:pPr>
              <w:pStyle w:val="TableParagraph"/>
              <w:ind w:left="279" w:right="242"/>
              <w:rPr>
                <w:sz w:val="31"/>
              </w:rPr>
            </w:pPr>
            <w:r>
              <w:rPr>
                <w:sz w:val="31"/>
              </w:rPr>
              <w:t>——</w:t>
            </w:r>
          </w:p>
        </w:tc>
        <w:tc>
          <w:tcPr>
            <w:tcW w:w="1872" w:type="dxa"/>
          </w:tcPr>
          <w:p>
            <w:pPr>
              <w:pStyle w:val="TableParagraph"/>
              <w:spacing w:before="3"/>
              <w:jc w:val="left"/>
              <w:rPr>
                <w:sz w:val="28"/>
              </w:rPr>
            </w:pPr>
          </w:p>
          <w:p>
            <w:pPr>
              <w:pStyle w:val="TableParagraph"/>
              <w:ind w:left="103" w:right="73"/>
              <w:rPr>
                <w:sz w:val="31"/>
              </w:rPr>
            </w:pPr>
            <w:r>
              <w:rPr>
                <w:sz w:val="31"/>
              </w:rPr>
              <w:t>95</w:t>
            </w:r>
          </w:p>
        </w:tc>
        <w:tc>
          <w:tcPr>
            <w:tcW w:w="2171" w:type="dxa"/>
          </w:tcPr>
          <w:p>
            <w:pPr>
              <w:pStyle w:val="TableParagraph"/>
              <w:spacing w:before="272"/>
              <w:ind w:left="91" w:right="86"/>
              <w:rPr>
                <w:sz w:val="31"/>
              </w:rPr>
            </w:pPr>
            <w:r>
              <w:rPr>
                <w:sz w:val="31"/>
              </w:rPr>
              <w:t>丙类</w:t>
            </w:r>
          </w:p>
        </w:tc>
        <w:tc>
          <w:tcPr>
            <w:tcW w:w="4733" w:type="dxa"/>
          </w:tcPr>
          <w:p>
            <w:pPr>
              <w:pStyle w:val="TableParagraph"/>
              <w:spacing w:before="38"/>
              <w:ind w:left="177"/>
              <w:jc w:val="left"/>
              <w:rPr>
                <w:sz w:val="31"/>
              </w:rPr>
            </w:pPr>
            <w:r>
              <w:rPr>
                <w:sz w:val="31"/>
              </w:rPr>
              <w:t>闪点或高于其闪点温度时会形成</w:t>
            </w:r>
          </w:p>
          <w:p>
            <w:pPr>
              <w:pStyle w:val="TableParagraph"/>
              <w:spacing w:before="70"/>
              <w:ind w:left="91"/>
              <w:jc w:val="left"/>
              <w:rPr>
                <w:sz w:val="31"/>
              </w:rPr>
            </w:pPr>
            <w:r>
              <w:rPr>
                <w:spacing w:val="-18"/>
                <w:sz w:val="31"/>
              </w:rPr>
              <w:t>可燃混合物或燃烧。静电放电：产</w:t>
            </w:r>
          </w:p>
        </w:tc>
      </w:tr>
      <w:tr>
        <w:tblPrEx>
          <w:tblW w:w="0" w:type="auto"/>
          <w:jc w:val="left"/>
          <w:tblInd w:w="849" w:type="dxa"/>
          <w:tblLayout w:type="fixed"/>
          <w:tblCellMar>
            <w:top w:w="0" w:type="dxa"/>
            <w:left w:w="0" w:type="dxa"/>
            <w:bottom w:w="0" w:type="dxa"/>
            <w:right w:w="0" w:type="dxa"/>
          </w:tblCellMar>
          <w:tblLook w:val="01E0"/>
        </w:tblPrEx>
        <w:trPr>
          <w:trHeight w:val="516"/>
          <w:jc w:val="left"/>
        </w:trPr>
        <w:tc>
          <w:tcPr>
            <w:tcW w:w="964" w:type="dxa"/>
          </w:tcPr>
          <w:p>
            <w:pPr>
              <w:pStyle w:val="TableParagraph"/>
              <w:jc w:val="left"/>
              <w:rPr>
                <w:rFonts w:ascii="Times New Roman"/>
                <w:sz w:val="30"/>
              </w:rPr>
            </w:pPr>
          </w:p>
        </w:tc>
        <w:tc>
          <w:tcPr>
            <w:tcW w:w="1861" w:type="dxa"/>
          </w:tcPr>
          <w:p>
            <w:pPr>
              <w:pStyle w:val="TableParagraph"/>
              <w:jc w:val="left"/>
              <w:rPr>
                <w:rFonts w:ascii="Times New Roman"/>
                <w:sz w:val="30"/>
              </w:rPr>
            </w:pPr>
          </w:p>
        </w:tc>
        <w:tc>
          <w:tcPr>
            <w:tcW w:w="2139" w:type="dxa"/>
          </w:tcPr>
          <w:p>
            <w:pPr>
              <w:pStyle w:val="TableParagraph"/>
              <w:jc w:val="left"/>
              <w:rPr>
                <w:rFonts w:ascii="Times New Roman"/>
                <w:sz w:val="30"/>
              </w:rPr>
            </w:pPr>
          </w:p>
        </w:tc>
        <w:tc>
          <w:tcPr>
            <w:tcW w:w="1872" w:type="dxa"/>
          </w:tcPr>
          <w:p>
            <w:pPr>
              <w:pStyle w:val="TableParagraph"/>
              <w:jc w:val="left"/>
              <w:rPr>
                <w:rFonts w:ascii="Times New Roman"/>
                <w:sz w:val="30"/>
              </w:rPr>
            </w:pPr>
          </w:p>
        </w:tc>
        <w:tc>
          <w:tcPr>
            <w:tcW w:w="2171" w:type="dxa"/>
          </w:tcPr>
          <w:p>
            <w:pPr>
              <w:pStyle w:val="TableParagraph"/>
              <w:jc w:val="left"/>
              <w:rPr>
                <w:rFonts w:ascii="Times New Roman"/>
                <w:sz w:val="30"/>
              </w:rPr>
            </w:pPr>
          </w:p>
        </w:tc>
        <w:tc>
          <w:tcPr>
            <w:tcW w:w="4733" w:type="dxa"/>
          </w:tcPr>
          <w:p>
            <w:pPr>
              <w:pStyle w:val="TableParagraph"/>
              <w:spacing w:before="38"/>
              <w:ind w:left="332"/>
              <w:jc w:val="left"/>
              <w:rPr>
                <w:sz w:val="31"/>
              </w:rPr>
            </w:pPr>
            <w:r>
              <w:rPr>
                <w:sz w:val="31"/>
              </w:rPr>
              <w:t>品会积累静电，发生电火花。</w:t>
            </w:r>
          </w:p>
        </w:tc>
      </w:tr>
      <w:tr>
        <w:tblPrEx>
          <w:tblW w:w="0" w:type="auto"/>
          <w:jc w:val="left"/>
          <w:tblInd w:w="849" w:type="dxa"/>
          <w:tblLayout w:type="fixed"/>
          <w:tblCellMar>
            <w:top w:w="0" w:type="dxa"/>
            <w:left w:w="0" w:type="dxa"/>
            <w:bottom w:w="0" w:type="dxa"/>
            <w:right w:w="0" w:type="dxa"/>
          </w:tblCellMar>
          <w:tblLook w:val="01E0"/>
        </w:tblPrEx>
        <w:trPr>
          <w:trHeight w:val="517"/>
          <w:jc w:val="left"/>
        </w:trPr>
        <w:tc>
          <w:tcPr>
            <w:tcW w:w="964" w:type="dxa"/>
          </w:tcPr>
          <w:p>
            <w:pPr>
              <w:pStyle w:val="TableParagraph"/>
              <w:jc w:val="left"/>
              <w:rPr>
                <w:rFonts w:ascii="Times New Roman"/>
                <w:sz w:val="30"/>
              </w:rPr>
            </w:pPr>
          </w:p>
        </w:tc>
        <w:tc>
          <w:tcPr>
            <w:tcW w:w="1861" w:type="dxa"/>
          </w:tcPr>
          <w:p>
            <w:pPr>
              <w:pStyle w:val="TableParagraph"/>
              <w:jc w:val="left"/>
              <w:rPr>
                <w:rFonts w:ascii="Times New Roman"/>
                <w:sz w:val="30"/>
              </w:rPr>
            </w:pPr>
          </w:p>
        </w:tc>
        <w:tc>
          <w:tcPr>
            <w:tcW w:w="2139" w:type="dxa"/>
          </w:tcPr>
          <w:p>
            <w:pPr>
              <w:pStyle w:val="TableParagraph"/>
              <w:jc w:val="left"/>
              <w:rPr>
                <w:rFonts w:ascii="Times New Roman"/>
                <w:sz w:val="30"/>
              </w:rPr>
            </w:pPr>
          </w:p>
        </w:tc>
        <w:tc>
          <w:tcPr>
            <w:tcW w:w="1872" w:type="dxa"/>
          </w:tcPr>
          <w:p>
            <w:pPr>
              <w:pStyle w:val="TableParagraph"/>
              <w:jc w:val="left"/>
              <w:rPr>
                <w:rFonts w:ascii="Times New Roman"/>
                <w:sz w:val="30"/>
              </w:rPr>
            </w:pPr>
          </w:p>
        </w:tc>
        <w:tc>
          <w:tcPr>
            <w:tcW w:w="2171" w:type="dxa"/>
          </w:tcPr>
          <w:p>
            <w:pPr>
              <w:pStyle w:val="TableParagraph"/>
              <w:jc w:val="left"/>
              <w:rPr>
                <w:rFonts w:ascii="Times New Roman"/>
                <w:sz w:val="30"/>
              </w:rPr>
            </w:pPr>
          </w:p>
        </w:tc>
        <w:tc>
          <w:tcPr>
            <w:tcW w:w="4733" w:type="dxa"/>
          </w:tcPr>
          <w:p>
            <w:pPr>
              <w:pStyle w:val="TableParagraph"/>
              <w:spacing w:before="86"/>
              <w:ind w:left="91"/>
              <w:jc w:val="left"/>
              <w:rPr>
                <w:sz w:val="31"/>
              </w:rPr>
            </w:pPr>
            <w:r>
              <w:rPr>
                <w:spacing w:val="-14"/>
                <w:sz w:val="31"/>
              </w:rPr>
              <w:t>极易燃，其蒸气与空气可形成爆炸</w:t>
            </w:r>
          </w:p>
        </w:tc>
      </w:tr>
      <w:tr>
        <w:tblPrEx>
          <w:tblW w:w="0" w:type="auto"/>
          <w:jc w:val="left"/>
          <w:tblInd w:w="849" w:type="dxa"/>
          <w:tblLayout w:type="fixed"/>
          <w:tblCellMar>
            <w:top w:w="0" w:type="dxa"/>
            <w:left w:w="0" w:type="dxa"/>
            <w:bottom w:w="0" w:type="dxa"/>
            <w:right w:w="0" w:type="dxa"/>
          </w:tblCellMar>
          <w:tblLook w:val="01E0"/>
        </w:tblPrEx>
        <w:trPr>
          <w:trHeight w:val="468"/>
          <w:jc w:val="left"/>
        </w:trPr>
        <w:tc>
          <w:tcPr>
            <w:tcW w:w="964" w:type="dxa"/>
          </w:tcPr>
          <w:p>
            <w:pPr>
              <w:pStyle w:val="TableParagraph"/>
              <w:jc w:val="left"/>
              <w:rPr>
                <w:rFonts w:ascii="Times New Roman"/>
                <w:sz w:val="30"/>
              </w:rPr>
            </w:pPr>
          </w:p>
        </w:tc>
        <w:tc>
          <w:tcPr>
            <w:tcW w:w="1861" w:type="dxa"/>
          </w:tcPr>
          <w:p>
            <w:pPr>
              <w:pStyle w:val="TableParagraph"/>
              <w:jc w:val="left"/>
              <w:rPr>
                <w:rFonts w:ascii="Times New Roman"/>
                <w:sz w:val="30"/>
              </w:rPr>
            </w:pPr>
          </w:p>
        </w:tc>
        <w:tc>
          <w:tcPr>
            <w:tcW w:w="2139" w:type="dxa"/>
          </w:tcPr>
          <w:p>
            <w:pPr>
              <w:pStyle w:val="TableParagraph"/>
              <w:jc w:val="left"/>
              <w:rPr>
                <w:rFonts w:ascii="Times New Roman"/>
                <w:sz w:val="30"/>
              </w:rPr>
            </w:pPr>
          </w:p>
        </w:tc>
        <w:tc>
          <w:tcPr>
            <w:tcW w:w="1872" w:type="dxa"/>
          </w:tcPr>
          <w:p>
            <w:pPr>
              <w:pStyle w:val="TableParagraph"/>
              <w:jc w:val="left"/>
              <w:rPr>
                <w:rFonts w:ascii="Times New Roman"/>
                <w:sz w:val="30"/>
              </w:rPr>
            </w:pPr>
          </w:p>
        </w:tc>
        <w:tc>
          <w:tcPr>
            <w:tcW w:w="2171" w:type="dxa"/>
          </w:tcPr>
          <w:p>
            <w:pPr>
              <w:pStyle w:val="TableParagraph"/>
              <w:jc w:val="left"/>
              <w:rPr>
                <w:rFonts w:ascii="Times New Roman"/>
                <w:sz w:val="30"/>
              </w:rPr>
            </w:pPr>
          </w:p>
        </w:tc>
        <w:tc>
          <w:tcPr>
            <w:tcW w:w="4733" w:type="dxa"/>
          </w:tcPr>
          <w:p>
            <w:pPr>
              <w:pStyle w:val="TableParagraph"/>
              <w:spacing w:before="38"/>
              <w:ind w:left="91"/>
              <w:jc w:val="left"/>
              <w:rPr>
                <w:sz w:val="31"/>
              </w:rPr>
            </w:pPr>
            <w:r>
              <w:rPr>
                <w:spacing w:val="-16"/>
                <w:sz w:val="31"/>
              </w:rPr>
              <w:t>性混合物，遇明火、高热极易燃烧</w:t>
            </w:r>
          </w:p>
        </w:tc>
      </w:tr>
      <w:tr>
        <w:tblPrEx>
          <w:tblW w:w="0" w:type="auto"/>
          <w:jc w:val="left"/>
          <w:tblInd w:w="849" w:type="dxa"/>
          <w:tblLayout w:type="fixed"/>
          <w:tblCellMar>
            <w:top w:w="0" w:type="dxa"/>
            <w:left w:w="0" w:type="dxa"/>
            <w:bottom w:w="0" w:type="dxa"/>
            <w:right w:w="0" w:type="dxa"/>
          </w:tblCellMar>
          <w:tblLook w:val="01E0"/>
        </w:tblPrEx>
        <w:trPr>
          <w:trHeight w:val="1404"/>
          <w:jc w:val="left"/>
        </w:trPr>
        <w:tc>
          <w:tcPr>
            <w:tcW w:w="964" w:type="dxa"/>
          </w:tcPr>
          <w:p>
            <w:pPr>
              <w:pStyle w:val="TableParagraph"/>
              <w:spacing w:before="6"/>
              <w:jc w:val="left"/>
              <w:rPr>
                <w:sz w:val="46"/>
              </w:rPr>
            </w:pPr>
          </w:p>
          <w:p>
            <w:pPr>
              <w:pStyle w:val="TableParagraph"/>
              <w:ind w:right="242"/>
              <w:rPr>
                <w:sz w:val="31"/>
              </w:rPr>
            </w:pPr>
            <w:r>
              <w:rPr>
                <w:w w:val="102"/>
                <w:sz w:val="31"/>
              </w:rPr>
              <w:t>5</w:t>
            </w:r>
          </w:p>
        </w:tc>
        <w:tc>
          <w:tcPr>
            <w:tcW w:w="1861" w:type="dxa"/>
          </w:tcPr>
          <w:p>
            <w:pPr>
              <w:pStyle w:val="TableParagraph"/>
              <w:spacing w:before="6"/>
              <w:jc w:val="left"/>
              <w:rPr>
                <w:sz w:val="39"/>
              </w:rPr>
            </w:pPr>
          </w:p>
          <w:p>
            <w:pPr>
              <w:pStyle w:val="TableParagraph"/>
              <w:ind w:left="276" w:right="150"/>
              <w:rPr>
                <w:sz w:val="31"/>
              </w:rPr>
            </w:pPr>
            <w:r>
              <w:rPr>
                <w:sz w:val="31"/>
              </w:rPr>
              <w:t>6＃溶剂油</w:t>
            </w:r>
          </w:p>
        </w:tc>
        <w:tc>
          <w:tcPr>
            <w:tcW w:w="2139" w:type="dxa"/>
          </w:tcPr>
          <w:p>
            <w:pPr>
              <w:pStyle w:val="TableParagraph"/>
              <w:spacing w:before="3"/>
              <w:jc w:val="left"/>
              <w:rPr>
                <w:sz w:val="28"/>
              </w:rPr>
            </w:pPr>
          </w:p>
          <w:p>
            <w:pPr>
              <w:pStyle w:val="TableParagraph"/>
              <w:spacing w:line="283" w:lineRule="auto"/>
              <w:ind w:left="310" w:right="105" w:hanging="155"/>
              <w:jc w:val="left"/>
              <w:rPr>
                <w:sz w:val="31"/>
              </w:rPr>
            </w:pPr>
            <w:r>
              <w:rPr>
                <w:spacing w:val="-36"/>
                <w:sz w:val="31"/>
              </w:rPr>
              <w:t xml:space="preserve">第 </w:t>
            </w:r>
            <w:r>
              <w:rPr>
                <w:sz w:val="31"/>
              </w:rPr>
              <w:t>3.2</w:t>
            </w:r>
            <w:r>
              <w:rPr>
                <w:spacing w:val="-23"/>
                <w:sz w:val="31"/>
              </w:rPr>
              <w:t xml:space="preserve"> 类低闪</w:t>
            </w:r>
            <w:r>
              <w:rPr>
                <w:sz w:val="31"/>
              </w:rPr>
              <w:t>点易燃液体</w:t>
            </w:r>
          </w:p>
        </w:tc>
        <w:tc>
          <w:tcPr>
            <w:tcW w:w="1872" w:type="dxa"/>
          </w:tcPr>
          <w:p>
            <w:pPr>
              <w:pStyle w:val="TableParagraph"/>
              <w:spacing w:before="6"/>
              <w:jc w:val="left"/>
              <w:rPr>
                <w:sz w:val="46"/>
              </w:rPr>
            </w:pPr>
          </w:p>
          <w:p>
            <w:pPr>
              <w:pStyle w:val="TableParagraph"/>
              <w:ind w:left="103" w:right="44"/>
              <w:rPr>
                <w:sz w:val="31"/>
              </w:rPr>
            </w:pPr>
            <w:r>
              <w:rPr>
                <w:sz w:val="31"/>
              </w:rPr>
              <w:t>13～18</w:t>
            </w:r>
          </w:p>
        </w:tc>
        <w:tc>
          <w:tcPr>
            <w:tcW w:w="2171" w:type="dxa"/>
          </w:tcPr>
          <w:p>
            <w:pPr>
              <w:pStyle w:val="TableParagraph"/>
              <w:spacing w:before="6"/>
              <w:jc w:val="left"/>
              <w:rPr>
                <w:sz w:val="39"/>
              </w:rPr>
            </w:pPr>
          </w:p>
          <w:p>
            <w:pPr>
              <w:pStyle w:val="TableParagraph"/>
              <w:ind w:left="142" w:right="86"/>
              <w:rPr>
                <w:sz w:val="31"/>
              </w:rPr>
            </w:pPr>
            <w:r>
              <w:rPr>
                <w:sz w:val="31"/>
              </w:rPr>
              <w:t>甲类</w:t>
            </w:r>
          </w:p>
        </w:tc>
        <w:tc>
          <w:tcPr>
            <w:tcW w:w="4733" w:type="dxa"/>
          </w:tcPr>
          <w:p>
            <w:pPr>
              <w:pStyle w:val="TableParagraph"/>
              <w:spacing w:before="38"/>
              <w:ind w:left="91" w:firstLine="10"/>
              <w:jc w:val="left"/>
              <w:rPr>
                <w:sz w:val="31"/>
              </w:rPr>
            </w:pPr>
            <w:r>
              <w:rPr>
                <w:sz w:val="31"/>
              </w:rPr>
              <w:t>爆炸。与氧化 剂接触发生强烈反</w:t>
            </w:r>
          </w:p>
          <w:p>
            <w:pPr>
              <w:pStyle w:val="TableParagraph"/>
              <w:spacing w:before="8" w:line="460" w:lineRule="atLeast"/>
              <w:ind w:left="101" w:right="127" w:hanging="11"/>
              <w:jc w:val="left"/>
              <w:rPr>
                <w:sz w:val="31"/>
              </w:rPr>
            </w:pPr>
            <w:r>
              <w:rPr>
                <w:spacing w:val="-15"/>
                <w:sz w:val="31"/>
              </w:rPr>
              <w:t>应, 甚至引起燃烧。在火场中，受</w:t>
            </w:r>
            <w:r>
              <w:rPr>
                <w:spacing w:val="2"/>
                <w:sz w:val="31"/>
              </w:rPr>
              <w:t>热的容器有爆炸危险。其蒸气比</w:t>
            </w:r>
          </w:p>
        </w:tc>
      </w:tr>
      <w:tr>
        <w:tblPrEx>
          <w:tblW w:w="0" w:type="auto"/>
          <w:jc w:val="left"/>
          <w:tblInd w:w="849" w:type="dxa"/>
          <w:tblLayout w:type="fixed"/>
          <w:tblCellMar>
            <w:top w:w="0" w:type="dxa"/>
            <w:left w:w="0" w:type="dxa"/>
            <w:bottom w:w="0" w:type="dxa"/>
            <w:right w:w="0" w:type="dxa"/>
          </w:tblCellMar>
          <w:tblLook w:val="01E0"/>
        </w:tblPrEx>
        <w:trPr>
          <w:trHeight w:val="468"/>
          <w:jc w:val="left"/>
        </w:trPr>
        <w:tc>
          <w:tcPr>
            <w:tcW w:w="964" w:type="dxa"/>
          </w:tcPr>
          <w:p>
            <w:pPr>
              <w:pStyle w:val="TableParagraph"/>
              <w:jc w:val="left"/>
              <w:rPr>
                <w:rFonts w:ascii="Times New Roman"/>
                <w:sz w:val="30"/>
              </w:rPr>
            </w:pPr>
          </w:p>
        </w:tc>
        <w:tc>
          <w:tcPr>
            <w:tcW w:w="1861" w:type="dxa"/>
          </w:tcPr>
          <w:p>
            <w:pPr>
              <w:pStyle w:val="TableParagraph"/>
              <w:jc w:val="left"/>
              <w:rPr>
                <w:rFonts w:ascii="Times New Roman"/>
                <w:sz w:val="30"/>
              </w:rPr>
            </w:pPr>
          </w:p>
        </w:tc>
        <w:tc>
          <w:tcPr>
            <w:tcW w:w="2139" w:type="dxa"/>
          </w:tcPr>
          <w:p>
            <w:pPr>
              <w:pStyle w:val="TableParagraph"/>
              <w:jc w:val="left"/>
              <w:rPr>
                <w:rFonts w:ascii="Times New Roman"/>
                <w:sz w:val="30"/>
              </w:rPr>
            </w:pPr>
          </w:p>
        </w:tc>
        <w:tc>
          <w:tcPr>
            <w:tcW w:w="1872" w:type="dxa"/>
          </w:tcPr>
          <w:p>
            <w:pPr>
              <w:pStyle w:val="TableParagraph"/>
              <w:jc w:val="left"/>
              <w:rPr>
                <w:rFonts w:ascii="Times New Roman"/>
                <w:sz w:val="30"/>
              </w:rPr>
            </w:pPr>
          </w:p>
        </w:tc>
        <w:tc>
          <w:tcPr>
            <w:tcW w:w="2171" w:type="dxa"/>
          </w:tcPr>
          <w:p>
            <w:pPr>
              <w:pStyle w:val="TableParagraph"/>
              <w:jc w:val="left"/>
              <w:rPr>
                <w:rFonts w:ascii="Times New Roman"/>
                <w:sz w:val="30"/>
              </w:rPr>
            </w:pPr>
          </w:p>
        </w:tc>
        <w:tc>
          <w:tcPr>
            <w:tcW w:w="4733" w:type="dxa"/>
          </w:tcPr>
          <w:p>
            <w:pPr>
              <w:pStyle w:val="TableParagraph"/>
              <w:spacing w:before="38"/>
              <w:ind w:left="91"/>
              <w:jc w:val="left"/>
              <w:rPr>
                <w:sz w:val="31"/>
              </w:rPr>
            </w:pPr>
            <w:r>
              <w:rPr>
                <w:spacing w:val="-14"/>
                <w:sz w:val="31"/>
              </w:rPr>
              <w:t>空气重，能在较低处扩散到相当远</w:t>
            </w:r>
          </w:p>
        </w:tc>
      </w:tr>
      <w:tr>
        <w:tblPrEx>
          <w:tblW w:w="0" w:type="auto"/>
          <w:jc w:val="left"/>
          <w:tblInd w:w="849" w:type="dxa"/>
          <w:tblLayout w:type="fixed"/>
          <w:tblCellMar>
            <w:top w:w="0" w:type="dxa"/>
            <w:left w:w="0" w:type="dxa"/>
            <w:bottom w:w="0" w:type="dxa"/>
            <w:right w:w="0" w:type="dxa"/>
          </w:tblCellMar>
          <w:tblLook w:val="01E0"/>
        </w:tblPrEx>
        <w:trPr>
          <w:trHeight w:val="392"/>
          <w:jc w:val="left"/>
        </w:trPr>
        <w:tc>
          <w:tcPr>
            <w:tcW w:w="964" w:type="dxa"/>
          </w:tcPr>
          <w:p>
            <w:pPr>
              <w:pStyle w:val="TableParagraph"/>
              <w:jc w:val="left"/>
              <w:rPr>
                <w:rFonts w:ascii="Times New Roman"/>
                <w:sz w:val="30"/>
              </w:rPr>
            </w:pPr>
          </w:p>
        </w:tc>
        <w:tc>
          <w:tcPr>
            <w:tcW w:w="1861" w:type="dxa"/>
          </w:tcPr>
          <w:p>
            <w:pPr>
              <w:pStyle w:val="TableParagraph"/>
              <w:jc w:val="left"/>
              <w:rPr>
                <w:rFonts w:ascii="Times New Roman"/>
                <w:sz w:val="30"/>
              </w:rPr>
            </w:pPr>
          </w:p>
        </w:tc>
        <w:tc>
          <w:tcPr>
            <w:tcW w:w="2139" w:type="dxa"/>
          </w:tcPr>
          <w:p>
            <w:pPr>
              <w:pStyle w:val="TableParagraph"/>
              <w:jc w:val="left"/>
              <w:rPr>
                <w:rFonts w:ascii="Times New Roman"/>
                <w:sz w:val="30"/>
              </w:rPr>
            </w:pPr>
          </w:p>
        </w:tc>
        <w:tc>
          <w:tcPr>
            <w:tcW w:w="1872" w:type="dxa"/>
          </w:tcPr>
          <w:p>
            <w:pPr>
              <w:pStyle w:val="TableParagraph"/>
              <w:jc w:val="left"/>
              <w:rPr>
                <w:rFonts w:ascii="Times New Roman"/>
                <w:sz w:val="30"/>
              </w:rPr>
            </w:pPr>
          </w:p>
        </w:tc>
        <w:tc>
          <w:tcPr>
            <w:tcW w:w="2171" w:type="dxa"/>
          </w:tcPr>
          <w:p>
            <w:pPr>
              <w:pStyle w:val="TableParagraph"/>
              <w:jc w:val="left"/>
              <w:rPr>
                <w:rFonts w:ascii="Times New Roman"/>
                <w:sz w:val="30"/>
              </w:rPr>
            </w:pPr>
          </w:p>
        </w:tc>
        <w:tc>
          <w:tcPr>
            <w:tcW w:w="4733" w:type="dxa"/>
          </w:tcPr>
          <w:p>
            <w:pPr>
              <w:pStyle w:val="TableParagraph"/>
              <w:spacing w:before="38" w:line="335" w:lineRule="exact"/>
              <w:ind w:left="332"/>
              <w:jc w:val="left"/>
              <w:rPr>
                <w:sz w:val="31"/>
              </w:rPr>
            </w:pPr>
            <w:r>
              <w:rPr>
                <w:sz w:val="31"/>
              </w:rPr>
              <w:t>的地方，遇火源会着火回燃。</w:t>
            </w:r>
          </w:p>
        </w:tc>
      </w:tr>
    </w:tbl>
    <w:p>
      <w:pPr>
        <w:pStyle w:val="BodyText"/>
        <w:spacing w:before="9"/>
        <w:rPr>
          <w:sz w:val="16"/>
        </w:rPr>
      </w:pPr>
    </w:p>
    <w:p>
      <w:pPr>
        <w:spacing w:after="0"/>
        <w:rPr>
          <w:sz w:val="16"/>
        </w:rPr>
        <w:sectPr>
          <w:headerReference w:type="default" r:id="rId64"/>
          <w:footerReference w:type="default" r:id="rId65"/>
          <w:pgSz w:w="17860" w:h="25260"/>
          <w:pgMar w:top="1380" w:right="1360" w:bottom="2020" w:left="1420" w:header="1083" w:footer="1826"/>
          <w:pgNumType w:start="23"/>
          <w:cols w:space="708"/>
        </w:sectPr>
      </w:pPr>
    </w:p>
    <w:p>
      <w:pPr>
        <w:tabs>
          <w:tab w:val="left" w:pos="2482"/>
          <w:tab w:val="left" w:pos="4438"/>
          <w:tab w:val="left" w:pos="6458"/>
          <w:tab w:val="left" w:pos="8618"/>
        </w:tabs>
        <w:spacing w:before="234"/>
        <w:ind w:left="1122" w:right="0" w:firstLine="0"/>
        <w:jc w:val="left"/>
        <w:rPr>
          <w:sz w:val="31"/>
        </w:rPr>
      </w:pPr>
      <w:r>
        <w:rPr>
          <w:sz w:val="31"/>
        </w:rPr>
        <w:t>6</w:t>
        <w:tab/>
      </w:r>
      <w:r>
        <w:rPr>
          <w:position w:val="9"/>
          <w:sz w:val="31"/>
        </w:rPr>
        <w:t>渣油</w:t>
        <w:tab/>
      </w:r>
      <w:r>
        <w:rPr>
          <w:sz w:val="31"/>
        </w:rPr>
        <w:t>可燃</w:t>
        <w:tab/>
        <w:t>——</w:t>
        <w:tab/>
      </w:r>
      <w:r>
        <w:rPr>
          <w:position w:val="9"/>
          <w:sz w:val="31"/>
        </w:rPr>
        <w:t>—</w:t>
      </w:r>
    </w:p>
    <w:p>
      <w:pPr>
        <w:spacing w:before="200" w:line="810" w:lineRule="atLeast"/>
        <w:ind w:left="708" w:right="1433" w:firstLine="637"/>
        <w:jc w:val="left"/>
        <w:rPr>
          <w:b/>
          <w:sz w:val="36"/>
        </w:rPr>
      </w:pPr>
      <w:r>
        <w:rPr>
          <w:sz w:val="36"/>
        </w:rPr>
        <w:t xml:space="preserve">各物质的危险特性及防护措施如下所述： </w:t>
      </w:r>
      <w:r>
        <w:rPr>
          <w:b/>
          <w:sz w:val="36"/>
        </w:rPr>
        <w:t>1.石脑油</w:t>
      </w:r>
    </w:p>
    <w:p>
      <w:pPr>
        <w:pStyle w:val="BodyText"/>
        <w:spacing w:before="133"/>
        <w:ind w:left="1428"/>
      </w:pPr>
      <w:r>
        <w:rPr>
          <w:spacing w:val="-5"/>
        </w:rPr>
        <w:t xml:space="preserve">石脑油的危险有害特性及其防护措施见表 </w:t>
      </w:r>
      <w:r>
        <w:t>3.3-3</w:t>
      </w:r>
      <w:r>
        <w:rPr>
          <w:spacing w:val="-19"/>
        </w:rPr>
        <w:t>。</w:t>
      </w:r>
    </w:p>
    <w:p>
      <w:pPr>
        <w:spacing w:before="62" w:line="324" w:lineRule="auto"/>
        <w:ind w:left="2621" w:right="635" w:hanging="1981"/>
        <w:jc w:val="left"/>
        <w:rPr>
          <w:sz w:val="27"/>
        </w:rPr>
      </w:pPr>
      <w:r>
        <w:br w:type="column"/>
      </w:r>
      <w:r>
        <w:rPr>
          <w:spacing w:val="-12"/>
          <w:sz w:val="27"/>
        </w:rPr>
        <w:t>受高热分解，放出腐蚀性、刺激性的烟</w:t>
      </w:r>
      <w:r>
        <w:rPr>
          <w:sz w:val="27"/>
        </w:rPr>
        <w:t>雾。</w:t>
      </w:r>
    </w:p>
    <w:p>
      <w:pPr>
        <w:spacing w:after="0" w:line="324" w:lineRule="auto"/>
        <w:jc w:val="left"/>
        <w:rPr>
          <w:sz w:val="27"/>
        </w:rPr>
        <w:sectPr>
          <w:headerReference w:type="default" r:id="rId66"/>
          <w:footerReference w:type="default" r:id="rId67"/>
          <w:type w:val="continuous"/>
          <w:pgSz w:w="17860" w:h="25260"/>
          <w:pgMar w:top="1380" w:right="1360" w:bottom="2020" w:left="1420" w:header="708" w:footer="708"/>
          <w:pgNumType w:start="24"/>
          <w:cols w:num="2" w:space="708" w:equalWidth="0">
            <w:col w:w="9260" w:space="40"/>
            <w:col w:w="5780" w:space="0"/>
          </w:cols>
        </w:sectPr>
      </w:pPr>
    </w:p>
    <w:p>
      <w:pPr>
        <w:pStyle w:val="BodyText"/>
        <w:spacing w:before="12"/>
        <w:rPr>
          <w:sz w:val="23"/>
        </w:rPr>
      </w:pPr>
      <w:r>
        <w:drawing>
          <wp:anchor distT="0" distB="0" distL="0" distR="0" simplePos="0" relativeHeight="251672576" behindDoc="1" locked="0" layoutInCell="1" allowOverlap="1">
            <wp:simplePos x="0" y="0"/>
            <wp:positionH relativeFrom="page">
              <wp:posOffset>1196975</wp:posOffset>
            </wp:positionH>
            <wp:positionV relativeFrom="page">
              <wp:posOffset>1155700</wp:posOffset>
            </wp:positionV>
            <wp:extent cx="8959850" cy="6104382"/>
            <wp:effectExtent l="0" t="0" r="0" b="0"/>
            <wp:wrapNone/>
            <wp:docPr id="1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7.png"/>
                    <pic:cNvPicPr/>
                  </pic:nvPicPr>
                  <pic:blipFill>
                    <a:blip xmlns:r="http://schemas.openxmlformats.org/officeDocument/2006/relationships" r:embed="rId68" cstate="print"/>
                    <a:stretch>
                      <a:fillRect/>
                    </a:stretch>
                  </pic:blipFill>
                  <pic:spPr>
                    <a:xfrm>
                      <a:off x="0" y="0"/>
                      <a:ext cx="8959850" cy="6104382"/>
                    </a:xfrm>
                    <a:prstGeom prst="rect">
                      <a:avLst/>
                    </a:prstGeom>
                  </pic:spPr>
                </pic:pic>
              </a:graphicData>
            </a:graphic>
          </wp:anchor>
        </w:drawing>
      </w:r>
    </w:p>
    <w:p>
      <w:pPr>
        <w:pStyle w:val="Heading3"/>
        <w:spacing w:before="50"/>
        <w:ind w:left="1124" w:right="484"/>
        <w:jc w:val="center"/>
      </w:pPr>
      <w:r>
        <w:pict>
          <v:group id="_x0000_s1177" style="width:692pt;height:404pt;margin-top:37.62pt;margin-left:101pt;mso-position-horizontal-relative:page;position:absolute;z-index:-251644928" coordorigin="2020,752" coordsize="13840,8080">
            <v:shape id="_x0000_s1178" type="#_x0000_t75" style="width:13840;height:8080;left:2020;position:absolute;top:752" stroked="f">
              <v:imagedata r:id="rId69" o:title=""/>
            </v:shape>
            <v:shape id="_x0000_s1179" type="#_x0000_t202" style="width:1446;height:317;left:11536;position:absolute;top:1564" filled="f" stroked="f">
              <v:textbox inset="0,0,0,0">
                <w:txbxContent>
                  <w:p>
                    <w:pPr>
                      <w:spacing w:before="0" w:line="317" w:lineRule="exact"/>
                      <w:ind w:left="0" w:right="0" w:firstLine="0"/>
                      <w:jc w:val="left"/>
                      <w:rPr>
                        <w:sz w:val="31"/>
                      </w:rPr>
                    </w:pPr>
                    <w:r>
                      <w:rPr>
                        <w:sz w:val="31"/>
                      </w:rPr>
                      <w:t>Crude oil</w:t>
                    </w:r>
                  </w:p>
                </w:txbxContent>
              </v:textbox>
            </v:shape>
            <v:shape id="_x0000_s1180" type="#_x0000_t202" style="width:3815;height:317;left:11536;position:absolute;top:2385" filled="f" stroked="f">
              <v:textbox inset="0,0,0,0">
                <w:txbxContent>
                  <w:p>
                    <w:pPr>
                      <w:tabs>
                        <w:tab w:val="left" w:pos="1576"/>
                      </w:tabs>
                      <w:spacing w:before="0" w:line="317" w:lineRule="exact"/>
                      <w:ind w:left="0" w:right="0" w:firstLine="0"/>
                      <w:jc w:val="left"/>
                      <w:rPr>
                        <w:sz w:val="31"/>
                      </w:rPr>
                    </w:pPr>
                    <w:r>
                      <w:rPr>
                        <w:sz w:val="31"/>
                      </w:rPr>
                      <w:t>第</w:t>
                    </w:r>
                    <w:r>
                      <w:rPr>
                        <w:spacing w:val="-71"/>
                        <w:sz w:val="31"/>
                      </w:rPr>
                      <w:t xml:space="preserve"> </w:t>
                    </w:r>
                    <w:r>
                      <w:rPr>
                        <w:sz w:val="31"/>
                      </w:rPr>
                      <w:t>3.2</w:t>
                    </w:r>
                    <w:r>
                      <w:rPr>
                        <w:spacing w:val="-75"/>
                        <w:sz w:val="31"/>
                      </w:rPr>
                      <w:t xml:space="preserve"> </w:t>
                    </w:r>
                    <w:r>
                      <w:rPr>
                        <w:sz w:val="31"/>
                      </w:rPr>
                      <w:t>类</w:t>
                      <w:tab/>
                      <w:t>中闪点易燃液体</w:t>
                    </w:r>
                  </w:p>
                </w:txbxContent>
              </v:textbox>
            </v:shape>
            <v:shape id="_x0000_s1181" type="#_x0000_t202" style="width:654;height:317;left:11536;position:absolute;top:3206" filled="f" stroked="f">
              <v:textbox inset="0,0,0,0">
                <w:txbxContent>
                  <w:p>
                    <w:pPr>
                      <w:spacing w:before="0" w:line="317" w:lineRule="exact"/>
                      <w:ind w:left="0" w:right="0" w:firstLine="0"/>
                      <w:jc w:val="left"/>
                      <w:rPr>
                        <w:sz w:val="31"/>
                      </w:rPr>
                    </w:pPr>
                    <w:r>
                      <w:rPr>
                        <w:sz w:val="31"/>
                      </w:rPr>
                      <w:t>1256</w:t>
                    </w:r>
                  </w:p>
                </w:txbxContent>
              </v:textbox>
            </v:shape>
            <v:shape id="_x0000_s1182" type="#_x0000_t202" style="width:1288;height:317;left:2196;position:absolute;top:5262" filled="f" stroked="f">
              <v:textbox inset="0,0,0,0">
                <w:txbxContent>
                  <w:p>
                    <w:pPr>
                      <w:spacing w:before="0" w:line="317" w:lineRule="exact"/>
                      <w:ind w:left="0" w:right="0" w:firstLine="0"/>
                      <w:jc w:val="left"/>
                      <w:rPr>
                        <w:sz w:val="31"/>
                      </w:rPr>
                    </w:pPr>
                    <w:r>
                      <w:rPr>
                        <w:sz w:val="31"/>
                      </w:rPr>
                      <w:t>健康危害</w:t>
                    </w:r>
                  </w:p>
                </w:txbxContent>
              </v:textbox>
            </v:shape>
            <v:shape id="_x0000_s1183" type="#_x0000_t202" style="width:11742;height:728;left:3899;position:absolute;top:5057" filled="f" stroked="f">
              <v:textbox inset="0,0,0,0">
                <w:txbxContent>
                  <w:p>
                    <w:pPr>
                      <w:spacing w:before="0" w:line="359" w:lineRule="exact"/>
                      <w:ind w:left="0" w:right="0" w:firstLine="0"/>
                      <w:jc w:val="left"/>
                      <w:rPr>
                        <w:sz w:val="31"/>
                      </w:rPr>
                    </w:pPr>
                    <w:r>
                      <w:rPr>
                        <w:sz w:val="31"/>
                      </w:rPr>
                      <w:t>石脑油蒸气可引起眼及上呼吸道刺激症状，如浓度过高，几分钟即可引起呼吸困难、</w:t>
                    </w:r>
                  </w:p>
                  <w:p>
                    <w:pPr>
                      <w:spacing w:before="13" w:line="355" w:lineRule="exact"/>
                      <w:ind w:left="0" w:right="0" w:firstLine="0"/>
                      <w:jc w:val="left"/>
                      <w:rPr>
                        <w:sz w:val="31"/>
                      </w:rPr>
                    </w:pPr>
                    <w:r>
                      <w:rPr>
                        <w:sz w:val="31"/>
                      </w:rPr>
                      <w:t>紫绀等缺氧症状。</w:t>
                    </w:r>
                  </w:p>
                </w:txbxContent>
              </v:textbox>
            </v:shape>
            <v:shape id="_x0000_s1184" type="#_x0000_t202" style="width:1288;height:936;left:2196;position:absolute;top:6083" filled="f" stroked="f">
              <v:textbox inset="0,0,0,0">
                <w:txbxContent>
                  <w:p>
                    <w:pPr>
                      <w:spacing w:before="0" w:line="359" w:lineRule="exact"/>
                      <w:ind w:left="0" w:right="0" w:firstLine="0"/>
                      <w:jc w:val="left"/>
                      <w:rPr>
                        <w:b/>
                        <w:sz w:val="31"/>
                      </w:rPr>
                    </w:pPr>
                    <w:r>
                      <w:rPr>
                        <w:b/>
                        <w:sz w:val="31"/>
                      </w:rPr>
                      <w:t>急救措施</w:t>
                    </w:r>
                  </w:p>
                  <w:p>
                    <w:pPr>
                      <w:spacing w:before="222" w:line="355" w:lineRule="exact"/>
                      <w:ind w:left="0" w:right="0" w:firstLine="0"/>
                      <w:jc w:val="left"/>
                      <w:rPr>
                        <w:sz w:val="31"/>
                      </w:rPr>
                    </w:pPr>
                    <w:r>
                      <w:rPr>
                        <w:sz w:val="31"/>
                      </w:rPr>
                      <w:t>皮肤接触</w:t>
                    </w:r>
                  </w:p>
                </w:txbxContent>
              </v:textbox>
            </v:shape>
            <v:shape id="_x0000_s1185" type="#_x0000_t202" style="width:6990;height:317;left:3899;position:absolute;top:6702" filled="f" stroked="f">
              <v:textbox inset="0,0,0,0">
                <w:txbxContent>
                  <w:p>
                    <w:pPr>
                      <w:spacing w:before="0" w:line="317" w:lineRule="exact"/>
                      <w:ind w:left="0" w:right="0" w:firstLine="0"/>
                      <w:jc w:val="left"/>
                      <w:rPr>
                        <w:sz w:val="31"/>
                      </w:rPr>
                    </w:pPr>
                    <w:r>
                      <w:rPr>
                        <w:sz w:val="31"/>
                      </w:rPr>
                      <w:t>脱去污染的衣着，用肥皂水和清水彻底冲洗皮肤。</w:t>
                    </w:r>
                  </w:p>
                </w:txbxContent>
              </v:textbox>
            </v:shape>
            <v:shape id="_x0000_s1186" type="#_x0000_t202" style="width:1288;height:317;left:2196;position:absolute;top:7318" filled="f" stroked="f">
              <v:textbox inset="0,0,0,0">
                <w:txbxContent>
                  <w:p>
                    <w:pPr>
                      <w:spacing w:before="0" w:line="317" w:lineRule="exact"/>
                      <w:ind w:left="0" w:right="0" w:firstLine="0"/>
                      <w:jc w:val="left"/>
                      <w:rPr>
                        <w:sz w:val="31"/>
                      </w:rPr>
                    </w:pPr>
                    <w:r>
                      <w:rPr>
                        <w:sz w:val="31"/>
                      </w:rPr>
                      <w:t>眼睛接触</w:t>
                    </w:r>
                  </w:p>
                </w:txbxContent>
              </v:textbox>
            </v:shape>
            <v:shape id="_x0000_s1187" type="#_x0000_t202" style="width:6673;height:317;left:3899;position:absolute;top:7318" filled="f" stroked="f">
              <v:textbox inset="0,0,0,0">
                <w:txbxContent>
                  <w:p>
                    <w:pPr>
                      <w:spacing w:before="0" w:line="317" w:lineRule="exact"/>
                      <w:ind w:left="0" w:right="0" w:firstLine="0"/>
                      <w:jc w:val="left"/>
                      <w:rPr>
                        <w:sz w:val="31"/>
                      </w:rPr>
                    </w:pPr>
                    <w:r>
                      <w:rPr>
                        <w:sz w:val="31"/>
                      </w:rPr>
                      <w:t>提起眼睑，用流动清水或生理盐水冲洗。就医。</w:t>
                    </w:r>
                  </w:p>
                </w:txbxContent>
              </v:textbox>
            </v:shape>
            <v:shape id="_x0000_s1188" type="#_x0000_t202" style="width:654;height:317;left:2196;position:absolute;top:8138" filled="f" stroked="f">
              <v:textbox inset="0,0,0,0">
                <w:txbxContent>
                  <w:p>
                    <w:pPr>
                      <w:spacing w:before="0" w:line="317" w:lineRule="exact"/>
                      <w:ind w:left="0" w:right="0" w:firstLine="0"/>
                      <w:jc w:val="left"/>
                      <w:rPr>
                        <w:sz w:val="31"/>
                      </w:rPr>
                    </w:pPr>
                    <w:r>
                      <w:rPr>
                        <w:sz w:val="31"/>
                      </w:rPr>
                      <w:t>吸入</w:t>
                    </w:r>
                  </w:p>
                </w:txbxContent>
              </v:textbox>
            </v:shape>
            <v:shape id="_x0000_s1189" type="#_x0000_t202" style="width:11742;height:728;left:3899;position:absolute;top:7933" filled="f" stroked="f">
              <v:textbox inset="0,0,0,0">
                <w:txbxContent>
                  <w:p>
                    <w:pPr>
                      <w:spacing w:before="0" w:line="359" w:lineRule="exact"/>
                      <w:ind w:left="0" w:right="0" w:firstLine="0"/>
                      <w:jc w:val="left"/>
                      <w:rPr>
                        <w:sz w:val="31"/>
                      </w:rPr>
                    </w:pPr>
                    <w:r>
                      <w:rPr>
                        <w:sz w:val="31"/>
                      </w:rPr>
                      <w:t>迅速脱离现场至空气新鲜处。保持呼吸道通畅。如呼吸困难，给输氧。如呼吸停止，</w:t>
                    </w:r>
                  </w:p>
                  <w:p>
                    <w:pPr>
                      <w:spacing w:before="13" w:line="355" w:lineRule="exact"/>
                      <w:ind w:left="0" w:right="0" w:firstLine="0"/>
                      <w:jc w:val="left"/>
                      <w:rPr>
                        <w:sz w:val="31"/>
                      </w:rPr>
                    </w:pPr>
                    <w:r>
                      <w:rPr>
                        <w:sz w:val="31"/>
                      </w:rPr>
                      <w:t>立即进行人工呼吸。就医。</w:t>
                    </w:r>
                  </w:p>
                </w:txbxContent>
              </v:textbox>
            </v:shape>
          </v:group>
        </w:pict>
      </w:r>
      <w:r>
        <w:t>表 3.3-3 石脑油的危险有害特性及其防护措施表</w:t>
      </w:r>
    </w:p>
    <w:p>
      <w:pPr>
        <w:pStyle w:val="BodyText"/>
        <w:rPr>
          <w:b/>
          <w:sz w:val="20"/>
        </w:rPr>
      </w:pPr>
    </w:p>
    <w:p>
      <w:pPr>
        <w:pStyle w:val="BodyText"/>
        <w:spacing w:before="11"/>
        <w:rPr>
          <w:b/>
          <w:sz w:val="13"/>
        </w:rPr>
      </w:pPr>
    </w:p>
    <w:tbl>
      <w:tblPr>
        <w:tblStyle w:val="TableNormal4"/>
        <w:tblW w:w="0" w:type="auto"/>
        <w:jc w:val="left"/>
        <w:tblInd w:w="7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98"/>
        <w:gridCol w:w="2607"/>
        <w:gridCol w:w="1796"/>
      </w:tblGrid>
      <w:tr>
        <w:tblPrEx>
          <w:tblW w:w="0" w:type="auto"/>
          <w:jc w:val="left"/>
          <w:tblInd w:w="7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85"/>
          <w:jc w:val="left"/>
        </w:trPr>
        <w:tc>
          <w:tcPr>
            <w:tcW w:w="4298" w:type="dxa"/>
          </w:tcPr>
          <w:p>
            <w:pPr>
              <w:pStyle w:val="TableParagraph"/>
              <w:spacing w:line="359" w:lineRule="exact"/>
              <w:ind w:left="50"/>
              <w:jc w:val="left"/>
              <w:rPr>
                <w:b/>
                <w:sz w:val="31"/>
              </w:rPr>
            </w:pPr>
            <w:r>
              <w:rPr>
                <w:b/>
                <w:sz w:val="31"/>
              </w:rPr>
              <w:t>标识</w:t>
            </w:r>
          </w:p>
          <w:p>
            <w:pPr>
              <w:pStyle w:val="TableParagraph"/>
              <w:tabs>
                <w:tab w:val="left" w:pos="2922"/>
              </w:tabs>
              <w:spacing w:before="222"/>
              <w:ind w:left="50"/>
              <w:jc w:val="left"/>
              <w:rPr>
                <w:sz w:val="31"/>
              </w:rPr>
            </w:pPr>
            <w:r>
              <w:rPr>
                <w:sz w:val="31"/>
              </w:rPr>
              <w:t>中文名</w:t>
              <w:tab/>
              <w:t>石脑油</w:t>
            </w:r>
          </w:p>
        </w:tc>
        <w:tc>
          <w:tcPr>
            <w:tcW w:w="2607" w:type="dxa"/>
          </w:tcPr>
          <w:p>
            <w:pPr>
              <w:pStyle w:val="TableParagraph"/>
              <w:jc w:val="left"/>
              <w:rPr>
                <w:rFonts w:ascii="Times New Roman"/>
                <w:sz w:val="30"/>
              </w:rPr>
            </w:pPr>
          </w:p>
        </w:tc>
        <w:tc>
          <w:tcPr>
            <w:tcW w:w="1796" w:type="dxa"/>
          </w:tcPr>
          <w:p>
            <w:pPr>
              <w:pStyle w:val="TableParagraph"/>
              <w:spacing w:before="4"/>
              <w:jc w:val="left"/>
              <w:rPr>
                <w:b/>
                <w:sz w:val="45"/>
              </w:rPr>
            </w:pPr>
          </w:p>
          <w:p>
            <w:pPr>
              <w:pStyle w:val="TableParagraph"/>
              <w:spacing w:before="1"/>
              <w:ind w:left="162"/>
              <w:jc w:val="left"/>
              <w:rPr>
                <w:sz w:val="31"/>
              </w:rPr>
            </w:pPr>
            <w:r>
              <w:rPr>
                <w:sz w:val="31"/>
              </w:rPr>
              <w:t>英文名</w:t>
            </w:r>
          </w:p>
        </w:tc>
      </w:tr>
      <w:tr>
        <w:tblPrEx>
          <w:tblW w:w="0" w:type="auto"/>
          <w:jc w:val="left"/>
          <w:tblInd w:w="734" w:type="dxa"/>
          <w:tblLayout w:type="fixed"/>
          <w:tblCellMar>
            <w:top w:w="0" w:type="dxa"/>
            <w:left w:w="0" w:type="dxa"/>
            <w:bottom w:w="0" w:type="dxa"/>
            <w:right w:w="0" w:type="dxa"/>
          </w:tblCellMar>
          <w:tblLook w:val="01E0"/>
        </w:tblPrEx>
        <w:trPr>
          <w:trHeight w:val="1025"/>
          <w:jc w:val="left"/>
        </w:trPr>
        <w:tc>
          <w:tcPr>
            <w:tcW w:w="4298" w:type="dxa"/>
          </w:tcPr>
          <w:p>
            <w:pPr>
              <w:pStyle w:val="TableParagraph"/>
              <w:tabs>
                <w:tab w:val="right" w:pos="4189"/>
              </w:tabs>
              <w:spacing w:before="111"/>
              <w:ind w:left="50"/>
              <w:jc w:val="left"/>
              <w:rPr>
                <w:sz w:val="31"/>
              </w:rPr>
            </w:pPr>
            <w:r>
              <w:rPr>
                <w:sz w:val="31"/>
              </w:rPr>
              <w:t>CAS</w:t>
            </w:r>
            <w:r>
              <w:rPr>
                <w:spacing w:val="-75"/>
                <w:sz w:val="31"/>
              </w:rPr>
              <w:t xml:space="preserve"> </w:t>
            </w:r>
            <w:r>
              <w:rPr>
                <w:sz w:val="31"/>
              </w:rPr>
              <w:t>号</w:t>
              <w:tab/>
              <w:t>106-97-8</w:t>
            </w:r>
          </w:p>
          <w:p>
            <w:pPr>
              <w:pStyle w:val="TableParagraph"/>
              <w:spacing w:before="14"/>
              <w:ind w:left="2922"/>
              <w:jc w:val="left"/>
              <w:rPr>
                <w:sz w:val="31"/>
              </w:rPr>
            </w:pPr>
            <w:r>
              <w:rPr>
                <w:sz w:val="31"/>
              </w:rPr>
              <w:t>110-54-3</w:t>
            </w:r>
          </w:p>
        </w:tc>
        <w:tc>
          <w:tcPr>
            <w:tcW w:w="2607" w:type="dxa"/>
          </w:tcPr>
          <w:p>
            <w:pPr>
              <w:pStyle w:val="TableParagraph"/>
              <w:spacing w:before="111"/>
              <w:ind w:left="108"/>
              <w:jc w:val="left"/>
              <w:rPr>
                <w:sz w:val="31"/>
              </w:rPr>
            </w:pPr>
            <w:r>
              <w:rPr>
                <w:sz w:val="31"/>
              </w:rPr>
              <w:t>、 109-66-0 、</w:t>
            </w:r>
          </w:p>
        </w:tc>
        <w:tc>
          <w:tcPr>
            <w:tcW w:w="1796" w:type="dxa"/>
          </w:tcPr>
          <w:p>
            <w:pPr>
              <w:pStyle w:val="TableParagraph"/>
              <w:spacing w:before="111"/>
              <w:ind w:left="162"/>
              <w:jc w:val="left"/>
              <w:rPr>
                <w:sz w:val="31"/>
              </w:rPr>
            </w:pPr>
            <w:r>
              <w:rPr>
                <w:sz w:val="31"/>
              </w:rPr>
              <w:t>危险性类别</w:t>
            </w:r>
          </w:p>
        </w:tc>
      </w:tr>
      <w:tr>
        <w:tblPrEx>
          <w:tblW w:w="0" w:type="auto"/>
          <w:jc w:val="left"/>
          <w:tblInd w:w="734" w:type="dxa"/>
          <w:tblLayout w:type="fixed"/>
          <w:tblCellMar>
            <w:top w:w="0" w:type="dxa"/>
            <w:left w:w="0" w:type="dxa"/>
            <w:bottom w:w="0" w:type="dxa"/>
            <w:right w:w="0" w:type="dxa"/>
          </w:tblCellMar>
          <w:tblLook w:val="01E0"/>
        </w:tblPrEx>
        <w:trPr>
          <w:trHeight w:val="615"/>
          <w:jc w:val="left"/>
        </w:trPr>
        <w:tc>
          <w:tcPr>
            <w:tcW w:w="4298" w:type="dxa"/>
          </w:tcPr>
          <w:p>
            <w:pPr>
              <w:pStyle w:val="TableParagraph"/>
              <w:tabs>
                <w:tab w:val="right" w:pos="3714"/>
              </w:tabs>
              <w:spacing w:before="111"/>
              <w:ind w:left="50"/>
              <w:jc w:val="left"/>
              <w:rPr>
                <w:sz w:val="31"/>
              </w:rPr>
            </w:pPr>
            <w:r>
              <w:rPr>
                <w:sz w:val="31"/>
              </w:rPr>
              <w:t>危险货物编号</w:t>
              <w:tab/>
              <w:t>32004</w:t>
            </w:r>
          </w:p>
        </w:tc>
        <w:tc>
          <w:tcPr>
            <w:tcW w:w="2607" w:type="dxa"/>
          </w:tcPr>
          <w:p>
            <w:pPr>
              <w:pStyle w:val="TableParagraph"/>
              <w:jc w:val="left"/>
              <w:rPr>
                <w:rFonts w:ascii="Times New Roman"/>
                <w:sz w:val="30"/>
              </w:rPr>
            </w:pPr>
          </w:p>
        </w:tc>
        <w:tc>
          <w:tcPr>
            <w:tcW w:w="1796" w:type="dxa"/>
          </w:tcPr>
          <w:p>
            <w:pPr>
              <w:pStyle w:val="TableParagraph"/>
              <w:spacing w:before="111"/>
              <w:ind w:left="162"/>
              <w:jc w:val="left"/>
              <w:rPr>
                <w:sz w:val="31"/>
              </w:rPr>
            </w:pPr>
            <w:r>
              <w:rPr>
                <w:sz w:val="31"/>
              </w:rPr>
              <w:t>UN 编号</w:t>
            </w:r>
          </w:p>
        </w:tc>
      </w:tr>
      <w:tr>
        <w:tblPrEx>
          <w:tblW w:w="0" w:type="auto"/>
          <w:jc w:val="left"/>
          <w:tblInd w:w="734" w:type="dxa"/>
          <w:tblLayout w:type="fixed"/>
          <w:tblCellMar>
            <w:top w:w="0" w:type="dxa"/>
            <w:left w:w="0" w:type="dxa"/>
            <w:bottom w:w="0" w:type="dxa"/>
            <w:right w:w="0" w:type="dxa"/>
          </w:tblCellMar>
          <w:tblLook w:val="01E0"/>
        </w:tblPrEx>
        <w:trPr>
          <w:trHeight w:val="617"/>
          <w:jc w:val="left"/>
        </w:trPr>
        <w:tc>
          <w:tcPr>
            <w:tcW w:w="4298" w:type="dxa"/>
          </w:tcPr>
          <w:p>
            <w:pPr>
              <w:pStyle w:val="TableParagraph"/>
              <w:spacing w:before="111"/>
              <w:ind w:left="50"/>
              <w:jc w:val="left"/>
              <w:rPr>
                <w:b/>
                <w:sz w:val="31"/>
              </w:rPr>
            </w:pPr>
            <w:r>
              <w:rPr>
                <w:b/>
                <w:sz w:val="31"/>
              </w:rPr>
              <w:t>健康危害</w:t>
            </w:r>
          </w:p>
        </w:tc>
        <w:tc>
          <w:tcPr>
            <w:tcW w:w="2607" w:type="dxa"/>
          </w:tcPr>
          <w:p>
            <w:pPr>
              <w:pStyle w:val="TableParagraph"/>
              <w:jc w:val="left"/>
              <w:rPr>
                <w:rFonts w:ascii="Times New Roman"/>
                <w:sz w:val="30"/>
              </w:rPr>
            </w:pPr>
          </w:p>
        </w:tc>
        <w:tc>
          <w:tcPr>
            <w:tcW w:w="1796" w:type="dxa"/>
          </w:tcPr>
          <w:p>
            <w:pPr>
              <w:pStyle w:val="TableParagraph"/>
              <w:jc w:val="left"/>
              <w:rPr>
                <w:rFonts w:ascii="Times New Roman"/>
                <w:sz w:val="30"/>
              </w:rPr>
            </w:pPr>
          </w:p>
        </w:tc>
      </w:tr>
      <w:tr>
        <w:tblPrEx>
          <w:tblW w:w="0" w:type="auto"/>
          <w:jc w:val="left"/>
          <w:tblInd w:w="734" w:type="dxa"/>
          <w:tblLayout w:type="fixed"/>
          <w:tblCellMar>
            <w:top w:w="0" w:type="dxa"/>
            <w:left w:w="0" w:type="dxa"/>
            <w:bottom w:w="0" w:type="dxa"/>
            <w:right w:w="0" w:type="dxa"/>
          </w:tblCellMar>
          <w:tblLook w:val="01E0"/>
        </w:tblPrEx>
        <w:trPr>
          <w:trHeight w:val="468"/>
          <w:jc w:val="left"/>
        </w:trPr>
        <w:tc>
          <w:tcPr>
            <w:tcW w:w="4298" w:type="dxa"/>
          </w:tcPr>
          <w:p>
            <w:pPr>
              <w:pStyle w:val="TableParagraph"/>
              <w:tabs>
                <w:tab w:val="left" w:pos="1752"/>
              </w:tabs>
              <w:spacing w:before="114" w:line="335" w:lineRule="exact"/>
              <w:ind w:left="50"/>
              <w:jc w:val="left"/>
              <w:rPr>
                <w:sz w:val="31"/>
              </w:rPr>
            </w:pPr>
            <w:r>
              <w:rPr>
                <w:sz w:val="31"/>
              </w:rPr>
              <w:t>侵入途径</w:t>
              <w:tab/>
              <w:t>吸入、食入</w:t>
            </w:r>
          </w:p>
        </w:tc>
        <w:tc>
          <w:tcPr>
            <w:tcW w:w="2607" w:type="dxa"/>
          </w:tcPr>
          <w:p>
            <w:pPr>
              <w:pStyle w:val="TableParagraph"/>
              <w:jc w:val="left"/>
              <w:rPr>
                <w:rFonts w:ascii="Times New Roman"/>
                <w:sz w:val="30"/>
              </w:rPr>
            </w:pPr>
          </w:p>
        </w:tc>
        <w:tc>
          <w:tcPr>
            <w:tcW w:w="1796" w:type="dxa"/>
          </w:tcPr>
          <w:p>
            <w:pPr>
              <w:pStyle w:val="TableParagraph"/>
              <w:jc w:val="left"/>
              <w:rPr>
                <w:rFonts w:ascii="Times New Roman"/>
                <w:sz w:val="30"/>
              </w:rPr>
            </w:pPr>
          </w:p>
        </w:tc>
      </w:tr>
    </w:tbl>
    <w:p>
      <w:pPr>
        <w:spacing w:after="0"/>
        <w:jc w:val="left"/>
        <w:rPr>
          <w:rFonts w:ascii="Times New Roman"/>
          <w:sz w:val="30"/>
        </w:rPr>
        <w:sectPr>
          <w:headerReference w:type="default" r:id="rId70"/>
          <w:footerReference w:type="default" r:id="rId71"/>
          <w:type w:val="continuous"/>
          <w:pgSz w:w="17860" w:h="25260"/>
          <w:pgMar w:top="1380" w:right="1360" w:bottom="2020" w:left="1420" w:header="708" w:footer="708"/>
          <w:pgNumType w:start="25"/>
          <w:cols w:space="708"/>
        </w:sectPr>
      </w:pPr>
    </w:p>
    <w:p>
      <w:pPr>
        <w:pStyle w:val="BodyText"/>
        <w:rPr>
          <w:b/>
          <w:sz w:val="20"/>
        </w:rPr>
      </w:pPr>
    </w:p>
    <w:p>
      <w:pPr>
        <w:pStyle w:val="BodyText"/>
        <w:spacing w:before="3"/>
        <w:rPr>
          <w:b/>
          <w:sz w:val="21"/>
        </w:rPr>
      </w:pPr>
    </w:p>
    <w:p>
      <w:pPr>
        <w:tabs>
          <w:tab w:val="left" w:pos="2479"/>
        </w:tabs>
        <w:spacing w:before="62" w:line="372" w:lineRule="auto"/>
        <w:ind w:left="776" w:right="7529" w:firstLine="0"/>
        <w:jc w:val="left"/>
        <w:rPr>
          <w:b/>
          <w:sz w:val="31"/>
        </w:rPr>
      </w:pPr>
      <w:r>
        <w:rPr>
          <w:sz w:val="31"/>
        </w:rPr>
        <w:t>食入</w:t>
        <w:tab/>
        <w:t>用水漱口，给饮牛奶或蛋清。就医</w:t>
      </w:r>
      <w:r>
        <w:rPr>
          <w:spacing w:val="-18"/>
          <w:sz w:val="31"/>
        </w:rPr>
        <w:t>。</w:t>
      </w:r>
      <w:r>
        <w:rPr>
          <w:b/>
          <w:sz w:val="31"/>
        </w:rPr>
        <w:t>危险特性与灭火方法</w:t>
      </w:r>
    </w:p>
    <w:p>
      <w:pPr>
        <w:tabs>
          <w:tab w:val="left" w:pos="2479"/>
        </w:tabs>
        <w:spacing w:before="38" w:line="160" w:lineRule="auto"/>
        <w:ind w:left="2479" w:right="876" w:hanging="1703"/>
        <w:jc w:val="left"/>
        <w:rPr>
          <w:sz w:val="31"/>
        </w:rPr>
      </w:pPr>
      <w:r>
        <w:rPr>
          <w:position w:val="-20"/>
          <w:sz w:val="31"/>
        </w:rPr>
        <w:t>危险特性</w:t>
        <w:tab/>
      </w:r>
      <w:r>
        <w:rPr>
          <w:sz w:val="31"/>
        </w:rPr>
        <w:t>其蒸气与空气可形成爆炸性混合物，遇明火、高热能引起燃烧爆炸。与氧化剂能发</w:t>
      </w:r>
      <w:r>
        <w:rPr>
          <w:spacing w:val="-18"/>
          <w:sz w:val="31"/>
        </w:rPr>
        <w:t>生</w:t>
      </w:r>
      <w:r>
        <w:rPr>
          <w:sz w:val="31"/>
        </w:rPr>
        <w:t>强烈反应。其蒸气比空气重，能在较低处扩散到相当远的地方，遇火源会着火回燃</w:t>
      </w:r>
      <w:r>
        <w:rPr>
          <w:spacing w:val="-18"/>
          <w:sz w:val="31"/>
        </w:rPr>
        <w:t>。</w:t>
      </w:r>
    </w:p>
    <w:p>
      <w:pPr>
        <w:tabs>
          <w:tab w:val="left" w:pos="2479"/>
        </w:tabs>
        <w:spacing w:before="250" w:line="244" w:lineRule="auto"/>
        <w:ind w:left="776" w:right="876" w:firstLine="1702"/>
        <w:jc w:val="left"/>
        <w:rPr>
          <w:sz w:val="31"/>
        </w:rPr>
      </w:pPr>
      <w:r>
        <w:rPr>
          <w:sz w:val="31"/>
        </w:rPr>
        <w:t>喷水冷却容器，可能的话将容器从火场移至空旷处。处在火场中的容器若已变色或</w:t>
      </w:r>
      <w:r>
        <w:rPr>
          <w:spacing w:val="-17"/>
          <w:sz w:val="31"/>
        </w:rPr>
        <w:t>从</w:t>
      </w:r>
      <w:r>
        <w:rPr>
          <w:sz w:val="31"/>
        </w:rPr>
        <w:t>灭火方法</w:t>
        <w:tab/>
        <w:t>安全泄压装置中产生声音，必须马上撤离。灭火剂：泡沫、二氧化碳、干粉、砂土</w:t>
      </w:r>
      <w:r>
        <w:rPr>
          <w:spacing w:val="-18"/>
          <w:sz w:val="31"/>
        </w:rPr>
        <w:t>。</w:t>
      </w:r>
    </w:p>
    <w:p>
      <w:pPr>
        <w:spacing w:before="7" w:line="372" w:lineRule="auto"/>
        <w:ind w:left="776" w:right="10380" w:firstLine="1702"/>
        <w:jc w:val="left"/>
        <w:rPr>
          <w:b/>
          <w:sz w:val="31"/>
        </w:rPr>
      </w:pPr>
      <w:r>
        <w:rPr>
          <w:sz w:val="31"/>
        </w:rPr>
        <w:t>用水灭火无效。</w:t>
      </w:r>
      <w:r>
        <w:rPr>
          <w:b/>
          <w:sz w:val="31"/>
        </w:rPr>
        <w:t>泄漏应急处理</w:t>
      </w:r>
    </w:p>
    <w:p>
      <w:pPr>
        <w:spacing w:before="0" w:line="247" w:lineRule="auto"/>
        <w:ind w:left="776" w:right="659" w:firstLine="0"/>
        <w:jc w:val="both"/>
        <w:rPr>
          <w:sz w:val="31"/>
        </w:rPr>
      </w:pPr>
      <w:r>
        <w:rPr>
          <w:sz w:val="31"/>
        </w:rPr>
        <w:t xml:space="preserve">迅速撤离泄漏污染区人员至安全区，并进行隔离，严格限制出入。切断火源。建议应急处理人员戴 </w:t>
      </w:r>
      <w:r>
        <w:rPr>
          <w:spacing w:val="-18"/>
          <w:sz w:val="31"/>
        </w:rPr>
        <w:t xml:space="preserve">自给正压式呼吸器，穿防静电工作服。尽可能切断泄漏源。防止流入下水道、排洪沟等限制性空间。 </w:t>
      </w:r>
      <w:r>
        <w:rPr>
          <w:sz w:val="31"/>
        </w:rPr>
        <w:t>小量泄漏：用砂土、蛭石或其它惰性材料吸收。大量泄漏：构筑围堤或挖坑收容。用泡沫覆盖，降 低蒸气灾害。用防爆泵转移至槽车或专用收集器内，回收或运至废物处理场所处置。</w:t>
      </w:r>
    </w:p>
    <w:p>
      <w:pPr>
        <w:spacing w:before="208"/>
        <w:ind w:left="776" w:right="0" w:firstLine="0"/>
        <w:jc w:val="left"/>
        <w:rPr>
          <w:b/>
          <w:sz w:val="31"/>
        </w:rPr>
      </w:pPr>
      <w:r>
        <w:rPr>
          <w:b/>
          <w:sz w:val="31"/>
        </w:rPr>
        <w:t>操作处置注意事项</w:t>
      </w:r>
    </w:p>
    <w:p>
      <w:pPr>
        <w:spacing w:before="222" w:line="247" w:lineRule="auto"/>
        <w:ind w:left="776" w:right="678" w:firstLine="0"/>
        <w:jc w:val="both"/>
        <w:rPr>
          <w:sz w:val="31"/>
        </w:rPr>
      </w:pPr>
      <w:r>
        <w:rPr>
          <w:spacing w:val="-1"/>
          <w:sz w:val="31"/>
        </w:rPr>
        <w:t xml:space="preserve">密闭操作，全面通风。操作人员必须经过专门培训，严格遵守操作规程。建议操作人员佩戴过滤式 </w:t>
      </w:r>
      <w:r>
        <w:rPr>
          <w:sz w:val="31"/>
        </w:rPr>
        <w:t>防毒面具（半面罩），</w:t>
      </w:r>
      <w:r>
        <w:rPr>
          <w:spacing w:val="-1"/>
          <w:sz w:val="31"/>
        </w:rPr>
        <w:t xml:space="preserve">戴安全防护眼镜，穿防静电工作服，戴橡胶耐油手套。远离火种、热源，工 作场所严禁吸烟。使用防爆型的通风系统和设备。防止蒸气泄漏到工作场所空气中。避免与氧化剂 接触。灌装时应控制流速，且有接地装置，防止静电积聚。搬运时要轻装轻卸，防止包装及容器损 </w:t>
      </w:r>
      <w:r>
        <w:rPr>
          <w:sz w:val="31"/>
        </w:rPr>
        <w:t>坏。配备相应品种和数量的消防器材及泄漏应急处理设备。倒空的容器可能残留有害物。</w:t>
      </w:r>
    </w:p>
    <w:p>
      <w:pPr>
        <w:spacing w:before="204"/>
        <w:ind w:left="776" w:right="0" w:firstLine="0"/>
        <w:jc w:val="left"/>
        <w:rPr>
          <w:b/>
          <w:sz w:val="31"/>
        </w:rPr>
      </w:pPr>
      <w:r>
        <w:rPr>
          <w:b/>
          <w:sz w:val="31"/>
        </w:rPr>
        <w:t>储存注意事项</w:t>
      </w:r>
    </w:p>
    <w:p>
      <w:pPr>
        <w:spacing w:before="219" w:line="247" w:lineRule="auto"/>
        <w:ind w:left="776" w:right="678" w:firstLine="0"/>
        <w:jc w:val="left"/>
        <w:rPr>
          <w:sz w:val="31"/>
        </w:rPr>
      </w:pPr>
      <w:r>
        <w:rPr>
          <w:sz w:val="31"/>
        </w:rPr>
        <w:t>储存于阴凉、通风的库房。远离火种、热源。库温不宜超过 30℃。保持容器密封。应与氧化剂分开存放，切忌混储。采用防爆型照明、通风设施。禁止使用易产生火花的机械设备和工具。储区应 备有泄漏应急处理设备和合适的收容材料。</w:t>
      </w:r>
    </w:p>
    <w:p>
      <w:pPr>
        <w:spacing w:before="210"/>
        <w:ind w:left="776" w:right="0" w:firstLine="0"/>
        <w:jc w:val="left"/>
        <w:rPr>
          <w:b/>
          <w:sz w:val="31"/>
        </w:rPr>
      </w:pPr>
      <w:r>
        <w:rPr>
          <w:b/>
          <w:sz w:val="31"/>
        </w:rPr>
        <w:t>防护措施</w:t>
      </w:r>
    </w:p>
    <w:p>
      <w:pPr>
        <w:tabs>
          <w:tab w:val="left" w:pos="2479"/>
        </w:tabs>
        <w:spacing w:before="218"/>
        <w:ind w:left="776" w:right="0" w:firstLine="0"/>
        <w:jc w:val="left"/>
        <w:rPr>
          <w:sz w:val="31"/>
        </w:rPr>
      </w:pPr>
      <w:r>
        <w:rPr>
          <w:sz w:val="31"/>
        </w:rPr>
        <w:t>接触极限</w:t>
        <w:tab/>
        <w:t>——</w:t>
      </w:r>
    </w:p>
    <w:p>
      <w:pPr>
        <w:tabs>
          <w:tab w:val="left" w:pos="2479"/>
        </w:tabs>
        <w:spacing w:before="222"/>
        <w:ind w:left="776" w:right="0" w:firstLine="0"/>
        <w:jc w:val="left"/>
        <w:rPr>
          <w:sz w:val="31"/>
        </w:rPr>
      </w:pPr>
      <w:r>
        <w:rPr>
          <w:sz w:val="31"/>
        </w:rPr>
        <w:t>监测方法</w:t>
        <w:tab/>
        <w:t>——</w:t>
      </w:r>
    </w:p>
    <w:p>
      <w:pPr>
        <w:tabs>
          <w:tab w:val="left" w:pos="2479"/>
        </w:tabs>
        <w:spacing w:before="218"/>
        <w:ind w:left="776" w:right="0" w:firstLine="0"/>
        <w:jc w:val="left"/>
        <w:rPr>
          <w:sz w:val="31"/>
        </w:rPr>
      </w:pPr>
      <w:r>
        <w:rPr>
          <w:sz w:val="31"/>
        </w:rPr>
        <w:t>工程控制</w:t>
        <w:tab/>
        <w:t>生产过程密闭，全面通风。提供安全淋浴和洗眼设备。</w:t>
      </w:r>
    </w:p>
    <w:p>
      <w:pPr>
        <w:tabs>
          <w:tab w:val="left" w:pos="2479"/>
          <w:tab w:val="left" w:pos="3123"/>
        </w:tabs>
        <w:spacing w:before="219" w:line="374" w:lineRule="auto"/>
        <w:ind w:left="776" w:right="4350" w:firstLine="0"/>
        <w:jc w:val="left"/>
        <w:rPr>
          <w:sz w:val="31"/>
        </w:rPr>
      </w:pPr>
      <w:r>
        <w:rPr>
          <w:sz w:val="31"/>
        </w:rPr>
        <w:t>呼吸系统防护</w:t>
        <w:tab/>
        <w:t>空气中浓度超标时，佩戴过滤式防毒面具（半面罩）</w:t>
      </w:r>
      <w:r>
        <w:rPr>
          <w:spacing w:val="-17"/>
          <w:sz w:val="31"/>
        </w:rPr>
        <w:t>。</w:t>
      </w:r>
      <w:r>
        <w:rPr>
          <w:sz w:val="31"/>
        </w:rPr>
        <w:t>眼睛防护</w:t>
        <w:tab/>
        <w:t>戴安全防护眼镜。</w:t>
      </w:r>
    </w:p>
    <w:p>
      <w:pPr>
        <w:tabs>
          <w:tab w:val="left" w:pos="2479"/>
        </w:tabs>
        <w:spacing w:before="0" w:line="393" w:lineRule="exact"/>
        <w:ind w:left="776" w:right="0" w:firstLine="0"/>
        <w:jc w:val="left"/>
        <w:rPr>
          <w:sz w:val="31"/>
        </w:rPr>
      </w:pPr>
      <w:r>
        <w:rPr>
          <w:sz w:val="31"/>
        </w:rPr>
        <w:t>身体防护</w:t>
        <w:tab/>
        <w:t>穿防静电工作服。</w:t>
      </w:r>
    </w:p>
    <w:p>
      <w:pPr>
        <w:pStyle w:val="BodyText"/>
        <w:spacing w:before="6"/>
        <w:rPr>
          <w:sz w:val="12"/>
        </w:rPr>
      </w:pPr>
    </w:p>
    <w:p>
      <w:pPr>
        <w:spacing w:after="0"/>
        <w:rPr>
          <w:sz w:val="12"/>
        </w:rPr>
        <w:sectPr>
          <w:headerReference w:type="default" r:id="rId72"/>
          <w:footerReference w:type="default" r:id="rId73"/>
          <w:pgSz w:w="17860" w:h="25260"/>
          <w:pgMar w:top="1380" w:right="1360" w:bottom="2020" w:left="1420" w:header="1083" w:footer="1826"/>
          <w:pgNumType w:start="26"/>
          <w:cols w:space="708"/>
        </w:sectPr>
      </w:pPr>
    </w:p>
    <w:p>
      <w:pPr>
        <w:spacing w:before="62" w:line="372" w:lineRule="auto"/>
        <w:ind w:left="776" w:right="631" w:firstLine="0"/>
        <w:jc w:val="left"/>
        <w:rPr>
          <w:sz w:val="31"/>
        </w:rPr>
      </w:pPr>
      <w:r>
        <w:rPr>
          <w:sz w:val="31"/>
        </w:rPr>
        <w:t>手防护其它</w:t>
      </w:r>
    </w:p>
    <w:p>
      <w:pPr>
        <w:spacing w:before="1" w:line="374" w:lineRule="auto"/>
        <w:ind w:left="776" w:right="0" w:firstLine="0"/>
        <w:jc w:val="left"/>
        <w:rPr>
          <w:sz w:val="31"/>
        </w:rPr>
      </w:pPr>
      <w:r>
        <w:rPr>
          <w:b/>
          <w:sz w:val="31"/>
        </w:rPr>
        <w:t xml:space="preserve">理化性质 </w:t>
      </w:r>
      <w:r>
        <w:rPr>
          <w:spacing w:val="-4"/>
          <w:sz w:val="31"/>
        </w:rPr>
        <w:t>外观与性状</w:t>
      </w:r>
    </w:p>
    <w:p>
      <w:pPr>
        <w:spacing w:before="62"/>
        <w:ind w:left="78" w:right="0" w:firstLine="0"/>
        <w:jc w:val="left"/>
        <w:rPr>
          <w:sz w:val="31"/>
        </w:rPr>
      </w:pPr>
      <w:r>
        <w:br w:type="column"/>
      </w:r>
      <w:r>
        <w:rPr>
          <w:sz w:val="31"/>
        </w:rPr>
        <w:t>戴橡胶耐油手套。</w:t>
      </w:r>
    </w:p>
    <w:p>
      <w:pPr>
        <w:spacing w:before="218"/>
        <w:ind w:left="78" w:right="0" w:firstLine="0"/>
        <w:jc w:val="left"/>
        <w:rPr>
          <w:sz w:val="31"/>
        </w:rPr>
      </w:pPr>
      <w:r>
        <w:rPr>
          <w:sz w:val="31"/>
        </w:rPr>
        <w:t>工作现场严禁吸烟。工作完毕，淋浴更衣。注意个人清洁卫生。</w:t>
      </w:r>
    </w:p>
    <w:p>
      <w:pPr>
        <w:pStyle w:val="BodyText"/>
        <w:rPr>
          <w:sz w:val="32"/>
        </w:rPr>
      </w:pPr>
    </w:p>
    <w:p>
      <w:pPr>
        <w:pStyle w:val="BodyText"/>
        <w:spacing w:before="6"/>
        <w:rPr>
          <w:sz w:val="33"/>
        </w:rPr>
      </w:pPr>
    </w:p>
    <w:p>
      <w:pPr>
        <w:spacing w:before="0"/>
        <w:ind w:left="586" w:right="0" w:firstLine="0"/>
        <w:jc w:val="left"/>
        <w:rPr>
          <w:sz w:val="31"/>
        </w:rPr>
      </w:pPr>
      <w:r>
        <w:rPr>
          <w:sz w:val="31"/>
        </w:rPr>
        <w:t>无色或浅黄色液体。</w:t>
      </w:r>
    </w:p>
    <w:p>
      <w:pPr>
        <w:spacing w:after="0"/>
        <w:jc w:val="left"/>
        <w:rPr>
          <w:sz w:val="31"/>
        </w:rPr>
        <w:sectPr>
          <w:headerReference w:type="default" r:id="rId74"/>
          <w:footerReference w:type="default" r:id="rId75"/>
          <w:type w:val="continuous"/>
          <w:pgSz w:w="17860" w:h="25260"/>
          <w:pgMar w:top="1380" w:right="1360" w:bottom="2020" w:left="1420" w:header="708" w:footer="708"/>
          <w:pgNumType w:start="27"/>
          <w:cols w:num="2" w:space="708" w:equalWidth="0">
            <w:col w:w="2361" w:space="40"/>
            <w:col w:w="12679" w:space="0"/>
          </w:cols>
        </w:sectPr>
      </w:pPr>
    </w:p>
    <w:p>
      <w:pPr>
        <w:pStyle w:val="BodyText"/>
        <w:spacing w:before="7"/>
        <w:rPr>
          <w:sz w:val="2"/>
        </w:rPr>
      </w:pPr>
      <w:r>
        <w:drawing>
          <wp:anchor distT="0" distB="0" distL="0" distR="0" simplePos="0" relativeHeight="251673600" behindDoc="1" locked="0" layoutInCell="1" allowOverlap="1">
            <wp:simplePos x="0" y="0"/>
            <wp:positionH relativeFrom="page">
              <wp:posOffset>1282700</wp:posOffset>
            </wp:positionH>
            <wp:positionV relativeFrom="page">
              <wp:posOffset>1155700</wp:posOffset>
            </wp:positionV>
            <wp:extent cx="8788400" cy="13335000"/>
            <wp:effectExtent l="0" t="0" r="0" b="0"/>
            <wp:wrapNone/>
            <wp:docPr id="1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9.png"/>
                    <pic:cNvPicPr/>
                  </pic:nvPicPr>
                  <pic:blipFill>
                    <a:blip xmlns:r="http://schemas.openxmlformats.org/officeDocument/2006/relationships" r:embed="rId76" cstate="print"/>
                    <a:stretch>
                      <a:fillRect/>
                    </a:stretch>
                  </pic:blipFill>
                  <pic:spPr>
                    <a:xfrm>
                      <a:off x="0" y="0"/>
                      <a:ext cx="8788400" cy="13335000"/>
                    </a:xfrm>
                    <a:prstGeom prst="rect">
                      <a:avLst/>
                    </a:prstGeom>
                  </pic:spPr>
                </pic:pic>
              </a:graphicData>
            </a:graphic>
          </wp:anchor>
        </w:drawing>
      </w:r>
    </w:p>
    <w:tbl>
      <w:tblPr>
        <w:tblStyle w:val="TableNormal5"/>
        <w:tblW w:w="0" w:type="auto"/>
        <w:jc w:val="left"/>
        <w:tblInd w:w="7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02"/>
        <w:gridCol w:w="2681"/>
        <w:gridCol w:w="4080"/>
        <w:gridCol w:w="1296"/>
      </w:tblGrid>
      <w:tr>
        <w:tblPrEx>
          <w:tblW w:w="0" w:type="auto"/>
          <w:jc w:val="left"/>
          <w:tblInd w:w="7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6"/>
          <w:jc w:val="left"/>
        </w:trPr>
        <w:tc>
          <w:tcPr>
            <w:tcW w:w="3202" w:type="dxa"/>
          </w:tcPr>
          <w:p>
            <w:pPr>
              <w:pStyle w:val="TableParagraph"/>
              <w:spacing w:line="359" w:lineRule="exact"/>
              <w:ind w:left="50"/>
              <w:jc w:val="left"/>
              <w:rPr>
                <w:sz w:val="31"/>
              </w:rPr>
            </w:pPr>
            <w:r>
              <w:rPr>
                <w:sz w:val="31"/>
              </w:rPr>
              <w:t>熔点（℃）</w:t>
            </w:r>
          </w:p>
        </w:tc>
        <w:tc>
          <w:tcPr>
            <w:tcW w:w="2681" w:type="dxa"/>
          </w:tcPr>
          <w:p>
            <w:pPr>
              <w:pStyle w:val="TableParagraph"/>
              <w:spacing w:line="359" w:lineRule="exact"/>
              <w:ind w:left="470"/>
              <w:jc w:val="left"/>
              <w:rPr>
                <w:sz w:val="31"/>
              </w:rPr>
            </w:pPr>
            <w:r>
              <w:rPr>
                <w:sz w:val="31"/>
              </w:rPr>
              <w:t>无资料</w:t>
            </w:r>
          </w:p>
        </w:tc>
        <w:tc>
          <w:tcPr>
            <w:tcW w:w="4080" w:type="dxa"/>
          </w:tcPr>
          <w:p>
            <w:pPr>
              <w:pStyle w:val="TableParagraph"/>
              <w:spacing w:line="359" w:lineRule="exact"/>
              <w:ind w:left="1259"/>
              <w:jc w:val="left"/>
              <w:rPr>
                <w:sz w:val="31"/>
              </w:rPr>
            </w:pPr>
            <w:r>
              <w:rPr>
                <w:sz w:val="31"/>
              </w:rPr>
              <w:t>沸点（℃）</w:t>
            </w:r>
          </w:p>
        </w:tc>
        <w:tc>
          <w:tcPr>
            <w:tcW w:w="1296" w:type="dxa"/>
          </w:tcPr>
          <w:p>
            <w:pPr>
              <w:pStyle w:val="TableParagraph"/>
              <w:spacing w:line="359" w:lineRule="exact"/>
              <w:ind w:left="135"/>
              <w:jc w:val="left"/>
              <w:rPr>
                <w:sz w:val="31"/>
              </w:rPr>
            </w:pPr>
            <w:r>
              <w:rPr>
                <w:sz w:val="31"/>
              </w:rPr>
              <w:t>20～160</w:t>
            </w:r>
          </w:p>
        </w:tc>
      </w:tr>
      <w:tr>
        <w:tblPrEx>
          <w:tblW w:w="0" w:type="auto"/>
          <w:jc w:val="left"/>
          <w:tblInd w:w="734" w:type="dxa"/>
          <w:tblLayout w:type="fixed"/>
          <w:tblCellMar>
            <w:top w:w="0" w:type="dxa"/>
            <w:left w:w="0" w:type="dxa"/>
            <w:bottom w:w="0" w:type="dxa"/>
            <w:right w:w="0" w:type="dxa"/>
          </w:tblCellMar>
          <w:tblLook w:val="01E0"/>
        </w:tblPrEx>
        <w:trPr>
          <w:trHeight w:val="617"/>
          <w:jc w:val="left"/>
        </w:trPr>
        <w:tc>
          <w:tcPr>
            <w:tcW w:w="3202" w:type="dxa"/>
          </w:tcPr>
          <w:p>
            <w:pPr>
              <w:pStyle w:val="TableParagraph"/>
              <w:spacing w:before="111"/>
              <w:ind w:left="50"/>
              <w:jc w:val="left"/>
              <w:rPr>
                <w:sz w:val="31"/>
              </w:rPr>
            </w:pPr>
            <w:r>
              <w:rPr>
                <w:sz w:val="31"/>
              </w:rPr>
              <w:t>闪点（℃）</w:t>
            </w:r>
          </w:p>
        </w:tc>
        <w:tc>
          <w:tcPr>
            <w:tcW w:w="2681" w:type="dxa"/>
          </w:tcPr>
          <w:p>
            <w:pPr>
              <w:pStyle w:val="TableParagraph"/>
              <w:spacing w:before="111"/>
              <w:ind w:left="470"/>
              <w:jc w:val="left"/>
              <w:rPr>
                <w:sz w:val="31"/>
              </w:rPr>
            </w:pPr>
            <w:r>
              <w:rPr>
                <w:sz w:val="31"/>
              </w:rPr>
              <w:t>-2</w:t>
            </w:r>
          </w:p>
        </w:tc>
        <w:tc>
          <w:tcPr>
            <w:tcW w:w="4080" w:type="dxa"/>
          </w:tcPr>
          <w:p>
            <w:pPr>
              <w:pStyle w:val="TableParagraph"/>
              <w:spacing w:before="111"/>
              <w:ind w:left="1259"/>
              <w:jc w:val="left"/>
              <w:rPr>
                <w:sz w:val="31"/>
              </w:rPr>
            </w:pPr>
            <w:r>
              <w:rPr>
                <w:sz w:val="31"/>
              </w:rPr>
              <w:t>引燃温度（℃）</w:t>
            </w:r>
          </w:p>
        </w:tc>
        <w:tc>
          <w:tcPr>
            <w:tcW w:w="1296" w:type="dxa"/>
          </w:tcPr>
          <w:p>
            <w:pPr>
              <w:pStyle w:val="TableParagraph"/>
              <w:spacing w:before="111"/>
              <w:ind w:left="135"/>
              <w:jc w:val="left"/>
              <w:rPr>
                <w:sz w:val="31"/>
              </w:rPr>
            </w:pPr>
            <w:r>
              <w:rPr>
                <w:sz w:val="31"/>
              </w:rPr>
              <w:t>350</w:t>
            </w:r>
          </w:p>
        </w:tc>
      </w:tr>
      <w:tr>
        <w:tblPrEx>
          <w:tblW w:w="0" w:type="auto"/>
          <w:jc w:val="left"/>
          <w:tblInd w:w="734" w:type="dxa"/>
          <w:tblLayout w:type="fixed"/>
          <w:tblCellMar>
            <w:top w:w="0" w:type="dxa"/>
            <w:left w:w="0" w:type="dxa"/>
            <w:bottom w:w="0" w:type="dxa"/>
            <w:right w:w="0" w:type="dxa"/>
          </w:tblCellMar>
          <w:tblLook w:val="01E0"/>
        </w:tblPrEx>
        <w:trPr>
          <w:trHeight w:val="617"/>
          <w:jc w:val="left"/>
        </w:trPr>
        <w:tc>
          <w:tcPr>
            <w:tcW w:w="3202" w:type="dxa"/>
          </w:tcPr>
          <w:p>
            <w:pPr>
              <w:pStyle w:val="TableParagraph"/>
              <w:spacing w:before="113"/>
              <w:ind w:left="50"/>
              <w:jc w:val="left"/>
              <w:rPr>
                <w:sz w:val="31"/>
              </w:rPr>
            </w:pPr>
            <w:r>
              <w:rPr>
                <w:sz w:val="31"/>
              </w:rPr>
              <w:t>爆炸上限％（V/V）</w:t>
            </w:r>
          </w:p>
        </w:tc>
        <w:tc>
          <w:tcPr>
            <w:tcW w:w="2681" w:type="dxa"/>
          </w:tcPr>
          <w:p>
            <w:pPr>
              <w:pStyle w:val="TableParagraph"/>
              <w:spacing w:before="113"/>
              <w:ind w:left="470"/>
              <w:jc w:val="left"/>
              <w:rPr>
                <w:sz w:val="31"/>
              </w:rPr>
            </w:pPr>
            <w:r>
              <w:rPr>
                <w:sz w:val="31"/>
              </w:rPr>
              <w:t>8.7</w:t>
            </w:r>
          </w:p>
        </w:tc>
        <w:tc>
          <w:tcPr>
            <w:tcW w:w="4080" w:type="dxa"/>
          </w:tcPr>
          <w:p>
            <w:pPr>
              <w:pStyle w:val="TableParagraph"/>
              <w:spacing w:before="113"/>
              <w:ind w:left="1259"/>
              <w:jc w:val="left"/>
              <w:rPr>
                <w:sz w:val="31"/>
              </w:rPr>
            </w:pPr>
            <w:r>
              <w:rPr>
                <w:sz w:val="31"/>
              </w:rPr>
              <w:t>爆炸下限％（V/V）</w:t>
            </w:r>
          </w:p>
        </w:tc>
        <w:tc>
          <w:tcPr>
            <w:tcW w:w="1296" w:type="dxa"/>
          </w:tcPr>
          <w:p>
            <w:pPr>
              <w:pStyle w:val="TableParagraph"/>
              <w:spacing w:before="113"/>
              <w:ind w:left="135"/>
              <w:jc w:val="left"/>
              <w:rPr>
                <w:sz w:val="31"/>
              </w:rPr>
            </w:pPr>
            <w:r>
              <w:rPr>
                <w:sz w:val="31"/>
              </w:rPr>
              <w:t>1.1</w:t>
            </w:r>
          </w:p>
        </w:tc>
      </w:tr>
      <w:tr>
        <w:tblPrEx>
          <w:tblW w:w="0" w:type="auto"/>
          <w:jc w:val="left"/>
          <w:tblInd w:w="734" w:type="dxa"/>
          <w:tblLayout w:type="fixed"/>
          <w:tblCellMar>
            <w:top w:w="0" w:type="dxa"/>
            <w:left w:w="0" w:type="dxa"/>
            <w:bottom w:w="0" w:type="dxa"/>
            <w:right w:w="0" w:type="dxa"/>
          </w:tblCellMar>
          <w:tblLook w:val="01E0"/>
        </w:tblPrEx>
        <w:trPr>
          <w:trHeight w:val="617"/>
          <w:jc w:val="left"/>
        </w:trPr>
        <w:tc>
          <w:tcPr>
            <w:tcW w:w="3202" w:type="dxa"/>
          </w:tcPr>
          <w:p>
            <w:pPr>
              <w:pStyle w:val="TableParagraph"/>
              <w:spacing w:before="111"/>
              <w:ind w:left="50"/>
              <w:jc w:val="left"/>
              <w:rPr>
                <w:sz w:val="31"/>
              </w:rPr>
            </w:pPr>
            <w:r>
              <w:rPr>
                <w:sz w:val="31"/>
              </w:rPr>
              <w:t>燃烧热（kJ/mol）</w:t>
            </w:r>
          </w:p>
        </w:tc>
        <w:tc>
          <w:tcPr>
            <w:tcW w:w="2681" w:type="dxa"/>
          </w:tcPr>
          <w:p>
            <w:pPr>
              <w:pStyle w:val="TableParagraph"/>
              <w:spacing w:before="111"/>
              <w:ind w:left="470"/>
              <w:jc w:val="left"/>
              <w:rPr>
                <w:sz w:val="31"/>
              </w:rPr>
            </w:pPr>
            <w:r>
              <w:rPr>
                <w:sz w:val="31"/>
              </w:rPr>
              <w:t>无资料</w:t>
            </w:r>
          </w:p>
        </w:tc>
        <w:tc>
          <w:tcPr>
            <w:tcW w:w="4080" w:type="dxa"/>
          </w:tcPr>
          <w:p>
            <w:pPr>
              <w:pStyle w:val="TableParagraph"/>
              <w:spacing w:before="111"/>
              <w:ind w:left="1259"/>
              <w:jc w:val="left"/>
              <w:rPr>
                <w:sz w:val="31"/>
              </w:rPr>
            </w:pPr>
            <w:r>
              <w:rPr>
                <w:sz w:val="31"/>
              </w:rPr>
              <w:t>临界温度（℃）</w:t>
            </w:r>
          </w:p>
        </w:tc>
        <w:tc>
          <w:tcPr>
            <w:tcW w:w="1296" w:type="dxa"/>
          </w:tcPr>
          <w:p>
            <w:pPr>
              <w:pStyle w:val="TableParagraph"/>
              <w:spacing w:before="111"/>
              <w:ind w:left="135"/>
              <w:jc w:val="left"/>
              <w:rPr>
                <w:sz w:val="31"/>
              </w:rPr>
            </w:pPr>
            <w:r>
              <w:rPr>
                <w:sz w:val="31"/>
              </w:rPr>
              <w:t>无资料</w:t>
            </w:r>
          </w:p>
        </w:tc>
      </w:tr>
      <w:tr>
        <w:tblPrEx>
          <w:tblW w:w="0" w:type="auto"/>
          <w:jc w:val="left"/>
          <w:tblInd w:w="734" w:type="dxa"/>
          <w:tblLayout w:type="fixed"/>
          <w:tblCellMar>
            <w:top w:w="0" w:type="dxa"/>
            <w:left w:w="0" w:type="dxa"/>
            <w:bottom w:w="0" w:type="dxa"/>
            <w:right w:w="0" w:type="dxa"/>
          </w:tblCellMar>
          <w:tblLook w:val="01E0"/>
        </w:tblPrEx>
        <w:trPr>
          <w:trHeight w:val="468"/>
          <w:jc w:val="left"/>
        </w:trPr>
        <w:tc>
          <w:tcPr>
            <w:tcW w:w="3202" w:type="dxa"/>
          </w:tcPr>
          <w:p>
            <w:pPr>
              <w:pStyle w:val="TableParagraph"/>
              <w:spacing w:before="113" w:line="335" w:lineRule="exact"/>
              <w:ind w:left="50"/>
              <w:jc w:val="left"/>
              <w:rPr>
                <w:sz w:val="31"/>
              </w:rPr>
            </w:pPr>
            <w:r>
              <w:rPr>
                <w:sz w:val="31"/>
              </w:rPr>
              <w:t>临界压力（MPa）</w:t>
            </w:r>
          </w:p>
        </w:tc>
        <w:tc>
          <w:tcPr>
            <w:tcW w:w="2681" w:type="dxa"/>
          </w:tcPr>
          <w:p>
            <w:pPr>
              <w:pStyle w:val="TableParagraph"/>
              <w:spacing w:before="113" w:line="335" w:lineRule="exact"/>
              <w:ind w:left="470"/>
              <w:jc w:val="left"/>
              <w:rPr>
                <w:sz w:val="31"/>
              </w:rPr>
            </w:pPr>
            <w:r>
              <w:rPr>
                <w:sz w:val="31"/>
              </w:rPr>
              <w:t>无资料</w:t>
            </w:r>
          </w:p>
        </w:tc>
        <w:tc>
          <w:tcPr>
            <w:tcW w:w="4080" w:type="dxa"/>
          </w:tcPr>
          <w:p>
            <w:pPr>
              <w:pStyle w:val="TableParagraph"/>
              <w:spacing w:before="113" w:line="335" w:lineRule="exact"/>
              <w:ind w:left="1259"/>
              <w:jc w:val="left"/>
              <w:rPr>
                <w:sz w:val="31"/>
              </w:rPr>
            </w:pPr>
            <w:r>
              <w:rPr>
                <w:sz w:val="31"/>
              </w:rPr>
              <w:t>辛醇/水分配系数</w:t>
            </w:r>
          </w:p>
        </w:tc>
        <w:tc>
          <w:tcPr>
            <w:tcW w:w="1296" w:type="dxa"/>
          </w:tcPr>
          <w:p>
            <w:pPr>
              <w:pStyle w:val="TableParagraph"/>
              <w:spacing w:before="113" w:line="335" w:lineRule="exact"/>
              <w:ind w:left="135"/>
              <w:jc w:val="left"/>
              <w:rPr>
                <w:sz w:val="31"/>
              </w:rPr>
            </w:pPr>
            <w:r>
              <w:rPr>
                <w:sz w:val="31"/>
              </w:rPr>
              <w:t>无资料</w:t>
            </w:r>
          </w:p>
        </w:tc>
      </w:tr>
    </w:tbl>
    <w:p>
      <w:pPr>
        <w:spacing w:after="0" w:line="335" w:lineRule="exact"/>
        <w:jc w:val="left"/>
        <w:rPr>
          <w:sz w:val="31"/>
        </w:rPr>
        <w:sectPr>
          <w:headerReference w:type="default" r:id="rId77"/>
          <w:footerReference w:type="default" r:id="rId78"/>
          <w:type w:val="continuous"/>
          <w:pgSz w:w="17860" w:h="25260"/>
          <w:pgMar w:top="1380" w:right="1360" w:bottom="2020" w:left="1420" w:header="708" w:footer="708"/>
          <w:pgNumType w:start="28"/>
          <w:cols w:space="708"/>
        </w:sectPr>
      </w:pPr>
    </w:p>
    <w:p>
      <w:pPr>
        <w:pStyle w:val="BodyText"/>
        <w:rPr>
          <w:sz w:val="20"/>
        </w:rPr>
      </w:pPr>
    </w:p>
    <w:p>
      <w:pPr>
        <w:pStyle w:val="BodyText"/>
        <w:spacing w:before="3"/>
        <w:rPr>
          <w:sz w:val="21"/>
        </w:rPr>
      </w:pPr>
    </w:p>
    <w:p>
      <w:pPr>
        <w:tabs>
          <w:tab w:val="left" w:pos="4398"/>
          <w:tab w:val="left" w:pos="7869"/>
          <w:tab w:val="left" w:pos="10825"/>
        </w:tabs>
        <w:spacing w:before="62"/>
        <w:ind w:left="776" w:right="0" w:firstLine="0"/>
        <w:jc w:val="left"/>
        <w:rPr>
          <w:sz w:val="31"/>
        </w:rPr>
      </w:pPr>
      <w:r>
        <w:drawing>
          <wp:anchor distT="0" distB="0" distL="0" distR="0" simplePos="0" relativeHeight="251674624" behindDoc="1" locked="0" layoutInCell="1" allowOverlap="1">
            <wp:simplePos x="0" y="0"/>
            <wp:positionH relativeFrom="page">
              <wp:posOffset>1282700</wp:posOffset>
            </wp:positionH>
            <wp:positionV relativeFrom="paragraph">
              <wp:posOffset>-60578</wp:posOffset>
            </wp:positionV>
            <wp:extent cx="8788400" cy="7531100"/>
            <wp:effectExtent l="0" t="0" r="0" b="0"/>
            <wp:wrapNone/>
            <wp:docPr id="1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0.png"/>
                    <pic:cNvPicPr/>
                  </pic:nvPicPr>
                  <pic:blipFill>
                    <a:blip xmlns:r="http://schemas.openxmlformats.org/officeDocument/2006/relationships" r:embed="rId79" cstate="print"/>
                    <a:stretch>
                      <a:fillRect/>
                    </a:stretch>
                  </pic:blipFill>
                  <pic:spPr>
                    <a:xfrm>
                      <a:off x="0" y="0"/>
                      <a:ext cx="8788400" cy="7531100"/>
                    </a:xfrm>
                    <a:prstGeom prst="rect">
                      <a:avLst/>
                    </a:prstGeom>
                  </pic:spPr>
                </pic:pic>
              </a:graphicData>
            </a:graphic>
          </wp:anchor>
        </w:drawing>
      </w:r>
      <w:r>
        <w:rPr>
          <w:sz w:val="31"/>
        </w:rPr>
        <w:t>相对密度（空</w:t>
      </w:r>
      <w:r>
        <w:rPr>
          <w:spacing w:val="-11"/>
          <w:sz w:val="31"/>
        </w:rPr>
        <w:t>气</w:t>
      </w:r>
      <w:r>
        <w:rPr>
          <w:sz w:val="31"/>
        </w:rPr>
        <w:t>=1）</w:t>
        <w:tab/>
        <w:t>无资料</w:t>
        <w:tab/>
        <w:t>相对密度（</w:t>
      </w:r>
      <w:r>
        <w:rPr>
          <w:spacing w:val="-7"/>
          <w:sz w:val="31"/>
        </w:rPr>
        <w:t>水</w:t>
      </w:r>
      <w:r>
        <w:rPr>
          <w:sz w:val="31"/>
        </w:rPr>
        <w:t>=1）</w:t>
        <w:tab/>
        <w:t>0.78～0.97</w:t>
      </w:r>
    </w:p>
    <w:p>
      <w:pPr>
        <w:pStyle w:val="BodyText"/>
        <w:spacing w:before="3"/>
        <w:rPr>
          <w:sz w:val="12"/>
        </w:rPr>
      </w:pPr>
    </w:p>
    <w:p>
      <w:pPr>
        <w:tabs>
          <w:tab w:val="left" w:pos="2479"/>
        </w:tabs>
        <w:spacing w:before="63"/>
        <w:ind w:left="776" w:right="0" w:firstLine="0"/>
        <w:jc w:val="left"/>
        <w:rPr>
          <w:sz w:val="31"/>
        </w:rPr>
      </w:pPr>
      <w:r>
        <w:rPr>
          <w:sz w:val="31"/>
        </w:rPr>
        <w:t>溶解性</w:t>
        <w:tab/>
        <w:t>不溶于水，溶于多数有机溶剂。</w:t>
      </w:r>
    </w:p>
    <w:p>
      <w:pPr>
        <w:pStyle w:val="BodyText"/>
        <w:spacing w:before="6"/>
        <w:rPr>
          <w:sz w:val="12"/>
        </w:rPr>
      </w:pPr>
    </w:p>
    <w:p>
      <w:pPr>
        <w:tabs>
          <w:tab w:val="left" w:pos="2479"/>
        </w:tabs>
        <w:spacing w:before="62" w:line="372" w:lineRule="auto"/>
        <w:ind w:left="776" w:right="4996" w:firstLine="0"/>
        <w:jc w:val="left"/>
        <w:rPr>
          <w:b/>
          <w:sz w:val="31"/>
        </w:rPr>
      </w:pPr>
      <w:r>
        <w:rPr>
          <w:sz w:val="31"/>
        </w:rPr>
        <w:t>主要用途</w:t>
        <w:tab/>
        <w:t>可分离出多种有机原料，如汽油、苯、煤油、沥青等</w:t>
      </w:r>
      <w:r>
        <w:rPr>
          <w:spacing w:val="-19"/>
          <w:sz w:val="31"/>
        </w:rPr>
        <w:t>。</w:t>
      </w:r>
      <w:r>
        <w:rPr>
          <w:b/>
          <w:sz w:val="31"/>
        </w:rPr>
        <w:t>稳定性和反应活性</w:t>
      </w:r>
    </w:p>
    <w:p>
      <w:pPr>
        <w:tabs>
          <w:tab w:val="left" w:pos="2479"/>
          <w:tab w:val="left" w:pos="7793"/>
          <w:tab w:val="left" w:pos="9558"/>
        </w:tabs>
        <w:spacing w:before="3"/>
        <w:ind w:left="776" w:right="0" w:firstLine="0"/>
        <w:jc w:val="left"/>
        <w:rPr>
          <w:sz w:val="31"/>
        </w:rPr>
      </w:pPr>
      <w:r>
        <w:rPr>
          <w:sz w:val="31"/>
        </w:rPr>
        <w:t>稳定性</w:t>
        <w:tab/>
        <w:t>稳定</w:t>
        <w:tab/>
        <w:t>聚合危害</w:t>
        <w:tab/>
        <w:t>不聚合</w:t>
      </w:r>
    </w:p>
    <w:p>
      <w:pPr>
        <w:pStyle w:val="BodyText"/>
        <w:spacing w:before="3"/>
        <w:rPr>
          <w:sz w:val="12"/>
        </w:rPr>
      </w:pPr>
    </w:p>
    <w:p>
      <w:pPr>
        <w:spacing w:after="0"/>
        <w:rPr>
          <w:sz w:val="12"/>
        </w:rPr>
        <w:sectPr>
          <w:headerReference w:type="default" r:id="rId80"/>
          <w:footerReference w:type="default" r:id="rId81"/>
          <w:pgSz w:w="17860" w:h="25260"/>
          <w:pgMar w:top="1380" w:right="1360" w:bottom="2020" w:left="1420" w:header="1083" w:footer="1826"/>
          <w:pgNumType w:start="29"/>
          <w:cols w:space="708"/>
        </w:sectPr>
      </w:pPr>
    </w:p>
    <w:p>
      <w:pPr>
        <w:tabs>
          <w:tab w:val="left" w:pos="2479"/>
        </w:tabs>
        <w:spacing w:before="62"/>
        <w:ind w:left="776" w:right="0" w:firstLine="0"/>
        <w:jc w:val="left"/>
        <w:rPr>
          <w:sz w:val="31"/>
        </w:rPr>
      </w:pPr>
      <w:r>
        <w:rPr>
          <w:sz w:val="31"/>
        </w:rPr>
        <w:t>燃烧产物</w:t>
        <w:tab/>
        <w:t>一氧化碳、二氧化碳</w:t>
      </w:r>
    </w:p>
    <w:p>
      <w:pPr>
        <w:spacing w:before="62"/>
        <w:ind w:left="776" w:right="0" w:firstLine="0"/>
        <w:jc w:val="left"/>
        <w:rPr>
          <w:sz w:val="31"/>
        </w:rPr>
      </w:pPr>
      <w:r>
        <w:br w:type="column"/>
      </w:r>
      <w:r>
        <w:rPr>
          <w:sz w:val="31"/>
        </w:rPr>
        <w:t>禁忌物</w:t>
      </w:r>
    </w:p>
    <w:p>
      <w:pPr>
        <w:spacing w:before="62"/>
        <w:ind w:left="773" w:right="0" w:firstLine="0"/>
        <w:jc w:val="left"/>
        <w:rPr>
          <w:sz w:val="31"/>
        </w:rPr>
      </w:pPr>
      <w:r>
        <w:br w:type="column"/>
      </w:r>
      <w:r>
        <w:rPr>
          <w:sz w:val="31"/>
        </w:rPr>
        <w:t>强氧化剂。</w:t>
      </w:r>
    </w:p>
    <w:p>
      <w:pPr>
        <w:spacing w:after="0"/>
        <w:jc w:val="left"/>
        <w:rPr>
          <w:sz w:val="31"/>
        </w:rPr>
        <w:sectPr>
          <w:headerReference w:type="default" r:id="rId82"/>
          <w:footerReference w:type="default" r:id="rId83"/>
          <w:type w:val="continuous"/>
          <w:pgSz w:w="17860" w:h="25260"/>
          <w:pgMar w:top="1380" w:right="1360" w:bottom="2020" w:left="1420" w:header="708" w:footer="708"/>
          <w:pgNumType w:start="30"/>
          <w:cols w:num="3" w:space="708" w:equalWidth="0">
            <w:col w:w="5371" w:space="1646"/>
            <w:col w:w="1728" w:space="40"/>
            <w:col w:w="6295" w:space="0"/>
          </w:cols>
        </w:sectPr>
      </w:pPr>
    </w:p>
    <w:p>
      <w:pPr>
        <w:pStyle w:val="BodyText"/>
        <w:spacing w:before="2"/>
        <w:rPr>
          <w:sz w:val="12"/>
        </w:rPr>
      </w:pPr>
    </w:p>
    <w:p>
      <w:pPr>
        <w:tabs>
          <w:tab w:val="left" w:pos="3616"/>
        </w:tabs>
        <w:spacing w:before="63" w:line="374" w:lineRule="auto"/>
        <w:ind w:left="776" w:right="10828" w:firstLine="0"/>
        <w:jc w:val="left"/>
        <w:rPr>
          <w:b/>
          <w:sz w:val="31"/>
        </w:rPr>
      </w:pPr>
      <w:r>
        <w:rPr>
          <w:sz w:val="31"/>
        </w:rPr>
        <w:t>避免接触的条件</w:t>
        <w:tab/>
      </w:r>
      <w:r>
        <w:rPr>
          <w:spacing w:val="-9"/>
          <w:sz w:val="31"/>
        </w:rPr>
        <w:t xml:space="preserve">—— </w:t>
      </w:r>
      <w:r>
        <w:rPr>
          <w:b/>
          <w:sz w:val="31"/>
        </w:rPr>
        <w:t>毒理学资料</w:t>
      </w:r>
    </w:p>
    <w:p>
      <w:pPr>
        <w:spacing w:before="0" w:line="341" w:lineRule="exact"/>
        <w:ind w:left="776" w:right="0" w:firstLine="0"/>
        <w:jc w:val="left"/>
        <w:rPr>
          <w:sz w:val="31"/>
        </w:rPr>
      </w:pPr>
      <w:r>
        <w:rPr>
          <w:sz w:val="31"/>
        </w:rPr>
        <w:t>LD ：无资料；LC ：16000mg/</w:t>
      </w:r>
      <w:r>
        <w:rPr>
          <w:position w:val="4"/>
          <w:sz w:val="16"/>
        </w:rPr>
        <w:t>m</w:t>
      </w:r>
      <w:r>
        <w:rPr>
          <w:sz w:val="31"/>
        </w:rPr>
        <w:t>m</w:t>
      </w:r>
      <w:r>
        <w:rPr>
          <w:position w:val="4"/>
          <w:sz w:val="16"/>
        </w:rPr>
        <w:t>3</w:t>
      </w:r>
      <w:r>
        <w:rPr>
          <w:sz w:val="31"/>
        </w:rPr>
        <w:t>，4 小时(大鼠吸入)。</w:t>
      </w:r>
    </w:p>
    <w:p>
      <w:pPr>
        <w:tabs>
          <w:tab w:val="left" w:pos="3148"/>
        </w:tabs>
        <w:spacing w:before="0" w:line="154" w:lineRule="exact"/>
        <w:ind w:left="1093" w:right="0" w:firstLine="0"/>
        <w:jc w:val="left"/>
        <w:rPr>
          <w:sz w:val="16"/>
        </w:rPr>
      </w:pPr>
      <w:r>
        <w:rPr>
          <w:w w:val="105"/>
          <w:sz w:val="16"/>
        </w:rPr>
        <w:t>50</w:t>
        <w:tab/>
        <w:t>50</w:t>
      </w:r>
    </w:p>
    <w:p>
      <w:pPr>
        <w:spacing w:before="120"/>
        <w:ind w:left="776" w:right="0" w:firstLine="0"/>
        <w:jc w:val="left"/>
        <w:rPr>
          <w:b/>
          <w:sz w:val="31"/>
        </w:rPr>
      </w:pPr>
      <w:r>
        <w:rPr>
          <w:b/>
          <w:sz w:val="31"/>
        </w:rPr>
        <w:t>废弃处置方法</w:t>
      </w:r>
    </w:p>
    <w:p>
      <w:pPr>
        <w:spacing w:before="219" w:line="372" w:lineRule="auto"/>
        <w:ind w:left="776" w:right="6380" w:firstLine="0"/>
        <w:jc w:val="left"/>
        <w:rPr>
          <w:b/>
          <w:sz w:val="31"/>
        </w:rPr>
      </w:pPr>
      <w:r>
        <w:rPr>
          <w:sz w:val="31"/>
        </w:rPr>
        <w:t>处置前应参阅国家和地方有关法规。建议用焚烧法处置。</w:t>
      </w:r>
      <w:r>
        <w:rPr>
          <w:b/>
          <w:sz w:val="31"/>
        </w:rPr>
        <w:t>包装方法</w:t>
      </w:r>
    </w:p>
    <w:p>
      <w:pPr>
        <w:spacing w:before="3" w:line="372" w:lineRule="auto"/>
        <w:ind w:left="776" w:right="2579" w:firstLine="0"/>
        <w:jc w:val="left"/>
        <w:rPr>
          <w:b/>
          <w:sz w:val="31"/>
        </w:rPr>
      </w:pPr>
      <w:r>
        <w:rPr>
          <w:sz w:val="31"/>
        </w:rPr>
        <w:t>小开口钢桶；螺纹口玻璃瓶、铁盖压口玻璃瓶、塑料瓶或金属桶（罐）外普通木箱。</w:t>
      </w:r>
      <w:r>
        <w:rPr>
          <w:b/>
          <w:sz w:val="31"/>
        </w:rPr>
        <w:t>运输注意事项</w:t>
      </w:r>
    </w:p>
    <w:p>
      <w:pPr>
        <w:spacing w:before="4" w:line="247" w:lineRule="auto"/>
        <w:ind w:left="776" w:right="678" w:firstLine="0"/>
        <w:jc w:val="left"/>
        <w:rPr>
          <w:sz w:val="31"/>
        </w:rPr>
      </w:pPr>
      <w:r>
        <w:rPr>
          <w:spacing w:val="-5"/>
          <w:sz w:val="31"/>
        </w:rPr>
        <w:t>运输时运输车辆应配备相应品种和数量的消防器材及泄漏应急处理设备。夏季最好早晚运输。运输 时所用的槽（罐）</w:t>
      </w:r>
      <w:r>
        <w:rPr>
          <w:spacing w:val="-6"/>
          <w:sz w:val="31"/>
        </w:rPr>
        <w:t xml:space="preserve">车应有接地链，槽内可设孔隔板以减少震荡产生静电。严禁与氧化剂、食用化学 </w:t>
      </w:r>
      <w:r>
        <w:rPr>
          <w:spacing w:val="-1"/>
          <w:sz w:val="31"/>
        </w:rPr>
        <w:t xml:space="preserve">品等混装混运。运输途中应防曝晒、雨淋，防高温。中途停留时应远离火种、热源、高温区。装运 </w:t>
      </w:r>
      <w:r>
        <w:rPr>
          <w:spacing w:val="-6"/>
          <w:sz w:val="31"/>
        </w:rPr>
        <w:t xml:space="preserve">该物品的车辆排气管必须配备阻火装置，禁止使用易产生火花的机械设备和工具装卸。公路运输时 </w:t>
      </w:r>
      <w:r>
        <w:rPr>
          <w:spacing w:val="-7"/>
          <w:sz w:val="31"/>
        </w:rPr>
        <w:t xml:space="preserve">要按规定路线行驶，勿在居民区和人口稠密区停留。铁路运输时要禁止溜放。严禁用木船、水泥船 </w:t>
      </w:r>
      <w:r>
        <w:rPr>
          <w:sz w:val="31"/>
        </w:rPr>
        <w:t>散装运输。</w:t>
      </w:r>
    </w:p>
    <w:p>
      <w:pPr>
        <w:pStyle w:val="BodyText"/>
        <w:rPr>
          <w:sz w:val="20"/>
        </w:rPr>
      </w:pPr>
    </w:p>
    <w:p>
      <w:pPr>
        <w:pStyle w:val="BodyText"/>
        <w:rPr>
          <w:sz w:val="20"/>
        </w:rPr>
      </w:pPr>
    </w:p>
    <w:p>
      <w:pPr>
        <w:pStyle w:val="BodyText"/>
        <w:spacing w:before="1"/>
        <w:rPr>
          <w:sz w:val="19"/>
        </w:rPr>
      </w:pPr>
    </w:p>
    <w:p>
      <w:pPr>
        <w:pStyle w:val="Heading3"/>
        <w:spacing w:before="50"/>
        <w:ind w:left="708"/>
      </w:pPr>
      <w:r>
        <w:t>2. 200＃溶剂油</w:t>
      </w:r>
    </w:p>
    <w:p>
      <w:pPr>
        <w:pStyle w:val="BodyText"/>
        <w:spacing w:before="125"/>
        <w:ind w:left="1428"/>
      </w:pPr>
      <w:r>
        <w:t>200＃溶剂油的危险有害特性及其防护措施见表 3.3-4。</w:t>
      </w:r>
    </w:p>
    <w:p>
      <w:pPr>
        <w:pStyle w:val="BodyText"/>
        <w:spacing w:before="1"/>
        <w:rPr>
          <w:sz w:val="37"/>
        </w:rPr>
      </w:pPr>
    </w:p>
    <w:p>
      <w:pPr>
        <w:pStyle w:val="Heading3"/>
        <w:ind w:left="490" w:right="466"/>
        <w:jc w:val="center"/>
      </w:pPr>
      <w:r>
        <w:t>表 3.3-4 200＃溶剂油的危险有害特性及其防护措施表</w:t>
      </w:r>
    </w:p>
    <w:p>
      <w:pPr>
        <w:pStyle w:val="BodyText"/>
        <w:spacing w:before="11"/>
        <w:rPr>
          <w:b/>
          <w:sz w:val="21"/>
        </w:rPr>
      </w:pPr>
    </w:p>
    <w:p>
      <w:pPr>
        <w:spacing w:after="0"/>
        <w:rPr>
          <w:sz w:val="21"/>
        </w:rPr>
        <w:sectPr>
          <w:headerReference w:type="default" r:id="rId84"/>
          <w:footerReference w:type="default" r:id="rId85"/>
          <w:type w:val="continuous"/>
          <w:pgSz w:w="17860" w:h="25260"/>
          <w:pgMar w:top="1380" w:right="1360" w:bottom="2020" w:left="1420" w:header="708" w:footer="708"/>
          <w:pgNumType w:start="31"/>
          <w:cols w:space="708"/>
        </w:sectPr>
      </w:pPr>
    </w:p>
    <w:p>
      <w:pPr>
        <w:pStyle w:val="BodyText"/>
        <w:spacing w:before="5"/>
        <w:rPr>
          <w:b/>
          <w:sz w:val="41"/>
        </w:rPr>
      </w:pPr>
    </w:p>
    <w:p>
      <w:pPr>
        <w:spacing w:before="0" w:line="283" w:lineRule="auto"/>
        <w:ind w:left="708" w:right="0" w:firstLine="0"/>
        <w:jc w:val="left"/>
        <w:rPr>
          <w:sz w:val="31"/>
        </w:rPr>
      </w:pPr>
      <w:r>
        <w:rPr>
          <w:sz w:val="31"/>
        </w:rPr>
        <w:t>化学品中文名称：200#溶剂油化学品英文名称：ligroin</w:t>
      </w:r>
    </w:p>
    <w:p>
      <w:pPr>
        <w:pStyle w:val="BodyText"/>
        <w:spacing w:before="7"/>
        <w:rPr>
          <w:sz w:val="37"/>
        </w:rPr>
      </w:pPr>
    </w:p>
    <w:p>
      <w:pPr>
        <w:tabs>
          <w:tab w:val="left" w:pos="3386"/>
        </w:tabs>
        <w:spacing w:before="0" w:line="283" w:lineRule="auto"/>
        <w:ind w:left="708" w:right="790" w:firstLine="0"/>
        <w:jc w:val="left"/>
        <w:rPr>
          <w:sz w:val="31"/>
        </w:rPr>
      </w:pPr>
      <w:r>
        <w:rPr>
          <w:sz w:val="31"/>
        </w:rPr>
        <w:t>主要成分：辛烷</w:t>
        <w:tab/>
        <w:t>庚</w:t>
      </w:r>
      <w:r>
        <w:rPr>
          <w:spacing w:val="-18"/>
          <w:sz w:val="31"/>
        </w:rPr>
        <w:t>烷</w:t>
      </w:r>
      <w:r>
        <w:rPr>
          <w:sz w:val="31"/>
        </w:rPr>
        <w:t>相对分子量：无资料  分子式：无资料</w:t>
      </w:r>
    </w:p>
    <w:p>
      <w:pPr>
        <w:spacing w:before="0" w:line="396" w:lineRule="exact"/>
        <w:ind w:left="708" w:right="0" w:firstLine="0"/>
        <w:jc w:val="left"/>
        <w:rPr>
          <w:sz w:val="31"/>
        </w:rPr>
      </w:pPr>
      <w:r>
        <w:rPr>
          <w:sz w:val="31"/>
        </w:rPr>
        <w:t>化学类别：无资料</w:t>
      </w:r>
    </w:p>
    <w:p>
      <w:pPr>
        <w:tabs>
          <w:tab w:val="left" w:pos="1900"/>
        </w:tabs>
        <w:spacing w:before="62"/>
        <w:ind w:left="0" w:right="4903" w:firstLine="0"/>
        <w:jc w:val="center"/>
        <w:rPr>
          <w:b/>
          <w:sz w:val="31"/>
        </w:rPr>
      </w:pPr>
      <w:r>
        <w:br w:type="column"/>
      </w:r>
      <w:r>
        <w:rPr>
          <w:b/>
          <w:sz w:val="31"/>
        </w:rPr>
        <w:t>第一部分</w:t>
        <w:tab/>
        <w:t>化学品及企业标识</w:t>
      </w:r>
    </w:p>
    <w:p>
      <w:pPr>
        <w:pStyle w:val="BodyText"/>
        <w:rPr>
          <w:b/>
          <w:sz w:val="32"/>
        </w:rPr>
      </w:pPr>
    </w:p>
    <w:p>
      <w:pPr>
        <w:pStyle w:val="BodyText"/>
        <w:spacing w:before="9"/>
        <w:rPr>
          <w:b/>
          <w:sz w:val="47"/>
        </w:rPr>
      </w:pPr>
    </w:p>
    <w:p>
      <w:pPr>
        <w:tabs>
          <w:tab w:val="left" w:pos="1900"/>
        </w:tabs>
        <w:spacing w:before="0"/>
        <w:ind w:left="0" w:right="4904" w:firstLine="0"/>
        <w:jc w:val="center"/>
        <w:rPr>
          <w:b/>
          <w:sz w:val="31"/>
        </w:rPr>
      </w:pPr>
      <w:r>
        <w:drawing>
          <wp:anchor distT="0" distB="0" distL="0" distR="0" simplePos="0" relativeHeight="251675648" behindDoc="1" locked="0" layoutInCell="1" allowOverlap="1">
            <wp:simplePos x="0" y="0"/>
            <wp:positionH relativeFrom="page">
              <wp:posOffset>1231900</wp:posOffset>
            </wp:positionH>
            <wp:positionV relativeFrom="paragraph">
              <wp:posOffset>-965327</wp:posOffset>
            </wp:positionV>
            <wp:extent cx="8890000" cy="4229100"/>
            <wp:effectExtent l="0" t="0" r="0" b="0"/>
            <wp:wrapNone/>
            <wp:docPr id="1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1.png"/>
                    <pic:cNvPicPr/>
                  </pic:nvPicPr>
                  <pic:blipFill>
                    <a:blip xmlns:r="http://schemas.openxmlformats.org/officeDocument/2006/relationships" r:embed="rId86" cstate="print"/>
                    <a:stretch>
                      <a:fillRect/>
                    </a:stretch>
                  </pic:blipFill>
                  <pic:spPr>
                    <a:xfrm>
                      <a:off x="0" y="0"/>
                      <a:ext cx="8890000" cy="4229100"/>
                    </a:xfrm>
                    <a:prstGeom prst="rect">
                      <a:avLst/>
                    </a:prstGeom>
                  </pic:spPr>
                </pic:pic>
              </a:graphicData>
            </a:graphic>
          </wp:anchor>
        </w:drawing>
      </w:r>
      <w:r>
        <w:rPr>
          <w:b/>
          <w:sz w:val="31"/>
        </w:rPr>
        <w:t>第二部分</w:t>
        <w:tab/>
        <w:t>成份/组成信息</w:t>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spacing w:before="11"/>
        <w:rPr>
          <w:b/>
          <w:sz w:val="24"/>
        </w:rPr>
      </w:pPr>
    </w:p>
    <w:p>
      <w:pPr>
        <w:tabs>
          <w:tab w:val="left" w:pos="1900"/>
        </w:tabs>
        <w:spacing w:before="0"/>
        <w:ind w:left="0" w:right="4903" w:firstLine="0"/>
        <w:jc w:val="center"/>
        <w:rPr>
          <w:b/>
          <w:sz w:val="31"/>
        </w:rPr>
      </w:pPr>
      <w:r>
        <w:rPr>
          <w:b/>
          <w:sz w:val="31"/>
        </w:rPr>
        <w:t>第三部分</w:t>
        <w:tab/>
        <w:t>危险性概述</w:t>
      </w:r>
    </w:p>
    <w:p>
      <w:pPr>
        <w:spacing w:after="0"/>
        <w:jc w:val="center"/>
        <w:rPr>
          <w:sz w:val="31"/>
        </w:rPr>
        <w:sectPr>
          <w:headerReference w:type="default" r:id="rId87"/>
          <w:footerReference w:type="default" r:id="rId88"/>
          <w:type w:val="continuous"/>
          <w:pgSz w:w="17860" w:h="25260"/>
          <w:pgMar w:top="1380" w:right="1360" w:bottom="2020" w:left="1420" w:header="708" w:footer="708"/>
          <w:pgNumType w:start="32"/>
          <w:cols w:num="2" w:space="708" w:equalWidth="0">
            <w:col w:w="4813" w:space="40"/>
            <w:col w:w="10227" w:space="0"/>
          </w:cols>
        </w:sectPr>
      </w:pPr>
    </w:p>
    <w:p>
      <w:pPr>
        <w:spacing w:before="71"/>
        <w:ind w:left="708" w:right="0" w:firstLine="0"/>
        <w:jc w:val="left"/>
        <w:rPr>
          <w:sz w:val="31"/>
        </w:rPr>
      </w:pPr>
      <w:r>
        <w:rPr>
          <w:sz w:val="31"/>
        </w:rPr>
        <w:t>危险性类别：第 3.2 类中闪点易燃液体</w:t>
      </w:r>
    </w:p>
    <w:p>
      <w:pPr>
        <w:spacing w:before="70" w:line="283" w:lineRule="auto"/>
        <w:ind w:left="708" w:right="3281" w:firstLine="0"/>
        <w:jc w:val="left"/>
        <w:rPr>
          <w:sz w:val="31"/>
        </w:rPr>
      </w:pPr>
      <w:r>
        <w:rPr>
          <w:sz w:val="31"/>
        </w:rPr>
        <w:t>危险性综述：本品极度易燃，对环境有危害，对水体、土壤和大气可造成污染。侵入途径：吸入、食入。</w:t>
      </w:r>
    </w:p>
    <w:p>
      <w:pPr>
        <w:spacing w:before="0" w:line="283" w:lineRule="auto"/>
        <w:ind w:left="2285" w:right="431" w:hanging="1577"/>
        <w:jc w:val="left"/>
        <w:rPr>
          <w:sz w:val="31"/>
        </w:rPr>
      </w:pPr>
      <w:r>
        <w:rPr>
          <w:spacing w:val="-1"/>
          <w:sz w:val="31"/>
        </w:rPr>
        <w:t xml:space="preserve">健康危害：其蒸气或雾对眼睛、粘膜和呼吸道有刺激性。中毒表现可有烧灼感、咳嗽、喘息、气短、 </w:t>
      </w:r>
      <w:r>
        <w:rPr>
          <w:sz w:val="31"/>
        </w:rPr>
        <w:t>头痛、恶心和呕吐。本品对皮肤有刺激性。</w:t>
      </w:r>
    </w:p>
    <w:p>
      <w:pPr>
        <w:spacing w:after="0" w:line="283" w:lineRule="auto"/>
        <w:jc w:val="left"/>
        <w:rPr>
          <w:sz w:val="31"/>
        </w:rPr>
        <w:sectPr>
          <w:headerReference w:type="default" r:id="rId89"/>
          <w:footerReference w:type="default" r:id="rId90"/>
          <w:type w:val="continuous"/>
          <w:pgSz w:w="17860" w:h="25260"/>
          <w:pgMar w:top="1380" w:right="1360" w:bottom="2020" w:left="1420" w:header="708" w:footer="708"/>
          <w:pgNumType w:start="33"/>
          <w:cols w:space="708"/>
        </w:sectPr>
      </w:pPr>
    </w:p>
    <w:p>
      <w:pPr>
        <w:pStyle w:val="BodyText"/>
        <w:rPr>
          <w:sz w:val="20"/>
        </w:rPr>
      </w:pPr>
      <w:r>
        <w:drawing>
          <wp:anchor distT="0" distB="0" distL="0" distR="0" simplePos="0" relativeHeight="251676672" behindDoc="1" locked="0" layoutInCell="1" allowOverlap="1">
            <wp:simplePos x="0" y="0"/>
            <wp:positionH relativeFrom="page">
              <wp:posOffset>1231900</wp:posOffset>
            </wp:positionH>
            <wp:positionV relativeFrom="page">
              <wp:posOffset>1155700</wp:posOffset>
            </wp:positionV>
            <wp:extent cx="8890000" cy="12598400"/>
            <wp:effectExtent l="0" t="0" r="0" b="0"/>
            <wp:wrapNone/>
            <wp:docPr id="2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2.png"/>
                    <pic:cNvPicPr/>
                  </pic:nvPicPr>
                  <pic:blipFill>
                    <a:blip xmlns:r="http://schemas.openxmlformats.org/officeDocument/2006/relationships" r:embed="rId91" cstate="print"/>
                    <a:stretch>
                      <a:fillRect/>
                    </a:stretch>
                  </pic:blipFill>
                  <pic:spPr>
                    <a:xfrm>
                      <a:off x="0" y="0"/>
                      <a:ext cx="8890000" cy="12598400"/>
                    </a:xfrm>
                    <a:prstGeom prst="rect">
                      <a:avLst/>
                    </a:prstGeom>
                  </pic:spPr>
                </pic:pic>
              </a:graphicData>
            </a:graphic>
          </wp:anchor>
        </w:drawing>
      </w:r>
    </w:p>
    <w:p>
      <w:pPr>
        <w:pStyle w:val="BodyText"/>
        <w:spacing w:before="11"/>
        <w:rPr>
          <w:sz w:val="15"/>
        </w:rPr>
      </w:pPr>
    </w:p>
    <w:p>
      <w:pPr>
        <w:tabs>
          <w:tab w:val="left" w:pos="7671"/>
        </w:tabs>
        <w:spacing w:before="63" w:line="283" w:lineRule="auto"/>
        <w:ind w:left="708" w:right="6138" w:firstLine="5379"/>
        <w:jc w:val="left"/>
        <w:rPr>
          <w:sz w:val="31"/>
        </w:rPr>
      </w:pPr>
      <w:r>
        <w:rPr>
          <w:b/>
          <w:sz w:val="31"/>
        </w:rPr>
        <w:t>第四部分</w:t>
        <w:tab/>
        <w:t>急救措</w:t>
      </w:r>
      <w:r>
        <w:rPr>
          <w:b/>
          <w:spacing w:val="-17"/>
          <w:sz w:val="31"/>
        </w:rPr>
        <w:t>施</w:t>
      </w:r>
      <w:r>
        <w:rPr>
          <w:sz w:val="31"/>
        </w:rPr>
        <w:t>皮肤接触：脱去污染的衣着，用流动清水冲洗。</w:t>
      </w:r>
    </w:p>
    <w:p>
      <w:pPr>
        <w:spacing w:before="0" w:line="396" w:lineRule="exact"/>
        <w:ind w:left="708" w:right="0" w:firstLine="0"/>
        <w:jc w:val="left"/>
        <w:rPr>
          <w:sz w:val="31"/>
        </w:rPr>
      </w:pPr>
      <w:r>
        <w:rPr>
          <w:sz w:val="31"/>
        </w:rPr>
        <w:t>眼睛接触：立即翻开上下眼睑，用流动清水冲洗至少15Min，就医。</w:t>
      </w:r>
    </w:p>
    <w:p>
      <w:pPr>
        <w:spacing w:before="71" w:line="283" w:lineRule="auto"/>
        <w:ind w:left="708" w:right="746" w:firstLine="0"/>
        <w:jc w:val="left"/>
        <w:rPr>
          <w:sz w:val="31"/>
        </w:rPr>
      </w:pPr>
      <w:r>
        <w:rPr>
          <w:spacing w:val="-1"/>
          <w:sz w:val="31"/>
        </w:rPr>
        <w:t xml:space="preserve">吸入：迅速脱离现场至空气新鲜处。保持呼吸道畅通。如呼吸及心跳停止。立即进行人工呼吸。就 </w:t>
      </w:r>
      <w:r>
        <w:rPr>
          <w:sz w:val="31"/>
        </w:rPr>
        <w:t>医，忌用肾上腺素。</w:t>
      </w:r>
    </w:p>
    <w:p>
      <w:pPr>
        <w:spacing w:before="0" w:line="396" w:lineRule="exact"/>
        <w:ind w:left="708" w:right="0" w:firstLine="0"/>
        <w:jc w:val="left"/>
        <w:rPr>
          <w:sz w:val="31"/>
        </w:rPr>
      </w:pPr>
      <w:r>
        <w:rPr>
          <w:sz w:val="31"/>
        </w:rPr>
        <w:t>食入： 误服用应立即漱口。饮足量温水，催吐，急送医院。</w:t>
      </w:r>
    </w:p>
    <w:p>
      <w:pPr>
        <w:tabs>
          <w:tab w:val="left" w:pos="6432"/>
        </w:tabs>
        <w:spacing w:before="85"/>
        <w:ind w:left="4849" w:right="0" w:firstLine="0"/>
        <w:jc w:val="left"/>
        <w:rPr>
          <w:b/>
          <w:sz w:val="31"/>
        </w:rPr>
      </w:pPr>
      <w:r>
        <w:rPr>
          <w:b/>
          <w:sz w:val="31"/>
        </w:rPr>
        <w:t>第五部分</w:t>
        <w:tab/>
        <w:t>消防措施</w:t>
      </w:r>
    </w:p>
    <w:p>
      <w:pPr>
        <w:spacing w:before="71" w:line="283" w:lineRule="auto"/>
        <w:ind w:left="708" w:right="746" w:firstLine="0"/>
        <w:jc w:val="both"/>
        <w:rPr>
          <w:sz w:val="31"/>
        </w:rPr>
      </w:pPr>
      <w:r>
        <w:rPr>
          <w:spacing w:val="-1"/>
          <w:sz w:val="31"/>
        </w:rPr>
        <w:t xml:space="preserve">危险特性：其蒸汽与空气形成爆炸混合物，遇明火、高热能引起燃烧爆炸。与氧化剂能发生强烈反 应。其蒸汽比空气重，能在较低处扩散到相当远的地方，遇火源引着回燃。若遇高热，容器内压增 </w:t>
      </w:r>
      <w:r>
        <w:rPr>
          <w:sz w:val="31"/>
        </w:rPr>
        <w:t>大，有开裂和爆炸的危险。流速过快，容易产生和积聚静电。</w:t>
      </w:r>
    </w:p>
    <w:p>
      <w:pPr>
        <w:spacing w:before="0" w:line="395" w:lineRule="exact"/>
        <w:ind w:left="708" w:right="0" w:firstLine="0"/>
        <w:jc w:val="left"/>
        <w:rPr>
          <w:sz w:val="31"/>
        </w:rPr>
      </w:pPr>
      <w:r>
        <w:rPr>
          <w:sz w:val="31"/>
        </w:rPr>
        <w:t>有害燃烧产物：一氧化碳、硫化物。</w:t>
      </w:r>
    </w:p>
    <w:p>
      <w:pPr>
        <w:spacing w:before="71"/>
        <w:ind w:left="708" w:right="0" w:firstLine="0"/>
        <w:jc w:val="left"/>
        <w:rPr>
          <w:sz w:val="31"/>
        </w:rPr>
      </w:pPr>
      <w:r>
        <w:rPr>
          <w:sz w:val="31"/>
        </w:rPr>
        <w:t>灭火方法及灭火剂：可用泡抹、二氧化碳、干粉灭火。</w:t>
      </w:r>
    </w:p>
    <w:p>
      <w:pPr>
        <w:tabs>
          <w:tab w:val="left" w:pos="6274"/>
        </w:tabs>
        <w:spacing w:before="111"/>
        <w:ind w:left="4690" w:right="0" w:firstLine="0"/>
        <w:jc w:val="left"/>
        <w:rPr>
          <w:b/>
          <w:sz w:val="31"/>
        </w:rPr>
      </w:pPr>
      <w:r>
        <w:rPr>
          <w:b/>
          <w:sz w:val="31"/>
        </w:rPr>
        <w:t>第六部分</w:t>
        <w:tab/>
        <w:t>泄漏应急处理</w:t>
      </w:r>
    </w:p>
    <w:p>
      <w:pPr>
        <w:spacing w:before="71" w:line="283" w:lineRule="auto"/>
        <w:ind w:left="708" w:right="746" w:firstLine="0"/>
        <w:jc w:val="both"/>
        <w:rPr>
          <w:sz w:val="31"/>
        </w:rPr>
      </w:pPr>
      <w:r>
        <w:rPr>
          <w:spacing w:val="-1"/>
          <w:sz w:val="31"/>
        </w:rPr>
        <w:t xml:space="preserve">应急处理：切断电源后。迅速撤离泄露污染人员至安全地带，并进行隔离，严格限制出入。建议应 急处理人员戴自给正压式呼吸器，穿防毒服。尽可能切断泄露源。防止进入下水道、排洪沟等限制 性空间。小量泄露尽可能将泄露液收集在密闭容器内，用砂土吸收残液。大量泄露：构筑围堤或挖 </w:t>
      </w:r>
      <w:r>
        <w:rPr>
          <w:sz w:val="31"/>
        </w:rPr>
        <w:t>坑收容。用泡沫覆盖，降低蒸汽灾害。喷雾状水冷却和稀释蒸汽、保护现场人员。</w:t>
      </w:r>
    </w:p>
    <w:p>
      <w:pPr>
        <w:spacing w:before="141"/>
        <w:ind w:left="4690" w:right="0" w:firstLine="0"/>
        <w:jc w:val="both"/>
        <w:rPr>
          <w:b/>
          <w:sz w:val="31"/>
        </w:rPr>
      </w:pPr>
      <w:r>
        <w:rPr>
          <w:b/>
          <w:sz w:val="31"/>
        </w:rPr>
        <w:t>第七部分 操作处置与储存</w:t>
      </w:r>
    </w:p>
    <w:p>
      <w:pPr>
        <w:spacing w:before="71" w:line="283" w:lineRule="auto"/>
        <w:ind w:left="708" w:right="746" w:firstLine="0"/>
        <w:jc w:val="both"/>
        <w:rPr>
          <w:sz w:val="31"/>
        </w:rPr>
      </w:pPr>
      <w:r>
        <w:rPr>
          <w:spacing w:val="-1"/>
          <w:sz w:val="31"/>
        </w:rPr>
        <w:t xml:space="preserve">操作处置注意事项：密闭操作，加强通风。操作人员必须经过专门培训，严格遵守操作规程。操作 </w:t>
      </w:r>
      <w:r>
        <w:rPr>
          <w:sz w:val="31"/>
        </w:rPr>
        <w:t>人员佩带自吸过滤式防毒面罩（半面罩），</w:t>
      </w:r>
      <w:r>
        <w:rPr>
          <w:spacing w:val="-1"/>
          <w:sz w:val="31"/>
        </w:rPr>
        <w:t xml:space="preserve">戴化学安全防护眼镜，戴橡胶耐油手套。远离火种、热 源，工作场所严禁吸烟。防止蒸气泄漏到工作场所空气中。搬运时要轻装轻卸，防止包装及容器损 </w:t>
      </w:r>
      <w:r>
        <w:rPr>
          <w:sz w:val="31"/>
        </w:rPr>
        <w:t>坏。配备相应品种和数量的消防器材。倒空的容器可能残留有毒物。</w:t>
      </w:r>
    </w:p>
    <w:p>
      <w:pPr>
        <w:spacing w:before="199" w:line="247" w:lineRule="auto"/>
        <w:ind w:left="708" w:right="635" w:firstLine="0"/>
        <w:jc w:val="left"/>
        <w:rPr>
          <w:sz w:val="31"/>
        </w:rPr>
      </w:pPr>
      <w:r>
        <w:rPr>
          <w:sz w:val="31"/>
        </w:rPr>
        <w:t>储存注意事项：储存于阴凉、通风库房。远离火种、热源。仓温不宜超</w:t>
      </w:r>
      <w:r>
        <w:rPr>
          <w:spacing w:val="-273"/>
          <w:sz w:val="31"/>
        </w:rPr>
        <w:t>过</w:t>
      </w:r>
      <w:r>
        <w:rPr>
          <w:sz w:val="31"/>
        </w:rPr>
        <w:t>30</w:t>
      </w:r>
      <w:r>
        <w:rPr>
          <w:spacing w:val="7"/>
          <w:sz w:val="31"/>
        </w:rPr>
        <w:t xml:space="preserve"> 度，保持容器密封。应与</w:t>
      </w:r>
      <w:r>
        <w:rPr>
          <w:sz w:val="31"/>
        </w:rPr>
        <w:t>氧化剂、食用化学品分开存放，切忌混储。</w:t>
      </w:r>
    </w:p>
    <w:p>
      <w:pPr>
        <w:tabs>
          <w:tab w:val="left" w:pos="6962"/>
          <w:tab w:val="left" w:pos="8697"/>
        </w:tabs>
        <w:spacing w:before="280" w:line="283" w:lineRule="auto"/>
        <w:ind w:left="708" w:right="5112" w:firstLine="4353"/>
        <w:jc w:val="left"/>
        <w:rPr>
          <w:sz w:val="31"/>
        </w:rPr>
      </w:pPr>
      <w:r>
        <w:rPr>
          <w:b/>
          <w:sz w:val="31"/>
        </w:rPr>
        <w:t>第八部分</w:t>
        <w:tab/>
        <w:t>接触控制</w:t>
        <w:tab/>
        <w:t>个体防</w:t>
      </w:r>
      <w:r>
        <w:rPr>
          <w:b/>
          <w:spacing w:val="-17"/>
          <w:sz w:val="31"/>
        </w:rPr>
        <w:t>护</w:t>
      </w:r>
      <w:r>
        <w:rPr>
          <w:sz w:val="31"/>
        </w:rPr>
        <w:t>最高容许浓度：中国</w:t>
      </w:r>
      <w:r>
        <w:rPr>
          <w:spacing w:val="-3"/>
          <w:sz w:val="31"/>
        </w:rPr>
        <w:t>（MAC）40mg/</w:t>
      </w:r>
      <w:r>
        <w:rPr>
          <w:spacing w:val="-3"/>
          <w:position w:val="4"/>
          <w:sz w:val="16"/>
        </w:rPr>
        <w:t>m</w:t>
      </w:r>
      <w:r>
        <w:rPr>
          <w:spacing w:val="-3"/>
          <w:sz w:val="31"/>
        </w:rPr>
        <w:t>m</w:t>
      </w:r>
      <w:r>
        <w:rPr>
          <w:spacing w:val="-3"/>
          <w:position w:val="4"/>
          <w:sz w:val="16"/>
        </w:rPr>
        <w:t>3</w:t>
      </w:r>
      <w:r>
        <w:rPr>
          <w:sz w:val="31"/>
        </w:rPr>
        <w:t>。</w:t>
      </w:r>
    </w:p>
    <w:p>
      <w:pPr>
        <w:spacing w:before="0" w:line="283" w:lineRule="auto"/>
        <w:ind w:left="708" w:right="746" w:firstLine="0"/>
        <w:jc w:val="left"/>
        <w:rPr>
          <w:sz w:val="31"/>
        </w:rPr>
      </w:pPr>
      <w:r>
        <w:rPr>
          <w:spacing w:val="-1"/>
          <w:sz w:val="31"/>
        </w:rPr>
        <w:t xml:space="preserve">呼吸系统防护：空气中浓度超标时，建议佩带过滤式防毒面具。紧急事态抢救或撤离时，应佩带空 </w:t>
      </w:r>
      <w:r>
        <w:rPr>
          <w:sz w:val="31"/>
        </w:rPr>
        <w:t>气呼吸器。</w:t>
      </w:r>
    </w:p>
    <w:p>
      <w:pPr>
        <w:spacing w:before="0" w:line="283" w:lineRule="auto"/>
        <w:ind w:left="708" w:right="9617" w:firstLine="0"/>
        <w:jc w:val="left"/>
        <w:rPr>
          <w:sz w:val="31"/>
        </w:rPr>
      </w:pPr>
      <w:r>
        <w:rPr>
          <w:sz w:val="31"/>
        </w:rPr>
        <w:t>眼睛防护：戴化学安全防护眼睛。手防护：戴橡胶耐油手套。</w:t>
      </w:r>
    </w:p>
    <w:p>
      <w:pPr>
        <w:spacing w:before="0" w:line="396" w:lineRule="exact"/>
        <w:ind w:left="708" w:right="0" w:firstLine="0"/>
        <w:jc w:val="left"/>
        <w:rPr>
          <w:sz w:val="31"/>
        </w:rPr>
      </w:pPr>
      <w:r>
        <w:rPr>
          <w:sz w:val="31"/>
        </w:rPr>
        <w:t>其它防护：工作现场禁止吸烟、进食和饮水。工作前避免饮用酒精性饮料。进行就业前和定期体检。</w:t>
      </w:r>
    </w:p>
    <w:p>
      <w:pPr>
        <w:tabs>
          <w:tab w:val="left" w:pos="6648"/>
        </w:tabs>
        <w:spacing w:before="83"/>
        <w:ind w:left="5065" w:right="0" w:firstLine="0"/>
        <w:jc w:val="left"/>
        <w:rPr>
          <w:b/>
          <w:sz w:val="31"/>
        </w:rPr>
      </w:pPr>
      <w:r>
        <w:rPr>
          <w:b/>
          <w:sz w:val="31"/>
        </w:rPr>
        <w:t>第九部分</w:t>
        <w:tab/>
        <w:t>理化特性</w:t>
      </w:r>
    </w:p>
    <w:p>
      <w:pPr>
        <w:tabs>
          <w:tab w:val="left" w:pos="5277"/>
        </w:tabs>
        <w:spacing w:before="70" w:line="283" w:lineRule="auto"/>
        <w:ind w:left="708" w:right="3914" w:firstLine="0"/>
        <w:jc w:val="left"/>
        <w:rPr>
          <w:sz w:val="31"/>
        </w:rPr>
      </w:pPr>
      <w:r>
        <w:rPr>
          <w:sz w:val="31"/>
        </w:rPr>
        <w:t>外观与性状：红棕或墨绿油状易燃液体，易挥发，是碳氢化合物的混合物</w:t>
      </w:r>
      <w:r>
        <w:rPr>
          <w:spacing w:val="-17"/>
          <w:sz w:val="31"/>
        </w:rPr>
        <w:t>。</w:t>
      </w:r>
      <w:r>
        <w:rPr>
          <w:sz w:val="31"/>
        </w:rPr>
        <w:t>熔点（℃）：</w:t>
        <w:tab/>
        <w:t>相对密度：0.780--0.970</w:t>
      </w:r>
    </w:p>
    <w:p>
      <w:pPr>
        <w:tabs>
          <w:tab w:val="left" w:pos="5277"/>
        </w:tabs>
        <w:spacing w:before="0" w:line="397" w:lineRule="exact"/>
        <w:ind w:left="708" w:right="0" w:firstLine="0"/>
        <w:jc w:val="left"/>
        <w:rPr>
          <w:sz w:val="31"/>
        </w:rPr>
      </w:pPr>
      <w:r>
        <w:rPr>
          <w:sz w:val="31"/>
        </w:rPr>
        <w:t>沸点（℃）：</w:t>
        <w:tab/>
        <w:t>相对蒸气密度：</w:t>
      </w:r>
    </w:p>
    <w:p>
      <w:pPr>
        <w:tabs>
          <w:tab w:val="left" w:pos="5277"/>
        </w:tabs>
        <w:spacing w:before="71"/>
        <w:ind w:left="708" w:right="0" w:firstLine="0"/>
        <w:jc w:val="left"/>
        <w:rPr>
          <w:sz w:val="31"/>
        </w:rPr>
      </w:pPr>
      <w:r>
        <w:rPr>
          <w:sz w:val="31"/>
        </w:rPr>
        <w:t>饱和蒸气压</w:t>
      </w:r>
      <w:r>
        <w:rPr>
          <w:spacing w:val="-2"/>
          <w:sz w:val="31"/>
        </w:rPr>
        <w:t>（KPa）：</w:t>
        <w:tab/>
      </w:r>
      <w:r>
        <w:rPr>
          <w:sz w:val="31"/>
        </w:rPr>
        <w:t>燃烧热值（KJ/mol）：</w:t>
      </w:r>
    </w:p>
    <w:p>
      <w:pPr>
        <w:tabs>
          <w:tab w:val="left" w:pos="5277"/>
        </w:tabs>
        <w:spacing w:before="71"/>
        <w:ind w:left="708" w:right="0" w:firstLine="0"/>
        <w:jc w:val="left"/>
        <w:rPr>
          <w:sz w:val="31"/>
        </w:rPr>
      </w:pPr>
      <w:r>
        <w:rPr>
          <w:sz w:val="31"/>
        </w:rPr>
        <w:t>闪点（℃）：-7~~32</w:t>
        <w:tab/>
      </w:r>
      <w:r>
        <w:rPr>
          <w:spacing w:val="-2"/>
          <w:sz w:val="31"/>
        </w:rPr>
        <w:t>爆</w:t>
      </w:r>
      <w:r>
        <w:rPr>
          <w:spacing w:val="-1"/>
          <w:sz w:val="31"/>
        </w:rPr>
        <w:t>炸上限（%）：8.7</w:t>
      </w:r>
    </w:p>
    <w:p>
      <w:pPr>
        <w:tabs>
          <w:tab w:val="left" w:pos="5277"/>
        </w:tabs>
        <w:spacing w:before="71"/>
        <w:ind w:left="708" w:right="0" w:firstLine="0"/>
        <w:jc w:val="left"/>
        <w:rPr>
          <w:sz w:val="31"/>
        </w:rPr>
      </w:pPr>
      <w:r>
        <w:rPr>
          <w:sz w:val="31"/>
        </w:rPr>
        <w:t>引燃温度（℃）：</w:t>
        <w:tab/>
      </w:r>
      <w:r>
        <w:rPr>
          <w:spacing w:val="-2"/>
          <w:sz w:val="31"/>
        </w:rPr>
        <w:t>爆</w:t>
      </w:r>
      <w:r>
        <w:rPr>
          <w:spacing w:val="-1"/>
          <w:sz w:val="31"/>
        </w:rPr>
        <w:t>炸下限（%）：1.1</w:t>
      </w:r>
    </w:p>
    <w:p>
      <w:pPr>
        <w:spacing w:before="71"/>
        <w:ind w:left="708" w:right="0" w:firstLine="0"/>
        <w:jc w:val="left"/>
        <w:rPr>
          <w:sz w:val="31"/>
        </w:rPr>
      </w:pPr>
      <w:r>
        <w:rPr>
          <w:sz w:val="31"/>
        </w:rPr>
        <w:t>溶解性：微溶于水，可与醇、醚、丙酮、一硫化碳、四氯化碳、乙酸等混溶。</w:t>
      </w:r>
    </w:p>
    <w:p>
      <w:pPr>
        <w:spacing w:before="70" w:line="283" w:lineRule="auto"/>
        <w:ind w:left="708" w:right="746" w:firstLine="0"/>
        <w:jc w:val="left"/>
        <w:rPr>
          <w:sz w:val="31"/>
        </w:rPr>
      </w:pPr>
      <w:r>
        <w:rPr>
          <w:spacing w:val="-1"/>
          <w:sz w:val="31"/>
        </w:rPr>
        <w:t xml:space="preserve">主要用途：用作石油炼制及化工原料，其产品可做燃料、口香料、染料、塑料、医药、炸药、橡胶 </w:t>
      </w:r>
      <w:r>
        <w:rPr>
          <w:sz w:val="31"/>
        </w:rPr>
        <w:t>等。</w:t>
      </w:r>
    </w:p>
    <w:p>
      <w:pPr>
        <w:spacing w:after="0" w:line="283" w:lineRule="auto"/>
        <w:jc w:val="left"/>
        <w:rPr>
          <w:sz w:val="31"/>
        </w:rPr>
        <w:sectPr>
          <w:headerReference w:type="default" r:id="rId92"/>
          <w:footerReference w:type="default" r:id="rId93"/>
          <w:pgSz w:w="17860" w:h="25260"/>
          <w:pgMar w:top="1380" w:right="1360" w:bottom="2020" w:left="1420" w:header="1083" w:footer="1826"/>
          <w:pgNumType w:start="34"/>
          <w:cols w:space="708"/>
        </w:sectPr>
      </w:pPr>
    </w:p>
    <w:p>
      <w:pPr>
        <w:pStyle w:val="BodyText"/>
        <w:rPr>
          <w:sz w:val="20"/>
        </w:rPr>
      </w:pPr>
    </w:p>
    <w:p>
      <w:pPr>
        <w:pStyle w:val="BodyText"/>
        <w:spacing w:before="10" w:after="1"/>
        <w:rPr>
          <w:sz w:val="13"/>
        </w:rPr>
      </w:pPr>
    </w:p>
    <w:p>
      <w:pPr>
        <w:pStyle w:val="BodyText"/>
        <w:ind w:left="520"/>
        <w:rPr>
          <w:sz w:val="20"/>
        </w:rPr>
      </w:pPr>
      <w:r>
        <w:rPr>
          <w:sz w:val="20"/>
        </w:rPr>
        <w:pict>
          <v:group id="_x0000_i1190" style="width:700pt;height:578pt;mso-position-horizontal-relative:char;mso-position-vertical-relative:line" coordorigin="0,0" coordsize="14000,11560">
            <v:shape id="_x0000_s1191" type="#_x0000_t75" style="width:14000;height:11560;position:absolute" stroked="f">
              <v:imagedata r:id="rId94" o:title=""/>
            </v:shape>
            <v:shape id="_x0000_s1192" type="#_x0000_t202" style="width:1288;height:317;left:4934;position:absolute;top:126" filled="f" stroked="f">
              <v:textbox inset="0,0,0,0">
                <w:txbxContent>
                  <w:p>
                    <w:pPr>
                      <w:spacing w:before="0" w:line="317" w:lineRule="exact"/>
                      <w:ind w:left="0" w:right="0" w:firstLine="0"/>
                      <w:jc w:val="left"/>
                      <w:rPr>
                        <w:b/>
                        <w:sz w:val="31"/>
                      </w:rPr>
                    </w:pPr>
                    <w:r>
                      <w:rPr>
                        <w:b/>
                        <w:sz w:val="31"/>
                      </w:rPr>
                      <w:t>第十部分</w:t>
                    </w:r>
                  </w:p>
                </w:txbxContent>
              </v:textbox>
            </v:shape>
            <v:shape id="_x0000_s1193" type="#_x0000_t202" style="width:2238;height:317;left:6834;position:absolute;top:126" filled="f" stroked="f">
              <v:textbox inset="0,0,0,0">
                <w:txbxContent>
                  <w:p>
                    <w:pPr>
                      <w:spacing w:before="0" w:line="317" w:lineRule="exact"/>
                      <w:ind w:left="0" w:right="0" w:firstLine="0"/>
                      <w:jc w:val="left"/>
                      <w:rPr>
                        <w:b/>
                        <w:sz w:val="31"/>
                      </w:rPr>
                    </w:pPr>
                    <w:r>
                      <w:rPr>
                        <w:b/>
                        <w:sz w:val="31"/>
                      </w:rPr>
                      <w:t>稳定性和反应性</w:t>
                    </w:r>
                  </w:p>
                </w:txbxContent>
              </v:textbox>
            </v:shape>
            <v:shape id="_x0000_s1194" type="#_x0000_t202" style="width:6588;height:5094;left:188;position:absolute;top:595" filled="f" stroked="f">
              <v:textbox inset="0,0,0,0">
                <w:txbxContent>
                  <w:p>
                    <w:pPr>
                      <w:spacing w:before="0" w:line="359" w:lineRule="exact"/>
                      <w:ind w:left="0" w:right="0" w:firstLine="0"/>
                      <w:jc w:val="left"/>
                      <w:rPr>
                        <w:sz w:val="31"/>
                      </w:rPr>
                    </w:pPr>
                    <w:r>
                      <w:rPr>
                        <w:sz w:val="31"/>
                      </w:rPr>
                      <w:t>稳定性：稳定</w:t>
                    </w:r>
                  </w:p>
                  <w:p>
                    <w:pPr>
                      <w:spacing w:before="71"/>
                      <w:ind w:left="0" w:right="0" w:firstLine="0"/>
                      <w:jc w:val="left"/>
                      <w:rPr>
                        <w:sz w:val="31"/>
                      </w:rPr>
                    </w:pPr>
                    <w:r>
                      <w:rPr>
                        <w:sz w:val="31"/>
                      </w:rPr>
                      <w:t>禁配物：强氧化剂</w:t>
                    </w:r>
                  </w:p>
                  <w:p>
                    <w:pPr>
                      <w:spacing w:before="70"/>
                      <w:ind w:left="0" w:right="0" w:firstLine="0"/>
                      <w:jc w:val="left"/>
                      <w:rPr>
                        <w:sz w:val="31"/>
                      </w:rPr>
                    </w:pPr>
                    <w:r>
                      <w:rPr>
                        <w:sz w:val="31"/>
                      </w:rPr>
                      <w:t>聚合危害：不能发生。</w:t>
                    </w:r>
                  </w:p>
                  <w:p>
                    <w:pPr>
                      <w:spacing w:before="71"/>
                      <w:ind w:left="0" w:right="0" w:firstLine="0"/>
                      <w:jc w:val="left"/>
                      <w:rPr>
                        <w:sz w:val="31"/>
                      </w:rPr>
                    </w:pPr>
                    <w:r>
                      <w:rPr>
                        <w:sz w:val="31"/>
                      </w:rPr>
                      <w:t>避免接触的条件：明火、高热。</w:t>
                    </w:r>
                  </w:p>
                  <w:p>
                    <w:pPr>
                      <w:spacing w:before="71"/>
                      <w:ind w:left="0" w:right="0" w:firstLine="0"/>
                      <w:jc w:val="left"/>
                      <w:rPr>
                        <w:sz w:val="31"/>
                      </w:rPr>
                    </w:pPr>
                    <w:r>
                      <w:rPr>
                        <w:sz w:val="31"/>
                      </w:rPr>
                      <w:t>分解产物：一氧化碳、二氧化碳、二氧化硫</w:t>
                    </w:r>
                  </w:p>
                  <w:p>
                    <w:pPr>
                      <w:spacing w:before="168"/>
                      <w:ind w:left="4983" w:right="0" w:firstLine="0"/>
                      <w:jc w:val="left"/>
                      <w:rPr>
                        <w:b/>
                        <w:sz w:val="31"/>
                      </w:rPr>
                    </w:pPr>
                    <w:r>
                      <w:rPr>
                        <w:b/>
                        <w:sz w:val="31"/>
                      </w:rPr>
                      <w:t>第十一部分</w:t>
                    </w:r>
                  </w:p>
                  <w:p>
                    <w:pPr>
                      <w:spacing w:before="71"/>
                      <w:ind w:left="0" w:right="0" w:firstLine="0"/>
                      <w:jc w:val="left"/>
                      <w:rPr>
                        <w:sz w:val="31"/>
                      </w:rPr>
                    </w:pPr>
                    <w:r>
                      <w:rPr>
                        <w:sz w:val="31"/>
                      </w:rPr>
                      <w:t>中毒：主要表现有神经衰弱综合症</w:t>
                    </w:r>
                  </w:p>
                  <w:p>
                    <w:pPr>
                      <w:spacing w:before="71" w:line="283" w:lineRule="auto"/>
                      <w:ind w:left="0" w:right="249" w:firstLine="0"/>
                      <w:jc w:val="left"/>
                      <w:rPr>
                        <w:sz w:val="31"/>
                      </w:rPr>
                    </w:pPr>
                    <w:r>
                      <w:rPr>
                        <w:sz w:val="31"/>
                      </w:rPr>
                      <w:t>刺激性：有刺激性，吸入高浓度有麻醉作用。致突变性：</w:t>
                    </w:r>
                  </w:p>
                  <w:p>
                    <w:pPr>
                      <w:spacing w:before="0" w:line="396" w:lineRule="exact"/>
                      <w:ind w:left="0" w:right="0" w:firstLine="0"/>
                      <w:jc w:val="left"/>
                      <w:rPr>
                        <w:sz w:val="31"/>
                      </w:rPr>
                    </w:pPr>
                    <w:r>
                      <w:rPr>
                        <w:sz w:val="31"/>
                      </w:rPr>
                      <w:t>致畸性：</w:t>
                    </w:r>
                  </w:p>
                  <w:p>
                    <w:pPr>
                      <w:spacing w:before="70" w:line="355" w:lineRule="exact"/>
                      <w:ind w:left="0" w:right="0" w:firstLine="0"/>
                      <w:jc w:val="left"/>
                      <w:rPr>
                        <w:sz w:val="31"/>
                      </w:rPr>
                    </w:pPr>
                    <w:r>
                      <w:rPr>
                        <w:sz w:val="31"/>
                      </w:rPr>
                      <w:t>致癌性：</w:t>
                    </w:r>
                  </w:p>
                </w:txbxContent>
              </v:textbox>
            </v:shape>
            <v:shape id="_x0000_s1195" type="#_x0000_t202" style="width:1604;height:317;left:7230;position:absolute;top:3032" filled="f" stroked="f">
              <v:textbox inset="0,0,0,0">
                <w:txbxContent>
                  <w:p>
                    <w:pPr>
                      <w:spacing w:before="0" w:line="317" w:lineRule="exact"/>
                      <w:ind w:left="0" w:right="0" w:firstLine="0"/>
                      <w:jc w:val="left"/>
                      <w:rPr>
                        <w:b/>
                        <w:sz w:val="31"/>
                      </w:rPr>
                    </w:pPr>
                    <w:r>
                      <w:rPr>
                        <w:b/>
                        <w:sz w:val="31"/>
                      </w:rPr>
                      <w:t>毒理学资料</w:t>
                    </w:r>
                  </w:p>
                </w:txbxContent>
              </v:textbox>
            </v:shape>
            <v:shape id="_x0000_s1196" type="#_x0000_t202" style="width:1604;height:317;left:5171;position:absolute;top:5978" filled="f" stroked="f">
              <v:textbox inset="0,0,0,0">
                <w:txbxContent>
                  <w:p>
                    <w:pPr>
                      <w:spacing w:before="0" w:line="317" w:lineRule="exact"/>
                      <w:ind w:left="0" w:right="0" w:firstLine="0"/>
                      <w:jc w:val="left"/>
                      <w:rPr>
                        <w:b/>
                        <w:sz w:val="31"/>
                      </w:rPr>
                    </w:pPr>
                    <w:r>
                      <w:rPr>
                        <w:b/>
                        <w:sz w:val="31"/>
                      </w:rPr>
                      <w:t>第十二部分</w:t>
                    </w:r>
                  </w:p>
                </w:txbxContent>
              </v:textbox>
            </v:shape>
            <v:shape id="_x0000_s1197" type="#_x0000_t202" style="width:1604;height:317;left:7230;position:absolute;top:5978" filled="f" stroked="f">
              <v:textbox inset="0,0,0,0">
                <w:txbxContent>
                  <w:p>
                    <w:pPr>
                      <w:spacing w:before="0" w:line="317" w:lineRule="exact"/>
                      <w:ind w:left="0" w:right="0" w:firstLine="0"/>
                      <w:jc w:val="left"/>
                      <w:rPr>
                        <w:b/>
                        <w:sz w:val="31"/>
                      </w:rPr>
                    </w:pPr>
                    <w:r>
                      <w:rPr>
                        <w:b/>
                        <w:sz w:val="31"/>
                      </w:rPr>
                      <w:t>生态学资料</w:t>
                    </w:r>
                  </w:p>
                </w:txbxContent>
              </v:textbox>
            </v:shape>
            <v:shape id="_x0000_s1198" type="#_x0000_t202" style="width:12059;height:317;left:188;position:absolute;top:6446" filled="f" stroked="f">
              <v:textbox inset="0,0,0,0">
                <w:txbxContent>
                  <w:p>
                    <w:pPr>
                      <w:spacing w:before="0" w:line="317" w:lineRule="exact"/>
                      <w:ind w:left="0" w:right="0" w:firstLine="0"/>
                      <w:jc w:val="left"/>
                      <w:rPr>
                        <w:sz w:val="31"/>
                      </w:rPr>
                    </w:pPr>
                    <w:r>
                      <w:rPr>
                        <w:sz w:val="31"/>
                      </w:rPr>
                      <w:t>生态学资料：该物质对环境有危害，应特别注意对地表水、土壤、大气和饮用水的污染</w:t>
                    </w:r>
                  </w:p>
                </w:txbxContent>
              </v:textbox>
            </v:shape>
            <v:shape id="_x0000_s1199" type="#_x0000_t202" style="width:1604;height:317;left:5250;position:absolute;top:6928" filled="f" stroked="f">
              <v:textbox inset="0,0,0,0">
                <w:txbxContent>
                  <w:p>
                    <w:pPr>
                      <w:spacing w:before="0" w:line="317" w:lineRule="exact"/>
                      <w:ind w:left="0" w:right="0" w:firstLine="0"/>
                      <w:jc w:val="left"/>
                      <w:rPr>
                        <w:b/>
                        <w:sz w:val="31"/>
                      </w:rPr>
                    </w:pPr>
                    <w:r>
                      <w:rPr>
                        <w:b/>
                        <w:sz w:val="31"/>
                      </w:rPr>
                      <w:t>第十三部分</w:t>
                    </w:r>
                  </w:p>
                </w:txbxContent>
              </v:textbox>
            </v:shape>
            <v:shape id="_x0000_s1200" type="#_x0000_t202" style="width:1288;height:317;left:7468;position:absolute;top:6928" filled="f" stroked="f">
              <v:textbox inset="0,0,0,0">
                <w:txbxContent>
                  <w:p>
                    <w:pPr>
                      <w:spacing w:before="0" w:line="317" w:lineRule="exact"/>
                      <w:ind w:left="0" w:right="0" w:firstLine="0"/>
                      <w:jc w:val="left"/>
                      <w:rPr>
                        <w:b/>
                        <w:sz w:val="31"/>
                      </w:rPr>
                    </w:pPr>
                    <w:r>
                      <w:rPr>
                        <w:b/>
                        <w:sz w:val="31"/>
                      </w:rPr>
                      <w:t>废弃处置</w:t>
                    </w:r>
                  </w:p>
                </w:txbxContent>
              </v:textbox>
            </v:shape>
            <v:shape id="_x0000_s1201" type="#_x0000_t202" style="width:4772;height:785;left:188;position:absolute;top:7396" filled="f" stroked="f">
              <v:textbox inset="0,0,0,0">
                <w:txbxContent>
                  <w:p>
                    <w:pPr>
                      <w:spacing w:before="0" w:line="359" w:lineRule="exact"/>
                      <w:ind w:left="0" w:right="0" w:firstLine="0"/>
                      <w:jc w:val="left"/>
                      <w:rPr>
                        <w:sz w:val="31"/>
                      </w:rPr>
                    </w:pPr>
                    <w:r>
                      <w:rPr>
                        <w:sz w:val="31"/>
                      </w:rPr>
                      <w:t>废弃物性质：危险废物</w:t>
                    </w:r>
                  </w:p>
                  <w:p>
                    <w:pPr>
                      <w:spacing w:before="71" w:line="355" w:lineRule="exact"/>
                      <w:ind w:left="0" w:right="0" w:firstLine="0"/>
                      <w:jc w:val="left"/>
                      <w:rPr>
                        <w:sz w:val="31"/>
                      </w:rPr>
                    </w:pPr>
                    <w:r>
                      <w:rPr>
                        <w:sz w:val="31"/>
                      </w:rPr>
                      <w:t>废弃处置方法：用控制焚烧法处理</w:t>
                    </w:r>
                  </w:p>
                </w:txbxContent>
              </v:textbox>
            </v:shape>
            <v:shape id="_x0000_s1202" type="#_x0000_t202" style="width:1604;height:317;left:5250;position:absolute;top:8347" filled="f" stroked="f">
              <v:textbox inset="0,0,0,0">
                <w:txbxContent>
                  <w:p>
                    <w:pPr>
                      <w:spacing w:before="0" w:line="317" w:lineRule="exact"/>
                      <w:ind w:left="0" w:right="0" w:firstLine="0"/>
                      <w:jc w:val="left"/>
                      <w:rPr>
                        <w:b/>
                        <w:sz w:val="31"/>
                      </w:rPr>
                    </w:pPr>
                    <w:r>
                      <w:rPr>
                        <w:b/>
                        <w:sz w:val="31"/>
                      </w:rPr>
                      <w:t>第十四部分</w:t>
                    </w:r>
                  </w:p>
                </w:txbxContent>
              </v:textbox>
            </v:shape>
            <v:shape id="_x0000_s1203" type="#_x0000_t202" style="width:1288;height:317;left:7468;position:absolute;top:8347" filled="f" stroked="f">
              <v:textbox inset="0,0,0,0">
                <w:txbxContent>
                  <w:p>
                    <w:pPr>
                      <w:spacing w:before="0" w:line="317" w:lineRule="exact"/>
                      <w:ind w:left="0" w:right="0" w:firstLine="0"/>
                      <w:jc w:val="left"/>
                      <w:rPr>
                        <w:b/>
                        <w:sz w:val="31"/>
                      </w:rPr>
                    </w:pPr>
                    <w:r>
                      <w:rPr>
                        <w:b/>
                        <w:sz w:val="31"/>
                      </w:rPr>
                      <w:t>运输信息</w:t>
                    </w:r>
                  </w:p>
                </w:txbxContent>
              </v:textbox>
            </v:shape>
            <v:shape id="_x0000_s1204" type="#_x0000_t202" style="width:5089;height:2658;left:188;position:absolute;top:8815" filled="f" stroked="f">
              <v:textbox inset="0,0,0,0">
                <w:txbxContent>
                  <w:p>
                    <w:pPr>
                      <w:spacing w:before="0" w:line="359" w:lineRule="exact"/>
                      <w:ind w:left="0" w:right="0" w:firstLine="0"/>
                      <w:jc w:val="left"/>
                      <w:rPr>
                        <w:sz w:val="31"/>
                      </w:rPr>
                    </w:pPr>
                    <w:r>
                      <w:rPr>
                        <w:sz w:val="31"/>
                      </w:rPr>
                      <w:t>危险货物编号：32003</w:t>
                    </w:r>
                  </w:p>
                  <w:p>
                    <w:pPr>
                      <w:spacing w:before="71" w:line="283" w:lineRule="auto"/>
                      <w:ind w:left="0" w:right="2869" w:firstLine="0"/>
                      <w:jc w:val="left"/>
                      <w:rPr>
                        <w:sz w:val="31"/>
                      </w:rPr>
                    </w:pPr>
                    <w:r>
                      <w:rPr>
                        <w:sz w:val="31"/>
                      </w:rPr>
                      <w:t>UN</w:t>
                    </w:r>
                    <w:r>
                      <w:rPr>
                        <w:spacing w:val="-15"/>
                        <w:sz w:val="31"/>
                      </w:rPr>
                      <w:t xml:space="preserve"> 编号：</w:t>
                    </w:r>
                    <w:r>
                      <w:rPr>
                        <w:spacing w:val="-4"/>
                        <w:sz w:val="31"/>
                      </w:rPr>
                      <w:t xml:space="preserve">1267 </w:t>
                    </w:r>
                    <w:r>
                      <w:rPr>
                        <w:spacing w:val="-3"/>
                        <w:sz w:val="31"/>
                      </w:rPr>
                      <w:t>包装标志：易燃</w:t>
                    </w:r>
                  </w:p>
                  <w:p>
                    <w:pPr>
                      <w:spacing w:before="0" w:line="283" w:lineRule="auto"/>
                      <w:ind w:left="0" w:right="2552" w:firstLine="0"/>
                      <w:jc w:val="left"/>
                      <w:rPr>
                        <w:sz w:val="31"/>
                      </w:rPr>
                    </w:pPr>
                    <w:r>
                      <w:rPr>
                        <w:spacing w:val="-3"/>
                        <w:sz w:val="31"/>
                      </w:rPr>
                      <w:t>包装类别：无信息</w:t>
                    </w:r>
                    <w:r>
                      <w:rPr>
                        <w:sz w:val="31"/>
                      </w:rPr>
                      <w:t>包装方法：罐装</w:t>
                    </w:r>
                  </w:p>
                  <w:p>
                    <w:pPr>
                      <w:spacing w:before="0" w:line="354" w:lineRule="exact"/>
                      <w:ind w:left="0" w:right="0" w:firstLine="0"/>
                      <w:jc w:val="left"/>
                      <w:rPr>
                        <w:sz w:val="31"/>
                      </w:rPr>
                    </w:pPr>
                    <w:r>
                      <w:rPr>
                        <w:sz w:val="31"/>
                      </w:rPr>
                      <w:t>运输注意事项：运输按规定线路行驶</w:t>
                    </w:r>
                  </w:p>
                </w:txbxContent>
              </v:textbox>
            </v:shape>
            <w10:wrap type="none"/>
          </v:group>
        </w:pict>
      </w:r>
    </w:p>
    <w:p>
      <w:pPr>
        <w:pStyle w:val="BodyText"/>
        <w:spacing w:before="1"/>
        <w:rPr>
          <w:sz w:val="11"/>
        </w:rPr>
      </w:pPr>
    </w:p>
    <w:p>
      <w:pPr>
        <w:pStyle w:val="Heading3"/>
        <w:spacing w:before="49"/>
        <w:ind w:left="708"/>
      </w:pPr>
      <w:r>
        <w:t>3. 180＃溶剂油</w:t>
      </w:r>
    </w:p>
    <w:p>
      <w:pPr>
        <w:pStyle w:val="BodyText"/>
        <w:spacing w:before="126"/>
        <w:ind w:left="1428"/>
      </w:pPr>
      <w:r>
        <w:t>180＃溶剂油的理化性质、危险特性和防护措施见表 3.3-5。</w:t>
      </w:r>
    </w:p>
    <w:p>
      <w:pPr>
        <w:pStyle w:val="BodyText"/>
        <w:spacing w:before="10"/>
        <w:rPr>
          <w:sz w:val="27"/>
        </w:rPr>
      </w:pPr>
    </w:p>
    <w:p>
      <w:pPr>
        <w:pStyle w:val="Heading3"/>
        <w:tabs>
          <w:tab w:val="left" w:pos="1713"/>
        </w:tabs>
        <w:ind w:left="0" w:right="48"/>
        <w:jc w:val="center"/>
      </w:pPr>
      <w:r>
        <w:t>表</w:t>
      </w:r>
      <w:r>
        <w:rPr>
          <w:spacing w:val="-91"/>
        </w:rPr>
        <w:t xml:space="preserve"> </w:t>
      </w:r>
      <w:r>
        <w:t>3.3-5</w:t>
        <w:tab/>
        <w:t>180＃溶剂油的理化性质、危险特性和防护措施表</w:t>
      </w:r>
    </w:p>
    <w:p>
      <w:pPr>
        <w:pStyle w:val="BodyText"/>
        <w:spacing w:before="9"/>
        <w:rPr>
          <w:b/>
          <w:sz w:val="20"/>
        </w:rPr>
      </w:pPr>
    </w:p>
    <w:p>
      <w:pPr>
        <w:spacing w:after="0"/>
        <w:rPr>
          <w:sz w:val="20"/>
        </w:rPr>
        <w:sectPr>
          <w:headerReference w:type="default" r:id="rId95"/>
          <w:footerReference w:type="default" r:id="rId96"/>
          <w:pgSz w:w="17860" w:h="25260"/>
          <w:pgMar w:top="1380" w:right="1360" w:bottom="2020" w:left="1420" w:header="1083" w:footer="1826"/>
          <w:pgNumType w:start="35"/>
          <w:cols w:space="708"/>
        </w:sectPr>
      </w:pPr>
    </w:p>
    <w:p>
      <w:pPr>
        <w:pStyle w:val="BodyText"/>
        <w:spacing w:before="5"/>
        <w:rPr>
          <w:b/>
          <w:sz w:val="41"/>
        </w:rPr>
      </w:pPr>
    </w:p>
    <w:p>
      <w:pPr>
        <w:spacing w:before="0" w:line="283" w:lineRule="auto"/>
        <w:ind w:left="708" w:right="38" w:firstLine="0"/>
        <w:jc w:val="left"/>
        <w:rPr>
          <w:sz w:val="31"/>
        </w:rPr>
      </w:pPr>
      <w:r>
        <w:rPr>
          <w:sz w:val="31"/>
        </w:rPr>
        <w:t xml:space="preserve">化学品中文名称：轻油  </w:t>
      </w:r>
      <w:r>
        <w:rPr>
          <w:spacing w:val="-1"/>
          <w:sz w:val="31"/>
        </w:rPr>
        <w:t>化学品英文名称：</w:t>
      </w:r>
      <w:r>
        <w:rPr>
          <w:spacing w:val="-5"/>
          <w:sz w:val="31"/>
        </w:rPr>
        <w:t xml:space="preserve">naphtha </w:t>
      </w:r>
      <w:r>
        <w:rPr>
          <w:spacing w:val="-16"/>
          <w:sz w:val="31"/>
        </w:rPr>
        <w:t xml:space="preserve">中文名称 </w:t>
      </w:r>
      <w:r>
        <w:rPr>
          <w:sz w:val="31"/>
        </w:rPr>
        <w:t>2：石脑油</w:t>
      </w:r>
    </w:p>
    <w:p>
      <w:pPr>
        <w:spacing w:before="0" w:line="395" w:lineRule="exact"/>
        <w:ind w:left="708" w:right="0" w:firstLine="0"/>
        <w:jc w:val="left"/>
        <w:rPr>
          <w:sz w:val="31"/>
        </w:rPr>
      </w:pPr>
      <w:r>
        <w:rPr>
          <w:sz w:val="31"/>
        </w:rPr>
        <w:t>分子式：C5—C8</w:t>
      </w:r>
    </w:p>
    <w:p>
      <w:pPr>
        <w:spacing w:before="63"/>
        <w:ind w:left="721" w:right="5755" w:firstLine="0"/>
        <w:jc w:val="center"/>
        <w:rPr>
          <w:b/>
          <w:sz w:val="31"/>
        </w:rPr>
      </w:pPr>
      <w:r>
        <w:br w:type="column"/>
      </w:r>
      <w:r>
        <w:rPr>
          <w:b/>
          <w:sz w:val="31"/>
        </w:rPr>
        <w:t>第一部分：化学品名称</w:t>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spacing w:before="10"/>
        <w:rPr>
          <w:b/>
          <w:sz w:val="24"/>
        </w:rPr>
      </w:pPr>
    </w:p>
    <w:p>
      <w:pPr>
        <w:spacing w:before="0"/>
        <w:ind w:left="721" w:right="5756" w:firstLine="0"/>
        <w:jc w:val="center"/>
        <w:rPr>
          <w:b/>
          <w:sz w:val="31"/>
        </w:rPr>
      </w:pPr>
      <w:r>
        <w:drawing>
          <wp:anchor distT="0" distB="0" distL="0" distR="0" simplePos="0" relativeHeight="251677696" behindDoc="1" locked="0" layoutInCell="1" allowOverlap="1">
            <wp:simplePos x="0" y="0"/>
            <wp:positionH relativeFrom="page">
              <wp:posOffset>1231900</wp:posOffset>
            </wp:positionH>
            <wp:positionV relativeFrom="paragraph">
              <wp:posOffset>-1555749</wp:posOffset>
            </wp:positionV>
            <wp:extent cx="8890000" cy="4521200"/>
            <wp:effectExtent l="0" t="0" r="0" b="0"/>
            <wp:wrapNone/>
            <wp:docPr id="2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4.png"/>
                    <pic:cNvPicPr/>
                  </pic:nvPicPr>
                  <pic:blipFill>
                    <a:blip xmlns:r="http://schemas.openxmlformats.org/officeDocument/2006/relationships" r:embed="rId97" cstate="print"/>
                    <a:stretch>
                      <a:fillRect/>
                    </a:stretch>
                  </pic:blipFill>
                  <pic:spPr>
                    <a:xfrm>
                      <a:off x="0" y="0"/>
                      <a:ext cx="8890000" cy="4521200"/>
                    </a:xfrm>
                    <a:prstGeom prst="rect">
                      <a:avLst/>
                    </a:prstGeom>
                  </pic:spPr>
                </pic:pic>
              </a:graphicData>
            </a:graphic>
          </wp:anchor>
        </w:drawing>
      </w:r>
      <w:r>
        <w:rPr>
          <w:b/>
          <w:sz w:val="31"/>
        </w:rPr>
        <w:t>第二部分：成分/组成信息</w:t>
      </w:r>
    </w:p>
    <w:p>
      <w:pPr>
        <w:spacing w:after="0"/>
        <w:jc w:val="center"/>
        <w:rPr>
          <w:sz w:val="31"/>
        </w:rPr>
        <w:sectPr>
          <w:headerReference w:type="default" r:id="rId98"/>
          <w:footerReference w:type="default" r:id="rId99"/>
          <w:type w:val="continuous"/>
          <w:pgSz w:w="17860" w:h="25260"/>
          <w:pgMar w:top="1380" w:right="1360" w:bottom="2020" w:left="1420" w:header="708" w:footer="708"/>
          <w:pgNumType w:start="36"/>
          <w:cols w:num="2" w:space="708" w:equalWidth="0">
            <w:col w:w="4381" w:space="602"/>
            <w:col w:w="10097" w:space="0"/>
          </w:cols>
        </w:sectPr>
      </w:pPr>
    </w:p>
    <w:p>
      <w:pPr>
        <w:spacing w:before="71"/>
        <w:ind w:left="708" w:right="0" w:firstLine="0"/>
        <w:jc w:val="left"/>
        <w:rPr>
          <w:sz w:val="31"/>
        </w:rPr>
      </w:pPr>
      <w:r>
        <w:rPr>
          <w:sz w:val="31"/>
        </w:rPr>
        <w:t>有害物成分：主要成分为苯、甲苯、二甲苯等。</w:t>
      </w:r>
    </w:p>
    <w:p>
      <w:pPr>
        <w:spacing w:before="71"/>
        <w:ind w:left="708" w:right="0" w:firstLine="0"/>
        <w:jc w:val="left"/>
        <w:rPr>
          <w:sz w:val="31"/>
        </w:rPr>
      </w:pPr>
      <w:r>
        <w:rPr>
          <w:sz w:val="31"/>
        </w:rPr>
        <w:t>物理性质；密度；0.85-0.95g∕㎝ 3 有强烈刺激性，黄色透明液体。</w:t>
      </w:r>
    </w:p>
    <w:p>
      <w:pPr>
        <w:spacing w:before="89" w:line="283" w:lineRule="auto"/>
        <w:ind w:left="708" w:right="5980" w:firstLine="5220"/>
        <w:jc w:val="left"/>
        <w:rPr>
          <w:sz w:val="31"/>
        </w:rPr>
      </w:pPr>
      <w:r>
        <w:rPr>
          <w:b/>
          <w:sz w:val="31"/>
        </w:rPr>
        <w:t>第三部分：危险性概述</w:t>
      </w:r>
      <w:r>
        <w:rPr>
          <w:sz w:val="31"/>
        </w:rPr>
        <w:t>危险性类别：第 3.2 类 易燃中闪点 45.6</w:t>
      </w:r>
    </w:p>
    <w:p>
      <w:pPr>
        <w:spacing w:before="0" w:line="396" w:lineRule="exact"/>
        <w:ind w:left="708" w:right="0" w:firstLine="0"/>
        <w:jc w:val="left"/>
        <w:rPr>
          <w:sz w:val="31"/>
        </w:rPr>
      </w:pPr>
      <w:r>
        <w:rPr>
          <w:sz w:val="31"/>
        </w:rPr>
        <w:t>侵入途径：吸入；经皮吸收</w:t>
      </w:r>
    </w:p>
    <w:p>
      <w:pPr>
        <w:spacing w:before="70" w:line="283" w:lineRule="auto"/>
        <w:ind w:left="708" w:right="746" w:firstLine="0"/>
        <w:jc w:val="left"/>
        <w:rPr>
          <w:sz w:val="31"/>
        </w:rPr>
      </w:pPr>
      <w:r>
        <w:rPr>
          <w:spacing w:val="-1"/>
          <w:sz w:val="31"/>
        </w:rPr>
        <w:t xml:space="preserve">健康危害：作用于皮肤，引起皮炎、痤疮、毛囊炎、光毒性皮炎、中毒性黑皮病、疣赘及癌肿。可 </w:t>
      </w:r>
      <w:r>
        <w:rPr>
          <w:sz w:val="31"/>
        </w:rPr>
        <w:t>引起鼻中隔损伤。</w:t>
      </w:r>
    </w:p>
    <w:p>
      <w:pPr>
        <w:spacing w:before="0" w:line="396" w:lineRule="exact"/>
        <w:ind w:left="708" w:right="0" w:firstLine="0"/>
        <w:jc w:val="left"/>
        <w:rPr>
          <w:sz w:val="31"/>
        </w:rPr>
      </w:pPr>
      <w:r>
        <w:rPr>
          <w:sz w:val="31"/>
        </w:rPr>
        <w:t>环境危害：对环境有危害，对大气可造成污染。</w:t>
      </w:r>
    </w:p>
    <w:p>
      <w:pPr>
        <w:spacing w:before="71"/>
        <w:ind w:left="708" w:right="0" w:firstLine="0"/>
        <w:jc w:val="left"/>
        <w:rPr>
          <w:sz w:val="31"/>
        </w:rPr>
      </w:pPr>
      <w:r>
        <w:rPr>
          <w:sz w:val="31"/>
        </w:rPr>
        <w:t>燃爆危险：本品易燃，为致癌物。爆炸极限1.4-8.0%</w:t>
      </w:r>
    </w:p>
    <w:p>
      <w:pPr>
        <w:spacing w:after="0"/>
        <w:jc w:val="left"/>
        <w:rPr>
          <w:sz w:val="31"/>
        </w:rPr>
        <w:sectPr>
          <w:headerReference w:type="default" r:id="rId100"/>
          <w:footerReference w:type="default" r:id="rId101"/>
          <w:type w:val="continuous"/>
          <w:pgSz w:w="17860" w:h="25260"/>
          <w:pgMar w:top="1380" w:right="1360" w:bottom="2020" w:left="1420" w:header="708" w:footer="708"/>
          <w:pgNumType w:start="37"/>
          <w:cols w:space="708"/>
        </w:sectPr>
      </w:pPr>
    </w:p>
    <w:p>
      <w:pPr>
        <w:pStyle w:val="BodyText"/>
        <w:rPr>
          <w:sz w:val="20"/>
        </w:rPr>
      </w:pPr>
      <w:r>
        <w:drawing>
          <wp:anchor distT="0" distB="0" distL="0" distR="0" simplePos="0" relativeHeight="251678720" behindDoc="1" locked="0" layoutInCell="1" allowOverlap="1">
            <wp:simplePos x="0" y="0"/>
            <wp:positionH relativeFrom="page">
              <wp:posOffset>1231900</wp:posOffset>
            </wp:positionH>
            <wp:positionV relativeFrom="page">
              <wp:posOffset>1155700</wp:posOffset>
            </wp:positionV>
            <wp:extent cx="8890000" cy="13169900"/>
            <wp:effectExtent l="0" t="0" r="0" b="0"/>
            <wp:wrapNone/>
            <wp:docPr id="2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5.png"/>
                    <pic:cNvPicPr/>
                  </pic:nvPicPr>
                  <pic:blipFill>
                    <a:blip xmlns:r="http://schemas.openxmlformats.org/officeDocument/2006/relationships" r:embed="rId102" cstate="print"/>
                    <a:stretch>
                      <a:fillRect/>
                    </a:stretch>
                  </pic:blipFill>
                  <pic:spPr>
                    <a:xfrm>
                      <a:off x="0" y="0"/>
                      <a:ext cx="8890000" cy="13169900"/>
                    </a:xfrm>
                    <a:prstGeom prst="rect">
                      <a:avLst/>
                    </a:prstGeom>
                  </pic:spPr>
                </pic:pic>
              </a:graphicData>
            </a:graphic>
          </wp:anchor>
        </w:drawing>
      </w:r>
    </w:p>
    <w:p>
      <w:pPr>
        <w:pStyle w:val="BodyText"/>
        <w:spacing w:before="11"/>
        <w:rPr>
          <w:sz w:val="15"/>
        </w:rPr>
      </w:pPr>
    </w:p>
    <w:p>
      <w:pPr>
        <w:spacing w:before="63" w:line="283" w:lineRule="auto"/>
        <w:ind w:left="708" w:right="5815" w:firstLine="5375"/>
        <w:jc w:val="left"/>
        <w:rPr>
          <w:sz w:val="31"/>
        </w:rPr>
      </w:pPr>
      <w:r>
        <w:rPr>
          <w:b/>
          <w:sz w:val="31"/>
        </w:rPr>
        <w:t xml:space="preserve">第四部分：急救措施 </w:t>
      </w:r>
      <w:r>
        <w:rPr>
          <w:spacing w:val="-1"/>
          <w:sz w:val="31"/>
        </w:rPr>
        <w:t>皮肤接触：脱去污染的衣着，用肥皂水和清水彻底冲洗皮肤。</w:t>
      </w:r>
      <w:r>
        <w:rPr>
          <w:sz w:val="31"/>
        </w:rPr>
        <w:t xml:space="preserve">眼睛接触：提起眼睑，用流动清水或生理盐水冲洗。就医。  </w:t>
      </w:r>
      <w:r>
        <w:rPr>
          <w:spacing w:val="-1"/>
          <w:sz w:val="31"/>
        </w:rPr>
        <w:t>吸入：脱离现场至空气新鲜处。如呼吸困难，给输氧。就医。</w:t>
      </w:r>
      <w:r>
        <w:rPr>
          <w:sz w:val="31"/>
        </w:rPr>
        <w:t>食入：尽快彻底洗胃。就医。</w:t>
      </w:r>
    </w:p>
    <w:p>
      <w:pPr>
        <w:spacing w:before="11"/>
        <w:ind w:left="6084" w:right="0" w:firstLine="0"/>
        <w:jc w:val="left"/>
        <w:rPr>
          <w:b/>
          <w:sz w:val="31"/>
        </w:rPr>
      </w:pPr>
      <w:r>
        <w:rPr>
          <w:b/>
          <w:sz w:val="31"/>
        </w:rPr>
        <w:t>第五部分：消防措施</w:t>
      </w:r>
    </w:p>
    <w:p>
      <w:pPr>
        <w:spacing w:before="71" w:line="283" w:lineRule="auto"/>
        <w:ind w:left="708" w:right="746" w:firstLine="0"/>
        <w:jc w:val="left"/>
        <w:rPr>
          <w:sz w:val="31"/>
        </w:rPr>
      </w:pPr>
      <w:r>
        <w:rPr>
          <w:spacing w:val="-1"/>
          <w:sz w:val="31"/>
        </w:rPr>
        <w:t xml:space="preserve">危险特性：其蒸气与空气可形成爆炸性混合物，遇明火、高热极易燃烧爆炸。与氧化剂接触猛烈反 </w:t>
      </w:r>
      <w:r>
        <w:rPr>
          <w:sz w:val="31"/>
        </w:rPr>
        <w:t>应。若遇高热，容器内压增大，有开裂和爆炸的危险。</w:t>
      </w:r>
    </w:p>
    <w:p>
      <w:pPr>
        <w:spacing w:before="0" w:line="396" w:lineRule="exact"/>
        <w:ind w:left="708" w:right="0" w:firstLine="0"/>
        <w:jc w:val="left"/>
        <w:rPr>
          <w:sz w:val="31"/>
        </w:rPr>
      </w:pPr>
      <w:r>
        <w:rPr>
          <w:sz w:val="31"/>
        </w:rPr>
        <w:t>有害燃烧产物：一氧化碳、二氧化碳。</w:t>
      </w:r>
    </w:p>
    <w:p>
      <w:pPr>
        <w:spacing w:before="71" w:line="283" w:lineRule="auto"/>
        <w:ind w:left="708" w:right="746" w:firstLine="0"/>
        <w:jc w:val="both"/>
        <w:rPr>
          <w:sz w:val="31"/>
        </w:rPr>
      </w:pPr>
      <w:r>
        <w:rPr>
          <w:spacing w:val="-2"/>
          <w:sz w:val="31"/>
        </w:rPr>
        <w:t>灭火方法：消防人员必须佩戴过滤式防毒面具(全面罩)或隔离式呼吸器、穿全身防火防毒服，在上</w:t>
      </w:r>
      <w:r>
        <w:rPr>
          <w:spacing w:val="-3"/>
          <w:sz w:val="31"/>
        </w:rPr>
        <w:t xml:space="preserve">风向灭火。尽可能将容器从火场移至空旷处。喷水保持火场容器冷却，直至灭火结束。处在火场中 </w:t>
      </w:r>
      <w:r>
        <w:rPr>
          <w:spacing w:val="-1"/>
          <w:sz w:val="31"/>
        </w:rPr>
        <w:t xml:space="preserve">的容器若已变色或从安全泄压装置中产生声音，必须马上撤离。灭火剂：雾状水、泡沫、干粉、二 </w:t>
      </w:r>
      <w:r>
        <w:rPr>
          <w:sz w:val="31"/>
        </w:rPr>
        <w:t>氧化碳、砂土。</w:t>
      </w:r>
    </w:p>
    <w:p>
      <w:pPr>
        <w:spacing w:before="13"/>
        <w:ind w:left="490" w:right="541" w:firstLine="0"/>
        <w:jc w:val="center"/>
        <w:rPr>
          <w:b/>
          <w:sz w:val="31"/>
        </w:rPr>
      </w:pPr>
      <w:r>
        <w:rPr>
          <w:b/>
          <w:sz w:val="31"/>
        </w:rPr>
        <w:t>第六部分：泄漏应急处理</w:t>
      </w:r>
    </w:p>
    <w:p>
      <w:pPr>
        <w:spacing w:before="71" w:line="283" w:lineRule="auto"/>
        <w:ind w:left="708" w:right="746" w:firstLine="0"/>
        <w:jc w:val="both"/>
        <w:rPr>
          <w:sz w:val="31"/>
        </w:rPr>
      </w:pPr>
      <w:r>
        <w:rPr>
          <w:spacing w:val="-1"/>
          <w:sz w:val="31"/>
        </w:rPr>
        <w:t xml:space="preserve">应急处理：迅速撤离泄漏污染区人员至安全区，并进行隔离，严格限制出入。切断火源。建议应急 处理人员戴自给正压式呼吸器，穿防毒服。尽可能切断泄漏源。防止流入下水道、排洪沟等限制性 空间。小量泄漏：用砂土或其它不燃材料吸附或吸收。大量泄漏：构筑围堤或挖坑收容。用泡沫覆 </w:t>
      </w:r>
      <w:r>
        <w:rPr>
          <w:sz w:val="31"/>
        </w:rPr>
        <w:t>盖，降低蒸气灾害。用泵转移至槽车或专用收集器内，回收或运至废物处理场所处置。</w:t>
      </w:r>
    </w:p>
    <w:p>
      <w:pPr>
        <w:spacing w:before="11"/>
        <w:ind w:left="490" w:right="534" w:firstLine="0"/>
        <w:jc w:val="center"/>
        <w:rPr>
          <w:b/>
          <w:sz w:val="31"/>
        </w:rPr>
      </w:pPr>
      <w:r>
        <w:rPr>
          <w:b/>
          <w:sz w:val="31"/>
        </w:rPr>
        <w:t>第七部分：操作处置与储存技术要求</w:t>
      </w:r>
    </w:p>
    <w:p>
      <w:pPr>
        <w:spacing w:before="71" w:line="283" w:lineRule="auto"/>
        <w:ind w:left="708" w:right="746" w:firstLine="0"/>
        <w:jc w:val="both"/>
        <w:rPr>
          <w:sz w:val="31"/>
        </w:rPr>
      </w:pPr>
      <w:r>
        <w:rPr>
          <w:spacing w:val="-1"/>
          <w:sz w:val="31"/>
        </w:rPr>
        <w:t xml:space="preserve">操作注意事项：密闭操作，全面通风。操作人员必须经过专门培训，严格遵守操作规程。建议操作 </w:t>
      </w:r>
      <w:r>
        <w:rPr>
          <w:sz w:val="31"/>
        </w:rPr>
        <w:t>人员佩戴自吸过滤式防毒面具（全面罩），</w:t>
      </w:r>
      <w:r>
        <w:rPr>
          <w:spacing w:val="-1"/>
          <w:sz w:val="31"/>
        </w:rPr>
        <w:t xml:space="preserve">穿胶布防毒衣，戴橡胶耐油手套。远离火种、热源，工 作场所严禁吸烟。使用防爆型的通风系统和设备。防止蒸气泄漏到工作场所空气中。避免与氧化剂 接触。搬运时要轻装轻卸，防止包装及容器损坏。配备相应品种和数量的消防器材及泄漏应急处理 </w:t>
      </w:r>
      <w:r>
        <w:rPr>
          <w:sz w:val="31"/>
        </w:rPr>
        <w:t>设备。倒空的容器可能残留有害物。</w:t>
      </w:r>
    </w:p>
    <w:p>
      <w:pPr>
        <w:spacing w:before="0" w:line="283" w:lineRule="auto"/>
        <w:ind w:left="708" w:right="746" w:firstLine="0"/>
        <w:jc w:val="both"/>
        <w:rPr>
          <w:sz w:val="31"/>
        </w:rPr>
      </w:pPr>
      <w:r>
        <w:rPr>
          <w:spacing w:val="-1"/>
          <w:sz w:val="31"/>
        </w:rPr>
        <w:t xml:space="preserve">储存注意事项：储存于阴凉、通风的库房。远离火种、热源。应与氧化剂分开存放，切忌混储。防 止阳光直射，保持容器密封。在氮气中操作处置。采用防爆型照明、通风设施。禁止使用易产生火 </w:t>
      </w:r>
      <w:r>
        <w:rPr>
          <w:sz w:val="31"/>
        </w:rPr>
        <w:t>花的机械设备和工具。储区应备有泄漏应急处理设备和合适的收容材料。</w:t>
      </w:r>
    </w:p>
    <w:p>
      <w:pPr>
        <w:spacing w:before="13" w:line="283" w:lineRule="auto"/>
        <w:ind w:left="708" w:right="5183" w:firstLine="4666"/>
        <w:jc w:val="left"/>
        <w:rPr>
          <w:sz w:val="31"/>
        </w:rPr>
      </w:pPr>
      <w:r>
        <w:rPr>
          <w:b/>
          <w:sz w:val="31"/>
        </w:rPr>
        <w:t xml:space="preserve">第八部分：接触控制/个体防护 </w:t>
      </w:r>
      <w:r>
        <w:rPr>
          <w:spacing w:val="-1"/>
          <w:sz w:val="31"/>
        </w:rPr>
        <w:t>工程控制：生产过程密闭，全面通风。提供安全淋浴和洗眼设备。</w:t>
      </w:r>
    </w:p>
    <w:p>
      <w:pPr>
        <w:spacing w:before="0" w:line="283" w:lineRule="auto"/>
        <w:ind w:left="708" w:right="3914" w:firstLine="0"/>
        <w:jc w:val="left"/>
        <w:rPr>
          <w:sz w:val="31"/>
        </w:rPr>
      </w:pPr>
      <w:r>
        <w:rPr>
          <w:sz w:val="31"/>
        </w:rPr>
        <w:t>呼吸系统防护：空气中浓度超标时，佩戴自吸过滤式防毒面具（半面罩）。眼睛防护：戴安全防护眼镜。</w:t>
      </w:r>
    </w:p>
    <w:p>
      <w:pPr>
        <w:spacing w:before="0" w:line="283" w:lineRule="auto"/>
        <w:ind w:left="708" w:right="10250" w:firstLine="0"/>
        <w:jc w:val="left"/>
        <w:rPr>
          <w:sz w:val="31"/>
        </w:rPr>
      </w:pPr>
      <w:r>
        <w:rPr>
          <w:sz w:val="31"/>
        </w:rPr>
        <w:t>身体防护：穿防静电工作服。手防护：戴橡胶耐油手套。</w:t>
      </w:r>
    </w:p>
    <w:p>
      <w:pPr>
        <w:spacing w:before="0" w:line="396" w:lineRule="exact"/>
        <w:ind w:left="708" w:right="0" w:firstLine="0"/>
        <w:jc w:val="left"/>
        <w:rPr>
          <w:sz w:val="31"/>
        </w:rPr>
      </w:pPr>
      <w:r>
        <w:rPr>
          <w:sz w:val="31"/>
        </w:rPr>
        <w:t>其他防护：工作现场严禁吸烟。工作完毕，沐浴更衣。注意个人清洁卫生。</w:t>
      </w:r>
    </w:p>
    <w:p>
      <w:pPr>
        <w:spacing w:before="83"/>
        <w:ind w:left="6084" w:right="0" w:firstLine="0"/>
        <w:jc w:val="left"/>
        <w:rPr>
          <w:b/>
          <w:sz w:val="31"/>
        </w:rPr>
      </w:pPr>
      <w:r>
        <w:rPr>
          <w:b/>
          <w:sz w:val="31"/>
        </w:rPr>
        <w:t>第九部分：理化特性</w:t>
      </w:r>
    </w:p>
    <w:p>
      <w:pPr>
        <w:spacing w:before="71" w:line="283" w:lineRule="auto"/>
        <w:ind w:left="708" w:right="9935" w:firstLine="0"/>
        <w:jc w:val="left"/>
        <w:rPr>
          <w:sz w:val="31"/>
        </w:rPr>
      </w:pPr>
      <w:r>
        <w:rPr>
          <w:sz w:val="31"/>
        </w:rPr>
        <w:t>主要成分：苯、甲苯、二甲苯等外观与性状：黄色透明液体</w:t>
      </w:r>
    </w:p>
    <w:p>
      <w:pPr>
        <w:spacing w:before="0" w:line="396" w:lineRule="exact"/>
        <w:ind w:left="708" w:right="0" w:firstLine="0"/>
        <w:jc w:val="left"/>
        <w:rPr>
          <w:sz w:val="31"/>
        </w:rPr>
      </w:pPr>
      <w:r>
        <w:rPr>
          <w:sz w:val="31"/>
        </w:rPr>
        <w:t>沸点(℃)：151</w:t>
      </w:r>
    </w:p>
    <w:p>
      <w:pPr>
        <w:spacing w:before="51" w:line="283" w:lineRule="auto"/>
        <w:ind w:left="708" w:right="8470" w:firstLine="0"/>
        <w:jc w:val="left"/>
        <w:rPr>
          <w:sz w:val="31"/>
        </w:rPr>
      </w:pPr>
      <w:r>
        <w:rPr>
          <w:sz w:val="31"/>
        </w:rPr>
        <w:t xml:space="preserve">相对密度(水=1)：密度；0.85-0.95g∕㎝ </w:t>
      </w:r>
      <w:r>
        <w:rPr>
          <w:position w:val="4"/>
          <w:sz w:val="29"/>
        </w:rPr>
        <w:t xml:space="preserve">3 </w:t>
      </w:r>
      <w:r>
        <w:rPr>
          <w:sz w:val="31"/>
        </w:rPr>
        <w:t>闪点(℃)：45.6</w:t>
      </w:r>
    </w:p>
    <w:p>
      <w:pPr>
        <w:spacing w:before="0" w:line="396" w:lineRule="exact"/>
        <w:ind w:left="708" w:right="0" w:firstLine="0"/>
        <w:jc w:val="left"/>
        <w:rPr>
          <w:sz w:val="31"/>
        </w:rPr>
      </w:pPr>
      <w:r>
        <w:rPr>
          <w:sz w:val="31"/>
        </w:rPr>
        <w:t>自然点(℃)：562.22</w:t>
      </w:r>
    </w:p>
    <w:p>
      <w:pPr>
        <w:spacing w:before="71"/>
        <w:ind w:left="708" w:right="0" w:firstLine="0"/>
        <w:jc w:val="left"/>
        <w:rPr>
          <w:sz w:val="31"/>
        </w:rPr>
      </w:pPr>
      <w:r>
        <w:rPr>
          <w:sz w:val="31"/>
        </w:rPr>
        <w:t>爆炸极限(V/V)：：1.4-8.0%</w:t>
      </w:r>
    </w:p>
    <w:p>
      <w:pPr>
        <w:spacing w:before="71"/>
        <w:ind w:left="708" w:right="0" w:firstLine="0"/>
        <w:jc w:val="left"/>
        <w:rPr>
          <w:sz w:val="31"/>
        </w:rPr>
      </w:pPr>
      <w:r>
        <w:rPr>
          <w:sz w:val="31"/>
        </w:rPr>
        <w:t>化学性质：不溶于水，溶于苯、乙醇、乙醚、氯仿、丙酮等多数有机溶剂。</w:t>
      </w:r>
    </w:p>
    <w:p>
      <w:pPr>
        <w:spacing w:before="71"/>
        <w:ind w:left="708" w:right="0" w:firstLine="0"/>
        <w:jc w:val="left"/>
        <w:rPr>
          <w:sz w:val="31"/>
        </w:rPr>
      </w:pPr>
      <w:r>
        <w:rPr>
          <w:sz w:val="31"/>
        </w:rPr>
        <w:t>主要用途：主要用作裂解、催化重整和制氨原料，也可作为化工原料及一般溶剂。</w:t>
      </w:r>
    </w:p>
    <w:p>
      <w:pPr>
        <w:spacing w:after="0"/>
        <w:jc w:val="left"/>
        <w:rPr>
          <w:sz w:val="31"/>
        </w:rPr>
        <w:sectPr>
          <w:headerReference w:type="default" r:id="rId103"/>
          <w:footerReference w:type="default" r:id="rId104"/>
          <w:pgSz w:w="17860" w:h="25260"/>
          <w:pgMar w:top="1380" w:right="1360" w:bottom="2020" w:left="1420" w:header="1083" w:footer="1826"/>
          <w:pgNumType w:start="38"/>
          <w:cols w:space="708"/>
        </w:sectPr>
      </w:pPr>
    </w:p>
    <w:p>
      <w:pPr>
        <w:pStyle w:val="BodyText"/>
        <w:rPr>
          <w:sz w:val="20"/>
        </w:rPr>
      </w:pPr>
    </w:p>
    <w:p>
      <w:pPr>
        <w:pStyle w:val="BodyText"/>
        <w:spacing w:before="11"/>
        <w:rPr>
          <w:sz w:val="15"/>
        </w:rPr>
      </w:pPr>
    </w:p>
    <w:p>
      <w:pPr>
        <w:spacing w:after="0"/>
        <w:rPr>
          <w:sz w:val="15"/>
        </w:rPr>
        <w:sectPr>
          <w:headerReference w:type="default" r:id="rId105"/>
          <w:footerReference w:type="default" r:id="rId106"/>
          <w:pgSz w:w="17860" w:h="25260"/>
          <w:pgMar w:top="1380" w:right="1360" w:bottom="2020" w:left="1420" w:header="1083" w:footer="1826"/>
          <w:pgNumType w:start="39"/>
          <w:cols w:space="708"/>
        </w:sectPr>
      </w:pPr>
    </w:p>
    <w:p>
      <w:pPr>
        <w:pStyle w:val="BodyText"/>
        <w:spacing w:before="6"/>
        <w:rPr>
          <w:sz w:val="41"/>
        </w:rPr>
      </w:pPr>
    </w:p>
    <w:p>
      <w:pPr>
        <w:spacing w:before="0"/>
        <w:ind w:left="708" w:right="0" w:firstLine="0"/>
        <w:jc w:val="left"/>
        <w:rPr>
          <w:sz w:val="31"/>
        </w:rPr>
      </w:pPr>
      <w:r>
        <w:rPr>
          <w:sz w:val="31"/>
        </w:rPr>
        <w:t>稳定性：稳定</w:t>
      </w:r>
    </w:p>
    <w:p>
      <w:pPr>
        <w:spacing w:before="71"/>
        <w:ind w:left="708" w:right="0" w:firstLine="0"/>
        <w:jc w:val="left"/>
        <w:rPr>
          <w:sz w:val="31"/>
        </w:rPr>
      </w:pPr>
      <w:r>
        <w:rPr>
          <w:sz w:val="31"/>
        </w:rPr>
        <w:t>禁配物：强氧化剂。</w:t>
      </w:r>
    </w:p>
    <w:p>
      <w:pPr>
        <w:spacing w:before="71"/>
        <w:ind w:left="708" w:right="0" w:firstLine="0"/>
        <w:jc w:val="left"/>
        <w:rPr>
          <w:sz w:val="31"/>
        </w:rPr>
      </w:pPr>
      <w:r>
        <w:rPr>
          <w:sz w:val="31"/>
        </w:rPr>
        <w:t>分解产物：一氧化碳、二氧化碳</w:t>
      </w:r>
    </w:p>
    <w:p>
      <w:pPr>
        <w:spacing w:before="63"/>
        <w:ind w:left="288" w:right="5522" w:firstLine="0"/>
        <w:jc w:val="center"/>
        <w:rPr>
          <w:b/>
          <w:sz w:val="31"/>
        </w:rPr>
      </w:pPr>
      <w:r>
        <w:br w:type="column"/>
      </w:r>
      <w:r>
        <w:rPr>
          <w:b/>
          <w:sz w:val="31"/>
        </w:rPr>
        <w:t>第十部分：稳定性和反应活性</w:t>
      </w:r>
    </w:p>
    <w:p>
      <w:pPr>
        <w:pStyle w:val="BodyText"/>
        <w:rPr>
          <w:b/>
          <w:sz w:val="32"/>
        </w:rPr>
      </w:pPr>
    </w:p>
    <w:p>
      <w:pPr>
        <w:pStyle w:val="BodyText"/>
        <w:rPr>
          <w:b/>
          <w:sz w:val="32"/>
        </w:rPr>
      </w:pPr>
    </w:p>
    <w:p>
      <w:pPr>
        <w:pStyle w:val="BodyText"/>
        <w:rPr>
          <w:b/>
          <w:sz w:val="32"/>
        </w:rPr>
      </w:pPr>
    </w:p>
    <w:p>
      <w:pPr>
        <w:spacing w:before="260"/>
        <w:ind w:left="279" w:right="5522" w:firstLine="0"/>
        <w:jc w:val="center"/>
        <w:rPr>
          <w:b/>
          <w:sz w:val="31"/>
        </w:rPr>
      </w:pPr>
      <w:r>
        <w:drawing>
          <wp:anchor distT="0" distB="0" distL="0" distR="0" simplePos="0" relativeHeight="251679744" behindDoc="1" locked="0" layoutInCell="1" allowOverlap="1">
            <wp:simplePos x="0" y="0"/>
            <wp:positionH relativeFrom="page">
              <wp:posOffset>1231900</wp:posOffset>
            </wp:positionH>
            <wp:positionV relativeFrom="paragraph">
              <wp:posOffset>-1089660</wp:posOffset>
            </wp:positionV>
            <wp:extent cx="8890000" cy="5410200"/>
            <wp:effectExtent l="0" t="0" r="0" b="0"/>
            <wp:wrapNone/>
            <wp:docPr id="2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6.png"/>
                    <pic:cNvPicPr/>
                  </pic:nvPicPr>
                  <pic:blipFill>
                    <a:blip xmlns:r="http://schemas.openxmlformats.org/officeDocument/2006/relationships" r:embed="rId107" cstate="print"/>
                    <a:stretch>
                      <a:fillRect/>
                    </a:stretch>
                  </pic:blipFill>
                  <pic:spPr>
                    <a:xfrm>
                      <a:off x="0" y="0"/>
                      <a:ext cx="8890000" cy="5410200"/>
                    </a:xfrm>
                    <a:prstGeom prst="rect">
                      <a:avLst/>
                    </a:prstGeom>
                  </pic:spPr>
                </pic:pic>
              </a:graphicData>
            </a:graphic>
          </wp:anchor>
        </w:drawing>
      </w:r>
      <w:r>
        <w:rPr>
          <w:b/>
          <w:sz w:val="31"/>
        </w:rPr>
        <w:t>第十一部分：毒理性</w:t>
      </w:r>
    </w:p>
    <w:p>
      <w:pPr>
        <w:spacing w:after="0"/>
        <w:jc w:val="center"/>
        <w:rPr>
          <w:sz w:val="31"/>
        </w:rPr>
        <w:sectPr>
          <w:headerReference w:type="default" r:id="rId108"/>
          <w:footerReference w:type="default" r:id="rId109"/>
          <w:type w:val="continuous"/>
          <w:pgSz w:w="17860" w:h="25260"/>
          <w:pgMar w:top="1380" w:right="1360" w:bottom="2020" w:left="1420" w:header="708" w:footer="708"/>
          <w:pgNumType w:start="40"/>
          <w:cols w:num="2" w:space="708" w:equalWidth="0">
            <w:col w:w="5144" w:space="40"/>
            <w:col w:w="9896" w:space="0"/>
          </w:cols>
        </w:sectPr>
      </w:pPr>
    </w:p>
    <w:p>
      <w:pPr>
        <w:spacing w:before="71" w:line="283" w:lineRule="auto"/>
        <w:ind w:left="708" w:right="746" w:firstLine="0"/>
        <w:jc w:val="left"/>
        <w:rPr>
          <w:sz w:val="31"/>
        </w:rPr>
      </w:pPr>
      <w:r>
        <w:rPr>
          <w:spacing w:val="-1"/>
          <w:sz w:val="31"/>
        </w:rPr>
        <w:t xml:space="preserve">急性毒性：对眼睛机上呼吸道有刺激作用高浓度时对中枢神经系统有麻醉作用。长期吸入会侵害人 </w:t>
      </w:r>
      <w:r>
        <w:rPr>
          <w:sz w:val="31"/>
        </w:rPr>
        <w:t>的神经系统急性中毒会产生生神经痉挛甚至昏迷、死亡，极易发生白血病。</w:t>
      </w:r>
    </w:p>
    <w:p>
      <w:pPr>
        <w:spacing w:before="13"/>
        <w:ind w:left="5929" w:right="0" w:firstLine="0"/>
        <w:jc w:val="left"/>
        <w:rPr>
          <w:b/>
          <w:sz w:val="31"/>
        </w:rPr>
      </w:pPr>
      <w:r>
        <w:rPr>
          <w:b/>
          <w:sz w:val="31"/>
        </w:rPr>
        <w:t>第十二部分：运输信息</w:t>
      </w:r>
    </w:p>
    <w:p>
      <w:pPr>
        <w:spacing w:before="70" w:line="283" w:lineRule="auto"/>
        <w:ind w:left="708" w:right="11137" w:firstLine="0"/>
        <w:jc w:val="left"/>
        <w:rPr>
          <w:sz w:val="31"/>
        </w:rPr>
      </w:pPr>
      <w:r>
        <w:rPr>
          <w:sz w:val="31"/>
        </w:rPr>
        <w:t>危险货物编号：32004 UN 编号：1256</w:t>
      </w:r>
    </w:p>
    <w:p>
      <w:pPr>
        <w:spacing w:before="0" w:line="283" w:lineRule="auto"/>
        <w:ind w:left="708" w:right="11519" w:firstLine="0"/>
        <w:jc w:val="left"/>
        <w:rPr>
          <w:sz w:val="31"/>
        </w:rPr>
      </w:pPr>
      <w:r>
        <w:rPr>
          <w:sz w:val="31"/>
        </w:rPr>
        <w:t>包装标志：易燃液体包装分类：Ⅱ</w:t>
      </w:r>
    </w:p>
    <w:p>
      <w:pPr>
        <w:spacing w:before="0" w:line="397" w:lineRule="exact"/>
        <w:ind w:left="708" w:right="0" w:firstLine="0"/>
        <w:jc w:val="left"/>
        <w:rPr>
          <w:sz w:val="31"/>
        </w:rPr>
      </w:pPr>
      <w:r>
        <w:rPr>
          <w:sz w:val="31"/>
        </w:rPr>
        <w:t>包装方法：小开口钢桶；螺纹口玻璃瓶、铁盖压口玻璃瓶、金属桶（罐）外普通大箱。</w:t>
      </w:r>
    </w:p>
    <w:p>
      <w:pPr>
        <w:spacing w:before="70" w:line="283" w:lineRule="auto"/>
        <w:ind w:left="708" w:right="431" w:firstLine="0"/>
        <w:jc w:val="left"/>
        <w:rPr>
          <w:sz w:val="31"/>
        </w:rPr>
      </w:pPr>
      <w:r>
        <w:rPr>
          <w:sz w:val="31"/>
        </w:rPr>
        <w:t xml:space="preserve">运输注意事项：运输时运输车辆应配备相应品种和数量的消防器材及泄漏应急处理设备。夏季最好  早晚运输。运输时所用的槽（罐）车应有接地链，槽内可设孔隔板以减少震荡产生静电。严禁与氧  </w:t>
      </w:r>
      <w:r>
        <w:rPr>
          <w:spacing w:val="-1"/>
          <w:sz w:val="31"/>
        </w:rPr>
        <w:t xml:space="preserve">化剂、食用化学品等混装混运。运输途中应防曝晒、雨淋，防高温。中途停留时应远离火种、热源、 </w:t>
      </w:r>
      <w:r>
        <w:rPr>
          <w:spacing w:val="-12"/>
          <w:sz w:val="31"/>
        </w:rPr>
        <w:t>高温区。装运该物品的车辆排气管必须配备阻火装置，禁止使用易产生火花的机械设备和工具装卸。 公路运输时要按规定路线行驶，勿在居民区和人口稠密区停留。铁路运输时要禁止溜放。</w:t>
      </w:r>
    </w:p>
    <w:p>
      <w:pPr>
        <w:pStyle w:val="Heading3"/>
        <w:spacing w:before="172"/>
        <w:ind w:left="708"/>
      </w:pPr>
      <w:r>
        <w:t>4. 120＃溶剂油</w:t>
      </w:r>
    </w:p>
    <w:p>
      <w:pPr>
        <w:pStyle w:val="BodyText"/>
        <w:spacing w:before="126"/>
        <w:ind w:left="1428"/>
      </w:pPr>
      <w:r>
        <w:t>120＃溶剂油的危险有害特性及其防护措施见附表 3.3-6。</w:t>
      </w:r>
    </w:p>
    <w:p>
      <w:pPr>
        <w:pStyle w:val="BodyText"/>
        <w:spacing w:before="1"/>
        <w:rPr>
          <w:sz w:val="33"/>
        </w:rPr>
      </w:pPr>
    </w:p>
    <w:p>
      <w:pPr>
        <w:pStyle w:val="Heading3"/>
        <w:tabs>
          <w:tab w:val="left" w:pos="1731"/>
        </w:tabs>
        <w:ind w:left="25"/>
        <w:jc w:val="center"/>
      </w:pPr>
      <w:r>
        <w:pict>
          <v:group id="_x0000_s1205" style="width:719.75pt;height:459.85pt;margin-top:27.43pt;margin-left:105.25pt;mso-position-horizontal-relative:page;position:absolute;z-index:-251635712" coordorigin="2105,549" coordsize="14395,9197">
            <v:shape id="_x0000_s1206" type="#_x0000_t75" style="width:14395;height:9197;left:2105;position:absolute;top:548" stroked="f">
              <v:imagedata r:id="rId110" o:title=""/>
            </v:shape>
            <v:shape id="_x0000_s1207" type="#_x0000_t202" style="width:337;height:785;left:2290;position:absolute;top:1403" filled="f" stroked="f">
              <v:textbox inset="0,0,0,0">
                <w:txbxContent>
                  <w:p>
                    <w:pPr>
                      <w:spacing w:before="0" w:line="359" w:lineRule="exact"/>
                      <w:ind w:left="0" w:right="0" w:firstLine="0"/>
                      <w:jc w:val="left"/>
                      <w:rPr>
                        <w:b/>
                        <w:sz w:val="31"/>
                      </w:rPr>
                    </w:pPr>
                    <w:r>
                      <w:rPr>
                        <w:b/>
                        <w:w w:val="101"/>
                        <w:sz w:val="31"/>
                      </w:rPr>
                      <w:t>标</w:t>
                    </w:r>
                  </w:p>
                  <w:p>
                    <w:pPr>
                      <w:spacing w:before="71" w:line="355" w:lineRule="exact"/>
                      <w:ind w:left="0" w:right="0" w:firstLine="0"/>
                      <w:jc w:val="left"/>
                      <w:rPr>
                        <w:b/>
                        <w:sz w:val="31"/>
                      </w:rPr>
                    </w:pPr>
                    <w:r>
                      <w:rPr>
                        <w:b/>
                        <w:w w:val="101"/>
                        <w:sz w:val="31"/>
                      </w:rPr>
                      <w:t>识</w:t>
                    </w:r>
                  </w:p>
                </w:txbxContent>
              </v:textbox>
            </v:shape>
            <v:shape id="_x0000_s1208" type="#_x0000_t202" style="width:2713;height:2219;left:3075;position:absolute;top:686" filled="f" stroked="f">
              <v:textbox inset="0,0,0,0">
                <w:txbxContent>
                  <w:p>
                    <w:pPr>
                      <w:spacing w:before="0" w:line="359" w:lineRule="exact"/>
                      <w:ind w:left="0" w:right="0" w:firstLine="0"/>
                      <w:jc w:val="left"/>
                      <w:rPr>
                        <w:sz w:val="31"/>
                      </w:rPr>
                    </w:pPr>
                    <w:r>
                      <w:rPr>
                        <w:spacing w:val="-2"/>
                        <w:sz w:val="31"/>
                      </w:rPr>
                      <w:t>中文名:</w:t>
                    </w:r>
                  </w:p>
                  <w:p>
                    <w:pPr>
                      <w:spacing w:before="71" w:line="300" w:lineRule="auto"/>
                      <w:ind w:left="0" w:right="1126" w:firstLine="0"/>
                      <w:jc w:val="left"/>
                      <w:rPr>
                        <w:sz w:val="31"/>
                      </w:rPr>
                    </w:pPr>
                    <w:r>
                      <w:rPr>
                        <w:sz w:val="31"/>
                      </w:rPr>
                      <w:t>120#</w:t>
                    </w:r>
                    <w:r>
                      <w:rPr>
                        <w:spacing w:val="-7"/>
                        <w:sz w:val="31"/>
                      </w:rPr>
                      <w:t>溶剂油</w:t>
                    </w:r>
                    <w:r>
                      <w:rPr>
                        <w:spacing w:val="-2"/>
                        <w:sz w:val="31"/>
                      </w:rPr>
                      <w:t>英文名:</w:t>
                    </w:r>
                  </w:p>
                  <w:p>
                    <w:pPr>
                      <w:spacing w:before="0" w:line="369" w:lineRule="exact"/>
                      <w:ind w:left="0" w:right="0" w:firstLine="0"/>
                      <w:jc w:val="left"/>
                      <w:rPr>
                        <w:sz w:val="31"/>
                      </w:rPr>
                    </w:pPr>
                    <w:r>
                      <w:rPr>
                        <w:sz w:val="31"/>
                      </w:rPr>
                      <w:t>mineralsolvents</w:t>
                    </w:r>
                  </w:p>
                  <w:p>
                    <w:pPr>
                      <w:spacing w:before="71" w:line="355" w:lineRule="exact"/>
                      <w:ind w:left="0" w:right="0" w:firstLine="0"/>
                      <w:jc w:val="left"/>
                      <w:rPr>
                        <w:sz w:val="31"/>
                      </w:rPr>
                    </w:pPr>
                    <w:r>
                      <w:rPr>
                        <w:sz w:val="31"/>
                      </w:rPr>
                      <w:t>forrublerindustry</w:t>
                    </w:r>
                  </w:p>
                </w:txbxContent>
              </v:textbox>
            </v:shape>
            <v:shape id="_x0000_s1209" type="#_x0000_t202" style="width:1284;height:1751;left:6971;position:absolute;top:686" filled="f" stroked="f">
              <v:textbox inset="0,0,0,0">
                <w:txbxContent>
                  <w:p>
                    <w:pPr>
                      <w:spacing w:before="0" w:line="359" w:lineRule="exact"/>
                      <w:ind w:left="0" w:right="0" w:firstLine="0"/>
                      <w:jc w:val="left"/>
                      <w:rPr>
                        <w:sz w:val="31"/>
                      </w:rPr>
                    </w:pPr>
                    <w:r>
                      <w:rPr>
                        <w:sz w:val="31"/>
                      </w:rPr>
                      <w:t>CAS 号:</w:t>
                    </w:r>
                  </w:p>
                  <w:p>
                    <w:pPr>
                      <w:spacing w:before="71"/>
                      <w:ind w:left="0" w:right="0" w:firstLine="0"/>
                      <w:jc w:val="left"/>
                      <w:rPr>
                        <w:sz w:val="31"/>
                      </w:rPr>
                    </w:pPr>
                    <w:r>
                      <w:rPr>
                        <w:sz w:val="31"/>
                      </w:rPr>
                      <w:t>——</w:t>
                    </w:r>
                  </w:p>
                  <w:p>
                    <w:pPr>
                      <w:spacing w:before="37" w:line="460" w:lineRule="atLeast"/>
                      <w:ind w:left="0" w:right="0" w:firstLine="0"/>
                      <w:jc w:val="left"/>
                      <w:rPr>
                        <w:sz w:val="31"/>
                      </w:rPr>
                    </w:pPr>
                    <w:r>
                      <w:rPr>
                        <w:sz w:val="31"/>
                      </w:rPr>
                      <w:t>UN 编号: 3082</w:t>
                    </w:r>
                  </w:p>
                </w:txbxContent>
              </v:textbox>
            </v:shape>
            <v:shape id="_x0000_s1210" type="#_x0000_t202" style="width:2548;height:1751;left:9185;position:absolute;top:686" filled="f" stroked="f">
              <v:textbox inset="0,0,0,0">
                <w:txbxContent>
                  <w:p>
                    <w:pPr>
                      <w:spacing w:before="0" w:line="359" w:lineRule="exact"/>
                      <w:ind w:left="0" w:right="0" w:firstLine="0"/>
                      <w:jc w:val="left"/>
                      <w:rPr>
                        <w:sz w:val="31"/>
                      </w:rPr>
                    </w:pPr>
                    <w:r>
                      <w:rPr>
                        <w:spacing w:val="4"/>
                        <w:sz w:val="31"/>
                      </w:rPr>
                      <w:t>分子式: 混合物</w:t>
                    </w:r>
                  </w:p>
                  <w:p>
                    <w:pPr>
                      <w:spacing w:before="86" w:line="290" w:lineRule="auto"/>
                      <w:ind w:left="0" w:right="18" w:firstLine="0"/>
                      <w:jc w:val="left"/>
                      <w:rPr>
                        <w:sz w:val="31"/>
                      </w:rPr>
                    </w:pPr>
                    <w:r>
                      <w:rPr>
                        <w:spacing w:val="-2"/>
                        <w:sz w:val="31"/>
                      </w:rPr>
                      <w:t>相对分子质量</w:t>
                    </w:r>
                    <w:r>
                      <w:rPr>
                        <w:spacing w:val="-5"/>
                        <w:sz w:val="31"/>
                      </w:rPr>
                      <w:t xml:space="preserve">:155 </w:t>
                    </w:r>
                    <w:r>
                      <w:rPr>
                        <w:sz w:val="31"/>
                      </w:rPr>
                      <w:t>危险货物编号：</w:t>
                    </w:r>
                  </w:p>
                  <w:p>
                    <w:pPr>
                      <w:spacing w:before="0" w:line="344" w:lineRule="exact"/>
                      <w:ind w:left="0" w:right="0" w:firstLine="0"/>
                      <w:jc w:val="left"/>
                      <w:rPr>
                        <w:sz w:val="31"/>
                      </w:rPr>
                    </w:pPr>
                    <w:r>
                      <w:rPr>
                        <w:sz w:val="31"/>
                      </w:rPr>
                      <w:t>——</w:t>
                    </w:r>
                  </w:p>
                </w:txbxContent>
              </v:textbox>
            </v:shape>
            <v:shape id="_x0000_s1211" type="#_x0000_t202" style="width:1757;height:1751;left:12843;position:absolute;top:686" filled="f" stroked="f">
              <v:textbox inset="0,0,0,0">
                <w:txbxContent>
                  <w:p>
                    <w:pPr>
                      <w:spacing w:before="0" w:line="359" w:lineRule="exact"/>
                      <w:ind w:left="0" w:right="0" w:firstLine="0"/>
                      <w:jc w:val="left"/>
                      <w:rPr>
                        <w:sz w:val="31"/>
                      </w:rPr>
                    </w:pPr>
                    <w:r>
                      <w:rPr>
                        <w:sz w:val="31"/>
                      </w:rPr>
                      <w:t>危险性类别:</w:t>
                    </w:r>
                  </w:p>
                  <w:p>
                    <w:pPr>
                      <w:spacing w:before="71"/>
                      <w:ind w:left="0" w:right="0" w:firstLine="0"/>
                      <w:jc w:val="left"/>
                      <w:rPr>
                        <w:sz w:val="31"/>
                      </w:rPr>
                    </w:pPr>
                    <w:r>
                      <w:rPr>
                        <w:sz w:val="31"/>
                      </w:rPr>
                      <w:t>——</w:t>
                    </w:r>
                  </w:p>
                  <w:p>
                    <w:pPr>
                      <w:spacing w:before="37" w:line="460" w:lineRule="atLeast"/>
                      <w:ind w:left="0" w:right="331" w:firstLine="0"/>
                      <w:jc w:val="left"/>
                      <w:rPr>
                        <w:sz w:val="31"/>
                      </w:rPr>
                    </w:pPr>
                    <w:r>
                      <w:rPr>
                        <w:sz w:val="31"/>
                      </w:rPr>
                      <w:t>化学类别: 烷烃类</w:t>
                    </w:r>
                  </w:p>
                </w:txbxContent>
              </v:textbox>
            </v:shape>
            <v:shape id="_x0000_s1212" type="#_x0000_t202" style="width:337;height:2747;left:2290;position:absolute;top:6829" filled="f" stroked="f">
              <v:textbox inset="0,0,0,0">
                <w:txbxContent>
                  <w:p>
                    <w:pPr>
                      <w:spacing w:before="0" w:line="359" w:lineRule="exact"/>
                      <w:ind w:left="0" w:right="0" w:firstLine="0"/>
                      <w:jc w:val="left"/>
                      <w:rPr>
                        <w:b/>
                        <w:sz w:val="31"/>
                      </w:rPr>
                    </w:pPr>
                    <w:r>
                      <w:rPr>
                        <w:b/>
                        <w:w w:val="101"/>
                        <w:sz w:val="31"/>
                      </w:rPr>
                      <w:t>康</w:t>
                    </w:r>
                  </w:p>
                  <w:p>
                    <w:pPr>
                      <w:spacing w:before="71" w:line="283" w:lineRule="auto"/>
                      <w:ind w:left="0" w:right="18" w:firstLine="0"/>
                      <w:jc w:val="left"/>
                      <w:rPr>
                        <w:b/>
                        <w:sz w:val="31"/>
                      </w:rPr>
                    </w:pPr>
                    <w:r>
                      <w:rPr>
                        <w:b/>
                        <w:sz w:val="31"/>
                      </w:rPr>
                      <w:t>危害</w:t>
                    </w:r>
                  </w:p>
                  <w:p>
                    <w:pPr>
                      <w:spacing w:before="25" w:line="460" w:lineRule="atLeast"/>
                      <w:ind w:left="0" w:right="18" w:firstLine="0"/>
                      <w:jc w:val="both"/>
                      <w:rPr>
                        <w:b/>
                        <w:sz w:val="31"/>
                      </w:rPr>
                    </w:pPr>
                    <w:r>
                      <w:rPr>
                        <w:b/>
                        <w:sz w:val="31"/>
                      </w:rPr>
                      <w:t>燃烧爆</w:t>
                    </w:r>
                  </w:p>
                </w:txbxContent>
              </v:textbox>
            </v:shape>
            <v:shape id="_x0000_s1213" type="#_x0000_t202" style="width:654;height:785;left:3075;position:absolute;top:7095" filled="f" stroked="f">
              <v:textbox inset="0,0,0,0">
                <w:txbxContent>
                  <w:p>
                    <w:pPr>
                      <w:spacing w:before="0" w:line="359" w:lineRule="exact"/>
                      <w:ind w:left="0" w:right="0" w:firstLine="0"/>
                      <w:jc w:val="left"/>
                      <w:rPr>
                        <w:sz w:val="31"/>
                      </w:rPr>
                    </w:pPr>
                    <w:r>
                      <w:rPr>
                        <w:sz w:val="31"/>
                      </w:rPr>
                      <w:t>健康</w:t>
                    </w:r>
                  </w:p>
                  <w:p>
                    <w:pPr>
                      <w:spacing w:before="71" w:line="355" w:lineRule="exact"/>
                      <w:ind w:left="0" w:right="0" w:firstLine="0"/>
                      <w:jc w:val="left"/>
                      <w:rPr>
                        <w:sz w:val="31"/>
                      </w:rPr>
                    </w:pPr>
                    <w:r>
                      <w:rPr>
                        <w:sz w:val="31"/>
                      </w:rPr>
                      <w:t>危害</w:t>
                    </w:r>
                  </w:p>
                </w:txbxContent>
              </v:textbox>
            </v:shape>
            <v:shape id="_x0000_s1214" type="#_x0000_t202" style="width:12223;height:785;left:4115;position:absolute;top:6890" filled="f" stroked="f">
              <v:textbox inset="0,0,0,0">
                <w:txbxContent>
                  <w:p>
                    <w:pPr>
                      <w:spacing w:before="0" w:line="359" w:lineRule="exact"/>
                      <w:ind w:left="0" w:right="0" w:firstLine="0"/>
                      <w:jc w:val="left"/>
                      <w:rPr>
                        <w:sz w:val="31"/>
                      </w:rPr>
                    </w:pPr>
                    <w:r>
                      <w:rPr>
                        <w:sz w:val="31"/>
                      </w:rPr>
                      <w:t>长时间吸入会使人神经麻痹，其毒性随芳烃及硫含量的增大而增大。工作现场应注意安全</w:t>
                    </w:r>
                  </w:p>
                  <w:p>
                    <w:pPr>
                      <w:spacing w:before="71" w:line="355" w:lineRule="exact"/>
                      <w:ind w:left="0" w:right="0" w:firstLine="0"/>
                      <w:jc w:val="left"/>
                      <w:rPr>
                        <w:sz w:val="31"/>
                      </w:rPr>
                    </w:pPr>
                    <w:r>
                      <w:rPr>
                        <w:sz w:val="31"/>
                      </w:rPr>
                      <w:t>防护。</w:t>
                    </w:r>
                  </w:p>
                </w:txbxContent>
              </v:textbox>
            </v:shape>
            <v:shape id="_x0000_s1215" type="#_x0000_t202" style="width:971;height:317;left:3075;position:absolute;top:8251" filled="f" stroked="f">
              <v:textbox inset="0,0,0,0">
                <w:txbxContent>
                  <w:p>
                    <w:pPr>
                      <w:spacing w:before="0" w:line="317" w:lineRule="exact"/>
                      <w:ind w:left="0" w:right="0" w:firstLine="0"/>
                      <w:jc w:val="left"/>
                      <w:rPr>
                        <w:sz w:val="31"/>
                      </w:rPr>
                    </w:pPr>
                    <w:r>
                      <w:rPr>
                        <w:sz w:val="31"/>
                      </w:rPr>
                      <w:t>燃烧性</w:t>
                    </w:r>
                  </w:p>
                </w:txbxContent>
              </v:textbox>
            </v:shape>
            <v:shape id="_x0000_s1216" type="#_x0000_t202" style="width:654;height:317;left:6971;position:absolute;top:8251" filled="f" stroked="f">
              <v:textbox inset="0,0,0,0">
                <w:txbxContent>
                  <w:p>
                    <w:pPr>
                      <w:spacing w:before="0" w:line="317" w:lineRule="exact"/>
                      <w:ind w:left="0" w:right="0" w:firstLine="0"/>
                      <w:jc w:val="left"/>
                      <w:rPr>
                        <w:sz w:val="31"/>
                      </w:rPr>
                    </w:pPr>
                    <w:r>
                      <w:rPr>
                        <w:sz w:val="31"/>
                      </w:rPr>
                      <w:t>可燃</w:t>
                    </w:r>
                  </w:p>
                </w:txbxContent>
              </v:textbox>
            </v:shape>
            <v:shape id="_x0000_s1217" type="#_x0000_t202" style="width:1604;height:317;left:9185;position:absolute;top:8251" filled="f" stroked="f">
              <v:textbox inset="0,0,0,0">
                <w:txbxContent>
                  <w:p>
                    <w:pPr>
                      <w:spacing w:before="0" w:line="317" w:lineRule="exact"/>
                      <w:ind w:left="0" w:right="0" w:firstLine="0"/>
                      <w:jc w:val="left"/>
                      <w:rPr>
                        <w:sz w:val="31"/>
                      </w:rPr>
                    </w:pPr>
                    <w:r>
                      <w:rPr>
                        <w:sz w:val="31"/>
                      </w:rPr>
                      <w:t>闪点（℃）</w:t>
                    </w:r>
                  </w:p>
                </w:txbxContent>
              </v:textbox>
            </v:shape>
            <v:shape id="_x0000_s1218" type="#_x0000_t202" style="width:1921;height:800;left:3075;position:absolute;top:8852" filled="f" stroked="f">
              <v:textbox inset="0,0,0,0">
                <w:txbxContent>
                  <w:p>
                    <w:pPr>
                      <w:spacing w:before="0" w:line="359" w:lineRule="exact"/>
                      <w:ind w:left="0" w:right="0" w:firstLine="0"/>
                      <w:jc w:val="left"/>
                      <w:rPr>
                        <w:sz w:val="31"/>
                      </w:rPr>
                    </w:pPr>
                    <w:r>
                      <w:rPr>
                        <w:sz w:val="31"/>
                      </w:rPr>
                      <w:t>稳定性</w:t>
                    </w:r>
                  </w:p>
                  <w:p>
                    <w:pPr>
                      <w:spacing w:before="85" w:line="355" w:lineRule="exact"/>
                      <w:ind w:left="0" w:right="0" w:firstLine="0"/>
                      <w:jc w:val="left"/>
                      <w:rPr>
                        <w:sz w:val="31"/>
                      </w:rPr>
                    </w:pPr>
                    <w:r>
                      <w:rPr>
                        <w:sz w:val="31"/>
                      </w:rPr>
                      <w:t>燃烧分解产物</w:t>
                    </w:r>
                  </w:p>
                </w:txbxContent>
              </v:textbox>
            </v:shape>
            <v:shape id="_x0000_s1219" type="#_x0000_t202" style="width:654;height:317;left:6971;position:absolute;top:8852" filled="f" stroked="f">
              <v:textbox inset="0,0,0,0">
                <w:txbxContent>
                  <w:p>
                    <w:pPr>
                      <w:spacing w:before="0" w:line="317" w:lineRule="exact"/>
                      <w:ind w:left="0" w:right="0" w:firstLine="0"/>
                      <w:jc w:val="left"/>
                      <w:rPr>
                        <w:sz w:val="31"/>
                      </w:rPr>
                    </w:pPr>
                    <w:r>
                      <w:rPr>
                        <w:sz w:val="31"/>
                      </w:rPr>
                      <w:t>稳定</w:t>
                    </w:r>
                  </w:p>
                </w:txbxContent>
              </v:textbox>
            </v:shape>
            <v:shape id="_x0000_s1220" type="#_x0000_t202" style="width:1288;height:317;left:9185;position:absolute;top:8852" filled="f" stroked="f">
              <v:textbox inset="0,0,0,0">
                <w:txbxContent>
                  <w:p>
                    <w:pPr>
                      <w:spacing w:before="0" w:line="317" w:lineRule="exact"/>
                      <w:ind w:left="0" w:right="0" w:firstLine="0"/>
                      <w:jc w:val="left"/>
                      <w:rPr>
                        <w:sz w:val="31"/>
                      </w:rPr>
                    </w:pPr>
                    <w:r>
                      <w:rPr>
                        <w:sz w:val="31"/>
                      </w:rPr>
                      <w:t>聚合危害</w:t>
                    </w:r>
                  </w:p>
                </w:txbxContent>
              </v:textbox>
            </v:shape>
            <v:shape id="_x0000_s1221" type="#_x0000_t202" style="width:971;height:861;left:12843;position:absolute;top:8309" filled="f" stroked="f">
              <v:textbox inset="0,0,0,0">
                <w:txbxContent>
                  <w:p>
                    <w:pPr>
                      <w:spacing w:before="0" w:line="359" w:lineRule="exact"/>
                      <w:ind w:left="0" w:right="0" w:firstLine="0"/>
                      <w:jc w:val="left"/>
                      <w:rPr>
                        <w:sz w:val="31"/>
                      </w:rPr>
                    </w:pPr>
                    <w:r>
                      <w:rPr>
                        <w:sz w:val="31"/>
                      </w:rPr>
                      <w:t>95</w:t>
                    </w:r>
                  </w:p>
                  <w:p>
                    <w:pPr>
                      <w:spacing w:before="146" w:line="355" w:lineRule="exact"/>
                      <w:ind w:left="0" w:right="0" w:firstLine="0"/>
                      <w:jc w:val="left"/>
                      <w:rPr>
                        <w:sz w:val="31"/>
                      </w:rPr>
                    </w:pPr>
                    <w:r>
                      <w:rPr>
                        <w:sz w:val="31"/>
                      </w:rPr>
                      <w:t>不聚合</w:t>
                    </w:r>
                  </w:p>
                </w:txbxContent>
              </v:textbox>
            </v:shape>
            <v:shape id="_x0000_s1222" type="#_x0000_t202" style="width:2872;height:317;left:6971;position:absolute;top:9335" filled="f" stroked="f">
              <v:textbox inset="0,0,0,0">
                <w:txbxContent>
                  <w:p>
                    <w:pPr>
                      <w:spacing w:before="0" w:line="317" w:lineRule="exact"/>
                      <w:ind w:left="0" w:right="0" w:firstLine="0"/>
                      <w:jc w:val="left"/>
                      <w:rPr>
                        <w:sz w:val="31"/>
                      </w:rPr>
                    </w:pPr>
                    <w:r>
                      <w:rPr>
                        <w:sz w:val="31"/>
                      </w:rPr>
                      <w:t>一氧化碳、二氧化碳</w:t>
                    </w:r>
                  </w:p>
                </w:txbxContent>
              </v:textbox>
            </v:shape>
          </v:group>
        </w:pict>
      </w:r>
      <w:r>
        <w:t>表</w:t>
      </w:r>
      <w:r>
        <w:rPr>
          <w:spacing w:val="-98"/>
        </w:rPr>
        <w:t xml:space="preserve"> </w:t>
      </w:r>
      <w:r>
        <w:t>3.3-6</w:t>
        <w:tab/>
      </w:r>
      <w:r>
        <w:rPr>
          <w:spacing w:val="-6"/>
        </w:rPr>
        <w:t>120＃</w:t>
      </w:r>
      <w:r>
        <w:t>溶剂油的危险有害特性及其防护措施表</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23"/>
        </w:rPr>
      </w:pPr>
    </w:p>
    <w:tbl>
      <w:tblPr>
        <w:tblStyle w:val="TableNormal6"/>
        <w:tblW w:w="0" w:type="auto"/>
        <w:jc w:val="left"/>
        <w:tblInd w:w="8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01"/>
        <w:gridCol w:w="3287"/>
        <w:gridCol w:w="7557"/>
      </w:tblGrid>
      <w:tr>
        <w:tblPrEx>
          <w:tblW w:w="0" w:type="auto"/>
          <w:jc w:val="left"/>
          <w:tblInd w:w="8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601" w:type="dxa"/>
          </w:tcPr>
          <w:p>
            <w:pPr>
              <w:pStyle w:val="TableParagraph"/>
              <w:spacing w:line="359" w:lineRule="exact"/>
              <w:ind w:left="50"/>
              <w:jc w:val="left"/>
              <w:rPr>
                <w:b/>
                <w:sz w:val="31"/>
              </w:rPr>
            </w:pPr>
            <w:r>
              <w:rPr>
                <w:b/>
                <w:w w:val="101"/>
                <w:sz w:val="31"/>
              </w:rPr>
              <w:t>理</w:t>
            </w:r>
          </w:p>
        </w:tc>
        <w:tc>
          <w:tcPr>
            <w:tcW w:w="3287" w:type="dxa"/>
          </w:tcPr>
          <w:p>
            <w:pPr>
              <w:pStyle w:val="TableParagraph"/>
              <w:spacing w:line="359" w:lineRule="exact"/>
              <w:ind w:left="233"/>
              <w:jc w:val="left"/>
              <w:rPr>
                <w:sz w:val="31"/>
              </w:rPr>
            </w:pPr>
            <w:r>
              <w:rPr>
                <w:sz w:val="31"/>
              </w:rPr>
              <w:t>外观与性状</w:t>
            </w:r>
          </w:p>
        </w:tc>
        <w:tc>
          <w:tcPr>
            <w:tcW w:w="7557" w:type="dxa"/>
          </w:tcPr>
          <w:p>
            <w:pPr>
              <w:pStyle w:val="TableParagraph"/>
              <w:spacing w:line="359" w:lineRule="exact"/>
              <w:ind w:left="842"/>
              <w:jc w:val="left"/>
              <w:rPr>
                <w:sz w:val="31"/>
              </w:rPr>
            </w:pPr>
            <w:r>
              <w:rPr>
                <w:sz w:val="31"/>
              </w:rPr>
              <w:t>无色透明液体，由 80℃～120℃的石油馏分组成</w:t>
            </w:r>
          </w:p>
        </w:tc>
      </w:tr>
      <w:tr>
        <w:tblPrEx>
          <w:tblW w:w="0" w:type="auto"/>
          <w:jc w:val="left"/>
          <w:tblInd w:w="827" w:type="dxa"/>
          <w:tblLayout w:type="fixed"/>
          <w:tblCellMar>
            <w:top w:w="0" w:type="dxa"/>
            <w:left w:w="0" w:type="dxa"/>
            <w:bottom w:w="0" w:type="dxa"/>
            <w:right w:w="0" w:type="dxa"/>
          </w:tblCellMar>
          <w:tblLook w:val="01E0"/>
        </w:tblPrEx>
        <w:trPr>
          <w:trHeight w:val="475"/>
          <w:jc w:val="left"/>
        </w:trPr>
        <w:tc>
          <w:tcPr>
            <w:tcW w:w="601" w:type="dxa"/>
          </w:tcPr>
          <w:p>
            <w:pPr>
              <w:pStyle w:val="TableParagraph"/>
              <w:spacing w:before="38"/>
              <w:ind w:left="50"/>
              <w:jc w:val="left"/>
              <w:rPr>
                <w:b/>
                <w:sz w:val="31"/>
              </w:rPr>
            </w:pPr>
            <w:r>
              <w:rPr>
                <w:b/>
                <w:w w:val="101"/>
                <w:sz w:val="31"/>
              </w:rPr>
              <w:t>化</w:t>
            </w:r>
          </w:p>
        </w:tc>
        <w:tc>
          <w:tcPr>
            <w:tcW w:w="3287" w:type="dxa"/>
          </w:tcPr>
          <w:p>
            <w:pPr>
              <w:pStyle w:val="TableParagraph"/>
              <w:spacing w:before="52"/>
              <w:ind w:left="233"/>
              <w:jc w:val="left"/>
              <w:rPr>
                <w:sz w:val="31"/>
              </w:rPr>
            </w:pPr>
            <w:r>
              <w:rPr>
                <w:sz w:val="31"/>
              </w:rPr>
              <w:t>熔点（℃）</w:t>
            </w:r>
          </w:p>
        </w:tc>
        <w:tc>
          <w:tcPr>
            <w:tcW w:w="7557" w:type="dxa"/>
          </w:tcPr>
          <w:p>
            <w:pPr>
              <w:pStyle w:val="TableParagraph"/>
              <w:tabs>
                <w:tab w:val="left" w:pos="3056"/>
                <w:tab w:val="right" w:pos="7506"/>
              </w:tabs>
              <w:spacing w:before="52"/>
              <w:ind w:left="842"/>
              <w:jc w:val="left"/>
              <w:rPr>
                <w:sz w:val="31"/>
              </w:rPr>
            </w:pPr>
            <w:r>
              <w:rPr>
                <w:sz w:val="31"/>
              </w:rPr>
              <w:t>&lt;-13</w:t>
              <w:tab/>
              <w:t>相对密</w:t>
            </w:r>
            <w:r>
              <w:rPr>
                <w:spacing w:val="-3"/>
                <w:sz w:val="31"/>
              </w:rPr>
              <w:t>度</w:t>
            </w:r>
            <w:r>
              <w:rPr>
                <w:spacing w:val="-4"/>
                <w:sz w:val="31"/>
              </w:rPr>
              <w:t>(</w:t>
            </w:r>
            <w:r>
              <w:rPr>
                <w:sz w:val="31"/>
              </w:rPr>
              <w:t>水=1)</w:t>
              <w:tab/>
              <w:t>0.994</w:t>
            </w:r>
          </w:p>
        </w:tc>
      </w:tr>
      <w:tr>
        <w:tblPrEx>
          <w:tblW w:w="0" w:type="auto"/>
          <w:jc w:val="left"/>
          <w:tblInd w:w="827" w:type="dxa"/>
          <w:tblLayout w:type="fixed"/>
          <w:tblCellMar>
            <w:top w:w="0" w:type="dxa"/>
            <w:left w:w="0" w:type="dxa"/>
            <w:bottom w:w="0" w:type="dxa"/>
            <w:right w:w="0" w:type="dxa"/>
          </w:tblCellMar>
          <w:tblLook w:val="01E0"/>
        </w:tblPrEx>
        <w:trPr>
          <w:trHeight w:val="936"/>
          <w:jc w:val="left"/>
        </w:trPr>
        <w:tc>
          <w:tcPr>
            <w:tcW w:w="601" w:type="dxa"/>
          </w:tcPr>
          <w:p>
            <w:pPr>
              <w:pStyle w:val="TableParagraph"/>
              <w:spacing w:before="30"/>
              <w:ind w:left="50"/>
              <w:jc w:val="left"/>
              <w:rPr>
                <w:b/>
                <w:sz w:val="31"/>
              </w:rPr>
            </w:pPr>
            <w:r>
              <w:rPr>
                <w:b/>
                <w:w w:val="101"/>
                <w:sz w:val="31"/>
              </w:rPr>
              <w:t>性</w:t>
            </w:r>
          </w:p>
          <w:p>
            <w:pPr>
              <w:pStyle w:val="TableParagraph"/>
              <w:spacing w:before="71"/>
              <w:ind w:left="50"/>
              <w:jc w:val="left"/>
              <w:rPr>
                <w:b/>
                <w:sz w:val="31"/>
              </w:rPr>
            </w:pPr>
            <w:r>
              <w:rPr>
                <w:b/>
                <w:w w:val="101"/>
                <w:sz w:val="31"/>
              </w:rPr>
              <w:t>质</w:t>
            </w:r>
          </w:p>
        </w:tc>
        <w:tc>
          <w:tcPr>
            <w:tcW w:w="3287" w:type="dxa"/>
          </w:tcPr>
          <w:p>
            <w:pPr>
              <w:pStyle w:val="TableParagraph"/>
              <w:spacing w:before="63"/>
              <w:ind w:left="233"/>
              <w:jc w:val="left"/>
              <w:rPr>
                <w:sz w:val="31"/>
              </w:rPr>
            </w:pPr>
            <w:r>
              <w:rPr>
                <w:sz w:val="31"/>
              </w:rPr>
              <w:t>溶解性</w:t>
            </w:r>
          </w:p>
        </w:tc>
        <w:tc>
          <w:tcPr>
            <w:tcW w:w="7557" w:type="dxa"/>
          </w:tcPr>
          <w:p>
            <w:pPr>
              <w:pStyle w:val="TableParagraph"/>
              <w:spacing w:before="63"/>
              <w:ind w:left="842"/>
              <w:jc w:val="left"/>
              <w:rPr>
                <w:sz w:val="31"/>
              </w:rPr>
            </w:pPr>
            <w:r>
              <w:rPr>
                <w:sz w:val="31"/>
              </w:rPr>
              <w:t>不溶于水</w:t>
            </w:r>
          </w:p>
        </w:tc>
      </w:tr>
      <w:tr>
        <w:tblPrEx>
          <w:tblW w:w="0" w:type="auto"/>
          <w:jc w:val="left"/>
          <w:tblInd w:w="827" w:type="dxa"/>
          <w:tblLayout w:type="fixed"/>
          <w:tblCellMar>
            <w:top w:w="0" w:type="dxa"/>
            <w:left w:w="0" w:type="dxa"/>
            <w:bottom w:w="0" w:type="dxa"/>
            <w:right w:w="0" w:type="dxa"/>
          </w:tblCellMar>
          <w:tblLook w:val="01E0"/>
        </w:tblPrEx>
        <w:trPr>
          <w:trHeight w:val="475"/>
          <w:jc w:val="left"/>
        </w:trPr>
        <w:tc>
          <w:tcPr>
            <w:tcW w:w="601" w:type="dxa"/>
          </w:tcPr>
          <w:p>
            <w:pPr>
              <w:pStyle w:val="TableParagraph"/>
              <w:spacing w:before="45"/>
              <w:ind w:left="50"/>
              <w:jc w:val="left"/>
              <w:rPr>
                <w:b/>
                <w:sz w:val="31"/>
              </w:rPr>
            </w:pPr>
            <w:r>
              <w:rPr>
                <w:b/>
                <w:w w:val="101"/>
                <w:sz w:val="31"/>
              </w:rPr>
              <w:t>毒</w:t>
            </w:r>
          </w:p>
        </w:tc>
        <w:tc>
          <w:tcPr>
            <w:tcW w:w="3287" w:type="dxa"/>
          </w:tcPr>
          <w:p>
            <w:pPr>
              <w:pStyle w:val="TableParagraph"/>
              <w:spacing w:before="45"/>
              <w:ind w:left="233"/>
              <w:jc w:val="left"/>
              <w:rPr>
                <w:sz w:val="31"/>
              </w:rPr>
            </w:pPr>
            <w:r>
              <w:rPr>
                <w:sz w:val="31"/>
              </w:rPr>
              <w:t>接触限值</w:t>
            </w:r>
          </w:p>
        </w:tc>
        <w:tc>
          <w:tcPr>
            <w:tcW w:w="7557" w:type="dxa"/>
          </w:tcPr>
          <w:p>
            <w:pPr>
              <w:pStyle w:val="TableParagraph"/>
              <w:tabs>
                <w:tab w:val="left" w:pos="6714"/>
              </w:tabs>
              <w:spacing w:before="45"/>
              <w:ind w:left="842"/>
              <w:jc w:val="left"/>
              <w:rPr>
                <w:sz w:val="31"/>
              </w:rPr>
            </w:pPr>
            <w:r>
              <w:rPr>
                <w:sz w:val="31"/>
              </w:rPr>
              <w:t>中国</w:t>
            </w:r>
            <w:r>
              <w:rPr>
                <w:spacing w:val="-65"/>
                <w:sz w:val="31"/>
              </w:rPr>
              <w:t xml:space="preserve"> </w:t>
            </w:r>
            <w:r>
              <w:rPr>
                <w:sz w:val="31"/>
              </w:rPr>
              <w:t>MAC(mg/</w:t>
            </w:r>
            <w:r>
              <w:rPr>
                <w:position w:val="4"/>
                <w:sz w:val="16"/>
              </w:rPr>
              <w:t>m</w:t>
            </w:r>
            <w:r>
              <w:rPr>
                <w:sz w:val="31"/>
              </w:rPr>
              <w:t>m</w:t>
            </w:r>
            <w:r>
              <w:rPr>
                <w:position w:val="4"/>
                <w:sz w:val="16"/>
              </w:rPr>
              <w:t>3</w:t>
            </w:r>
            <w:r>
              <w:rPr>
                <w:sz w:val="31"/>
              </w:rPr>
              <w:t>)</w:t>
              <w:tab/>
              <w:t>——</w:t>
            </w:r>
          </w:p>
        </w:tc>
      </w:tr>
      <w:tr>
        <w:tblPrEx>
          <w:tblW w:w="0" w:type="auto"/>
          <w:jc w:val="left"/>
          <w:tblInd w:w="827" w:type="dxa"/>
          <w:tblLayout w:type="fixed"/>
          <w:tblCellMar>
            <w:top w:w="0" w:type="dxa"/>
            <w:left w:w="0" w:type="dxa"/>
            <w:bottom w:w="0" w:type="dxa"/>
            <w:right w:w="0" w:type="dxa"/>
          </w:tblCellMar>
          <w:tblLook w:val="01E0"/>
        </w:tblPrEx>
        <w:trPr>
          <w:trHeight w:val="476"/>
          <w:jc w:val="left"/>
        </w:trPr>
        <w:tc>
          <w:tcPr>
            <w:tcW w:w="601" w:type="dxa"/>
          </w:tcPr>
          <w:p>
            <w:pPr>
              <w:pStyle w:val="TableParagraph"/>
              <w:spacing w:before="38"/>
              <w:ind w:left="50"/>
              <w:jc w:val="left"/>
              <w:rPr>
                <w:b/>
                <w:sz w:val="31"/>
              </w:rPr>
            </w:pPr>
            <w:r>
              <w:rPr>
                <w:b/>
                <w:w w:val="101"/>
                <w:sz w:val="31"/>
              </w:rPr>
              <w:t>性</w:t>
            </w:r>
          </w:p>
        </w:tc>
        <w:tc>
          <w:tcPr>
            <w:tcW w:w="3287" w:type="dxa"/>
          </w:tcPr>
          <w:p>
            <w:pPr>
              <w:pStyle w:val="TableParagraph"/>
              <w:spacing w:before="38"/>
              <w:ind w:left="233"/>
              <w:jc w:val="left"/>
              <w:rPr>
                <w:sz w:val="31"/>
              </w:rPr>
            </w:pPr>
            <w:r>
              <w:rPr>
                <w:sz w:val="31"/>
              </w:rPr>
              <w:t>(车间卫生标准)</w:t>
            </w:r>
          </w:p>
        </w:tc>
        <w:tc>
          <w:tcPr>
            <w:tcW w:w="7557" w:type="dxa"/>
          </w:tcPr>
          <w:p>
            <w:pPr>
              <w:pStyle w:val="TableParagraph"/>
              <w:tabs>
                <w:tab w:val="left" w:pos="6714"/>
              </w:tabs>
              <w:spacing w:before="56"/>
              <w:ind w:left="842"/>
              <w:jc w:val="left"/>
              <w:rPr>
                <w:sz w:val="31"/>
              </w:rPr>
            </w:pPr>
            <w:r>
              <w:rPr>
                <w:sz w:val="31"/>
              </w:rPr>
              <w:t>前苏</w:t>
            </w:r>
            <w:r>
              <w:rPr>
                <w:spacing w:val="75"/>
                <w:sz w:val="31"/>
              </w:rPr>
              <w:t>联</w:t>
            </w:r>
            <w:r>
              <w:rPr>
                <w:sz w:val="31"/>
              </w:rPr>
              <w:t>MAC(mg/</w:t>
            </w:r>
            <w:r>
              <w:rPr>
                <w:position w:val="4"/>
                <w:sz w:val="16"/>
              </w:rPr>
              <w:t>m</w:t>
            </w:r>
            <w:r>
              <w:rPr>
                <w:sz w:val="31"/>
              </w:rPr>
              <w:t>m</w:t>
            </w:r>
            <w:r>
              <w:rPr>
                <w:position w:val="4"/>
                <w:sz w:val="16"/>
              </w:rPr>
              <w:t>3</w:t>
            </w:r>
            <w:r>
              <w:rPr>
                <w:sz w:val="31"/>
              </w:rPr>
              <w:t>)</w:t>
              <w:tab/>
              <w:t>——</w:t>
            </w:r>
          </w:p>
        </w:tc>
      </w:tr>
      <w:tr>
        <w:tblPrEx>
          <w:tblW w:w="0" w:type="auto"/>
          <w:jc w:val="left"/>
          <w:tblInd w:w="827" w:type="dxa"/>
          <w:tblLayout w:type="fixed"/>
          <w:tblCellMar>
            <w:top w:w="0" w:type="dxa"/>
            <w:left w:w="0" w:type="dxa"/>
            <w:bottom w:w="0" w:type="dxa"/>
            <w:right w:w="0" w:type="dxa"/>
          </w:tblCellMar>
          <w:tblLook w:val="01E0"/>
        </w:tblPrEx>
        <w:trPr>
          <w:trHeight w:val="899"/>
          <w:jc w:val="left"/>
        </w:trPr>
        <w:tc>
          <w:tcPr>
            <w:tcW w:w="601" w:type="dxa"/>
          </w:tcPr>
          <w:p>
            <w:pPr>
              <w:pStyle w:val="TableParagraph"/>
              <w:spacing w:before="29"/>
              <w:ind w:left="50"/>
              <w:jc w:val="left"/>
              <w:rPr>
                <w:b/>
                <w:sz w:val="31"/>
              </w:rPr>
            </w:pPr>
            <w:r>
              <w:rPr>
                <w:b/>
                <w:w w:val="101"/>
                <w:sz w:val="31"/>
              </w:rPr>
              <w:t>及</w:t>
            </w:r>
          </w:p>
          <w:p>
            <w:pPr>
              <w:pStyle w:val="TableParagraph"/>
              <w:spacing w:before="71" w:line="381" w:lineRule="exact"/>
              <w:ind w:left="50"/>
              <w:jc w:val="left"/>
              <w:rPr>
                <w:b/>
                <w:sz w:val="31"/>
              </w:rPr>
            </w:pPr>
            <w:r>
              <w:rPr>
                <w:b/>
                <w:w w:val="101"/>
                <w:sz w:val="31"/>
              </w:rPr>
              <w:t>健</w:t>
            </w:r>
          </w:p>
        </w:tc>
        <w:tc>
          <w:tcPr>
            <w:tcW w:w="3287" w:type="dxa"/>
          </w:tcPr>
          <w:p>
            <w:pPr>
              <w:pStyle w:val="TableParagraph"/>
              <w:spacing w:before="6"/>
              <w:jc w:val="left"/>
              <w:rPr>
                <w:b/>
                <w:sz w:val="42"/>
              </w:rPr>
            </w:pPr>
          </w:p>
          <w:p>
            <w:pPr>
              <w:pStyle w:val="TableParagraph"/>
              <w:spacing w:line="335" w:lineRule="exact"/>
              <w:ind w:left="233"/>
              <w:jc w:val="left"/>
              <w:rPr>
                <w:sz w:val="31"/>
              </w:rPr>
            </w:pPr>
            <w:r>
              <w:rPr>
                <w:sz w:val="31"/>
              </w:rPr>
              <w:t>侵入途径</w:t>
            </w:r>
          </w:p>
        </w:tc>
        <w:tc>
          <w:tcPr>
            <w:tcW w:w="7557" w:type="dxa"/>
          </w:tcPr>
          <w:p>
            <w:pPr>
              <w:pStyle w:val="TableParagraph"/>
              <w:tabs>
                <w:tab w:val="left" w:pos="6714"/>
              </w:tabs>
              <w:spacing w:before="61"/>
              <w:ind w:left="842"/>
              <w:jc w:val="left"/>
              <w:rPr>
                <w:sz w:val="31"/>
              </w:rPr>
            </w:pPr>
            <w:r>
              <w:rPr>
                <w:sz w:val="31"/>
              </w:rPr>
              <w:t>美国</w:t>
            </w:r>
            <w:r>
              <w:rPr>
                <w:spacing w:val="-58"/>
                <w:sz w:val="31"/>
              </w:rPr>
              <w:t xml:space="preserve"> </w:t>
            </w:r>
            <w:r>
              <w:rPr>
                <w:sz w:val="31"/>
              </w:rPr>
              <w:t>TLV-TWAOSHA（mg/</w:t>
            </w:r>
            <w:r>
              <w:rPr>
                <w:position w:val="4"/>
                <w:sz w:val="16"/>
              </w:rPr>
              <w:t>m</w:t>
            </w:r>
            <w:r>
              <w:rPr>
                <w:sz w:val="31"/>
              </w:rPr>
              <w:t>m</w:t>
            </w:r>
            <w:r>
              <w:rPr>
                <w:position w:val="4"/>
                <w:sz w:val="16"/>
              </w:rPr>
              <w:t>3</w:t>
            </w:r>
            <w:r>
              <w:rPr>
                <w:sz w:val="31"/>
              </w:rPr>
              <w:t>）</w:t>
              <w:tab/>
              <w:t>——</w:t>
            </w:r>
          </w:p>
          <w:p>
            <w:pPr>
              <w:pStyle w:val="TableParagraph"/>
              <w:spacing w:before="86" w:line="335" w:lineRule="exact"/>
              <w:ind w:left="842"/>
              <w:jc w:val="left"/>
              <w:rPr>
                <w:sz w:val="31"/>
              </w:rPr>
            </w:pPr>
            <w:r>
              <w:rPr>
                <w:sz w:val="31"/>
              </w:rPr>
              <w:t>吸入或皮肤接触</w:t>
            </w:r>
          </w:p>
        </w:tc>
      </w:tr>
    </w:tbl>
    <w:p>
      <w:pPr>
        <w:spacing w:after="0" w:line="335" w:lineRule="exact"/>
        <w:jc w:val="left"/>
        <w:rPr>
          <w:sz w:val="31"/>
        </w:rPr>
        <w:sectPr>
          <w:headerReference w:type="default" r:id="rId111"/>
          <w:footerReference w:type="default" r:id="rId112"/>
          <w:type w:val="continuous"/>
          <w:pgSz w:w="17860" w:h="25260"/>
          <w:pgMar w:top="1380" w:right="1360" w:bottom="2020" w:left="1420" w:header="708" w:footer="708"/>
          <w:pgNumType w:start="41"/>
          <w:cols w:space="708"/>
        </w:sectPr>
      </w:pPr>
    </w:p>
    <w:p>
      <w:pPr>
        <w:pStyle w:val="BodyText"/>
        <w:rPr>
          <w:b/>
          <w:sz w:val="20"/>
        </w:rPr>
      </w:pPr>
    </w:p>
    <w:p>
      <w:pPr>
        <w:pStyle w:val="BodyText"/>
        <w:spacing w:before="11"/>
        <w:rPr>
          <w:b/>
          <w:sz w:val="15"/>
        </w:rPr>
      </w:pPr>
    </w:p>
    <w:p>
      <w:pPr>
        <w:spacing w:after="0"/>
        <w:rPr>
          <w:sz w:val="15"/>
        </w:rPr>
        <w:sectPr>
          <w:headerReference w:type="default" r:id="rId113"/>
          <w:footerReference w:type="default" r:id="rId114"/>
          <w:pgSz w:w="17860" w:h="25260"/>
          <w:pgMar w:top="1380" w:right="1360" w:bottom="2020" w:left="1420" w:header="1083" w:footer="1826"/>
          <w:pgNumType w:start="42"/>
          <w:cols w:space="708"/>
        </w:sectPr>
      </w:pPr>
    </w:p>
    <w:p>
      <w:pPr>
        <w:spacing w:before="67"/>
        <w:ind w:left="870" w:right="0" w:firstLine="0"/>
        <w:jc w:val="both"/>
        <w:rPr>
          <w:sz w:val="31"/>
        </w:rPr>
      </w:pPr>
      <w:r>
        <w:drawing>
          <wp:anchor distT="0" distB="0" distL="0" distR="0" simplePos="0" relativeHeight="251681792" behindDoc="1" locked="0" layoutInCell="1" allowOverlap="1">
            <wp:simplePos x="0" y="0"/>
            <wp:positionH relativeFrom="page">
              <wp:posOffset>1336675</wp:posOffset>
            </wp:positionH>
            <wp:positionV relativeFrom="paragraph">
              <wp:posOffset>-16764</wp:posOffset>
            </wp:positionV>
            <wp:extent cx="9140825" cy="7109587"/>
            <wp:effectExtent l="0" t="0" r="0" b="0"/>
            <wp:wrapNone/>
            <wp:docPr id="2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8.png"/>
                    <pic:cNvPicPr/>
                  </pic:nvPicPr>
                  <pic:blipFill>
                    <a:blip xmlns:r="http://schemas.openxmlformats.org/officeDocument/2006/relationships" r:embed="rId115" cstate="print"/>
                    <a:stretch>
                      <a:fillRect/>
                    </a:stretch>
                  </pic:blipFill>
                  <pic:spPr>
                    <a:xfrm>
                      <a:off x="0" y="0"/>
                      <a:ext cx="9140825" cy="7109587"/>
                    </a:xfrm>
                    <a:prstGeom prst="rect">
                      <a:avLst/>
                    </a:prstGeom>
                  </pic:spPr>
                </pic:pic>
              </a:graphicData>
            </a:graphic>
          </wp:anchor>
        </w:drawing>
      </w:r>
      <w:r>
        <w:rPr>
          <w:b/>
          <w:position w:val="1"/>
          <w:sz w:val="31"/>
        </w:rPr>
        <w:t xml:space="preserve">炸 </w:t>
      </w:r>
      <w:r>
        <w:rPr>
          <w:sz w:val="31"/>
        </w:rPr>
        <w:t>低度危险：该物质只有在加热至其闪点</w:t>
      </w:r>
    </w:p>
    <w:p>
      <w:pPr>
        <w:spacing w:before="62" w:line="276" w:lineRule="auto"/>
        <w:ind w:left="870" w:right="0" w:firstLine="0"/>
        <w:jc w:val="both"/>
        <w:rPr>
          <w:sz w:val="31"/>
        </w:rPr>
      </w:pPr>
      <w:r>
        <w:rPr>
          <w:b/>
          <w:spacing w:val="15"/>
          <w:position w:val="1"/>
          <w:sz w:val="31"/>
        </w:rPr>
        <w:t xml:space="preserve">危  </w:t>
      </w:r>
      <w:r>
        <w:rPr>
          <w:spacing w:val="-2"/>
          <w:sz w:val="31"/>
        </w:rPr>
        <w:t>危 险  或高于其闪点温度时会形成可燃混合   灭火</w:t>
      </w:r>
      <w:r>
        <w:rPr>
          <w:b/>
          <w:spacing w:val="22"/>
          <w:position w:val="1"/>
          <w:sz w:val="31"/>
        </w:rPr>
        <w:t xml:space="preserve">险  </w:t>
      </w:r>
      <w:r>
        <w:rPr>
          <w:spacing w:val="-18"/>
          <w:sz w:val="31"/>
        </w:rPr>
        <w:t>特性   物或燃烧。静电放电：产品会积累静电， 方法</w:t>
      </w:r>
      <w:r>
        <w:rPr>
          <w:b/>
          <w:spacing w:val="60"/>
          <w:position w:val="1"/>
          <w:sz w:val="31"/>
        </w:rPr>
        <w:t xml:space="preserve">性 </w:t>
      </w:r>
      <w:r>
        <w:rPr>
          <w:sz w:val="31"/>
        </w:rPr>
        <w:t>发 生 电 火 花 。</w:t>
      </w:r>
    </w:p>
    <w:p>
      <w:pPr>
        <w:spacing w:before="42"/>
        <w:ind w:left="1655" w:right="0" w:firstLine="0"/>
        <w:jc w:val="both"/>
        <w:rPr>
          <w:sz w:val="31"/>
        </w:rPr>
      </w:pPr>
      <w:r>
        <w:rPr>
          <w:sz w:val="31"/>
        </w:rPr>
        <w:t>火灾危险性类别（</w:t>
      </w:r>
      <w:r>
        <w:rPr>
          <w:spacing w:val="65"/>
          <w:sz w:val="31"/>
        </w:rPr>
        <w:t>按</w:t>
      </w:r>
      <w:r>
        <w:rPr>
          <w:sz w:val="31"/>
        </w:rPr>
        <w:t>GBJ16-87 2001</w:t>
      </w:r>
      <w:r>
        <w:rPr>
          <w:spacing w:val="-29"/>
          <w:sz w:val="31"/>
        </w:rPr>
        <w:t xml:space="preserve"> 年版</w:t>
      </w:r>
      <w:r>
        <w:rPr>
          <w:sz w:val="31"/>
        </w:rPr>
        <w:t>）</w:t>
      </w:r>
    </w:p>
    <w:p>
      <w:pPr>
        <w:spacing w:before="77" w:line="283" w:lineRule="auto"/>
        <w:ind w:left="298" w:right="138" w:firstLine="0"/>
        <w:jc w:val="both"/>
        <w:rPr>
          <w:sz w:val="31"/>
        </w:rPr>
      </w:pPr>
      <w:r>
        <w:br w:type="column"/>
      </w:r>
      <w:r>
        <w:rPr>
          <w:sz w:val="31"/>
        </w:rPr>
        <w:t>用水喷洒冷却火焰触及表面，并保护人员安全。切断“燃料”源。用泡沫、干粉化合物或水喷洒灭火。特殊警告：不要将水直接喷洒进储存容器中。</w:t>
      </w:r>
    </w:p>
    <w:p>
      <w:pPr>
        <w:spacing w:before="27"/>
        <w:ind w:left="298" w:right="0" w:firstLine="0"/>
        <w:jc w:val="left"/>
        <w:rPr>
          <w:sz w:val="31"/>
        </w:rPr>
      </w:pPr>
      <w:r>
        <w:rPr>
          <w:sz w:val="31"/>
        </w:rPr>
        <w:t>丙类</w:t>
      </w:r>
    </w:p>
    <w:p>
      <w:pPr>
        <w:spacing w:after="0"/>
        <w:jc w:val="left"/>
        <w:rPr>
          <w:sz w:val="31"/>
        </w:rPr>
        <w:sectPr>
          <w:headerReference w:type="default" r:id="rId116"/>
          <w:footerReference w:type="default" r:id="rId117"/>
          <w:type w:val="continuous"/>
          <w:pgSz w:w="17860" w:h="25260"/>
          <w:pgMar w:top="1380" w:right="1360" w:bottom="2020" w:left="1420" w:header="708" w:footer="708"/>
          <w:pgNumType w:start="43"/>
          <w:cols w:num="2" w:space="708" w:equalWidth="0">
            <w:col w:w="8900" w:space="40"/>
            <w:col w:w="6140" w:space="0"/>
          </w:cols>
        </w:sectPr>
      </w:pPr>
    </w:p>
    <w:p>
      <w:pPr>
        <w:spacing w:before="125" w:line="316" w:lineRule="exact"/>
        <w:ind w:left="1655" w:right="0" w:firstLine="0"/>
        <w:jc w:val="left"/>
        <w:rPr>
          <w:sz w:val="31"/>
        </w:rPr>
      </w:pPr>
      <w:r>
        <w:rPr>
          <w:sz w:val="31"/>
        </w:rPr>
        <w:t>地面溢漏：隔离人群。无危险的情况下，尽可能切断危害源。若物质进入水网或下水道，或污染</w:t>
      </w:r>
    </w:p>
    <w:p>
      <w:pPr>
        <w:spacing w:before="0" w:line="234" w:lineRule="exact"/>
        <w:ind w:left="870" w:right="0" w:firstLine="0"/>
        <w:jc w:val="left"/>
        <w:rPr>
          <w:b/>
          <w:sz w:val="31"/>
        </w:rPr>
      </w:pPr>
      <w:r>
        <w:rPr>
          <w:b/>
          <w:w w:val="101"/>
          <w:sz w:val="31"/>
        </w:rPr>
        <w:t>泄</w:t>
      </w:r>
    </w:p>
    <w:p>
      <w:pPr>
        <w:spacing w:before="0" w:line="234" w:lineRule="exact"/>
        <w:ind w:left="1655" w:right="0" w:firstLine="0"/>
        <w:jc w:val="left"/>
        <w:rPr>
          <w:sz w:val="31"/>
        </w:rPr>
      </w:pPr>
      <w:r>
        <w:rPr>
          <w:sz w:val="31"/>
        </w:rPr>
        <w:t>了土地或作物，必须通知有关单位。采取措施将其对地下水的影响控制在最小限度。用黄沙和泥</w:t>
      </w:r>
    </w:p>
    <w:p>
      <w:pPr>
        <w:spacing w:before="0" w:line="234" w:lineRule="exact"/>
        <w:ind w:left="870" w:right="0" w:firstLine="0"/>
        <w:jc w:val="left"/>
        <w:rPr>
          <w:b/>
          <w:sz w:val="31"/>
        </w:rPr>
      </w:pPr>
      <w:r>
        <w:rPr>
          <w:b/>
          <w:w w:val="101"/>
          <w:sz w:val="31"/>
        </w:rPr>
        <w:t>漏</w:t>
      </w:r>
    </w:p>
    <w:p>
      <w:pPr>
        <w:spacing w:before="0" w:line="234" w:lineRule="exact"/>
        <w:ind w:left="1655" w:right="0" w:firstLine="0"/>
        <w:jc w:val="left"/>
        <w:rPr>
          <w:sz w:val="31"/>
        </w:rPr>
      </w:pPr>
      <w:r>
        <w:rPr>
          <w:sz w:val="31"/>
        </w:rPr>
        <w:t>土吸附溢漏液体，用泵或适当的吸收材料回收。若液体太粘而不能泵送，则用铲和小桶铲起并置</w:t>
      </w:r>
    </w:p>
    <w:p>
      <w:pPr>
        <w:spacing w:before="0" w:line="234" w:lineRule="exact"/>
        <w:ind w:left="870" w:right="0" w:firstLine="0"/>
        <w:jc w:val="left"/>
        <w:rPr>
          <w:b/>
          <w:sz w:val="31"/>
        </w:rPr>
      </w:pPr>
      <w:r>
        <w:rPr>
          <w:b/>
          <w:w w:val="101"/>
          <w:sz w:val="31"/>
        </w:rPr>
        <w:t>应</w:t>
      </w:r>
    </w:p>
    <w:p>
      <w:pPr>
        <w:spacing w:before="0" w:line="234" w:lineRule="exact"/>
        <w:ind w:left="1655" w:right="0" w:firstLine="0"/>
        <w:jc w:val="left"/>
        <w:rPr>
          <w:sz w:val="31"/>
        </w:rPr>
      </w:pPr>
      <w:r>
        <w:rPr>
          <w:sz w:val="31"/>
        </w:rPr>
        <w:t>于适当的容器中回收或废弃。</w:t>
      </w:r>
    </w:p>
    <w:p>
      <w:pPr>
        <w:spacing w:before="0" w:line="234" w:lineRule="exact"/>
        <w:ind w:left="870" w:right="0" w:firstLine="0"/>
        <w:jc w:val="left"/>
        <w:rPr>
          <w:b/>
          <w:sz w:val="31"/>
        </w:rPr>
      </w:pPr>
      <w:r>
        <w:rPr>
          <w:b/>
          <w:w w:val="101"/>
          <w:sz w:val="31"/>
        </w:rPr>
        <w:t>急</w:t>
      </w:r>
    </w:p>
    <w:p>
      <w:pPr>
        <w:spacing w:before="0" w:line="234" w:lineRule="exact"/>
        <w:ind w:left="1655" w:right="0" w:firstLine="0"/>
        <w:jc w:val="left"/>
        <w:rPr>
          <w:sz w:val="31"/>
        </w:rPr>
      </w:pPr>
      <w:r>
        <w:rPr>
          <w:sz w:val="31"/>
        </w:rPr>
        <w:t>水体溢漏：警告其它船舶。通知港口或相关职能机构，禁止公众聚集。在没有危险情况下，尽可</w:t>
      </w:r>
    </w:p>
    <w:p>
      <w:pPr>
        <w:spacing w:before="0" w:line="234" w:lineRule="exact"/>
        <w:ind w:left="870" w:right="0" w:firstLine="0"/>
        <w:jc w:val="left"/>
        <w:rPr>
          <w:b/>
          <w:sz w:val="31"/>
        </w:rPr>
      </w:pPr>
      <w:r>
        <w:rPr>
          <w:b/>
          <w:w w:val="101"/>
          <w:sz w:val="31"/>
        </w:rPr>
        <w:t>处</w:t>
      </w:r>
    </w:p>
    <w:p>
      <w:pPr>
        <w:spacing w:before="0" w:line="234" w:lineRule="exact"/>
        <w:ind w:left="1655" w:right="0" w:firstLine="0"/>
        <w:jc w:val="left"/>
        <w:rPr>
          <w:sz w:val="31"/>
        </w:rPr>
      </w:pPr>
      <w:r>
        <w:rPr>
          <w:sz w:val="31"/>
        </w:rPr>
        <w:t>能切断燃烧源。可能的话，采取隔离措施。若得到当地机构和环境部门允许，在敞开水域使污染</w:t>
      </w:r>
    </w:p>
    <w:p>
      <w:pPr>
        <w:spacing w:before="0" w:line="234" w:lineRule="exact"/>
        <w:ind w:left="870" w:right="0" w:firstLine="0"/>
        <w:jc w:val="left"/>
        <w:rPr>
          <w:b/>
          <w:sz w:val="31"/>
        </w:rPr>
      </w:pPr>
      <w:r>
        <w:rPr>
          <w:b/>
          <w:w w:val="101"/>
          <w:sz w:val="31"/>
        </w:rPr>
        <w:t>理</w:t>
      </w:r>
    </w:p>
    <w:p>
      <w:pPr>
        <w:spacing w:before="0" w:line="316" w:lineRule="exact"/>
        <w:ind w:left="1655" w:right="0" w:firstLine="0"/>
        <w:jc w:val="left"/>
        <w:rPr>
          <w:sz w:val="31"/>
        </w:rPr>
      </w:pPr>
      <w:r>
        <w:rPr>
          <w:sz w:val="31"/>
        </w:rPr>
        <w:t>物沉淀和/或适当使用分散剂。</w:t>
      </w:r>
    </w:p>
    <w:p>
      <w:pPr>
        <w:spacing w:before="122" w:line="316" w:lineRule="exact"/>
        <w:ind w:left="870" w:right="0" w:firstLine="0"/>
        <w:jc w:val="left"/>
        <w:rPr>
          <w:b/>
          <w:sz w:val="31"/>
        </w:rPr>
      </w:pPr>
      <w:r>
        <w:rPr>
          <w:b/>
          <w:w w:val="101"/>
          <w:sz w:val="31"/>
        </w:rPr>
        <w:t>储</w:t>
      </w:r>
    </w:p>
    <w:p>
      <w:pPr>
        <w:spacing w:before="0" w:line="234" w:lineRule="exact"/>
        <w:ind w:left="1655" w:right="0" w:firstLine="0"/>
        <w:jc w:val="left"/>
        <w:rPr>
          <w:sz w:val="31"/>
        </w:rPr>
      </w:pPr>
      <w:r>
        <w:rPr>
          <w:sz w:val="31"/>
        </w:rPr>
        <w:t>确保容器密闭，小心轻放。开盖时动作要缓慢，以控制容器内压力的释放。将其储存在阴凉通风</w:t>
      </w:r>
    </w:p>
    <w:p>
      <w:pPr>
        <w:spacing w:before="0" w:line="234" w:lineRule="exact"/>
        <w:ind w:left="870" w:right="0" w:firstLine="0"/>
        <w:jc w:val="left"/>
        <w:rPr>
          <w:b/>
          <w:sz w:val="31"/>
        </w:rPr>
      </w:pPr>
      <w:r>
        <w:rPr>
          <w:b/>
          <w:w w:val="101"/>
          <w:sz w:val="31"/>
        </w:rPr>
        <w:t>运</w:t>
      </w:r>
    </w:p>
    <w:p>
      <w:pPr>
        <w:spacing w:before="0" w:line="234" w:lineRule="exact"/>
        <w:ind w:left="1655" w:right="0" w:firstLine="0"/>
        <w:jc w:val="left"/>
        <w:rPr>
          <w:sz w:val="31"/>
        </w:rPr>
      </w:pPr>
      <w:r>
        <w:rPr>
          <w:sz w:val="31"/>
        </w:rPr>
        <w:t>处，并远离不相容的物质。不要在接近明火、热源或点火源的地方贮存、打开或使用。避免阳光</w:t>
      </w:r>
    </w:p>
    <w:p>
      <w:pPr>
        <w:spacing w:before="0" w:line="234" w:lineRule="exact"/>
        <w:ind w:left="870" w:right="0" w:firstLine="0"/>
        <w:jc w:val="left"/>
        <w:rPr>
          <w:b/>
          <w:sz w:val="31"/>
        </w:rPr>
      </w:pPr>
      <w:r>
        <w:rPr>
          <w:b/>
          <w:w w:val="101"/>
          <w:sz w:val="31"/>
        </w:rPr>
        <w:t>注</w:t>
      </w:r>
    </w:p>
    <w:p>
      <w:pPr>
        <w:spacing w:before="0" w:line="234" w:lineRule="exact"/>
        <w:ind w:left="1655" w:right="0" w:firstLine="0"/>
        <w:jc w:val="left"/>
        <w:rPr>
          <w:sz w:val="31"/>
        </w:rPr>
      </w:pPr>
      <w:r>
        <w:rPr>
          <w:sz w:val="31"/>
        </w:rPr>
        <w:t>直射。该产品会累积静电，可能造成电火花（点火源）。必须采取适当的接地措施。</w:t>
      </w:r>
    </w:p>
    <w:p>
      <w:pPr>
        <w:spacing w:before="0" w:line="234" w:lineRule="exact"/>
        <w:ind w:left="870" w:right="0" w:firstLine="0"/>
        <w:jc w:val="left"/>
        <w:rPr>
          <w:b/>
          <w:sz w:val="31"/>
        </w:rPr>
      </w:pPr>
      <w:r>
        <w:rPr>
          <w:b/>
          <w:w w:val="101"/>
          <w:sz w:val="31"/>
        </w:rPr>
        <w:t>意</w:t>
      </w:r>
    </w:p>
    <w:p>
      <w:pPr>
        <w:spacing w:before="0" w:line="234" w:lineRule="exact"/>
        <w:ind w:left="1655" w:right="0" w:firstLine="0"/>
        <w:jc w:val="left"/>
        <w:rPr>
          <w:sz w:val="31"/>
        </w:rPr>
      </w:pPr>
      <w:r>
        <w:rPr>
          <w:sz w:val="31"/>
        </w:rPr>
        <w:t>不要对容器进行加压、切割、加热或焊接。空容器可能含有产品残渣，未经专业清洗或重整前不</w:t>
      </w:r>
    </w:p>
    <w:p>
      <w:pPr>
        <w:spacing w:before="0" w:line="234" w:lineRule="exact"/>
        <w:ind w:left="870" w:right="0" w:firstLine="0"/>
        <w:jc w:val="left"/>
        <w:rPr>
          <w:b/>
          <w:sz w:val="31"/>
        </w:rPr>
      </w:pPr>
      <w:r>
        <w:rPr>
          <w:b/>
          <w:w w:val="101"/>
          <w:sz w:val="31"/>
        </w:rPr>
        <w:t>事</w:t>
      </w:r>
    </w:p>
    <w:p>
      <w:pPr>
        <w:spacing w:before="0" w:line="234" w:lineRule="exact"/>
        <w:ind w:left="1655" w:right="0" w:firstLine="0"/>
        <w:jc w:val="left"/>
        <w:rPr>
          <w:sz w:val="31"/>
        </w:rPr>
      </w:pPr>
      <w:r>
        <w:rPr>
          <w:sz w:val="31"/>
        </w:rPr>
        <w:t>要使用该空容器。</w:t>
      </w:r>
    </w:p>
    <w:p>
      <w:pPr>
        <w:spacing w:before="0" w:line="316" w:lineRule="exact"/>
        <w:ind w:left="870" w:right="0" w:firstLine="0"/>
        <w:jc w:val="left"/>
        <w:rPr>
          <w:b/>
          <w:sz w:val="31"/>
        </w:rPr>
      </w:pPr>
      <w:r>
        <w:rPr>
          <w:b/>
          <w:w w:val="101"/>
          <w:sz w:val="31"/>
        </w:rPr>
        <w:t>项</w:t>
      </w:r>
    </w:p>
    <w:p>
      <w:pPr>
        <w:spacing w:before="190" w:line="316" w:lineRule="exact"/>
        <w:ind w:left="1655" w:right="0" w:firstLine="0"/>
        <w:jc w:val="left"/>
        <w:rPr>
          <w:sz w:val="31"/>
        </w:rPr>
      </w:pPr>
      <w:r>
        <w:rPr>
          <w:sz w:val="31"/>
        </w:rPr>
        <w:t>工程控制：建议使用局部排风设备，以控制加工源处气体的释放。</w:t>
      </w:r>
    </w:p>
    <w:p>
      <w:pPr>
        <w:spacing w:before="0" w:line="234" w:lineRule="exact"/>
        <w:ind w:left="870" w:right="0" w:firstLine="0"/>
        <w:jc w:val="left"/>
        <w:rPr>
          <w:b/>
          <w:sz w:val="31"/>
        </w:rPr>
      </w:pPr>
      <w:r>
        <w:rPr>
          <w:b/>
          <w:w w:val="101"/>
          <w:sz w:val="31"/>
        </w:rPr>
        <w:t>防</w:t>
      </w:r>
    </w:p>
    <w:p>
      <w:pPr>
        <w:spacing w:before="0" w:line="234" w:lineRule="exact"/>
        <w:ind w:left="1655" w:right="0" w:firstLine="0"/>
        <w:jc w:val="left"/>
        <w:rPr>
          <w:sz w:val="31"/>
        </w:rPr>
      </w:pPr>
      <w:r>
        <w:rPr>
          <w:sz w:val="31"/>
        </w:rPr>
        <w:t>呼吸系统防护：在空气中浓度超过 100mg/</w:t>
      </w:r>
      <w:r>
        <w:rPr>
          <w:position w:val="4"/>
          <w:sz w:val="16"/>
        </w:rPr>
        <w:t>m</w:t>
      </w:r>
      <w:r>
        <w:rPr>
          <w:sz w:val="31"/>
        </w:rPr>
        <w:t>m</w:t>
      </w:r>
      <w:r>
        <w:rPr>
          <w:position w:val="4"/>
          <w:sz w:val="16"/>
        </w:rPr>
        <w:t xml:space="preserve">3 </w:t>
      </w:r>
      <w:r>
        <w:rPr>
          <w:sz w:val="31"/>
        </w:rPr>
        <w:t>的浓度极限时，建议使用半面罩过滤式防毒面具以防</w:t>
      </w:r>
    </w:p>
    <w:p>
      <w:pPr>
        <w:spacing w:before="0" w:line="234" w:lineRule="exact"/>
        <w:ind w:left="870" w:right="0" w:firstLine="0"/>
        <w:jc w:val="left"/>
        <w:rPr>
          <w:b/>
          <w:sz w:val="31"/>
        </w:rPr>
      </w:pPr>
      <w:r>
        <w:rPr>
          <w:b/>
          <w:w w:val="101"/>
          <w:sz w:val="31"/>
        </w:rPr>
        <w:t>护</w:t>
      </w:r>
    </w:p>
    <w:p>
      <w:pPr>
        <w:spacing w:before="0" w:line="234" w:lineRule="exact"/>
        <w:ind w:left="1655" w:right="0" w:firstLine="0"/>
        <w:jc w:val="left"/>
        <w:rPr>
          <w:sz w:val="31"/>
        </w:rPr>
      </w:pPr>
      <w:r>
        <w:rPr>
          <w:sz w:val="31"/>
        </w:rPr>
        <w:t>止吸入过多的有害粉尘。</w:t>
      </w:r>
    </w:p>
    <w:p>
      <w:pPr>
        <w:spacing w:before="0" w:line="234" w:lineRule="exact"/>
        <w:ind w:left="870" w:right="0" w:firstLine="0"/>
        <w:jc w:val="left"/>
        <w:rPr>
          <w:b/>
          <w:sz w:val="31"/>
        </w:rPr>
      </w:pPr>
      <w:r>
        <w:rPr>
          <w:b/>
          <w:w w:val="101"/>
          <w:sz w:val="31"/>
        </w:rPr>
        <w:t>措</w:t>
      </w:r>
    </w:p>
    <w:p>
      <w:pPr>
        <w:spacing w:before="0" w:line="234" w:lineRule="exact"/>
        <w:ind w:left="1655" w:right="0" w:firstLine="0"/>
        <w:jc w:val="left"/>
        <w:rPr>
          <w:sz w:val="31"/>
        </w:rPr>
      </w:pPr>
      <w:r>
        <w:rPr>
          <w:sz w:val="31"/>
        </w:rPr>
        <w:t>手的防护：当处理该产品时，建议戴耐化学品手套。</w:t>
      </w:r>
    </w:p>
    <w:p>
      <w:pPr>
        <w:spacing w:before="0" w:line="234" w:lineRule="exact"/>
        <w:ind w:left="870" w:right="0" w:firstLine="0"/>
        <w:jc w:val="left"/>
        <w:rPr>
          <w:b/>
          <w:sz w:val="31"/>
        </w:rPr>
      </w:pPr>
      <w:r>
        <w:rPr>
          <w:b/>
          <w:w w:val="101"/>
          <w:sz w:val="31"/>
        </w:rPr>
        <w:t>施</w:t>
      </w:r>
    </w:p>
    <w:p>
      <w:pPr>
        <w:spacing w:before="0" w:line="316" w:lineRule="exact"/>
        <w:ind w:left="1655" w:right="0" w:firstLine="0"/>
        <w:jc w:val="left"/>
        <w:rPr>
          <w:sz w:val="31"/>
        </w:rPr>
      </w:pPr>
      <w:r>
        <w:rPr>
          <w:sz w:val="31"/>
        </w:rPr>
        <w:t>眼睛的防护：参阅一般建议。皮肤/身体防护：参阅一般建议。</w:t>
      </w:r>
    </w:p>
    <w:p>
      <w:pPr>
        <w:pStyle w:val="BodyText"/>
        <w:rPr>
          <w:sz w:val="20"/>
        </w:rPr>
      </w:pPr>
    </w:p>
    <w:p>
      <w:pPr>
        <w:pStyle w:val="BodyText"/>
        <w:rPr>
          <w:sz w:val="20"/>
        </w:rPr>
      </w:pPr>
    </w:p>
    <w:p>
      <w:pPr>
        <w:pStyle w:val="BodyText"/>
        <w:rPr>
          <w:sz w:val="20"/>
        </w:rPr>
      </w:pPr>
    </w:p>
    <w:p>
      <w:pPr>
        <w:pStyle w:val="BodyText"/>
        <w:spacing w:before="12"/>
        <w:rPr>
          <w:sz w:val="23"/>
        </w:rPr>
      </w:pPr>
    </w:p>
    <w:p>
      <w:pPr>
        <w:pStyle w:val="Heading3"/>
        <w:spacing w:before="50"/>
        <w:ind w:left="708"/>
      </w:pPr>
      <w:r>
        <w:t>5. 6＃溶剂油</w:t>
      </w:r>
    </w:p>
    <w:p>
      <w:pPr>
        <w:pStyle w:val="BodyText"/>
        <w:spacing w:before="125"/>
        <w:ind w:left="1428"/>
      </w:pPr>
      <w:r>
        <w:t>6＃溶剂油的危险有害特性及其防护措施见附表 3.3-7。</w:t>
      </w:r>
    </w:p>
    <w:p>
      <w:pPr>
        <w:pStyle w:val="Heading3"/>
        <w:tabs>
          <w:tab w:val="left" w:pos="5380"/>
        </w:tabs>
        <w:spacing w:before="122"/>
        <w:ind w:left="3667"/>
      </w:pPr>
      <w:r>
        <w:pict>
          <v:group id="_x0000_s1223" style="width:700pt;height:268pt;margin-top:28.82pt;margin-left:97pt;mso-position-horizontal-relative:page;position:absolute;z-index:-251633664" coordorigin="1940,576" coordsize="14000,5360">
            <v:shape id="_x0000_s1224" type="#_x0000_t75" style="width:14000;height:5360;left:1940;position:absolute;top:576" stroked="f">
              <v:imagedata r:id="rId118" o:title=""/>
            </v:shape>
            <v:shape id="_x0000_s1225" type="#_x0000_t202" style="width:337;height:1722;left:2128;position:absolute;top:2421" filled="f" stroked="f">
              <v:textbox inset="0,0,0,0">
                <w:txbxContent>
                  <w:p>
                    <w:pPr>
                      <w:spacing w:before="0" w:line="359" w:lineRule="exact"/>
                      <w:ind w:left="0" w:right="0" w:firstLine="0"/>
                      <w:jc w:val="left"/>
                      <w:rPr>
                        <w:b/>
                        <w:sz w:val="31"/>
                      </w:rPr>
                    </w:pPr>
                    <w:r>
                      <w:rPr>
                        <w:b/>
                        <w:w w:val="101"/>
                        <w:sz w:val="31"/>
                      </w:rPr>
                      <w:t>理</w:t>
                    </w:r>
                  </w:p>
                  <w:p>
                    <w:pPr>
                      <w:spacing w:before="71"/>
                      <w:ind w:left="0" w:right="0" w:firstLine="0"/>
                      <w:jc w:val="left"/>
                      <w:rPr>
                        <w:b/>
                        <w:sz w:val="31"/>
                      </w:rPr>
                    </w:pPr>
                    <w:r>
                      <w:rPr>
                        <w:b/>
                        <w:w w:val="101"/>
                        <w:sz w:val="31"/>
                      </w:rPr>
                      <w:t>化</w:t>
                    </w:r>
                  </w:p>
                  <w:p>
                    <w:pPr>
                      <w:spacing w:before="8" w:line="460" w:lineRule="atLeast"/>
                      <w:ind w:left="0" w:right="18" w:firstLine="0"/>
                      <w:jc w:val="left"/>
                      <w:rPr>
                        <w:b/>
                        <w:sz w:val="31"/>
                      </w:rPr>
                    </w:pPr>
                    <w:r>
                      <w:rPr>
                        <w:b/>
                        <w:sz w:val="31"/>
                      </w:rPr>
                      <w:t>性质</w:t>
                    </w:r>
                  </w:p>
                </w:txbxContent>
              </v:textbox>
            </v:shape>
            <v:shape id="_x0000_s1226" type="#_x0000_t202" style="width:1866;height:1750;left:2826;position:absolute;top:4099" filled="f" stroked="f">
              <v:textbox inset="0,0,0,0">
                <w:txbxContent>
                  <w:p>
                    <w:pPr>
                      <w:spacing w:before="0" w:line="359" w:lineRule="exact"/>
                      <w:ind w:left="0" w:right="0" w:firstLine="0"/>
                      <w:jc w:val="left"/>
                      <w:rPr>
                        <w:sz w:val="31"/>
                      </w:rPr>
                    </w:pPr>
                    <w:r>
                      <w:rPr>
                        <w:sz w:val="31"/>
                      </w:rPr>
                      <w:t>爆 炸 下 限</w:t>
                    </w:r>
                  </w:p>
                  <w:p>
                    <w:pPr>
                      <w:spacing w:before="71"/>
                      <w:ind w:left="0" w:right="0" w:firstLine="0"/>
                      <w:jc w:val="left"/>
                      <w:rPr>
                        <w:sz w:val="31"/>
                      </w:rPr>
                    </w:pPr>
                    <w:r>
                      <w:rPr>
                        <w:sz w:val="31"/>
                      </w:rPr>
                      <w:t>(V/V)]：</w:t>
                    </w:r>
                  </w:p>
                  <w:p>
                    <w:pPr>
                      <w:spacing w:before="2" w:line="480" w:lineRule="atLeast"/>
                      <w:ind w:left="0" w:right="279" w:firstLine="0"/>
                      <w:jc w:val="left"/>
                      <w:rPr>
                        <w:sz w:val="31"/>
                      </w:rPr>
                    </w:pPr>
                    <w:r>
                      <w:rPr>
                        <w:sz w:val="31"/>
                      </w:rPr>
                      <w:t xml:space="preserve">溶解性： </w:t>
                    </w:r>
                    <w:r>
                      <w:rPr>
                        <w:spacing w:val="-4"/>
                        <w:sz w:val="31"/>
                      </w:rPr>
                      <w:t>主要用途：</w:t>
                    </w:r>
                  </w:p>
                </w:txbxContent>
              </v:textbox>
            </v:shape>
            <v:shape id="_x0000_s1227" type="#_x0000_t202" style="width:179;height:317;left:4864;position:absolute;top:4099" filled="f" stroked="f">
              <v:textbox inset="0,0,0,0">
                <w:txbxContent>
                  <w:p>
                    <w:pPr>
                      <w:spacing w:before="0" w:line="317" w:lineRule="exact"/>
                      <w:ind w:left="0" w:right="0" w:firstLine="0"/>
                      <w:jc w:val="left"/>
                      <w:rPr>
                        <w:sz w:val="31"/>
                      </w:rPr>
                    </w:pPr>
                    <w:r>
                      <w:rPr>
                        <w:w w:val="102"/>
                        <w:sz w:val="31"/>
                      </w:rPr>
                      <w:t>[</w:t>
                    </w:r>
                  </w:p>
                </w:txbxContent>
              </v:textbox>
            </v:shape>
            <v:shape id="_x0000_s1228" type="#_x0000_t202" style="width:1134;height:317;left:5217;position:absolute;top:4099" filled="f" stroked="f">
              <v:textbox inset="0,0,0,0">
                <w:txbxContent>
                  <w:p>
                    <w:pPr>
                      <w:tabs>
                        <w:tab w:val="left" w:pos="638"/>
                      </w:tabs>
                      <w:spacing w:before="0" w:line="317" w:lineRule="exact"/>
                      <w:ind w:left="0" w:right="0" w:firstLine="0"/>
                      <w:jc w:val="left"/>
                      <w:rPr>
                        <w:sz w:val="31"/>
                      </w:rPr>
                    </w:pPr>
                    <w:r>
                      <w:rPr>
                        <w:sz w:val="31"/>
                      </w:rPr>
                      <w:t>％</w:t>
                      <w:tab/>
                      <w:t>1.2</w:t>
                    </w:r>
                  </w:p>
                </w:txbxContent>
              </v:textbox>
            </v:shape>
            <v:shape id="_x0000_s1229" type="#_x0000_t202" style="width:3736;height:317;left:9905;position:absolute;top:4099" filled="f" stroked="f">
              <v:textbox inset="0,0,0,0">
                <w:txbxContent>
                  <w:p>
                    <w:pPr>
                      <w:spacing w:before="0" w:line="317" w:lineRule="exact"/>
                      <w:ind w:left="0" w:right="0" w:firstLine="0"/>
                      <w:jc w:val="left"/>
                      <w:rPr>
                        <w:sz w:val="31"/>
                      </w:rPr>
                    </w:pPr>
                    <w:r>
                      <w:rPr>
                        <w:spacing w:val="-11"/>
                        <w:sz w:val="31"/>
                      </w:rPr>
                      <w:t>爆炸上限[％</w:t>
                    </w:r>
                    <w:r>
                      <w:rPr>
                        <w:spacing w:val="-28"/>
                        <w:sz w:val="31"/>
                      </w:rPr>
                      <w:t>（V/V）</w:t>
                    </w:r>
                    <w:r>
                      <w:rPr>
                        <w:spacing w:val="9"/>
                        <w:sz w:val="31"/>
                      </w:rPr>
                      <w:t xml:space="preserve">]： </w:t>
                    </w:r>
                    <w:r>
                      <w:rPr>
                        <w:sz w:val="31"/>
                      </w:rPr>
                      <w:t>8.0</w:t>
                    </w:r>
                  </w:p>
                </w:txbxContent>
              </v:textbox>
            </v:shape>
            <v:shape id="_x0000_s1230" type="#_x0000_t202" style="width:6673;height:800;left:5855;position:absolute;top:5050" filled="f" stroked="f">
              <v:textbox inset="0,0,0,0">
                <w:txbxContent>
                  <w:p>
                    <w:pPr>
                      <w:spacing w:before="0" w:line="359" w:lineRule="exact"/>
                      <w:ind w:left="0" w:right="0" w:firstLine="0"/>
                      <w:jc w:val="left"/>
                      <w:rPr>
                        <w:sz w:val="31"/>
                      </w:rPr>
                    </w:pPr>
                    <w:r>
                      <w:rPr>
                        <w:sz w:val="31"/>
                      </w:rPr>
                      <w:t>不溶于水，溶于醇、醚、丙酮等多数有机溶剂。</w:t>
                    </w:r>
                  </w:p>
                  <w:p>
                    <w:pPr>
                      <w:spacing w:before="85" w:line="355" w:lineRule="exact"/>
                      <w:ind w:left="0" w:right="0" w:firstLine="0"/>
                      <w:jc w:val="left"/>
                      <w:rPr>
                        <w:sz w:val="31"/>
                      </w:rPr>
                    </w:pPr>
                    <w:r>
                      <w:rPr>
                        <w:sz w:val="31"/>
                      </w:rPr>
                      <w:t>用于用作溶剂、稀释剂、聚合反应的介质等。</w:t>
                    </w:r>
                  </w:p>
                </w:txbxContent>
              </v:textbox>
            </v:shape>
          </v:group>
        </w:pict>
      </w:r>
      <w:r>
        <w:t>表</w:t>
      </w:r>
      <w:r>
        <w:rPr>
          <w:spacing w:val="-91"/>
        </w:rPr>
        <w:t xml:space="preserve"> </w:t>
      </w:r>
      <w:r>
        <w:t>3.3-7</w:t>
        <w:tab/>
      </w:r>
      <w:r>
        <w:rPr>
          <w:spacing w:val="5"/>
        </w:rPr>
        <w:t>6＃</w:t>
      </w:r>
      <w:r>
        <w:t>溶剂油的危险有害特性及其防护措施表</w:t>
      </w:r>
    </w:p>
    <w:p>
      <w:pPr>
        <w:pStyle w:val="BodyText"/>
        <w:spacing w:before="7"/>
        <w:rPr>
          <w:b/>
          <w:sz w:val="10"/>
        </w:rPr>
      </w:pPr>
    </w:p>
    <w:tbl>
      <w:tblPr>
        <w:tblStyle w:val="TableNormal7"/>
        <w:tblW w:w="0" w:type="auto"/>
        <w:jc w:val="left"/>
        <w:tblInd w:w="1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97"/>
        <w:gridCol w:w="7291"/>
        <w:gridCol w:w="1083"/>
      </w:tblGrid>
      <w:tr>
        <w:tblPrEx>
          <w:tblW w:w="0" w:type="auto"/>
          <w:jc w:val="left"/>
          <w:tblInd w:w="1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82"/>
          <w:jc w:val="left"/>
        </w:trPr>
        <w:tc>
          <w:tcPr>
            <w:tcW w:w="2997" w:type="dxa"/>
          </w:tcPr>
          <w:p>
            <w:pPr>
              <w:pStyle w:val="TableParagraph"/>
              <w:spacing w:line="359" w:lineRule="exact"/>
              <w:ind w:left="50"/>
              <w:jc w:val="left"/>
              <w:rPr>
                <w:sz w:val="31"/>
              </w:rPr>
            </w:pPr>
            <w:r>
              <w:rPr>
                <w:sz w:val="31"/>
              </w:rPr>
              <w:t>外观与性质:</w:t>
            </w:r>
          </w:p>
          <w:p>
            <w:pPr>
              <w:pStyle w:val="TableParagraph"/>
              <w:spacing w:before="85"/>
              <w:ind w:left="50"/>
              <w:jc w:val="left"/>
              <w:rPr>
                <w:sz w:val="31"/>
              </w:rPr>
            </w:pPr>
            <w:r>
              <w:rPr>
                <w:sz w:val="31"/>
              </w:rPr>
              <w:t>危险性类别：</w:t>
            </w:r>
          </w:p>
        </w:tc>
        <w:tc>
          <w:tcPr>
            <w:tcW w:w="7291" w:type="dxa"/>
          </w:tcPr>
          <w:p>
            <w:pPr>
              <w:pStyle w:val="TableParagraph"/>
              <w:spacing w:line="359" w:lineRule="exact"/>
              <w:ind w:left="81"/>
              <w:jc w:val="left"/>
              <w:rPr>
                <w:sz w:val="31"/>
              </w:rPr>
            </w:pPr>
            <w:r>
              <w:rPr>
                <w:sz w:val="31"/>
              </w:rPr>
              <w:t>无色透明液体，有特殊气味。</w:t>
            </w:r>
          </w:p>
          <w:p>
            <w:pPr>
              <w:pStyle w:val="TableParagraph"/>
              <w:tabs>
                <w:tab w:val="left" w:pos="1657"/>
              </w:tabs>
              <w:spacing w:before="85"/>
              <w:ind w:left="81"/>
              <w:jc w:val="left"/>
              <w:rPr>
                <w:sz w:val="31"/>
              </w:rPr>
            </w:pPr>
            <w:r>
              <w:rPr>
                <w:sz w:val="31"/>
              </w:rPr>
              <w:t>第</w:t>
            </w:r>
            <w:r>
              <w:rPr>
                <w:spacing w:val="-71"/>
                <w:sz w:val="31"/>
              </w:rPr>
              <w:t xml:space="preserve"> </w:t>
            </w:r>
            <w:r>
              <w:rPr>
                <w:sz w:val="31"/>
              </w:rPr>
              <w:t>3.2</w:t>
            </w:r>
            <w:r>
              <w:rPr>
                <w:spacing w:val="-75"/>
                <w:sz w:val="31"/>
              </w:rPr>
              <w:t xml:space="preserve"> </w:t>
            </w:r>
            <w:r>
              <w:rPr>
                <w:sz w:val="31"/>
              </w:rPr>
              <w:t>类</w:t>
              <w:tab/>
              <w:t>低闪点易燃液体</w:t>
            </w:r>
          </w:p>
        </w:tc>
        <w:tc>
          <w:tcPr>
            <w:tcW w:w="1083" w:type="dxa"/>
          </w:tcPr>
          <w:p>
            <w:pPr>
              <w:pStyle w:val="TableParagraph"/>
              <w:jc w:val="left"/>
              <w:rPr>
                <w:rFonts w:ascii="Times New Roman"/>
                <w:sz w:val="30"/>
              </w:rPr>
            </w:pPr>
          </w:p>
        </w:tc>
      </w:tr>
      <w:tr>
        <w:tblPrEx>
          <w:tblW w:w="0" w:type="auto"/>
          <w:jc w:val="left"/>
          <w:tblInd w:w="1364" w:type="dxa"/>
          <w:tblLayout w:type="fixed"/>
          <w:tblCellMar>
            <w:top w:w="0" w:type="dxa"/>
            <w:left w:w="0" w:type="dxa"/>
            <w:bottom w:w="0" w:type="dxa"/>
            <w:right w:w="0" w:type="dxa"/>
          </w:tblCellMar>
          <w:tblLook w:val="01E0"/>
        </w:tblPrEx>
        <w:trPr>
          <w:trHeight w:val="482"/>
          <w:jc w:val="left"/>
        </w:trPr>
        <w:tc>
          <w:tcPr>
            <w:tcW w:w="2997" w:type="dxa"/>
          </w:tcPr>
          <w:p>
            <w:pPr>
              <w:pStyle w:val="TableParagraph"/>
              <w:spacing w:before="45"/>
              <w:ind w:left="50"/>
              <w:jc w:val="left"/>
              <w:rPr>
                <w:sz w:val="31"/>
              </w:rPr>
            </w:pPr>
            <w:r>
              <w:rPr>
                <w:sz w:val="31"/>
              </w:rPr>
              <w:t>熔点（℃）：</w:t>
            </w:r>
          </w:p>
        </w:tc>
        <w:tc>
          <w:tcPr>
            <w:tcW w:w="7291" w:type="dxa"/>
          </w:tcPr>
          <w:p>
            <w:pPr>
              <w:pStyle w:val="TableParagraph"/>
              <w:tabs>
                <w:tab w:val="left" w:pos="4131"/>
              </w:tabs>
              <w:spacing w:before="45"/>
              <w:ind w:left="81"/>
              <w:jc w:val="left"/>
              <w:rPr>
                <w:sz w:val="31"/>
              </w:rPr>
            </w:pPr>
            <w:r>
              <w:rPr>
                <w:sz w:val="31"/>
              </w:rPr>
              <w:t>-95.6～-87</w:t>
              <w:tab/>
              <w:t>沸点（℃）：</w:t>
            </w:r>
          </w:p>
        </w:tc>
        <w:tc>
          <w:tcPr>
            <w:tcW w:w="1083" w:type="dxa"/>
          </w:tcPr>
          <w:p>
            <w:pPr>
              <w:pStyle w:val="TableParagraph"/>
              <w:spacing w:before="45"/>
              <w:ind w:left="80"/>
              <w:jc w:val="left"/>
              <w:rPr>
                <w:sz w:val="31"/>
              </w:rPr>
            </w:pPr>
            <w:r>
              <w:rPr>
                <w:sz w:val="31"/>
              </w:rPr>
              <w:t>60～90</w:t>
            </w:r>
          </w:p>
        </w:tc>
      </w:tr>
      <w:tr>
        <w:tblPrEx>
          <w:tblW w:w="0" w:type="auto"/>
          <w:jc w:val="left"/>
          <w:tblInd w:w="1364" w:type="dxa"/>
          <w:tblLayout w:type="fixed"/>
          <w:tblCellMar>
            <w:top w:w="0" w:type="dxa"/>
            <w:left w:w="0" w:type="dxa"/>
            <w:bottom w:w="0" w:type="dxa"/>
            <w:right w:w="0" w:type="dxa"/>
          </w:tblCellMar>
          <w:tblLook w:val="01E0"/>
        </w:tblPrEx>
        <w:trPr>
          <w:trHeight w:val="482"/>
          <w:jc w:val="left"/>
        </w:trPr>
        <w:tc>
          <w:tcPr>
            <w:tcW w:w="2997" w:type="dxa"/>
          </w:tcPr>
          <w:p>
            <w:pPr>
              <w:pStyle w:val="TableParagraph"/>
              <w:spacing w:before="45"/>
              <w:ind w:left="50"/>
              <w:jc w:val="left"/>
              <w:rPr>
                <w:sz w:val="31"/>
              </w:rPr>
            </w:pPr>
            <w:r>
              <w:rPr>
                <w:sz w:val="31"/>
              </w:rPr>
              <w:t>相对密度(水＝1):</w:t>
            </w:r>
          </w:p>
        </w:tc>
        <w:tc>
          <w:tcPr>
            <w:tcW w:w="7291" w:type="dxa"/>
          </w:tcPr>
          <w:p>
            <w:pPr>
              <w:pStyle w:val="TableParagraph"/>
              <w:tabs>
                <w:tab w:val="left" w:pos="4131"/>
              </w:tabs>
              <w:spacing w:before="45"/>
              <w:ind w:left="81"/>
              <w:jc w:val="left"/>
              <w:rPr>
                <w:sz w:val="31"/>
              </w:rPr>
            </w:pPr>
            <w:r>
              <w:rPr>
                <w:sz w:val="31"/>
              </w:rPr>
              <w:t>0.72</w:t>
              <w:tab/>
            </w:r>
            <w:r>
              <w:rPr>
                <w:spacing w:val="-11"/>
                <w:sz w:val="31"/>
              </w:rPr>
              <w:t>相对密度</w:t>
            </w:r>
            <w:r>
              <w:rPr>
                <w:sz w:val="31"/>
              </w:rPr>
              <w:t>（</w:t>
            </w:r>
            <w:r>
              <w:rPr>
                <w:spacing w:val="-5"/>
                <w:sz w:val="31"/>
              </w:rPr>
              <w:t>空气=</w:t>
            </w:r>
            <w:r>
              <w:rPr>
                <w:spacing w:val="-11"/>
                <w:sz w:val="31"/>
              </w:rPr>
              <w:t>1）：</w:t>
            </w:r>
          </w:p>
        </w:tc>
        <w:tc>
          <w:tcPr>
            <w:tcW w:w="1083" w:type="dxa"/>
          </w:tcPr>
          <w:p>
            <w:pPr>
              <w:pStyle w:val="TableParagraph"/>
              <w:spacing w:before="45"/>
              <w:ind w:left="80"/>
              <w:jc w:val="left"/>
              <w:rPr>
                <w:sz w:val="31"/>
              </w:rPr>
            </w:pPr>
            <w:r>
              <w:rPr>
                <w:sz w:val="31"/>
              </w:rPr>
              <w:t>2.8</w:t>
            </w:r>
          </w:p>
        </w:tc>
      </w:tr>
      <w:tr>
        <w:tblPrEx>
          <w:tblW w:w="0" w:type="auto"/>
          <w:jc w:val="left"/>
          <w:tblInd w:w="1364" w:type="dxa"/>
          <w:tblLayout w:type="fixed"/>
          <w:tblCellMar>
            <w:top w:w="0" w:type="dxa"/>
            <w:left w:w="0" w:type="dxa"/>
            <w:bottom w:w="0" w:type="dxa"/>
            <w:right w:w="0" w:type="dxa"/>
          </w:tblCellMar>
          <w:tblLook w:val="01E0"/>
        </w:tblPrEx>
        <w:trPr>
          <w:trHeight w:val="482"/>
          <w:jc w:val="left"/>
        </w:trPr>
        <w:tc>
          <w:tcPr>
            <w:tcW w:w="2997" w:type="dxa"/>
          </w:tcPr>
          <w:p>
            <w:pPr>
              <w:pStyle w:val="TableParagraph"/>
              <w:spacing w:before="45"/>
              <w:ind w:left="50"/>
              <w:jc w:val="left"/>
              <w:rPr>
                <w:sz w:val="31"/>
              </w:rPr>
            </w:pPr>
            <w:r>
              <w:rPr>
                <w:sz w:val="31"/>
              </w:rPr>
              <w:t>饱和蒸气压（kPa）：</w:t>
            </w:r>
          </w:p>
        </w:tc>
        <w:tc>
          <w:tcPr>
            <w:tcW w:w="7291" w:type="dxa"/>
          </w:tcPr>
          <w:p>
            <w:pPr>
              <w:pStyle w:val="TableParagraph"/>
              <w:tabs>
                <w:tab w:val="left" w:pos="4131"/>
              </w:tabs>
              <w:spacing w:before="45"/>
              <w:ind w:left="81"/>
              <w:jc w:val="left"/>
              <w:rPr>
                <w:sz w:val="31"/>
              </w:rPr>
            </w:pPr>
            <w:r>
              <w:rPr>
                <w:sz w:val="31"/>
              </w:rPr>
              <w:t>无资料</w:t>
              <w:tab/>
              <w:t>燃烧</w:t>
            </w:r>
            <w:r>
              <w:rPr>
                <w:spacing w:val="-4"/>
                <w:sz w:val="31"/>
              </w:rPr>
              <w:t>热</w:t>
            </w:r>
            <w:r>
              <w:rPr>
                <w:sz w:val="31"/>
              </w:rPr>
              <w:t>(kj/mol)</w:t>
            </w:r>
          </w:p>
        </w:tc>
        <w:tc>
          <w:tcPr>
            <w:tcW w:w="1083" w:type="dxa"/>
          </w:tcPr>
          <w:p>
            <w:pPr>
              <w:pStyle w:val="TableParagraph"/>
              <w:spacing w:before="45"/>
              <w:ind w:left="80"/>
              <w:jc w:val="left"/>
              <w:rPr>
                <w:sz w:val="31"/>
              </w:rPr>
            </w:pPr>
            <w:r>
              <w:rPr>
                <w:sz w:val="31"/>
              </w:rPr>
              <w:t>3725.4</w:t>
            </w:r>
          </w:p>
        </w:tc>
      </w:tr>
      <w:tr>
        <w:tblPrEx>
          <w:tblW w:w="0" w:type="auto"/>
          <w:jc w:val="left"/>
          <w:tblInd w:w="1364" w:type="dxa"/>
          <w:tblLayout w:type="fixed"/>
          <w:tblCellMar>
            <w:top w:w="0" w:type="dxa"/>
            <w:left w:w="0" w:type="dxa"/>
            <w:bottom w:w="0" w:type="dxa"/>
            <w:right w:w="0" w:type="dxa"/>
          </w:tblCellMar>
          <w:tblLook w:val="01E0"/>
        </w:tblPrEx>
        <w:trPr>
          <w:trHeight w:val="484"/>
          <w:jc w:val="left"/>
        </w:trPr>
        <w:tc>
          <w:tcPr>
            <w:tcW w:w="2997" w:type="dxa"/>
          </w:tcPr>
          <w:p>
            <w:pPr>
              <w:pStyle w:val="TableParagraph"/>
              <w:spacing w:before="45"/>
              <w:ind w:left="50"/>
              <w:jc w:val="left"/>
              <w:rPr>
                <w:sz w:val="31"/>
              </w:rPr>
            </w:pPr>
            <w:r>
              <w:rPr>
                <w:sz w:val="31"/>
              </w:rPr>
              <w:t>临界温度（℃）：</w:t>
            </w:r>
          </w:p>
        </w:tc>
        <w:tc>
          <w:tcPr>
            <w:tcW w:w="7291" w:type="dxa"/>
          </w:tcPr>
          <w:p>
            <w:pPr>
              <w:pStyle w:val="TableParagraph"/>
              <w:tabs>
                <w:tab w:val="left" w:pos="4131"/>
              </w:tabs>
              <w:spacing w:before="45"/>
              <w:ind w:left="81"/>
              <w:jc w:val="left"/>
              <w:rPr>
                <w:sz w:val="31"/>
              </w:rPr>
            </w:pPr>
            <w:r>
              <w:rPr>
                <w:sz w:val="31"/>
              </w:rPr>
              <w:t>256.7</w:t>
              <w:tab/>
            </w:r>
            <w:r>
              <w:rPr>
                <w:spacing w:val="-1"/>
                <w:sz w:val="31"/>
              </w:rPr>
              <w:t>临界压力</w:t>
            </w:r>
            <w:r>
              <w:rPr>
                <w:sz w:val="31"/>
              </w:rPr>
              <w:t>(MPa)</w:t>
            </w:r>
          </w:p>
        </w:tc>
        <w:tc>
          <w:tcPr>
            <w:tcW w:w="1083" w:type="dxa"/>
          </w:tcPr>
          <w:p>
            <w:pPr>
              <w:pStyle w:val="TableParagraph"/>
              <w:spacing w:before="45"/>
              <w:ind w:left="80"/>
              <w:jc w:val="left"/>
              <w:rPr>
                <w:sz w:val="31"/>
              </w:rPr>
            </w:pPr>
            <w:r>
              <w:rPr>
                <w:sz w:val="31"/>
              </w:rPr>
              <w:t>3.54</w:t>
            </w:r>
          </w:p>
        </w:tc>
      </w:tr>
      <w:tr>
        <w:tblPrEx>
          <w:tblW w:w="0" w:type="auto"/>
          <w:jc w:val="left"/>
          <w:tblInd w:w="1364" w:type="dxa"/>
          <w:tblLayout w:type="fixed"/>
          <w:tblCellMar>
            <w:top w:w="0" w:type="dxa"/>
            <w:left w:w="0" w:type="dxa"/>
            <w:bottom w:w="0" w:type="dxa"/>
            <w:right w:w="0" w:type="dxa"/>
          </w:tblCellMar>
          <w:tblLook w:val="01E0"/>
        </w:tblPrEx>
        <w:trPr>
          <w:trHeight w:val="401"/>
          <w:jc w:val="left"/>
        </w:trPr>
        <w:tc>
          <w:tcPr>
            <w:tcW w:w="2997" w:type="dxa"/>
          </w:tcPr>
          <w:p>
            <w:pPr>
              <w:pStyle w:val="TableParagraph"/>
              <w:spacing w:before="47" w:line="335" w:lineRule="exact"/>
              <w:ind w:left="50"/>
              <w:jc w:val="left"/>
              <w:rPr>
                <w:sz w:val="31"/>
              </w:rPr>
            </w:pPr>
            <w:r>
              <w:rPr>
                <w:sz w:val="31"/>
              </w:rPr>
              <w:t>闪点（℃）：</w:t>
            </w:r>
          </w:p>
        </w:tc>
        <w:tc>
          <w:tcPr>
            <w:tcW w:w="7291" w:type="dxa"/>
          </w:tcPr>
          <w:p>
            <w:pPr>
              <w:pStyle w:val="TableParagraph"/>
              <w:tabs>
                <w:tab w:val="left" w:pos="4131"/>
              </w:tabs>
              <w:spacing w:before="47" w:line="335" w:lineRule="exact"/>
              <w:ind w:left="81"/>
              <w:jc w:val="left"/>
              <w:rPr>
                <w:sz w:val="31"/>
              </w:rPr>
            </w:pPr>
            <w:r>
              <w:rPr>
                <w:sz w:val="31"/>
              </w:rPr>
              <w:t>13～18</w:t>
              <w:tab/>
              <w:t>引燃温度（℃）：</w:t>
            </w:r>
          </w:p>
        </w:tc>
        <w:tc>
          <w:tcPr>
            <w:tcW w:w="1083" w:type="dxa"/>
          </w:tcPr>
          <w:p>
            <w:pPr>
              <w:pStyle w:val="TableParagraph"/>
              <w:spacing w:before="47" w:line="335" w:lineRule="exact"/>
              <w:ind w:left="80"/>
              <w:jc w:val="left"/>
              <w:rPr>
                <w:sz w:val="31"/>
              </w:rPr>
            </w:pPr>
            <w:r>
              <w:rPr>
                <w:sz w:val="31"/>
              </w:rPr>
              <w:t>320</w:t>
            </w:r>
          </w:p>
        </w:tc>
      </w:tr>
    </w:tbl>
    <w:p>
      <w:pPr>
        <w:spacing w:after="0" w:line="335" w:lineRule="exact"/>
        <w:jc w:val="left"/>
        <w:rPr>
          <w:sz w:val="31"/>
        </w:rPr>
        <w:sectPr>
          <w:headerReference w:type="default" r:id="rId119"/>
          <w:footerReference w:type="default" r:id="rId120"/>
          <w:type w:val="continuous"/>
          <w:pgSz w:w="17860" w:h="25260"/>
          <w:pgMar w:top="1380" w:right="1360" w:bottom="2020" w:left="1420" w:header="708" w:footer="708"/>
          <w:pgNumType w:start="44"/>
          <w:cols w:space="708"/>
        </w:sectPr>
      </w:pPr>
    </w:p>
    <w:p>
      <w:pPr>
        <w:pStyle w:val="BodyText"/>
        <w:rPr>
          <w:b/>
          <w:sz w:val="20"/>
        </w:rPr>
      </w:pPr>
    </w:p>
    <w:p>
      <w:pPr>
        <w:pStyle w:val="BodyText"/>
        <w:spacing w:before="11"/>
        <w:rPr>
          <w:b/>
          <w:sz w:val="15"/>
        </w:rPr>
      </w:pPr>
    </w:p>
    <w:p>
      <w:pPr>
        <w:spacing w:before="63" w:line="283" w:lineRule="auto"/>
        <w:ind w:left="708" w:right="683" w:firstLine="698"/>
        <w:jc w:val="both"/>
        <w:rPr>
          <w:sz w:val="31"/>
        </w:rPr>
      </w:pPr>
      <w:r>
        <w:rPr>
          <w:spacing w:val="-1"/>
          <w:sz w:val="31"/>
        </w:rPr>
        <w:t>本品有麻醉和刺激作用。长期接触可致周围神经炎。有一定的毒性。急性中毒：吸入高浓度本</w:t>
      </w:r>
      <w:r>
        <w:rPr>
          <w:b/>
          <w:spacing w:val="6"/>
          <w:sz w:val="31"/>
        </w:rPr>
        <w:t xml:space="preserve">健   </w:t>
      </w:r>
      <w:r>
        <w:rPr>
          <w:spacing w:val="-1"/>
          <w:sz w:val="31"/>
        </w:rPr>
        <w:t>品出现头痛、头晕、恶心、共济失调等，重者引起神志丧失甚至死亡。对眼和上呼吸道有刺激</w:t>
      </w:r>
      <w:r>
        <w:rPr>
          <w:b/>
          <w:spacing w:val="3"/>
          <w:sz w:val="31"/>
        </w:rPr>
        <w:t xml:space="preserve">康   </w:t>
      </w:r>
      <w:r>
        <w:rPr>
          <w:spacing w:val="-1"/>
          <w:sz w:val="31"/>
        </w:rPr>
        <w:t>性。    慢性中毒：长期接触出现头痛、头晕、乏力、胃纳减退；其后四肢远端逐渐发展成感</w:t>
      </w:r>
      <w:r>
        <w:rPr>
          <w:b/>
          <w:spacing w:val="6"/>
          <w:sz w:val="31"/>
        </w:rPr>
        <w:t xml:space="preserve">危   </w:t>
      </w:r>
      <w:r>
        <w:rPr>
          <w:spacing w:val="-1"/>
          <w:sz w:val="31"/>
        </w:rPr>
        <w:t>觉异常，麻木，触、痛、震动和位置等感觉减退，尤以下肢为甚，上肢较少受累。进一步发展</w:t>
      </w:r>
      <w:r>
        <w:rPr>
          <w:b/>
          <w:spacing w:val="65"/>
          <w:sz w:val="31"/>
        </w:rPr>
        <w:t xml:space="preserve">害 </w:t>
      </w:r>
      <w:r>
        <w:rPr>
          <w:sz w:val="31"/>
        </w:rPr>
        <w:t>为下肢无力，肌肉疼痛，肌肉萎缩及运动障碍。神经-肌电图检查示感觉神经及运动神经传导</w:t>
      </w:r>
    </w:p>
    <w:p>
      <w:pPr>
        <w:spacing w:before="0" w:line="394" w:lineRule="exact"/>
        <w:ind w:left="1406" w:right="0" w:firstLine="0"/>
        <w:jc w:val="left"/>
        <w:rPr>
          <w:sz w:val="31"/>
        </w:rPr>
      </w:pPr>
      <w:r>
        <w:rPr>
          <w:sz w:val="31"/>
        </w:rPr>
        <w:t>速度减慢。</w:t>
      </w:r>
    </w:p>
    <w:p>
      <w:pPr>
        <w:spacing w:after="0" w:line="394" w:lineRule="exact"/>
        <w:jc w:val="left"/>
        <w:rPr>
          <w:sz w:val="31"/>
        </w:rPr>
        <w:sectPr>
          <w:headerReference w:type="default" r:id="rId121"/>
          <w:footerReference w:type="default" r:id="rId122"/>
          <w:pgSz w:w="17860" w:h="25260"/>
          <w:pgMar w:top="1380" w:right="1360" w:bottom="2020" w:left="1420" w:header="1083" w:footer="1826"/>
          <w:pgNumType w:start="45"/>
          <w:cols w:space="708"/>
        </w:sectPr>
      </w:pPr>
    </w:p>
    <w:p>
      <w:pPr>
        <w:spacing w:before="118"/>
        <w:ind w:left="708" w:right="0" w:firstLine="0"/>
        <w:jc w:val="left"/>
        <w:rPr>
          <w:b/>
          <w:sz w:val="31"/>
        </w:rPr>
      </w:pPr>
      <w:r>
        <w:rPr>
          <w:b/>
          <w:sz w:val="31"/>
        </w:rPr>
        <w:t>燃爆特性</w:t>
      </w:r>
    </w:p>
    <w:p>
      <w:pPr>
        <w:spacing w:before="117" w:line="326" w:lineRule="exact"/>
        <w:ind w:left="1406" w:right="0" w:firstLine="0"/>
        <w:jc w:val="left"/>
        <w:rPr>
          <w:sz w:val="31"/>
        </w:rPr>
      </w:pPr>
      <w:r>
        <w:rPr>
          <w:spacing w:val="-5"/>
          <w:sz w:val="31"/>
        </w:rPr>
        <w:t>皮肤接触</w:t>
      </w:r>
    </w:p>
    <w:p>
      <w:pPr>
        <w:spacing w:before="0" w:line="241" w:lineRule="exact"/>
        <w:ind w:left="708" w:right="0" w:firstLine="0"/>
        <w:jc w:val="left"/>
        <w:rPr>
          <w:b/>
          <w:sz w:val="31"/>
        </w:rPr>
      </w:pPr>
      <w:r>
        <w:rPr>
          <w:b/>
          <w:w w:val="101"/>
          <w:sz w:val="31"/>
        </w:rPr>
        <w:t>急</w:t>
      </w:r>
    </w:p>
    <w:p>
      <w:pPr>
        <w:spacing w:before="0" w:line="234" w:lineRule="exact"/>
        <w:ind w:left="1406" w:right="0" w:firstLine="0"/>
        <w:jc w:val="left"/>
        <w:rPr>
          <w:sz w:val="31"/>
        </w:rPr>
      </w:pPr>
      <w:r>
        <w:rPr>
          <w:spacing w:val="-5"/>
          <w:sz w:val="31"/>
        </w:rPr>
        <w:t>眼睛接触</w:t>
      </w:r>
    </w:p>
    <w:p>
      <w:pPr>
        <w:spacing w:before="0" w:line="243" w:lineRule="exact"/>
        <w:ind w:left="708" w:right="0" w:firstLine="0"/>
        <w:jc w:val="left"/>
        <w:rPr>
          <w:b/>
          <w:sz w:val="31"/>
        </w:rPr>
      </w:pPr>
      <w:r>
        <w:rPr>
          <w:b/>
          <w:w w:val="101"/>
          <w:sz w:val="31"/>
        </w:rPr>
        <w:t>救</w:t>
      </w:r>
    </w:p>
    <w:p>
      <w:pPr>
        <w:spacing w:before="0" w:line="234" w:lineRule="exact"/>
        <w:ind w:left="1406" w:right="0" w:firstLine="0"/>
        <w:jc w:val="left"/>
        <w:rPr>
          <w:sz w:val="31"/>
        </w:rPr>
      </w:pPr>
      <w:r>
        <w:rPr>
          <w:sz w:val="31"/>
        </w:rPr>
        <w:t>吸入</w:t>
      </w:r>
    </w:p>
    <w:p>
      <w:pPr>
        <w:spacing w:before="0" w:line="310" w:lineRule="exact"/>
        <w:ind w:left="708" w:right="0" w:firstLine="0"/>
        <w:jc w:val="left"/>
        <w:rPr>
          <w:b/>
          <w:sz w:val="31"/>
        </w:rPr>
      </w:pPr>
      <w:r>
        <w:rPr>
          <w:b/>
          <w:w w:val="101"/>
          <w:sz w:val="31"/>
        </w:rPr>
        <w:t>措</w:t>
      </w:r>
    </w:p>
    <w:p>
      <w:pPr>
        <w:spacing w:before="71" w:line="328" w:lineRule="exact"/>
        <w:ind w:left="708" w:right="0" w:firstLine="0"/>
        <w:jc w:val="left"/>
        <w:rPr>
          <w:b/>
          <w:sz w:val="31"/>
        </w:rPr>
      </w:pPr>
      <w:r>
        <w:rPr>
          <w:b/>
          <w:w w:val="101"/>
          <w:sz w:val="31"/>
        </w:rPr>
        <w:t>施</w:t>
      </w:r>
    </w:p>
    <w:p>
      <w:pPr>
        <w:spacing w:before="0" w:line="328" w:lineRule="exact"/>
        <w:ind w:left="1406" w:right="0" w:firstLine="0"/>
        <w:jc w:val="left"/>
        <w:rPr>
          <w:sz w:val="31"/>
        </w:rPr>
      </w:pPr>
      <w:r>
        <w:rPr>
          <w:sz w:val="31"/>
        </w:rPr>
        <w:t>食入</w:t>
      </w:r>
    </w:p>
    <w:p>
      <w:pPr>
        <w:spacing w:before="85"/>
        <w:ind w:left="312" w:right="0" w:firstLine="0"/>
        <w:jc w:val="left"/>
        <w:rPr>
          <w:sz w:val="31"/>
        </w:rPr>
      </w:pPr>
      <w:r>
        <w:br w:type="column"/>
      </w:r>
      <w:r>
        <w:rPr>
          <w:sz w:val="31"/>
        </w:rPr>
        <w:t>本品极度易燃，具刺激性。</w:t>
      </w:r>
    </w:p>
    <w:p>
      <w:pPr>
        <w:spacing w:before="150" w:line="290" w:lineRule="auto"/>
        <w:ind w:left="312" w:right="5081" w:firstLine="0"/>
        <w:jc w:val="left"/>
        <w:rPr>
          <w:sz w:val="31"/>
        </w:rPr>
      </w:pPr>
      <w:r>
        <w:rPr>
          <w:sz w:val="31"/>
        </w:rPr>
        <w:t>脱去污染的衣着，用肥皂水和清水彻底冲洗皮肤。提起眼睑，用流动清水或生理盐水冲洗。就医。</w:t>
      </w:r>
    </w:p>
    <w:p>
      <w:pPr>
        <w:spacing w:before="7" w:line="283" w:lineRule="auto"/>
        <w:ind w:left="312" w:right="590" w:firstLine="0"/>
        <w:jc w:val="left"/>
        <w:rPr>
          <w:sz w:val="31"/>
        </w:rPr>
      </w:pPr>
      <w:r>
        <w:rPr>
          <w:spacing w:val="-14"/>
          <w:sz w:val="31"/>
        </w:rPr>
        <w:t xml:space="preserve">迅速脱离现场至空气新鲜处。保持呼吸道通畅。如呼吸困难，给输氧。如呼吸停止， </w:t>
      </w:r>
      <w:r>
        <w:rPr>
          <w:sz w:val="31"/>
        </w:rPr>
        <w:t>立即进行人工呼吸。就医。</w:t>
      </w:r>
    </w:p>
    <w:p>
      <w:pPr>
        <w:spacing w:before="13"/>
        <w:ind w:left="312" w:right="0" w:firstLine="0"/>
        <w:jc w:val="left"/>
        <w:rPr>
          <w:sz w:val="31"/>
        </w:rPr>
      </w:pPr>
      <w:r>
        <w:rPr>
          <w:sz w:val="31"/>
        </w:rPr>
        <w:t>饮足量温水，催吐。就医。</w:t>
      </w:r>
    </w:p>
    <w:p>
      <w:pPr>
        <w:spacing w:before="87"/>
        <w:ind w:left="312" w:right="0" w:firstLine="0"/>
        <w:jc w:val="left"/>
        <w:rPr>
          <w:sz w:val="31"/>
        </w:rPr>
      </w:pPr>
      <w:r>
        <w:rPr>
          <w:sz w:val="31"/>
        </w:rPr>
        <w:t>极易燃，其蒸气与空气可形成爆炸性混合物，遇明火、高热极易燃烧爆炸。与氧化</w:t>
      </w:r>
    </w:p>
    <w:p>
      <w:pPr>
        <w:spacing w:after="0"/>
        <w:jc w:val="left"/>
        <w:rPr>
          <w:sz w:val="31"/>
        </w:rPr>
        <w:sectPr>
          <w:headerReference w:type="default" r:id="rId123"/>
          <w:footerReference w:type="default" r:id="rId124"/>
          <w:type w:val="continuous"/>
          <w:pgSz w:w="17860" w:h="25260"/>
          <w:pgMar w:top="1380" w:right="1360" w:bottom="2020" w:left="1420" w:header="708" w:footer="708"/>
          <w:pgNumType w:start="46"/>
          <w:cols w:num="2" w:space="708" w:equalWidth="0">
            <w:col w:w="2675" w:space="40"/>
            <w:col w:w="12365" w:space="0"/>
          </w:cols>
        </w:sectPr>
      </w:pPr>
    </w:p>
    <w:p>
      <w:pPr>
        <w:tabs>
          <w:tab w:val="left" w:pos="3026"/>
        </w:tabs>
        <w:spacing w:before="70" w:line="323" w:lineRule="exact"/>
        <w:ind w:left="1406" w:right="0" w:firstLine="0"/>
        <w:jc w:val="left"/>
        <w:rPr>
          <w:sz w:val="31"/>
        </w:rPr>
      </w:pPr>
      <w:r>
        <w:rPr>
          <w:sz w:val="31"/>
        </w:rPr>
        <w:t>危险特性</w:t>
        <w:tab/>
        <w:t>剂接触发生强烈反</w:t>
      </w:r>
      <w:r>
        <w:rPr>
          <w:spacing w:val="-14"/>
          <w:sz w:val="31"/>
        </w:rPr>
        <w:t>应</w:t>
      </w:r>
      <w:r>
        <w:rPr>
          <w:sz w:val="31"/>
        </w:rPr>
        <w:t>,</w:t>
      </w:r>
      <w:r>
        <w:rPr>
          <w:spacing w:val="49"/>
          <w:sz w:val="31"/>
        </w:rPr>
        <w:t xml:space="preserve"> </w:t>
      </w:r>
      <w:r>
        <w:rPr>
          <w:sz w:val="31"/>
        </w:rPr>
        <w:t>甚至引起燃烧。在火场中，受热的容器有爆炸危险。其蒸气</w:t>
      </w:r>
    </w:p>
    <w:p>
      <w:pPr>
        <w:spacing w:before="0" w:line="234" w:lineRule="exact"/>
        <w:ind w:left="708" w:right="0" w:firstLine="0"/>
        <w:jc w:val="left"/>
        <w:rPr>
          <w:b/>
          <w:sz w:val="31"/>
        </w:rPr>
      </w:pPr>
      <w:r>
        <w:rPr>
          <w:b/>
          <w:w w:val="101"/>
          <w:sz w:val="31"/>
        </w:rPr>
        <w:t>消</w:t>
      </w:r>
    </w:p>
    <w:p>
      <w:pPr>
        <w:spacing w:before="0" w:line="234" w:lineRule="exact"/>
        <w:ind w:left="3026" w:right="0" w:firstLine="0"/>
        <w:jc w:val="left"/>
        <w:rPr>
          <w:sz w:val="31"/>
        </w:rPr>
      </w:pPr>
      <w:r>
        <w:rPr>
          <w:sz w:val="31"/>
        </w:rPr>
        <w:t>比空气重，能在较低处扩散到相当远的地方，遇火源会着火回燃。</w:t>
      </w:r>
    </w:p>
    <w:p>
      <w:pPr>
        <w:spacing w:before="0" w:line="241" w:lineRule="exact"/>
        <w:ind w:left="708" w:right="0" w:firstLine="0"/>
        <w:jc w:val="left"/>
        <w:rPr>
          <w:b/>
          <w:sz w:val="31"/>
        </w:rPr>
      </w:pPr>
      <w:r>
        <w:rPr>
          <w:b/>
          <w:w w:val="101"/>
          <w:sz w:val="31"/>
        </w:rPr>
        <w:t>防</w:t>
      </w:r>
    </w:p>
    <w:p>
      <w:pPr>
        <w:tabs>
          <w:tab w:val="left" w:pos="3026"/>
        </w:tabs>
        <w:spacing w:before="0" w:line="234" w:lineRule="exact"/>
        <w:ind w:left="1406" w:right="0" w:firstLine="0"/>
        <w:jc w:val="left"/>
        <w:rPr>
          <w:sz w:val="31"/>
        </w:rPr>
      </w:pPr>
      <w:r>
        <w:rPr>
          <w:sz w:val="31"/>
        </w:rPr>
        <w:t>燃烧产物</w:t>
        <w:tab/>
        <w:t>一氧化碳、二氧化碳。</w:t>
      </w:r>
    </w:p>
    <w:p>
      <w:pPr>
        <w:spacing w:before="0" w:line="241" w:lineRule="exact"/>
        <w:ind w:left="708" w:right="0" w:firstLine="0"/>
        <w:jc w:val="left"/>
        <w:rPr>
          <w:b/>
          <w:sz w:val="31"/>
        </w:rPr>
      </w:pPr>
      <w:r>
        <w:rPr>
          <w:b/>
          <w:w w:val="101"/>
          <w:sz w:val="31"/>
        </w:rPr>
        <w:t>措</w:t>
      </w:r>
    </w:p>
    <w:p>
      <w:pPr>
        <w:spacing w:before="0" w:line="234" w:lineRule="exact"/>
        <w:ind w:left="3026" w:right="0" w:firstLine="0"/>
        <w:jc w:val="left"/>
        <w:rPr>
          <w:sz w:val="31"/>
        </w:rPr>
      </w:pPr>
      <w:r>
        <w:rPr>
          <w:sz w:val="31"/>
        </w:rPr>
        <w:t>喷水冷却容器，可能的话将容器从火场移至空旷处。处在火场中的容器若已变色或</w:t>
      </w:r>
    </w:p>
    <w:p>
      <w:pPr>
        <w:spacing w:before="0" w:line="234" w:lineRule="exact"/>
        <w:ind w:left="708" w:right="0" w:firstLine="0"/>
        <w:jc w:val="left"/>
        <w:rPr>
          <w:b/>
          <w:sz w:val="31"/>
        </w:rPr>
      </w:pPr>
      <w:r>
        <w:rPr>
          <w:b/>
          <w:w w:val="101"/>
          <w:sz w:val="31"/>
        </w:rPr>
        <w:t>施</w:t>
      </w:r>
    </w:p>
    <w:p>
      <w:pPr>
        <w:tabs>
          <w:tab w:val="left" w:pos="3026"/>
        </w:tabs>
        <w:spacing w:before="0" w:line="323" w:lineRule="exact"/>
        <w:ind w:left="1406" w:right="0" w:firstLine="0"/>
        <w:jc w:val="left"/>
        <w:rPr>
          <w:sz w:val="31"/>
        </w:rPr>
      </w:pPr>
      <w:r>
        <w:rPr>
          <w:sz w:val="31"/>
        </w:rPr>
        <w:t>灭火方法</w:t>
        <w:tab/>
        <w:t>从安全泄压装置中产生声音，必须马上撤离。灭火剂：泡沫、二氧化碳、干粉、砂</w:t>
      </w:r>
    </w:p>
    <w:p>
      <w:pPr>
        <w:spacing w:before="71"/>
        <w:ind w:left="3026" w:right="0" w:firstLine="0"/>
        <w:jc w:val="left"/>
        <w:rPr>
          <w:sz w:val="31"/>
        </w:rPr>
      </w:pPr>
      <w:r>
        <w:rPr>
          <w:sz w:val="31"/>
        </w:rPr>
        <w:t>土。用水灭火无效。</w:t>
      </w:r>
    </w:p>
    <w:p>
      <w:pPr>
        <w:spacing w:before="23" w:line="460" w:lineRule="atLeast"/>
        <w:ind w:left="3026" w:right="646" w:firstLine="0"/>
        <w:jc w:val="both"/>
        <w:rPr>
          <w:sz w:val="31"/>
        </w:rPr>
      </w:pPr>
      <w:r>
        <w:rPr>
          <w:sz w:val="31"/>
        </w:rPr>
        <w:t>迅速撤离泄漏污染区人员至安全区，并进行隔离，严格限制出入。切断火源。建议应急处理人员戴自给正压式呼吸器，穿防静电工作服。尽可能切断泄漏源。防止流入下水道、排洪沟等限制性空间。小量泄漏：用砂土或其它不燃材料吸附或吸收。</w:t>
      </w:r>
    </w:p>
    <w:p>
      <w:pPr>
        <w:spacing w:after="0" w:line="460" w:lineRule="atLeast"/>
        <w:jc w:val="both"/>
        <w:rPr>
          <w:sz w:val="31"/>
        </w:rPr>
        <w:sectPr>
          <w:headerReference w:type="default" r:id="rId125"/>
          <w:footerReference w:type="default" r:id="rId126"/>
          <w:type w:val="continuous"/>
          <w:pgSz w:w="17860" w:h="25260"/>
          <w:pgMar w:top="1380" w:right="1360" w:bottom="2020" w:left="1420" w:header="708" w:footer="708"/>
          <w:pgNumType w:start="47"/>
          <w:cols w:space="708"/>
        </w:sectPr>
      </w:pPr>
    </w:p>
    <w:p>
      <w:pPr>
        <w:spacing w:before="0" w:line="250" w:lineRule="exact"/>
        <w:ind w:left="708" w:right="0" w:firstLine="0"/>
        <w:jc w:val="left"/>
        <w:rPr>
          <w:b/>
          <w:sz w:val="31"/>
        </w:rPr>
      </w:pPr>
      <w:r>
        <w:rPr>
          <w:b/>
          <w:sz w:val="31"/>
        </w:rPr>
        <w:t>泄漏处理</w:t>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spacing w:before="11"/>
        <w:rPr>
          <w:b/>
        </w:rPr>
      </w:pPr>
    </w:p>
    <w:p>
      <w:pPr>
        <w:spacing w:before="0"/>
        <w:ind w:left="708" w:right="0" w:firstLine="0"/>
        <w:jc w:val="left"/>
        <w:rPr>
          <w:b/>
          <w:sz w:val="31"/>
        </w:rPr>
      </w:pPr>
      <w:r>
        <w:rPr>
          <w:b/>
          <w:sz w:val="31"/>
        </w:rPr>
        <w:t>操作处置</w:t>
      </w:r>
    </w:p>
    <w:p>
      <w:pPr>
        <w:spacing w:before="86" w:line="283" w:lineRule="auto"/>
        <w:ind w:left="708" w:right="646" w:firstLine="0"/>
        <w:jc w:val="both"/>
        <w:rPr>
          <w:sz w:val="31"/>
        </w:rPr>
      </w:pPr>
      <w:r>
        <w:br w:type="column"/>
      </w:r>
      <w:r>
        <w:rPr>
          <w:sz w:val="31"/>
        </w:rPr>
        <w:t>也可以用不燃性分散剂制成的乳液刷洗，洗液稀释后放入废水系统。大量泄漏：构筑围堤或挖坑收容。用泡沫覆盖，降低蒸气灾害。用防爆泵转移至槽车或专用收集器内，回收或运至废物处理场所处置。</w:t>
      </w:r>
    </w:p>
    <w:p>
      <w:pPr>
        <w:spacing w:before="111" w:line="283" w:lineRule="auto"/>
        <w:ind w:left="708" w:right="586" w:firstLine="0"/>
        <w:jc w:val="both"/>
        <w:rPr>
          <w:sz w:val="31"/>
        </w:rPr>
      </w:pPr>
      <w:r>
        <w:rPr>
          <w:sz w:val="31"/>
        </w:rPr>
        <w:t>密闭操作，全面通风。操作人员必须经过专门培训，严格遵守操作规程。建议操作</w:t>
      </w:r>
      <w:r>
        <w:rPr>
          <w:spacing w:val="-6"/>
          <w:sz w:val="31"/>
        </w:rPr>
        <w:t>人员佩戴自吸过滤式防毒面具</w:t>
      </w:r>
      <w:r>
        <w:rPr>
          <w:sz w:val="31"/>
        </w:rPr>
        <w:t>（半面罩</w:t>
      </w:r>
      <w:r>
        <w:rPr>
          <w:spacing w:val="-58"/>
          <w:sz w:val="31"/>
        </w:rPr>
        <w:t>）</w:t>
      </w:r>
      <w:r>
        <w:rPr>
          <w:spacing w:val="-13"/>
          <w:sz w:val="31"/>
        </w:rPr>
        <w:t xml:space="preserve">，戴化学安全防护眼镜，穿防静电工作服， </w:t>
      </w:r>
      <w:r>
        <w:rPr>
          <w:sz w:val="31"/>
        </w:rPr>
        <w:t>戴橡胶耐油手套。远离火种、热源，工作场所严禁吸烟。使用防爆型的通风系统和设备。防止蒸气泄漏到工作场所空气中。避免与氧化剂接触。灌装时应控制流速， 且有接地装置，防止静电积聚。搬运时要轻装轻卸，防止包装及容器损坏。配备相应品种和数量的消防器材及泄漏应急处理设备。倒空的容器可能残留有害物。</w:t>
      </w:r>
    </w:p>
    <w:p>
      <w:pPr>
        <w:spacing w:before="107"/>
        <w:ind w:left="708" w:right="0" w:firstLine="0"/>
        <w:jc w:val="left"/>
        <w:rPr>
          <w:sz w:val="31"/>
        </w:rPr>
      </w:pPr>
      <w:r>
        <w:rPr>
          <w:sz w:val="31"/>
        </w:rPr>
        <w:t>储存于阴凉、通风的库房。远离火种、热源。库温不宜超过30℃。保持容器密封。</w:t>
      </w:r>
    </w:p>
    <w:p>
      <w:pPr>
        <w:spacing w:after="0"/>
        <w:jc w:val="left"/>
        <w:rPr>
          <w:sz w:val="31"/>
        </w:rPr>
        <w:sectPr>
          <w:headerReference w:type="default" r:id="rId127"/>
          <w:footerReference w:type="default" r:id="rId128"/>
          <w:type w:val="continuous"/>
          <w:pgSz w:w="17860" w:h="25260"/>
          <w:pgMar w:top="1380" w:right="1360" w:bottom="2020" w:left="1420" w:header="708" w:footer="708"/>
          <w:pgNumType w:start="48"/>
          <w:cols w:num="2" w:space="708" w:equalWidth="0">
            <w:col w:w="2016" w:space="302"/>
            <w:col w:w="12762" w:space="0"/>
          </w:cols>
        </w:sectPr>
      </w:pPr>
    </w:p>
    <w:p>
      <w:pPr>
        <w:tabs>
          <w:tab w:val="left" w:pos="3026"/>
        </w:tabs>
        <w:spacing w:before="71" w:line="283" w:lineRule="auto"/>
        <w:ind w:left="3026" w:right="646" w:hanging="2319"/>
        <w:jc w:val="left"/>
        <w:rPr>
          <w:sz w:val="31"/>
        </w:rPr>
      </w:pPr>
      <w:r>
        <w:rPr>
          <w:b/>
          <w:sz w:val="31"/>
        </w:rPr>
        <w:t>储存注意事项</w:t>
        <w:tab/>
      </w:r>
      <w:r>
        <w:rPr>
          <w:sz w:val="31"/>
        </w:rPr>
        <w:t>应与氧化剂分开存放，切忌混储。采用防爆型照明、通风设施。禁止使用易产生</w:t>
      </w:r>
      <w:r>
        <w:rPr>
          <w:spacing w:val="-18"/>
          <w:sz w:val="31"/>
        </w:rPr>
        <w:t>火</w:t>
      </w:r>
      <w:r>
        <w:rPr>
          <w:sz w:val="31"/>
        </w:rPr>
        <w:t>花的机械设备和工具。储区应备有泄漏应急处理设备和合适的收容材料。</w:t>
      </w:r>
    </w:p>
    <w:p>
      <w:pPr>
        <w:spacing w:after="0" w:line="283" w:lineRule="auto"/>
        <w:jc w:val="left"/>
        <w:rPr>
          <w:sz w:val="31"/>
        </w:rPr>
        <w:sectPr>
          <w:headerReference w:type="default" r:id="rId129"/>
          <w:footerReference w:type="default" r:id="rId130"/>
          <w:type w:val="continuous"/>
          <w:pgSz w:w="17860" w:h="25260"/>
          <w:pgMar w:top="1380" w:right="1360" w:bottom="2020" w:left="1420" w:header="708" w:footer="708"/>
          <w:pgNumType w:start="49"/>
          <w:cols w:space="708"/>
        </w:sectPr>
      </w:pPr>
    </w:p>
    <w:p>
      <w:pPr>
        <w:spacing w:before="125" w:line="283" w:lineRule="auto"/>
        <w:ind w:left="708" w:right="0" w:firstLine="0"/>
        <w:jc w:val="left"/>
        <w:rPr>
          <w:b/>
          <w:sz w:val="31"/>
        </w:rPr>
      </w:pPr>
      <w:r>
        <w:rPr>
          <w:b/>
          <w:sz w:val="31"/>
        </w:rPr>
        <w:t>稳定性和反应活性</w:t>
      </w:r>
    </w:p>
    <w:p>
      <w:pPr>
        <w:pStyle w:val="BodyText"/>
        <w:spacing w:before="4"/>
        <w:rPr>
          <w:b/>
          <w:sz w:val="28"/>
        </w:rPr>
      </w:pPr>
    </w:p>
    <w:p>
      <w:pPr>
        <w:spacing w:before="0"/>
        <w:ind w:left="708" w:right="0" w:firstLine="0"/>
        <w:jc w:val="left"/>
        <w:rPr>
          <w:b/>
          <w:sz w:val="31"/>
        </w:rPr>
      </w:pPr>
      <w:r>
        <w:rPr>
          <w:b/>
          <w:sz w:val="31"/>
        </w:rPr>
        <w:t>毒理学资料</w:t>
      </w:r>
    </w:p>
    <w:p>
      <w:pPr>
        <w:tabs>
          <w:tab w:val="left" w:pos="5577"/>
        </w:tabs>
        <w:spacing w:before="125" w:line="283" w:lineRule="auto"/>
        <w:ind w:left="377" w:right="3999" w:firstLine="0"/>
        <w:jc w:val="left"/>
        <w:rPr>
          <w:sz w:val="31"/>
        </w:rPr>
      </w:pPr>
      <w:r>
        <w:br w:type="column"/>
      </w:r>
      <w:r>
        <w:rPr>
          <w:sz w:val="31"/>
        </w:rPr>
        <w:t>稳定性：稳定</w:t>
        <w:tab/>
        <w:t>禁配物：强氧化剂</w:t>
      </w:r>
      <w:r>
        <w:rPr>
          <w:spacing w:val="-17"/>
          <w:sz w:val="31"/>
        </w:rPr>
        <w:t>。</w:t>
      </w:r>
      <w:r>
        <w:rPr>
          <w:sz w:val="31"/>
        </w:rPr>
        <w:t>聚合危害：不聚合</w:t>
      </w:r>
    </w:p>
    <w:p>
      <w:pPr>
        <w:spacing w:before="129" w:line="283" w:lineRule="auto"/>
        <w:ind w:left="377" w:right="3999" w:firstLine="0"/>
        <w:jc w:val="left"/>
        <w:rPr>
          <w:sz w:val="31"/>
        </w:rPr>
      </w:pPr>
      <w:r>
        <w:rPr>
          <w:sz w:val="31"/>
        </w:rPr>
        <w:t>LD50：3306</w:t>
      </w:r>
      <w:r>
        <w:rPr>
          <w:spacing w:val="62"/>
          <w:sz w:val="31"/>
        </w:rPr>
        <w:t xml:space="preserve"> </w:t>
      </w:r>
      <w:r>
        <w:rPr>
          <w:sz w:val="31"/>
        </w:rPr>
        <w:t>mg/kg</w:t>
      </w:r>
      <w:r>
        <w:rPr>
          <w:spacing w:val="-2"/>
          <w:sz w:val="31"/>
        </w:rPr>
        <w:t>(大鼠经口</w:t>
      </w:r>
      <w:r>
        <w:rPr>
          <w:sz w:val="31"/>
        </w:rPr>
        <w:t>)；48</w:t>
      </w:r>
      <w:r>
        <w:rPr>
          <w:spacing w:val="63"/>
          <w:sz w:val="31"/>
        </w:rPr>
        <w:t xml:space="preserve"> </w:t>
      </w:r>
      <w:r>
        <w:rPr>
          <w:sz w:val="31"/>
        </w:rPr>
        <w:t>mg/kg</w:t>
      </w:r>
      <w:r>
        <w:rPr>
          <w:spacing w:val="-5"/>
          <w:sz w:val="31"/>
        </w:rPr>
        <w:t xml:space="preserve">(小鼠经皮) </w:t>
      </w:r>
      <w:r>
        <w:rPr>
          <w:sz w:val="31"/>
        </w:rPr>
        <w:t>LC50：31900mg/</w:t>
      </w:r>
      <w:r>
        <w:rPr>
          <w:position w:val="4"/>
          <w:sz w:val="16"/>
        </w:rPr>
        <w:t>m</w:t>
      </w:r>
      <w:r>
        <w:rPr>
          <w:sz w:val="31"/>
        </w:rPr>
        <w:t>m</w:t>
      </w:r>
      <w:r>
        <w:rPr>
          <w:position w:val="4"/>
          <w:sz w:val="16"/>
        </w:rPr>
        <w:t>3</w:t>
      </w:r>
      <w:r>
        <w:rPr>
          <w:sz w:val="31"/>
        </w:rPr>
        <w:t>，7</w:t>
      </w:r>
      <w:r>
        <w:rPr>
          <w:spacing w:val="-11"/>
          <w:sz w:val="31"/>
        </w:rPr>
        <w:t xml:space="preserve"> 小时(大鼠吸入)</w:t>
      </w:r>
    </w:p>
    <w:p>
      <w:pPr>
        <w:spacing w:after="0" w:line="283" w:lineRule="auto"/>
        <w:jc w:val="left"/>
        <w:rPr>
          <w:sz w:val="31"/>
        </w:rPr>
        <w:sectPr>
          <w:headerReference w:type="default" r:id="rId131"/>
          <w:footerReference w:type="default" r:id="rId132"/>
          <w:type w:val="continuous"/>
          <w:pgSz w:w="17860" w:h="25260"/>
          <w:pgMar w:top="1380" w:right="1360" w:bottom="2020" w:left="1420" w:header="708" w:footer="708"/>
          <w:pgNumType w:start="50"/>
          <w:cols w:num="2" w:space="708" w:equalWidth="0">
            <w:col w:w="2610" w:space="40"/>
            <w:col w:w="12430" w:space="0"/>
          </w:cols>
        </w:sectPr>
      </w:pPr>
    </w:p>
    <w:p>
      <w:pPr>
        <w:tabs>
          <w:tab w:val="left" w:pos="3026"/>
        </w:tabs>
        <w:spacing w:before="13" w:line="326" w:lineRule="exact"/>
        <w:ind w:left="1406" w:right="0" w:firstLine="0"/>
        <w:jc w:val="left"/>
        <w:rPr>
          <w:sz w:val="31"/>
        </w:rPr>
      </w:pPr>
      <w:r>
        <w:drawing>
          <wp:anchor distT="0" distB="0" distL="0" distR="0" simplePos="0" relativeHeight="251683840" behindDoc="1" locked="0" layoutInCell="1" allowOverlap="1">
            <wp:simplePos x="0" y="0"/>
            <wp:positionH relativeFrom="page">
              <wp:posOffset>1231900</wp:posOffset>
            </wp:positionH>
            <wp:positionV relativeFrom="page">
              <wp:posOffset>1155700</wp:posOffset>
            </wp:positionV>
            <wp:extent cx="8890000" cy="13296900"/>
            <wp:effectExtent l="0" t="0" r="0" b="0"/>
            <wp:wrapNone/>
            <wp:docPr id="3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0.png"/>
                    <pic:cNvPicPr/>
                  </pic:nvPicPr>
                  <pic:blipFill>
                    <a:blip xmlns:r="http://schemas.openxmlformats.org/officeDocument/2006/relationships" r:embed="rId133" cstate="print"/>
                    <a:stretch>
                      <a:fillRect/>
                    </a:stretch>
                  </pic:blipFill>
                  <pic:spPr>
                    <a:xfrm>
                      <a:off x="0" y="0"/>
                      <a:ext cx="8890000" cy="13296900"/>
                    </a:xfrm>
                    <a:prstGeom prst="rect">
                      <a:avLst/>
                    </a:prstGeom>
                  </pic:spPr>
                </pic:pic>
              </a:graphicData>
            </a:graphic>
          </wp:anchor>
        </w:drawing>
      </w:r>
      <w:r>
        <w:rPr>
          <w:sz w:val="31"/>
        </w:rPr>
        <w:t>接触限值</w:t>
        <w:tab/>
        <w:t>中国</w:t>
      </w:r>
      <w:r>
        <w:rPr>
          <w:spacing w:val="-76"/>
          <w:sz w:val="31"/>
        </w:rPr>
        <w:t xml:space="preserve"> </w:t>
      </w:r>
      <w:r>
        <w:rPr>
          <w:sz w:val="31"/>
        </w:rPr>
        <w:t>MAC(mg/</w:t>
      </w:r>
      <w:r>
        <w:rPr>
          <w:position w:val="4"/>
          <w:sz w:val="16"/>
        </w:rPr>
        <w:t>m</w:t>
      </w:r>
      <w:r>
        <w:rPr>
          <w:sz w:val="31"/>
        </w:rPr>
        <w:t>m</w:t>
      </w:r>
      <w:r>
        <w:rPr>
          <w:position w:val="4"/>
          <w:sz w:val="16"/>
        </w:rPr>
        <w:t>3</w:t>
      </w:r>
      <w:r>
        <w:rPr>
          <w:sz w:val="31"/>
        </w:rPr>
        <w:t>)：40[皮]</w:t>
      </w:r>
    </w:p>
    <w:p>
      <w:pPr>
        <w:spacing w:before="0" w:line="241" w:lineRule="exact"/>
        <w:ind w:left="708" w:right="0" w:firstLine="0"/>
        <w:jc w:val="left"/>
        <w:rPr>
          <w:b/>
          <w:sz w:val="31"/>
        </w:rPr>
      </w:pPr>
      <w:r>
        <w:rPr>
          <w:b/>
          <w:w w:val="101"/>
          <w:sz w:val="31"/>
        </w:rPr>
        <w:t>接</w:t>
      </w:r>
    </w:p>
    <w:p>
      <w:pPr>
        <w:tabs>
          <w:tab w:val="left" w:pos="3026"/>
        </w:tabs>
        <w:spacing w:before="0" w:line="234" w:lineRule="exact"/>
        <w:ind w:left="1406" w:right="0" w:firstLine="0"/>
        <w:jc w:val="left"/>
        <w:rPr>
          <w:sz w:val="31"/>
        </w:rPr>
      </w:pPr>
      <w:r>
        <w:rPr>
          <w:sz w:val="31"/>
        </w:rPr>
        <w:t>工程控制</w:t>
        <w:tab/>
        <w:t>生产过程密闭，全面通风。提供安全淋浴和洗眼设备。</w:t>
      </w:r>
    </w:p>
    <w:p>
      <w:pPr>
        <w:spacing w:before="0" w:line="241" w:lineRule="exact"/>
        <w:ind w:left="708" w:right="0" w:firstLine="0"/>
        <w:jc w:val="left"/>
        <w:rPr>
          <w:b/>
          <w:sz w:val="31"/>
        </w:rPr>
      </w:pPr>
      <w:r>
        <w:rPr>
          <w:b/>
          <w:w w:val="101"/>
          <w:sz w:val="31"/>
        </w:rPr>
        <w:t>触</w:t>
      </w:r>
    </w:p>
    <w:p>
      <w:pPr>
        <w:tabs>
          <w:tab w:val="left" w:pos="3026"/>
        </w:tabs>
        <w:spacing w:before="0" w:line="234" w:lineRule="exact"/>
        <w:ind w:left="1406" w:right="0" w:firstLine="0"/>
        <w:jc w:val="left"/>
        <w:rPr>
          <w:sz w:val="31"/>
        </w:rPr>
      </w:pPr>
      <w:r>
        <w:rPr>
          <w:sz w:val="31"/>
        </w:rPr>
        <w:t>呼吸系统</w:t>
        <w:tab/>
        <w:t>空气中浓度超标时，佩戴自吸过滤式防毒面具（半面罩）。</w:t>
      </w:r>
    </w:p>
    <w:p>
      <w:pPr>
        <w:spacing w:before="0" w:line="234" w:lineRule="exact"/>
        <w:ind w:left="708" w:right="0" w:firstLine="0"/>
        <w:jc w:val="left"/>
        <w:rPr>
          <w:b/>
          <w:sz w:val="31"/>
        </w:rPr>
      </w:pPr>
      <w:r>
        <w:rPr>
          <w:b/>
          <w:w w:val="101"/>
          <w:sz w:val="31"/>
        </w:rPr>
        <w:t>防</w:t>
      </w:r>
    </w:p>
    <w:p>
      <w:pPr>
        <w:spacing w:before="0" w:line="234" w:lineRule="exact"/>
        <w:ind w:left="1406" w:right="0" w:firstLine="0"/>
        <w:jc w:val="left"/>
        <w:rPr>
          <w:sz w:val="31"/>
        </w:rPr>
      </w:pPr>
      <w:r>
        <w:rPr>
          <w:sz w:val="31"/>
        </w:rPr>
        <w:t>防护</w:t>
      </w:r>
    </w:p>
    <w:p>
      <w:pPr>
        <w:spacing w:before="0" w:line="243" w:lineRule="exact"/>
        <w:ind w:left="708" w:right="0" w:firstLine="0"/>
        <w:jc w:val="left"/>
        <w:rPr>
          <w:b/>
          <w:sz w:val="31"/>
        </w:rPr>
      </w:pPr>
      <w:r>
        <w:rPr>
          <w:b/>
          <w:w w:val="101"/>
          <w:sz w:val="31"/>
        </w:rPr>
        <w:t>护</w:t>
      </w:r>
    </w:p>
    <w:p>
      <w:pPr>
        <w:tabs>
          <w:tab w:val="left" w:pos="3026"/>
        </w:tabs>
        <w:spacing w:before="0" w:line="328" w:lineRule="exact"/>
        <w:ind w:left="1406" w:right="0" w:firstLine="0"/>
        <w:jc w:val="left"/>
        <w:rPr>
          <w:sz w:val="31"/>
        </w:rPr>
      </w:pPr>
      <w:r>
        <w:rPr>
          <w:sz w:val="31"/>
        </w:rPr>
        <w:t>眼睛防护</w:t>
        <w:tab/>
        <w:t>必要时，戴化学安全防护眼镜。</w:t>
      </w:r>
    </w:p>
    <w:p>
      <w:pPr>
        <w:spacing w:after="0" w:line="328" w:lineRule="exact"/>
        <w:jc w:val="left"/>
        <w:rPr>
          <w:sz w:val="31"/>
        </w:rPr>
        <w:sectPr>
          <w:headerReference w:type="default" r:id="rId134"/>
          <w:footerReference w:type="default" r:id="rId135"/>
          <w:type w:val="continuous"/>
          <w:pgSz w:w="17860" w:h="25260"/>
          <w:pgMar w:top="1380" w:right="1360" w:bottom="2020" w:left="1420" w:header="708" w:footer="708"/>
          <w:pgNumType w:start="51"/>
          <w:cols w:space="708"/>
        </w:sectPr>
      </w:pPr>
    </w:p>
    <w:p>
      <w:pPr>
        <w:pStyle w:val="BodyText"/>
        <w:rPr>
          <w:sz w:val="20"/>
        </w:rPr>
      </w:pPr>
    </w:p>
    <w:p>
      <w:pPr>
        <w:pStyle w:val="BodyText"/>
        <w:spacing w:before="10" w:after="1"/>
        <w:rPr>
          <w:sz w:val="13"/>
        </w:rPr>
      </w:pPr>
    </w:p>
    <w:p>
      <w:pPr>
        <w:pStyle w:val="BodyText"/>
        <w:ind w:left="520"/>
        <w:rPr>
          <w:sz w:val="20"/>
        </w:rPr>
      </w:pPr>
      <w:r>
        <w:rPr>
          <w:sz w:val="20"/>
        </w:rPr>
        <w:pict>
          <v:group id="_x0000_i1231" style="width:700pt;height:407pt;mso-position-horizontal-relative:char;mso-position-vertical-relative:line" coordorigin="0,0" coordsize="14000,8140">
            <v:shape id="_x0000_s1232" type="#_x0000_t75" style="width:14000;height:8140;position:absolute" stroked="f">
              <v:imagedata r:id="rId136" o:title=""/>
            </v:shape>
            <v:shape id="_x0000_s1233" type="#_x0000_t202" style="width:8041;height:5549;left:188;position:absolute;top:126" filled="f" stroked="f">
              <v:textbox inset="0,0,0,0">
                <w:txbxContent>
                  <w:p>
                    <w:pPr>
                      <w:tabs>
                        <w:tab w:val="left" w:pos="2318"/>
                      </w:tabs>
                      <w:spacing w:before="0" w:line="359" w:lineRule="exact"/>
                      <w:ind w:left="698" w:right="0" w:firstLine="0"/>
                      <w:jc w:val="left"/>
                      <w:rPr>
                        <w:sz w:val="31"/>
                      </w:rPr>
                    </w:pPr>
                    <w:r>
                      <w:rPr>
                        <w:sz w:val="31"/>
                      </w:rPr>
                      <w:t>身体防护</w:t>
                      <w:tab/>
                      <w:t>穿防静电工作服。</w:t>
                    </w:r>
                  </w:p>
                  <w:p>
                    <w:pPr>
                      <w:tabs>
                        <w:tab w:val="left" w:pos="2318"/>
                      </w:tabs>
                      <w:spacing w:before="86"/>
                      <w:ind w:left="698" w:right="0" w:firstLine="0"/>
                      <w:jc w:val="left"/>
                      <w:rPr>
                        <w:sz w:val="31"/>
                      </w:rPr>
                    </w:pPr>
                    <w:r>
                      <w:rPr>
                        <w:sz w:val="31"/>
                      </w:rPr>
                      <w:t>手防护</w:t>
                      <w:tab/>
                      <w:t>戴橡胶耐油手套。</w:t>
                    </w:r>
                  </w:p>
                  <w:p>
                    <w:pPr>
                      <w:tabs>
                        <w:tab w:val="left" w:pos="2318"/>
                      </w:tabs>
                      <w:spacing w:before="85" w:line="290" w:lineRule="auto"/>
                      <w:ind w:left="698" w:right="18" w:firstLine="0"/>
                      <w:jc w:val="left"/>
                      <w:rPr>
                        <w:sz w:val="31"/>
                      </w:rPr>
                    </w:pPr>
                    <w:r>
                      <w:rPr>
                        <w:sz w:val="31"/>
                      </w:rPr>
                      <w:t>其它防护</w:t>
                      <w:tab/>
                      <w:t>工作现场严禁吸烟。避免长期反复接触</w:t>
                    </w:r>
                    <w:r>
                      <w:rPr>
                        <w:spacing w:val="-18"/>
                        <w:sz w:val="31"/>
                      </w:rPr>
                      <w:t>。</w:t>
                    </w:r>
                    <w:r>
                      <w:rPr>
                        <w:sz w:val="31"/>
                      </w:rPr>
                      <w:t>危险货物</w:t>
                      <w:tab/>
                      <w:t>31005</w:t>
                    </w:r>
                  </w:p>
                  <w:p>
                    <w:pPr>
                      <w:spacing w:before="0" w:line="292" w:lineRule="auto"/>
                      <w:ind w:left="698" w:right="6258" w:firstLine="0"/>
                      <w:jc w:val="left"/>
                      <w:rPr>
                        <w:sz w:val="31"/>
                      </w:rPr>
                    </w:pPr>
                    <w:r>
                      <w:rPr>
                        <w:sz w:val="31"/>
                      </w:rPr>
                      <w:t>编 号 UN 编号</w:t>
                    </w:r>
                  </w:p>
                  <w:p>
                    <w:pPr>
                      <w:spacing w:before="0" w:line="290" w:lineRule="auto"/>
                      <w:ind w:left="698" w:right="6073" w:firstLine="0"/>
                      <w:jc w:val="left"/>
                      <w:rPr>
                        <w:sz w:val="31"/>
                      </w:rPr>
                    </w:pPr>
                    <w:r>
                      <w:rPr>
                        <w:spacing w:val="-5"/>
                        <w:sz w:val="31"/>
                      </w:rPr>
                      <w:t>包装标志包装类别</w:t>
                    </w:r>
                  </w:p>
                  <w:p>
                    <w:pPr>
                      <w:spacing w:before="0" w:line="308" w:lineRule="exact"/>
                      <w:ind w:left="0" w:right="0" w:firstLine="0"/>
                      <w:jc w:val="left"/>
                      <w:rPr>
                        <w:b/>
                        <w:sz w:val="31"/>
                      </w:rPr>
                    </w:pPr>
                    <w:r>
                      <w:rPr>
                        <w:b/>
                        <w:w w:val="101"/>
                        <w:sz w:val="31"/>
                      </w:rPr>
                      <w:t>运</w:t>
                    </w:r>
                  </w:p>
                  <w:p>
                    <w:pPr>
                      <w:spacing w:before="0" w:line="234" w:lineRule="exact"/>
                      <w:ind w:left="698" w:right="0" w:firstLine="0"/>
                      <w:jc w:val="left"/>
                      <w:rPr>
                        <w:sz w:val="31"/>
                      </w:rPr>
                    </w:pPr>
                    <w:r>
                      <w:rPr>
                        <w:sz w:val="31"/>
                      </w:rPr>
                      <w:t>包装方法</w:t>
                    </w:r>
                  </w:p>
                  <w:p>
                    <w:pPr>
                      <w:spacing w:before="0" w:line="305" w:lineRule="exact"/>
                      <w:ind w:left="0" w:right="0" w:firstLine="0"/>
                      <w:jc w:val="left"/>
                      <w:rPr>
                        <w:b/>
                        <w:sz w:val="31"/>
                      </w:rPr>
                    </w:pPr>
                    <w:r>
                      <w:rPr>
                        <w:b/>
                        <w:w w:val="101"/>
                        <w:sz w:val="31"/>
                      </w:rPr>
                      <w:t>输</w:t>
                    </w:r>
                  </w:p>
                  <w:p>
                    <w:pPr>
                      <w:spacing w:before="0" w:line="470" w:lineRule="atLeast"/>
                      <w:ind w:left="0" w:right="7721" w:firstLine="0"/>
                      <w:jc w:val="left"/>
                      <w:rPr>
                        <w:b/>
                        <w:sz w:val="31"/>
                      </w:rPr>
                    </w:pPr>
                    <w:r>
                      <w:rPr>
                        <w:b/>
                        <w:sz w:val="31"/>
                      </w:rPr>
                      <w:t>信息</w:t>
                    </w:r>
                  </w:p>
                </w:txbxContent>
              </v:textbox>
            </v:shape>
            <v:shape id="_x0000_s1234" type="#_x0000_t202" style="width:1288;height:785;left:886;position:absolute;top:6097" filled="f" stroked="f">
              <v:textbox inset="0,0,0,0">
                <w:txbxContent>
                  <w:p>
                    <w:pPr>
                      <w:spacing w:before="0" w:line="359" w:lineRule="exact"/>
                      <w:ind w:left="0" w:right="0" w:firstLine="0"/>
                      <w:jc w:val="left"/>
                      <w:rPr>
                        <w:sz w:val="31"/>
                      </w:rPr>
                    </w:pPr>
                    <w:r>
                      <w:rPr>
                        <w:sz w:val="31"/>
                      </w:rPr>
                      <w:t>运输注意</w:t>
                    </w:r>
                  </w:p>
                  <w:p>
                    <w:pPr>
                      <w:spacing w:before="71" w:line="355" w:lineRule="exact"/>
                      <w:ind w:left="0" w:right="0" w:firstLine="0"/>
                      <w:jc w:val="left"/>
                      <w:rPr>
                        <w:sz w:val="31"/>
                      </w:rPr>
                    </w:pPr>
                    <w:r>
                      <w:rPr>
                        <w:sz w:val="31"/>
                      </w:rPr>
                      <w:t>事项</w:t>
                    </w:r>
                  </w:p>
                </w:txbxContent>
              </v:textbox>
            </v:shape>
            <v:shape id="_x0000_s1235" type="#_x0000_t202" style="width:11473;height:5524;left:2506;position:absolute;top:2528" filled="f" stroked="f">
              <v:textbox inset="0,0,0,0">
                <w:txbxContent>
                  <w:p>
                    <w:pPr>
                      <w:spacing w:before="0" w:line="359" w:lineRule="exact"/>
                      <w:ind w:left="0" w:right="0" w:firstLine="0"/>
                      <w:jc w:val="left"/>
                      <w:rPr>
                        <w:sz w:val="31"/>
                      </w:rPr>
                    </w:pPr>
                    <w:r>
                      <w:rPr>
                        <w:sz w:val="31"/>
                      </w:rPr>
                      <w:t>1208</w:t>
                    </w:r>
                  </w:p>
                  <w:p>
                    <w:pPr>
                      <w:spacing w:before="85" w:line="290" w:lineRule="auto"/>
                      <w:ind w:left="0" w:right="10203" w:firstLine="0"/>
                      <w:jc w:val="left"/>
                      <w:rPr>
                        <w:sz w:val="31"/>
                      </w:rPr>
                    </w:pPr>
                    <w:r>
                      <w:rPr>
                        <w:sz w:val="31"/>
                      </w:rPr>
                      <w:t>易燃液体052</w:t>
                    </w:r>
                  </w:p>
                  <w:p>
                    <w:pPr>
                      <w:spacing w:before="4" w:line="283" w:lineRule="auto"/>
                      <w:ind w:left="0" w:right="66" w:firstLine="0"/>
                      <w:jc w:val="left"/>
                      <w:rPr>
                        <w:sz w:val="31"/>
                      </w:rPr>
                    </w:pPr>
                    <w:r>
                      <w:rPr>
                        <w:sz w:val="31"/>
                      </w:rPr>
                      <w:t>小开口钢桶；安瓿瓶外普通木箱；螺纹口玻璃瓶、铁盖压口玻璃瓶、塑料瓶或金属桶（罐）外普通木箱。</w:t>
                    </w:r>
                  </w:p>
                  <w:p>
                    <w:pPr>
                      <w:spacing w:before="13" w:line="283" w:lineRule="auto"/>
                      <w:ind w:left="0" w:right="18" w:firstLine="0"/>
                      <w:jc w:val="left"/>
                      <w:rPr>
                        <w:sz w:val="31"/>
                      </w:rPr>
                    </w:pPr>
                    <w:r>
                      <w:rPr>
                        <w:spacing w:val="-4"/>
                        <w:sz w:val="31"/>
                      </w:rPr>
                      <w:t>运输时运输车辆应配备相应品种和数量的消防器材及泄漏应急处理设备。夏季最好 早晚运输。运输时所用的槽（罐）</w:t>
                    </w:r>
                    <w:r>
                      <w:rPr>
                        <w:spacing w:val="-5"/>
                        <w:sz w:val="31"/>
                      </w:rPr>
                      <w:t>车应有接地链，槽内可设孔隔板以减少震荡产生静电。严禁与氧化剂、食用化学品等混装混运。运输途中应防曝晒、雨淋，防高温。中途停留时应远离火种、热源、高温区。装运该物品的车辆排气管必须配备阻火装置，禁止使用易产生火花的机械设备和工具装卸。公路运输时要按规定路线行驶， 勿在居民区和人口稠密区停留。铁路运输时要禁止溜放。严禁用木船、水泥船散装</w:t>
                    </w:r>
                  </w:p>
                  <w:p>
                    <w:pPr>
                      <w:spacing w:before="0" w:line="351" w:lineRule="exact"/>
                      <w:ind w:left="0" w:right="0" w:firstLine="0"/>
                      <w:jc w:val="left"/>
                      <w:rPr>
                        <w:sz w:val="31"/>
                      </w:rPr>
                    </w:pPr>
                    <w:r>
                      <w:rPr>
                        <w:sz w:val="31"/>
                      </w:rPr>
                      <w:t>运输。</w:t>
                    </w:r>
                  </w:p>
                </w:txbxContent>
              </v:textbox>
            </v:shape>
            <w10:wrap type="none"/>
          </v:group>
        </w:pict>
      </w:r>
    </w:p>
    <w:p>
      <w:pPr>
        <w:pStyle w:val="BodyText"/>
        <w:rPr>
          <w:sz w:val="20"/>
        </w:rPr>
      </w:pPr>
    </w:p>
    <w:p>
      <w:pPr>
        <w:pStyle w:val="BodyText"/>
        <w:spacing w:before="7"/>
        <w:rPr>
          <w:sz w:val="18"/>
        </w:rPr>
      </w:pPr>
    </w:p>
    <w:p>
      <w:pPr>
        <w:pStyle w:val="Heading3"/>
        <w:numPr>
          <w:ilvl w:val="2"/>
          <w:numId w:val="34"/>
        </w:numPr>
        <w:tabs>
          <w:tab w:val="left" w:pos="1738"/>
        </w:tabs>
        <w:spacing w:before="50" w:after="0" w:line="240" w:lineRule="auto"/>
        <w:ind w:left="1737" w:right="0" w:hanging="1030"/>
        <w:jc w:val="both"/>
      </w:pPr>
      <w:r>
        <w:t>企业突发环境风险物质与临界量比值（</w:t>
      </w:r>
      <w:r>
        <w:rPr>
          <w:spacing w:val="46"/>
        </w:rPr>
        <w:t xml:space="preserve"> </w:t>
      </w:r>
      <w:r>
        <w:rPr>
          <w:spacing w:val="3"/>
        </w:rPr>
        <w:t>Q）</w:t>
      </w:r>
    </w:p>
    <w:p>
      <w:pPr>
        <w:pStyle w:val="BodyText"/>
        <w:spacing w:before="240" w:line="364" w:lineRule="auto"/>
        <w:ind w:left="708" w:right="689" w:firstLine="720"/>
        <w:jc w:val="both"/>
      </w:pPr>
      <w:r>
        <w:t>依据《企业突发环境事件风险评估指南》（试行）附录 B《突发环境事件风险物质及临界量清单》中相关规定进行辨识，本公司生产过程所涉及石脑油及各种溶剂油属于其中标明的风险物质，按照其存储总量与其对应的临界量进行对比得到比值 Q，规定风险物质情况与临界量一览表见表 3.3-8。</w:t>
      </w:r>
    </w:p>
    <w:p>
      <w:pPr>
        <w:pStyle w:val="Heading3"/>
        <w:spacing w:line="347" w:lineRule="exact"/>
        <w:ind w:left="490" w:right="805"/>
        <w:jc w:val="center"/>
      </w:pPr>
      <w:r>
        <w:drawing>
          <wp:anchor distT="0" distB="0" distL="0" distR="0" simplePos="0" relativeHeight="251684864" behindDoc="1" locked="0" layoutInCell="1" allowOverlap="1">
            <wp:simplePos x="0" y="0"/>
            <wp:positionH relativeFrom="page">
              <wp:posOffset>1473200</wp:posOffset>
            </wp:positionH>
            <wp:positionV relativeFrom="paragraph">
              <wp:posOffset>219695</wp:posOffset>
            </wp:positionV>
            <wp:extent cx="8396589" cy="3217735"/>
            <wp:effectExtent l="0" t="0" r="0" b="0"/>
            <wp:wrapNone/>
            <wp:docPr id="3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32.png"/>
                    <pic:cNvPicPr/>
                  </pic:nvPicPr>
                  <pic:blipFill>
                    <a:blip xmlns:r="http://schemas.openxmlformats.org/officeDocument/2006/relationships" r:embed="rId137" cstate="print"/>
                    <a:stretch>
                      <a:fillRect/>
                    </a:stretch>
                  </pic:blipFill>
                  <pic:spPr>
                    <a:xfrm>
                      <a:off x="0" y="0"/>
                      <a:ext cx="8396589" cy="3217735"/>
                    </a:xfrm>
                    <a:prstGeom prst="rect">
                      <a:avLst/>
                    </a:prstGeom>
                  </pic:spPr>
                </pic:pic>
              </a:graphicData>
            </a:graphic>
          </wp:anchor>
        </w:drawing>
      </w:r>
      <w:r>
        <w:t>表 3.3-8 突发环境事件风险物质情况与临界量一览表</w:t>
      </w:r>
    </w:p>
    <w:p>
      <w:pPr>
        <w:pStyle w:val="BodyText"/>
        <w:spacing w:before="7"/>
        <w:rPr>
          <w:b/>
          <w:sz w:val="19"/>
        </w:rPr>
      </w:pPr>
    </w:p>
    <w:tbl>
      <w:tblPr>
        <w:tblStyle w:val="TableNormal8"/>
        <w:tblW w:w="0" w:type="auto"/>
        <w:jc w:val="left"/>
        <w:tblInd w:w="11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07"/>
        <w:gridCol w:w="2834"/>
        <w:gridCol w:w="2033"/>
        <w:gridCol w:w="4950"/>
        <w:gridCol w:w="1774"/>
      </w:tblGrid>
      <w:tr>
        <w:tblPrEx>
          <w:tblW w:w="0" w:type="auto"/>
          <w:jc w:val="left"/>
          <w:tblInd w:w="11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6"/>
          <w:jc w:val="left"/>
        </w:trPr>
        <w:tc>
          <w:tcPr>
            <w:tcW w:w="1107" w:type="dxa"/>
          </w:tcPr>
          <w:p>
            <w:pPr>
              <w:pStyle w:val="TableParagraph"/>
              <w:spacing w:line="359" w:lineRule="exact"/>
              <w:ind w:left="36" w:right="407"/>
              <w:rPr>
                <w:b/>
                <w:sz w:val="31"/>
              </w:rPr>
            </w:pPr>
            <w:r>
              <w:rPr>
                <w:b/>
                <w:sz w:val="31"/>
              </w:rPr>
              <w:t>序号</w:t>
            </w:r>
          </w:p>
        </w:tc>
        <w:tc>
          <w:tcPr>
            <w:tcW w:w="2834" w:type="dxa"/>
          </w:tcPr>
          <w:p>
            <w:pPr>
              <w:pStyle w:val="TableParagraph"/>
              <w:spacing w:line="359" w:lineRule="exact"/>
              <w:ind w:left="413" w:right="666"/>
              <w:rPr>
                <w:b/>
                <w:sz w:val="31"/>
              </w:rPr>
            </w:pPr>
            <w:r>
              <w:rPr>
                <w:b/>
                <w:sz w:val="31"/>
              </w:rPr>
              <w:t>物质名称</w:t>
            </w:r>
          </w:p>
        </w:tc>
        <w:tc>
          <w:tcPr>
            <w:tcW w:w="2033" w:type="dxa"/>
          </w:tcPr>
          <w:p>
            <w:pPr>
              <w:pStyle w:val="TableParagraph"/>
              <w:spacing w:line="359" w:lineRule="exact"/>
              <w:ind w:right="472"/>
              <w:jc w:val="right"/>
              <w:rPr>
                <w:b/>
                <w:sz w:val="31"/>
              </w:rPr>
            </w:pPr>
            <w:r>
              <w:rPr>
                <w:b/>
                <w:sz w:val="31"/>
              </w:rPr>
              <w:t>CAS 号</w:t>
            </w:r>
          </w:p>
        </w:tc>
        <w:tc>
          <w:tcPr>
            <w:tcW w:w="4950" w:type="dxa"/>
          </w:tcPr>
          <w:p>
            <w:pPr>
              <w:pStyle w:val="TableParagraph"/>
              <w:spacing w:line="359" w:lineRule="exact"/>
              <w:ind w:left="470"/>
              <w:jc w:val="left"/>
              <w:rPr>
                <w:b/>
                <w:sz w:val="31"/>
              </w:rPr>
            </w:pPr>
            <w:r>
              <w:rPr>
                <w:b/>
                <w:sz w:val="31"/>
              </w:rPr>
              <w:t>实际储存量（t） 临界量（t）</w:t>
            </w:r>
          </w:p>
        </w:tc>
        <w:tc>
          <w:tcPr>
            <w:tcW w:w="1774" w:type="dxa"/>
          </w:tcPr>
          <w:p>
            <w:pPr>
              <w:pStyle w:val="TableParagraph"/>
              <w:spacing w:line="359" w:lineRule="exact"/>
              <w:ind w:left="244" w:right="42"/>
              <w:rPr>
                <w:b/>
                <w:sz w:val="31"/>
              </w:rPr>
            </w:pPr>
            <w:r>
              <w:rPr>
                <w:b/>
                <w:sz w:val="31"/>
              </w:rPr>
              <w:t>比值（</w:t>
            </w:r>
            <w:r>
              <w:rPr>
                <w:b/>
                <w:spacing w:val="-111"/>
                <w:sz w:val="31"/>
              </w:rPr>
              <w:t xml:space="preserve"> </w:t>
            </w:r>
            <w:r>
              <w:rPr>
                <w:b/>
                <w:sz w:val="31"/>
              </w:rPr>
              <w:t>Q）</w:t>
            </w:r>
          </w:p>
        </w:tc>
      </w:tr>
      <w:tr>
        <w:tblPrEx>
          <w:tblW w:w="0" w:type="auto"/>
          <w:jc w:val="left"/>
          <w:tblInd w:w="1133" w:type="dxa"/>
          <w:tblLayout w:type="fixed"/>
          <w:tblCellMar>
            <w:top w:w="0" w:type="dxa"/>
            <w:left w:w="0" w:type="dxa"/>
            <w:bottom w:w="0" w:type="dxa"/>
            <w:right w:w="0" w:type="dxa"/>
          </w:tblCellMar>
          <w:tblLook w:val="01E0"/>
        </w:tblPrEx>
        <w:trPr>
          <w:trHeight w:val="716"/>
          <w:jc w:val="left"/>
        </w:trPr>
        <w:tc>
          <w:tcPr>
            <w:tcW w:w="1107" w:type="dxa"/>
          </w:tcPr>
          <w:p>
            <w:pPr>
              <w:pStyle w:val="TableParagraph"/>
              <w:spacing w:before="162"/>
              <w:ind w:right="371"/>
              <w:rPr>
                <w:sz w:val="31"/>
              </w:rPr>
            </w:pPr>
            <w:r>
              <w:rPr>
                <w:w w:val="102"/>
                <w:sz w:val="31"/>
              </w:rPr>
              <w:t>1</w:t>
            </w:r>
          </w:p>
        </w:tc>
        <w:tc>
          <w:tcPr>
            <w:tcW w:w="2834" w:type="dxa"/>
          </w:tcPr>
          <w:p>
            <w:pPr>
              <w:pStyle w:val="TableParagraph"/>
              <w:spacing w:before="162"/>
              <w:ind w:left="413" w:right="666"/>
              <w:rPr>
                <w:sz w:val="31"/>
              </w:rPr>
            </w:pPr>
            <w:r>
              <w:rPr>
                <w:sz w:val="31"/>
              </w:rPr>
              <w:t>石脑油</w:t>
            </w:r>
          </w:p>
        </w:tc>
        <w:tc>
          <w:tcPr>
            <w:tcW w:w="2033" w:type="dxa"/>
          </w:tcPr>
          <w:p>
            <w:pPr>
              <w:pStyle w:val="TableParagraph"/>
              <w:spacing w:before="162"/>
              <w:ind w:right="514"/>
              <w:jc w:val="right"/>
              <w:rPr>
                <w:sz w:val="31"/>
              </w:rPr>
            </w:pPr>
            <w:r>
              <w:rPr>
                <w:sz w:val="31"/>
              </w:rPr>
              <w:t>32004</w:t>
            </w:r>
          </w:p>
        </w:tc>
        <w:tc>
          <w:tcPr>
            <w:tcW w:w="4950" w:type="dxa"/>
          </w:tcPr>
          <w:p>
            <w:pPr>
              <w:pStyle w:val="TableParagraph"/>
              <w:spacing w:before="162"/>
              <w:ind w:left="1291"/>
              <w:jc w:val="left"/>
              <w:rPr>
                <w:sz w:val="31"/>
              </w:rPr>
            </w:pPr>
            <w:r>
              <w:rPr>
                <w:sz w:val="31"/>
              </w:rPr>
              <w:t>500</w:t>
            </w:r>
          </w:p>
        </w:tc>
        <w:tc>
          <w:tcPr>
            <w:tcW w:w="1774" w:type="dxa"/>
          </w:tcPr>
          <w:p>
            <w:pPr>
              <w:pStyle w:val="TableParagraph"/>
              <w:jc w:val="left"/>
              <w:rPr>
                <w:rFonts w:ascii="Times New Roman"/>
                <w:sz w:val="32"/>
              </w:rPr>
            </w:pPr>
          </w:p>
        </w:tc>
      </w:tr>
      <w:tr>
        <w:tblPrEx>
          <w:tblW w:w="0" w:type="auto"/>
          <w:jc w:val="left"/>
          <w:tblInd w:w="1133" w:type="dxa"/>
          <w:tblLayout w:type="fixed"/>
          <w:tblCellMar>
            <w:top w:w="0" w:type="dxa"/>
            <w:left w:w="0" w:type="dxa"/>
            <w:bottom w:w="0" w:type="dxa"/>
            <w:right w:w="0" w:type="dxa"/>
          </w:tblCellMar>
          <w:tblLook w:val="01E0"/>
        </w:tblPrEx>
        <w:trPr>
          <w:trHeight w:val="716"/>
          <w:jc w:val="left"/>
        </w:trPr>
        <w:tc>
          <w:tcPr>
            <w:tcW w:w="1107" w:type="dxa"/>
          </w:tcPr>
          <w:p>
            <w:pPr>
              <w:pStyle w:val="TableParagraph"/>
              <w:spacing w:before="162"/>
              <w:ind w:right="371"/>
              <w:rPr>
                <w:sz w:val="31"/>
              </w:rPr>
            </w:pPr>
            <w:r>
              <w:rPr>
                <w:w w:val="102"/>
                <w:sz w:val="31"/>
              </w:rPr>
              <w:t>2</w:t>
            </w:r>
          </w:p>
        </w:tc>
        <w:tc>
          <w:tcPr>
            <w:tcW w:w="2834" w:type="dxa"/>
          </w:tcPr>
          <w:p>
            <w:pPr>
              <w:pStyle w:val="TableParagraph"/>
              <w:spacing w:before="162"/>
              <w:ind w:left="413" w:right="666"/>
              <w:rPr>
                <w:sz w:val="31"/>
              </w:rPr>
            </w:pPr>
            <w:r>
              <w:rPr>
                <w:sz w:val="31"/>
              </w:rPr>
              <w:t>6＃溶剂油</w:t>
            </w:r>
          </w:p>
        </w:tc>
        <w:tc>
          <w:tcPr>
            <w:tcW w:w="2033" w:type="dxa"/>
          </w:tcPr>
          <w:p>
            <w:pPr>
              <w:pStyle w:val="TableParagraph"/>
              <w:spacing w:before="162"/>
              <w:ind w:right="514"/>
              <w:jc w:val="right"/>
              <w:rPr>
                <w:sz w:val="31"/>
              </w:rPr>
            </w:pPr>
            <w:r>
              <w:rPr>
                <w:sz w:val="31"/>
              </w:rPr>
              <w:t>32004</w:t>
            </w:r>
          </w:p>
        </w:tc>
        <w:tc>
          <w:tcPr>
            <w:tcW w:w="4950" w:type="dxa"/>
          </w:tcPr>
          <w:p>
            <w:pPr>
              <w:pStyle w:val="TableParagraph"/>
              <w:spacing w:before="162"/>
              <w:ind w:left="1291"/>
              <w:jc w:val="left"/>
              <w:rPr>
                <w:sz w:val="31"/>
              </w:rPr>
            </w:pPr>
            <w:r>
              <w:rPr>
                <w:sz w:val="31"/>
              </w:rPr>
              <w:t>500</w:t>
            </w:r>
          </w:p>
        </w:tc>
        <w:tc>
          <w:tcPr>
            <w:tcW w:w="1774" w:type="dxa"/>
          </w:tcPr>
          <w:p>
            <w:pPr>
              <w:pStyle w:val="TableParagraph"/>
              <w:jc w:val="left"/>
              <w:rPr>
                <w:rFonts w:ascii="Times New Roman"/>
                <w:sz w:val="32"/>
              </w:rPr>
            </w:pPr>
          </w:p>
        </w:tc>
      </w:tr>
      <w:tr>
        <w:tblPrEx>
          <w:tblW w:w="0" w:type="auto"/>
          <w:jc w:val="left"/>
          <w:tblInd w:w="1133" w:type="dxa"/>
          <w:tblLayout w:type="fixed"/>
          <w:tblCellMar>
            <w:top w:w="0" w:type="dxa"/>
            <w:left w:w="0" w:type="dxa"/>
            <w:bottom w:w="0" w:type="dxa"/>
            <w:right w:w="0" w:type="dxa"/>
          </w:tblCellMar>
          <w:tblLook w:val="01E0"/>
        </w:tblPrEx>
        <w:trPr>
          <w:trHeight w:val="538"/>
          <w:jc w:val="left"/>
        </w:trPr>
        <w:tc>
          <w:tcPr>
            <w:tcW w:w="1107" w:type="dxa"/>
          </w:tcPr>
          <w:p>
            <w:pPr>
              <w:pStyle w:val="TableParagraph"/>
              <w:spacing w:before="162" w:line="356" w:lineRule="exact"/>
              <w:ind w:right="371"/>
              <w:rPr>
                <w:sz w:val="31"/>
              </w:rPr>
            </w:pPr>
            <w:r>
              <w:rPr>
                <w:w w:val="102"/>
                <w:sz w:val="31"/>
              </w:rPr>
              <w:t>3</w:t>
            </w:r>
          </w:p>
        </w:tc>
        <w:tc>
          <w:tcPr>
            <w:tcW w:w="2834" w:type="dxa"/>
          </w:tcPr>
          <w:p>
            <w:pPr>
              <w:pStyle w:val="TableParagraph"/>
              <w:spacing w:before="162" w:line="356" w:lineRule="exact"/>
              <w:ind w:left="422" w:right="666"/>
              <w:rPr>
                <w:sz w:val="31"/>
              </w:rPr>
            </w:pPr>
            <w:r>
              <w:rPr>
                <w:sz w:val="31"/>
              </w:rPr>
              <w:t>120＃溶剂油</w:t>
            </w:r>
          </w:p>
        </w:tc>
        <w:tc>
          <w:tcPr>
            <w:tcW w:w="2033" w:type="dxa"/>
          </w:tcPr>
          <w:p>
            <w:pPr>
              <w:pStyle w:val="TableParagraph"/>
              <w:spacing w:before="162" w:line="356" w:lineRule="exact"/>
              <w:ind w:right="514"/>
              <w:jc w:val="right"/>
              <w:rPr>
                <w:sz w:val="31"/>
              </w:rPr>
            </w:pPr>
            <w:r>
              <w:rPr>
                <w:sz w:val="31"/>
              </w:rPr>
              <w:t>32004</w:t>
            </w:r>
          </w:p>
        </w:tc>
        <w:tc>
          <w:tcPr>
            <w:tcW w:w="4950" w:type="dxa"/>
          </w:tcPr>
          <w:p>
            <w:pPr>
              <w:pStyle w:val="TableParagraph"/>
              <w:spacing w:before="162" w:line="356" w:lineRule="exact"/>
              <w:ind w:left="1291"/>
              <w:jc w:val="left"/>
              <w:rPr>
                <w:sz w:val="31"/>
              </w:rPr>
            </w:pPr>
            <w:r>
              <w:rPr>
                <w:sz w:val="31"/>
              </w:rPr>
              <w:t>500</w:t>
            </w:r>
          </w:p>
        </w:tc>
        <w:tc>
          <w:tcPr>
            <w:tcW w:w="1774" w:type="dxa"/>
          </w:tcPr>
          <w:p>
            <w:pPr>
              <w:pStyle w:val="TableParagraph"/>
              <w:jc w:val="left"/>
              <w:rPr>
                <w:rFonts w:ascii="Times New Roman"/>
                <w:sz w:val="32"/>
              </w:rPr>
            </w:pPr>
          </w:p>
        </w:tc>
      </w:tr>
      <w:tr>
        <w:tblPrEx>
          <w:tblW w:w="0" w:type="auto"/>
          <w:jc w:val="left"/>
          <w:tblInd w:w="1133" w:type="dxa"/>
          <w:tblLayout w:type="fixed"/>
          <w:tblCellMar>
            <w:top w:w="0" w:type="dxa"/>
            <w:left w:w="0" w:type="dxa"/>
            <w:bottom w:w="0" w:type="dxa"/>
            <w:right w:w="0" w:type="dxa"/>
          </w:tblCellMar>
          <w:tblLook w:val="01E0"/>
        </w:tblPrEx>
        <w:trPr>
          <w:trHeight w:val="358"/>
          <w:jc w:val="left"/>
        </w:trPr>
        <w:tc>
          <w:tcPr>
            <w:tcW w:w="1107" w:type="dxa"/>
          </w:tcPr>
          <w:p>
            <w:pPr>
              <w:pStyle w:val="TableParagraph"/>
              <w:jc w:val="left"/>
              <w:rPr>
                <w:rFonts w:ascii="Times New Roman"/>
                <w:sz w:val="26"/>
              </w:rPr>
            </w:pPr>
          </w:p>
        </w:tc>
        <w:tc>
          <w:tcPr>
            <w:tcW w:w="2834" w:type="dxa"/>
          </w:tcPr>
          <w:p>
            <w:pPr>
              <w:pStyle w:val="TableParagraph"/>
              <w:jc w:val="left"/>
              <w:rPr>
                <w:rFonts w:ascii="Times New Roman"/>
                <w:sz w:val="26"/>
              </w:rPr>
            </w:pPr>
          </w:p>
        </w:tc>
        <w:tc>
          <w:tcPr>
            <w:tcW w:w="2033" w:type="dxa"/>
          </w:tcPr>
          <w:p>
            <w:pPr>
              <w:pStyle w:val="TableParagraph"/>
              <w:jc w:val="left"/>
              <w:rPr>
                <w:rFonts w:ascii="Times New Roman"/>
                <w:sz w:val="26"/>
              </w:rPr>
            </w:pPr>
          </w:p>
        </w:tc>
        <w:tc>
          <w:tcPr>
            <w:tcW w:w="4950" w:type="dxa"/>
          </w:tcPr>
          <w:p>
            <w:pPr>
              <w:pStyle w:val="TableParagraph"/>
              <w:spacing w:line="338" w:lineRule="exact"/>
              <w:ind w:right="812"/>
              <w:jc w:val="right"/>
              <w:rPr>
                <w:sz w:val="31"/>
              </w:rPr>
            </w:pPr>
            <w:r>
              <w:rPr>
                <w:sz w:val="31"/>
              </w:rPr>
              <w:t>2500</w:t>
            </w:r>
          </w:p>
        </w:tc>
        <w:tc>
          <w:tcPr>
            <w:tcW w:w="1774" w:type="dxa"/>
          </w:tcPr>
          <w:p>
            <w:pPr>
              <w:pStyle w:val="TableParagraph"/>
              <w:spacing w:line="338" w:lineRule="exact"/>
              <w:ind w:left="244" w:right="31"/>
              <w:rPr>
                <w:sz w:val="31"/>
              </w:rPr>
            </w:pPr>
            <w:r>
              <w:rPr>
                <w:sz w:val="31"/>
              </w:rPr>
              <w:t>1.4</w:t>
            </w:r>
          </w:p>
        </w:tc>
      </w:tr>
      <w:tr>
        <w:tblPrEx>
          <w:tblW w:w="0" w:type="auto"/>
          <w:jc w:val="left"/>
          <w:tblInd w:w="1133" w:type="dxa"/>
          <w:tblLayout w:type="fixed"/>
          <w:tblCellMar>
            <w:top w:w="0" w:type="dxa"/>
            <w:left w:w="0" w:type="dxa"/>
            <w:bottom w:w="0" w:type="dxa"/>
            <w:right w:w="0" w:type="dxa"/>
          </w:tblCellMar>
          <w:tblLook w:val="01E0"/>
        </w:tblPrEx>
        <w:trPr>
          <w:trHeight w:val="536"/>
          <w:jc w:val="left"/>
        </w:trPr>
        <w:tc>
          <w:tcPr>
            <w:tcW w:w="1107" w:type="dxa"/>
          </w:tcPr>
          <w:p>
            <w:pPr>
              <w:pStyle w:val="TableParagraph"/>
              <w:spacing w:line="379" w:lineRule="exact"/>
              <w:ind w:right="371"/>
              <w:rPr>
                <w:sz w:val="31"/>
              </w:rPr>
            </w:pPr>
            <w:r>
              <w:rPr>
                <w:w w:val="102"/>
                <w:sz w:val="31"/>
              </w:rPr>
              <w:t>4</w:t>
            </w:r>
          </w:p>
        </w:tc>
        <w:tc>
          <w:tcPr>
            <w:tcW w:w="2834" w:type="dxa"/>
          </w:tcPr>
          <w:p>
            <w:pPr>
              <w:pStyle w:val="TableParagraph"/>
              <w:spacing w:line="379" w:lineRule="exact"/>
              <w:ind w:left="422" w:right="666"/>
              <w:rPr>
                <w:sz w:val="31"/>
              </w:rPr>
            </w:pPr>
            <w:r>
              <w:rPr>
                <w:sz w:val="31"/>
              </w:rPr>
              <w:t>200＃溶剂油</w:t>
            </w:r>
          </w:p>
        </w:tc>
        <w:tc>
          <w:tcPr>
            <w:tcW w:w="2033" w:type="dxa"/>
          </w:tcPr>
          <w:p>
            <w:pPr>
              <w:pStyle w:val="TableParagraph"/>
              <w:spacing w:line="379" w:lineRule="exact"/>
              <w:ind w:right="514"/>
              <w:jc w:val="right"/>
              <w:rPr>
                <w:sz w:val="31"/>
              </w:rPr>
            </w:pPr>
            <w:r>
              <w:rPr>
                <w:sz w:val="31"/>
              </w:rPr>
              <w:t>32004</w:t>
            </w:r>
          </w:p>
        </w:tc>
        <w:tc>
          <w:tcPr>
            <w:tcW w:w="4950" w:type="dxa"/>
          </w:tcPr>
          <w:p>
            <w:pPr>
              <w:pStyle w:val="TableParagraph"/>
              <w:spacing w:line="379" w:lineRule="exact"/>
              <w:ind w:left="1291"/>
              <w:jc w:val="left"/>
              <w:rPr>
                <w:sz w:val="31"/>
              </w:rPr>
            </w:pPr>
            <w:r>
              <w:rPr>
                <w:sz w:val="31"/>
              </w:rPr>
              <w:t>500</w:t>
            </w:r>
          </w:p>
        </w:tc>
        <w:tc>
          <w:tcPr>
            <w:tcW w:w="1774" w:type="dxa"/>
          </w:tcPr>
          <w:p>
            <w:pPr>
              <w:pStyle w:val="TableParagraph"/>
              <w:jc w:val="left"/>
              <w:rPr>
                <w:rFonts w:ascii="Times New Roman"/>
                <w:sz w:val="32"/>
              </w:rPr>
            </w:pPr>
          </w:p>
        </w:tc>
      </w:tr>
      <w:tr>
        <w:tblPrEx>
          <w:tblW w:w="0" w:type="auto"/>
          <w:jc w:val="left"/>
          <w:tblInd w:w="1133" w:type="dxa"/>
          <w:tblLayout w:type="fixed"/>
          <w:tblCellMar>
            <w:top w:w="0" w:type="dxa"/>
            <w:left w:w="0" w:type="dxa"/>
            <w:bottom w:w="0" w:type="dxa"/>
            <w:right w:w="0" w:type="dxa"/>
          </w:tblCellMar>
          <w:tblLook w:val="01E0"/>
        </w:tblPrEx>
        <w:trPr>
          <w:trHeight w:val="718"/>
          <w:jc w:val="left"/>
        </w:trPr>
        <w:tc>
          <w:tcPr>
            <w:tcW w:w="1107" w:type="dxa"/>
          </w:tcPr>
          <w:p>
            <w:pPr>
              <w:pStyle w:val="TableParagraph"/>
              <w:spacing w:before="162"/>
              <w:ind w:right="371"/>
              <w:rPr>
                <w:sz w:val="31"/>
              </w:rPr>
            </w:pPr>
            <w:r>
              <w:rPr>
                <w:w w:val="102"/>
                <w:sz w:val="31"/>
              </w:rPr>
              <w:t>5</w:t>
            </w:r>
          </w:p>
        </w:tc>
        <w:tc>
          <w:tcPr>
            <w:tcW w:w="2834" w:type="dxa"/>
          </w:tcPr>
          <w:p>
            <w:pPr>
              <w:pStyle w:val="TableParagraph"/>
              <w:spacing w:before="162"/>
              <w:ind w:left="422" w:right="666"/>
              <w:rPr>
                <w:sz w:val="31"/>
              </w:rPr>
            </w:pPr>
            <w:r>
              <w:rPr>
                <w:sz w:val="31"/>
              </w:rPr>
              <w:t>180＃溶剂油</w:t>
            </w:r>
          </w:p>
        </w:tc>
        <w:tc>
          <w:tcPr>
            <w:tcW w:w="2033" w:type="dxa"/>
          </w:tcPr>
          <w:p>
            <w:pPr>
              <w:pStyle w:val="TableParagraph"/>
              <w:spacing w:before="162"/>
              <w:ind w:right="514"/>
              <w:jc w:val="right"/>
              <w:rPr>
                <w:sz w:val="31"/>
              </w:rPr>
            </w:pPr>
            <w:r>
              <w:rPr>
                <w:sz w:val="31"/>
              </w:rPr>
              <w:t>32004</w:t>
            </w:r>
          </w:p>
        </w:tc>
        <w:tc>
          <w:tcPr>
            <w:tcW w:w="4950" w:type="dxa"/>
          </w:tcPr>
          <w:p>
            <w:pPr>
              <w:pStyle w:val="TableParagraph"/>
              <w:spacing w:before="162"/>
              <w:ind w:left="470"/>
              <w:jc w:val="left"/>
              <w:rPr>
                <w:sz w:val="31"/>
              </w:rPr>
            </w:pPr>
            <w:r>
              <w:rPr>
                <w:sz w:val="31"/>
              </w:rPr>
              <w:t>500</w:t>
            </w:r>
          </w:p>
        </w:tc>
        <w:tc>
          <w:tcPr>
            <w:tcW w:w="1774" w:type="dxa"/>
          </w:tcPr>
          <w:p>
            <w:pPr>
              <w:pStyle w:val="TableParagraph"/>
              <w:jc w:val="left"/>
              <w:rPr>
                <w:rFonts w:ascii="Times New Roman"/>
                <w:sz w:val="32"/>
              </w:rPr>
            </w:pPr>
          </w:p>
        </w:tc>
      </w:tr>
      <w:tr>
        <w:tblPrEx>
          <w:tblW w:w="0" w:type="auto"/>
          <w:jc w:val="left"/>
          <w:tblInd w:w="1133" w:type="dxa"/>
          <w:tblLayout w:type="fixed"/>
          <w:tblCellMar>
            <w:top w:w="0" w:type="dxa"/>
            <w:left w:w="0" w:type="dxa"/>
            <w:bottom w:w="0" w:type="dxa"/>
            <w:right w:w="0" w:type="dxa"/>
          </w:tblCellMar>
          <w:tblLook w:val="01E0"/>
        </w:tblPrEx>
        <w:trPr>
          <w:trHeight w:val="518"/>
          <w:jc w:val="left"/>
        </w:trPr>
        <w:tc>
          <w:tcPr>
            <w:tcW w:w="1107" w:type="dxa"/>
          </w:tcPr>
          <w:p>
            <w:pPr>
              <w:pStyle w:val="TableParagraph"/>
              <w:spacing w:before="164" w:line="335" w:lineRule="exact"/>
              <w:ind w:right="371"/>
              <w:rPr>
                <w:sz w:val="31"/>
              </w:rPr>
            </w:pPr>
            <w:r>
              <w:rPr>
                <w:w w:val="102"/>
                <w:sz w:val="31"/>
              </w:rPr>
              <w:t>6</w:t>
            </w:r>
          </w:p>
        </w:tc>
        <w:tc>
          <w:tcPr>
            <w:tcW w:w="2834" w:type="dxa"/>
          </w:tcPr>
          <w:p>
            <w:pPr>
              <w:pStyle w:val="TableParagraph"/>
              <w:spacing w:before="164" w:line="335" w:lineRule="exact"/>
              <w:ind w:left="413" w:right="666"/>
              <w:rPr>
                <w:sz w:val="31"/>
              </w:rPr>
            </w:pPr>
            <w:r>
              <w:rPr>
                <w:sz w:val="31"/>
              </w:rPr>
              <w:t>渣油</w:t>
            </w:r>
          </w:p>
        </w:tc>
        <w:tc>
          <w:tcPr>
            <w:tcW w:w="2033" w:type="dxa"/>
          </w:tcPr>
          <w:p>
            <w:pPr>
              <w:pStyle w:val="TableParagraph"/>
              <w:jc w:val="left"/>
              <w:rPr>
                <w:rFonts w:ascii="Times New Roman"/>
                <w:sz w:val="32"/>
              </w:rPr>
            </w:pPr>
          </w:p>
        </w:tc>
        <w:tc>
          <w:tcPr>
            <w:tcW w:w="4950" w:type="dxa"/>
          </w:tcPr>
          <w:p>
            <w:pPr>
              <w:pStyle w:val="TableParagraph"/>
              <w:spacing w:before="164" w:line="335" w:lineRule="exact"/>
              <w:ind w:left="470"/>
              <w:jc w:val="left"/>
              <w:rPr>
                <w:sz w:val="31"/>
              </w:rPr>
            </w:pPr>
            <w:r>
              <w:rPr>
                <w:sz w:val="31"/>
              </w:rPr>
              <w:t>1000</w:t>
            </w:r>
          </w:p>
        </w:tc>
        <w:tc>
          <w:tcPr>
            <w:tcW w:w="1774" w:type="dxa"/>
          </w:tcPr>
          <w:p>
            <w:pPr>
              <w:pStyle w:val="TableParagraph"/>
              <w:jc w:val="left"/>
              <w:rPr>
                <w:rFonts w:ascii="Times New Roman"/>
                <w:sz w:val="32"/>
              </w:rPr>
            </w:pPr>
          </w:p>
        </w:tc>
      </w:tr>
    </w:tbl>
    <w:p>
      <w:pPr>
        <w:pStyle w:val="BodyText"/>
        <w:rPr>
          <w:b/>
        </w:rPr>
      </w:pPr>
    </w:p>
    <w:p>
      <w:pPr>
        <w:pStyle w:val="BodyText"/>
        <w:spacing w:before="299" w:line="364" w:lineRule="auto"/>
        <w:ind w:left="1428" w:right="10212"/>
      </w:pPr>
      <w:r>
        <w:t>按照下式计算： Q=q1/Q1+q2/Q2+q3/Q3</w:t>
      </w:r>
    </w:p>
    <w:p>
      <w:pPr>
        <w:pStyle w:val="BodyText"/>
        <w:spacing w:before="2" w:line="364" w:lineRule="auto"/>
        <w:ind w:left="1428" w:right="9419"/>
      </w:pPr>
      <w:r>
        <w:rPr>
          <w:spacing w:val="-31"/>
        </w:rPr>
        <w:t xml:space="preserve">式中 </w:t>
      </w:r>
      <w:r>
        <w:t>q——</w:t>
      </w:r>
      <w:r>
        <w:rPr>
          <w:spacing w:val="-3"/>
        </w:rPr>
        <w:t>实际最大储存量</w:t>
      </w:r>
      <w:r>
        <w:t>Q</w:t>
      </w:r>
      <w:r>
        <w:rPr>
          <w:spacing w:val="-19"/>
        </w:rPr>
        <w:t xml:space="preserve">——附录 </w:t>
      </w:r>
      <w:r>
        <w:t>B</w:t>
      </w:r>
      <w:r>
        <w:rPr>
          <w:spacing w:val="-14"/>
        </w:rPr>
        <w:t xml:space="preserve"> 中物料临界量</w:t>
      </w:r>
    </w:p>
    <w:p>
      <w:pPr>
        <w:spacing w:after="0" w:line="364" w:lineRule="auto"/>
        <w:sectPr>
          <w:headerReference w:type="default" r:id="rId138"/>
          <w:footerReference w:type="default" r:id="rId139"/>
          <w:pgSz w:w="17860" w:h="25260"/>
          <w:pgMar w:top="1380" w:right="1360" w:bottom="2020" w:left="1420" w:header="1083" w:footer="1826"/>
          <w:pgNumType w:start="52"/>
          <w:cols w:space="708"/>
        </w:sectPr>
      </w:pPr>
    </w:p>
    <w:p>
      <w:pPr>
        <w:pStyle w:val="BodyText"/>
        <w:rPr>
          <w:sz w:val="20"/>
        </w:rPr>
      </w:pPr>
    </w:p>
    <w:p>
      <w:pPr>
        <w:pStyle w:val="BodyText"/>
        <w:spacing w:before="5"/>
        <w:rPr>
          <w:sz w:val="19"/>
        </w:rPr>
      </w:pPr>
    </w:p>
    <w:p>
      <w:pPr>
        <w:pStyle w:val="BodyText"/>
        <w:spacing w:before="49"/>
        <w:ind w:left="1428"/>
      </w:pPr>
      <w:r>
        <w:t>经计算得出 Q≥1，将 Q 值划分等级为：10≤Q＜100。</w:t>
      </w:r>
    </w:p>
    <w:p>
      <w:pPr>
        <w:pStyle w:val="Heading2"/>
        <w:numPr>
          <w:ilvl w:val="1"/>
          <w:numId w:val="23"/>
        </w:numPr>
        <w:tabs>
          <w:tab w:val="left" w:pos="1468"/>
        </w:tabs>
        <w:spacing w:before="266" w:after="0" w:line="240" w:lineRule="auto"/>
        <w:ind w:left="1468" w:right="0" w:hanging="760"/>
        <w:jc w:val="left"/>
      </w:pPr>
      <w:bookmarkStart w:id="9" w:name="_TOC_250021"/>
      <w:bookmarkEnd w:id="9"/>
      <w:r>
        <w:t>生产工艺</w:t>
      </w:r>
    </w:p>
    <w:p>
      <w:pPr>
        <w:pStyle w:val="Heading3"/>
        <w:numPr>
          <w:ilvl w:val="2"/>
          <w:numId w:val="17"/>
        </w:numPr>
        <w:tabs>
          <w:tab w:val="left" w:pos="1738"/>
        </w:tabs>
        <w:spacing w:before="255" w:after="0" w:line="240" w:lineRule="auto"/>
        <w:ind w:left="1737" w:right="0" w:hanging="1030"/>
        <w:jc w:val="left"/>
      </w:pPr>
      <w:r>
        <w:t>生产工艺及产污环节</w:t>
      </w:r>
    </w:p>
    <w:p>
      <w:pPr>
        <w:pStyle w:val="ListParagraph"/>
        <w:numPr>
          <w:ilvl w:val="3"/>
          <w:numId w:val="17"/>
        </w:numPr>
        <w:tabs>
          <w:tab w:val="left" w:pos="2330"/>
        </w:tabs>
        <w:spacing w:before="125" w:after="0" w:line="240" w:lineRule="auto"/>
        <w:ind w:left="2329" w:right="0" w:hanging="902"/>
        <w:jc w:val="left"/>
        <w:rPr>
          <w:sz w:val="36"/>
        </w:rPr>
      </w:pPr>
      <w:r>
        <w:rPr>
          <w:sz w:val="36"/>
        </w:rPr>
        <w:t>重交沥青项目生产工艺</w:t>
      </w:r>
    </w:p>
    <w:p>
      <w:pPr>
        <w:pStyle w:val="BodyText"/>
        <w:spacing w:before="241" w:line="364" w:lineRule="auto"/>
        <w:ind w:left="708" w:right="639" w:firstLine="720"/>
      </w:pPr>
      <w:r>
        <w:rPr>
          <w:spacing w:val="-5"/>
        </w:rPr>
        <w:t xml:space="preserve">原料渣油自原料油罐打入加热炉加热到 </w:t>
      </w:r>
      <w:r>
        <w:t>400°C</w:t>
      </w:r>
      <w:r>
        <w:rPr>
          <w:spacing w:val="-26"/>
        </w:rPr>
        <w:t xml:space="preserve"> 左右，然后进入分离塔进行分离</w:t>
      </w:r>
      <w:r>
        <w:t>（压力≤0.05MPa</w:t>
      </w:r>
      <w:r>
        <w:rPr>
          <w:spacing w:val="16"/>
        </w:rPr>
        <w:t>、温度</w:t>
      </w:r>
      <w:r>
        <w:t>400℃左右），</w:t>
      </w:r>
      <w:r>
        <w:rPr>
          <w:spacing w:val="-1"/>
        </w:rPr>
        <w:t>开启冷凝器循环水，塔顶油气井冷凝器冷却后进入石</w:t>
      </w:r>
      <w:r>
        <w:t>脑油接受罐，然后打入石脑油储罐；冷凝器排除的不凝气通过管道输出，送入加热炉燃烧，塔底为渣油。</w:t>
      </w:r>
    </w:p>
    <w:p>
      <w:pPr>
        <w:pStyle w:val="BodyText"/>
        <w:spacing w:before="5" w:line="364" w:lineRule="auto"/>
        <w:ind w:left="708" w:right="689" w:firstLine="720"/>
        <w:jc w:val="both"/>
      </w:pPr>
      <w:r>
        <w:rPr>
          <w:spacing w:val="-6"/>
        </w:rPr>
        <w:t>塔底渣油进入氧化塔，在压力</w:t>
      </w:r>
      <w:r>
        <w:t>≤0.02MPa</w:t>
      </w:r>
      <w:r>
        <w:rPr>
          <w:spacing w:val="-36"/>
        </w:rPr>
        <w:t xml:space="preserve">、温度 </w:t>
      </w:r>
      <w:r>
        <w:t>230℃</w:t>
      </w:r>
      <w:r>
        <w:rPr>
          <w:spacing w:val="-7"/>
        </w:rPr>
        <w:t>下吹入空气，使其组分和性能</w:t>
      </w:r>
      <w:r>
        <w:rPr>
          <w:spacing w:val="-8"/>
        </w:rPr>
        <w:t>发生变化，塔底所得的产品即为重交沥青，塔顶不凝气通过净化罐，回收部分油气后通</w:t>
      </w:r>
      <w:r>
        <w:t>过管路和缓冲罐进入加热燃烧炉。</w:t>
      </w:r>
    </w:p>
    <w:p>
      <w:pPr>
        <w:pStyle w:val="ListParagraph"/>
        <w:numPr>
          <w:ilvl w:val="3"/>
          <w:numId w:val="17"/>
        </w:numPr>
        <w:tabs>
          <w:tab w:val="left" w:pos="2330"/>
        </w:tabs>
        <w:spacing w:before="2" w:after="0" w:line="240" w:lineRule="auto"/>
        <w:ind w:left="2329" w:right="0" w:hanging="902"/>
        <w:jc w:val="left"/>
        <w:rPr>
          <w:sz w:val="36"/>
        </w:rPr>
      </w:pPr>
      <w:r>
        <w:rPr>
          <w:sz w:val="36"/>
        </w:rPr>
        <w:t>溶剂油项目生产工艺</w:t>
      </w:r>
    </w:p>
    <w:p>
      <w:pPr>
        <w:pStyle w:val="BodyText"/>
        <w:spacing w:before="241" w:line="364" w:lineRule="auto"/>
        <w:ind w:left="708" w:right="689" w:firstLine="720"/>
      </w:pPr>
      <w:r>
        <w:t>根据石脑油中分组分的沸点不同，在不同的精馏塔中根据各产品的馏程切取不同的馏分而得不同的溶剂油产品。其中 6＃溶剂油主演用于植物油（如大豆油）浸出工艺中的提取溶剂、动物骨骼中脂肪的抽提溶剂、烟叶重烟碱的抽提溶剂、合成橡胶工业中的溶剂，120＃溶剂油主演用于橡胶工业，制鞋行业，再生胶的综合利用，调制各种粘合剂，180＃溶剂油主演用于机械工业的零件清洗，200＃溶剂油用作油漆工业溶剂和稀释剂。</w:t>
      </w:r>
    </w:p>
    <w:p>
      <w:pPr>
        <w:pStyle w:val="BodyText"/>
        <w:tabs>
          <w:tab w:val="left" w:pos="9723"/>
        </w:tabs>
        <w:spacing w:before="6" w:line="364" w:lineRule="auto"/>
        <w:ind w:left="708" w:right="689" w:firstLine="720"/>
      </w:pPr>
      <w:r>
        <w:t>脱硫：原料石脑油中含有少量硫化物，主要</w:t>
      </w:r>
      <w:r>
        <w:rPr>
          <w:spacing w:val="55"/>
        </w:rPr>
        <w:t>由</w:t>
      </w:r>
      <w:r>
        <w:t>H2S</w:t>
      </w:r>
      <w:r>
        <w:rPr>
          <w:spacing w:val="-90"/>
        </w:rPr>
        <w:t xml:space="preserve"> </w:t>
      </w:r>
      <w:r>
        <w:t>及硫醇组成，且均为活性硫，严重腐蚀管道、设备，并有及其强烈的恶臭味，对产品质量有较大影响，并污染环境。</w:t>
      </w:r>
      <w:r>
        <w:rPr>
          <w:spacing w:val="-18"/>
        </w:rPr>
        <w:t>因</w:t>
      </w:r>
      <w:r>
        <w:t>此在进行精馏前必须先进行脱硫脱臭处理。本项目使用</w:t>
        <w:tab/>
        <w:t>W702</w:t>
      </w:r>
      <w:r>
        <w:rPr>
          <w:spacing w:val="10"/>
        </w:rPr>
        <w:t xml:space="preserve"> </w:t>
      </w:r>
      <w:r>
        <w:t>复合氧化物精脱硫剂串W201</w:t>
      </w:r>
      <w:r>
        <w:rPr>
          <w:spacing w:val="-87"/>
        </w:rPr>
        <w:t xml:space="preserve"> </w:t>
      </w:r>
      <w:r>
        <w:t>硫醇转化催化剂，作为脱硫塔的填料对石脑油进行脱硫脱臭处理，其中</w:t>
      </w:r>
      <w:r>
        <w:rPr>
          <w:spacing w:val="-85"/>
        </w:rPr>
        <w:t xml:space="preserve"> </w:t>
      </w:r>
      <w:r>
        <w:t>W702</w:t>
      </w:r>
      <w:r>
        <w:rPr>
          <w:spacing w:val="-87"/>
        </w:rPr>
        <w:t xml:space="preserve"> </w:t>
      </w:r>
      <w:r>
        <w:t>复合氧化物精脱硫剂用于脱除</w:t>
      </w:r>
      <w:r>
        <w:rPr>
          <w:spacing w:val="-83"/>
        </w:rPr>
        <w:t>，</w:t>
      </w:r>
      <w:r>
        <w:t>将其中的硫转化成硫化物固体</w:t>
      </w:r>
      <w:r>
        <w:rPr>
          <w:spacing w:val="-17"/>
        </w:rPr>
        <w:t>，W201</w:t>
      </w:r>
      <w:r>
        <w:rPr>
          <w:spacing w:val="-89"/>
        </w:rPr>
        <w:t xml:space="preserve"> </w:t>
      </w:r>
      <w:r>
        <w:t>硫醇转化催化剂用于将硫醇</w:t>
      </w:r>
      <w:r>
        <w:rPr>
          <w:spacing w:val="2"/>
        </w:rPr>
        <w:t>（RSH）</w:t>
      </w:r>
      <w:r>
        <w:t>转化成二烷基二硫，经脱硫后油品无明显臭味。本项目所使用的脱硫剂对石脑油中的其他物质无脱除作用。</w:t>
      </w:r>
    </w:p>
    <w:p>
      <w:pPr>
        <w:pStyle w:val="BodyText"/>
        <w:spacing w:before="7" w:line="364" w:lineRule="auto"/>
        <w:ind w:left="708" w:right="580" w:firstLine="720"/>
        <w:jc w:val="both"/>
      </w:pPr>
      <w:r>
        <w:rPr>
          <w:spacing w:val="-6"/>
        </w:rPr>
        <w:t>将原料—石脑油用泵从原料罐中打入密闭的脱硫塔中，在常温小于</w:t>
      </w:r>
      <w:r>
        <w:t>1Kg</w:t>
      </w:r>
      <w:r>
        <w:rPr>
          <w:spacing w:val="-22"/>
        </w:rPr>
        <w:t xml:space="preserve"> 压力条件下， </w:t>
      </w:r>
      <w:r>
        <w:rPr>
          <w:spacing w:val="-30"/>
        </w:rPr>
        <w:t xml:space="preserve">脱硫 </w:t>
      </w:r>
      <w:r>
        <w:rPr>
          <w:spacing w:val="-39"/>
        </w:rPr>
        <w:t>1h</w:t>
      </w:r>
      <w:r>
        <w:rPr>
          <w:spacing w:val="-18"/>
        </w:rPr>
        <w:t xml:space="preserve">，脱除石脑油中绝大部分的硫，然后用泵打入到原料缓冲罐中。脱硫剂定期更换， </w:t>
      </w:r>
      <w:r>
        <w:rPr>
          <w:spacing w:val="-24"/>
        </w:rPr>
        <w:t xml:space="preserve">以确保其的脱硫效率，约生产 </w:t>
      </w:r>
      <w:r>
        <w:t>10</w:t>
      </w:r>
      <w:r>
        <w:rPr>
          <w:spacing w:val="-10"/>
        </w:rPr>
        <w:t xml:space="preserve"> 万吨产品更换一次，废脱硫剂由供应商回收。</w:t>
      </w:r>
    </w:p>
    <w:p>
      <w:pPr>
        <w:pStyle w:val="BodyText"/>
        <w:spacing w:before="3" w:line="364" w:lineRule="auto"/>
        <w:ind w:left="708" w:right="760" w:firstLine="720"/>
        <w:jc w:val="both"/>
      </w:pPr>
      <w:r>
        <w:rPr>
          <w:spacing w:val="2"/>
        </w:rPr>
        <w:t>精馏：用上料泵将原料缓冲罐中的石脑油经换热器打入</w:t>
      </w:r>
      <w:r>
        <w:t>1＃</w:t>
      </w:r>
      <w:r>
        <w:rPr>
          <w:spacing w:val="11"/>
        </w:rPr>
        <w:t>精馏塔，在</w:t>
      </w:r>
      <w:r>
        <w:rPr>
          <w:spacing w:val="-3"/>
        </w:rPr>
        <w:t xml:space="preserve">116～120℃ </w:t>
      </w:r>
      <w:r>
        <w:rPr>
          <w:spacing w:val="-4"/>
        </w:rPr>
        <w:t xml:space="preserve">下进行蒸馏，塔顶气体经 </w:t>
      </w:r>
      <w:r>
        <w:t>1＃冷凝器冷凝（</w:t>
      </w:r>
      <w:r>
        <w:rPr>
          <w:spacing w:val="-8"/>
        </w:rPr>
        <w:t xml:space="preserve">冷凝温度 </w:t>
      </w:r>
      <w:r>
        <w:t>65～67 ℃）</w:t>
      </w:r>
      <w:r>
        <w:rPr>
          <w:spacing w:val="-2"/>
        </w:rPr>
        <w:t>后进入塔顶回流罐，</w:t>
      </w:r>
    </w:p>
    <w:p>
      <w:pPr>
        <w:spacing w:after="0" w:line="364" w:lineRule="auto"/>
        <w:jc w:val="both"/>
        <w:sectPr>
          <w:headerReference w:type="default" r:id="rId140"/>
          <w:footerReference w:type="default" r:id="rId141"/>
          <w:pgSz w:w="17860" w:h="25260"/>
          <w:pgMar w:top="1380" w:right="1360" w:bottom="2020" w:left="1420" w:header="1083" w:footer="1826"/>
          <w:pgNumType w:start="53"/>
          <w:cols w:space="708"/>
        </w:sectPr>
      </w:pPr>
    </w:p>
    <w:p>
      <w:pPr>
        <w:pStyle w:val="BodyText"/>
        <w:rPr>
          <w:sz w:val="20"/>
        </w:rPr>
      </w:pPr>
    </w:p>
    <w:p>
      <w:pPr>
        <w:pStyle w:val="BodyText"/>
        <w:spacing w:before="5"/>
        <w:rPr>
          <w:sz w:val="19"/>
        </w:rPr>
      </w:pPr>
    </w:p>
    <w:p>
      <w:pPr>
        <w:pStyle w:val="BodyText"/>
        <w:spacing w:before="49" w:line="364" w:lineRule="auto"/>
        <w:ind w:left="708" w:right="759"/>
        <w:jc w:val="both"/>
      </w:pPr>
      <w:r>
        <w:rPr>
          <w:spacing w:val="-4"/>
        </w:rPr>
        <w:t xml:space="preserve">一部分经回流泵返回 </w:t>
      </w:r>
      <w:r>
        <w:t>1＃</w:t>
      </w:r>
      <w:r>
        <w:rPr>
          <w:spacing w:val="-4"/>
        </w:rPr>
        <w:t xml:space="preserve">精馏塔，另一部分作为 </w:t>
      </w:r>
      <w:r>
        <w:t>180＃</w:t>
      </w:r>
      <w:r>
        <w:rPr>
          <w:spacing w:val="-2"/>
        </w:rPr>
        <w:t>溶剂油产品流入成品罐，塔顶气</w:t>
      </w:r>
      <w:r>
        <w:rPr>
          <w:spacing w:val="-10"/>
        </w:rPr>
        <w:t xml:space="preserve">体约为塔内物料的 </w:t>
      </w:r>
      <w:r>
        <w:t>15.6</w:t>
      </w:r>
      <w:r>
        <w:rPr>
          <w:spacing w:val="-15"/>
        </w:rPr>
        <w:t xml:space="preserve">％，回流比 </w:t>
      </w:r>
      <w:r>
        <w:t>1:1.5；</w:t>
      </w:r>
      <w:r>
        <w:rPr>
          <w:spacing w:val="-7"/>
        </w:rPr>
        <w:t xml:space="preserve">塔底物料经再沸器气化后返回 </w:t>
      </w:r>
      <w:r>
        <w:t xml:space="preserve">1＃精馏塔， </w:t>
      </w:r>
      <w:r>
        <w:rPr>
          <w:spacing w:val="-5"/>
        </w:rPr>
        <w:t xml:space="preserve">直至塔底物料满足要求后经塔底泵打入 </w:t>
      </w:r>
      <w:r>
        <w:t>2＃精馏塔进行进一步精馏。</w:t>
      </w:r>
    </w:p>
    <w:p>
      <w:pPr>
        <w:pStyle w:val="BodyText"/>
        <w:spacing w:before="4" w:line="364" w:lineRule="auto"/>
        <w:ind w:left="708" w:right="582" w:firstLine="720"/>
      </w:pPr>
      <w:r>
        <w:t>1</w:t>
      </w:r>
      <w:r>
        <w:rPr>
          <w:spacing w:val="-11"/>
        </w:rPr>
        <w:t xml:space="preserve">＃塔底物料打入 </w:t>
      </w:r>
      <w:r>
        <w:t>2</w:t>
      </w:r>
      <w:r>
        <w:rPr>
          <w:spacing w:val="-13"/>
        </w:rPr>
        <w:t xml:space="preserve">＃精馏塔后在 </w:t>
      </w:r>
      <w:r>
        <w:t>126~130℃</w:t>
      </w:r>
      <w:r>
        <w:rPr>
          <w:spacing w:val="-8"/>
        </w:rPr>
        <w:t xml:space="preserve">下进行蒸馏，塔顶气体经 </w:t>
      </w:r>
      <w:r>
        <w:t>2＃冷凝器冷凝（</w:t>
      </w:r>
      <w:r>
        <w:rPr>
          <w:spacing w:val="-8"/>
        </w:rPr>
        <w:t xml:space="preserve">冷凝温度 </w:t>
      </w:r>
      <w:r>
        <w:t>70~74℃）</w:t>
      </w:r>
      <w:r>
        <w:rPr>
          <w:spacing w:val="-2"/>
        </w:rPr>
        <w:t xml:space="preserve">后进入塔顶回流罐，一部分经回流泵返回 </w:t>
      </w:r>
      <w:r>
        <w:t>2＃精馏塔，另一部</w:t>
      </w:r>
      <w:r>
        <w:rPr>
          <w:spacing w:val="-23"/>
        </w:rPr>
        <w:t xml:space="preserve">分作为 </w:t>
      </w:r>
      <w:r>
        <w:t>6＃</w:t>
      </w:r>
      <w:r>
        <w:rPr>
          <w:spacing w:val="-12"/>
        </w:rPr>
        <w:t xml:space="preserve">溶剂油产品流入成品罐，塔顶气体约为进塔物料的 </w:t>
      </w:r>
      <w:r>
        <w:rPr>
          <w:spacing w:val="-14"/>
        </w:rPr>
        <w:t>45.5％</w:t>
      </w:r>
      <w:r>
        <w:rPr>
          <w:spacing w:val="-18"/>
        </w:rPr>
        <w:t xml:space="preserve">，回流比为 </w:t>
      </w:r>
      <w:r>
        <w:rPr>
          <w:spacing w:val="-3"/>
        </w:rPr>
        <w:t xml:space="preserve">1:1.5； 塔底物料经再沸器气化后返回 </w:t>
      </w:r>
      <w:r>
        <w:t>2＃</w:t>
      </w:r>
      <w:r>
        <w:rPr>
          <w:spacing w:val="-2"/>
        </w:rPr>
        <w:t xml:space="preserve">精馏塔，直至塔底物料满足要求后经塔底泵打入 </w:t>
      </w:r>
      <w:r>
        <w:t>3＃ 精馏塔进行进一步精馏。</w:t>
      </w:r>
    </w:p>
    <w:p>
      <w:pPr>
        <w:pStyle w:val="BodyText"/>
        <w:spacing w:before="5" w:line="364" w:lineRule="auto"/>
        <w:ind w:left="708" w:right="760" w:firstLine="720"/>
        <w:jc w:val="both"/>
      </w:pPr>
      <w:r>
        <w:t>2</w:t>
      </w:r>
      <w:r>
        <w:rPr>
          <w:spacing w:val="-11"/>
        </w:rPr>
        <w:t xml:space="preserve">＃塔底物料打入 </w:t>
      </w:r>
      <w:r>
        <w:t>3</w:t>
      </w:r>
      <w:r>
        <w:rPr>
          <w:spacing w:val="-13"/>
        </w:rPr>
        <w:t xml:space="preserve">＃精馏塔后在 </w:t>
      </w:r>
      <w:r>
        <w:t>136~140℃</w:t>
      </w:r>
      <w:r>
        <w:rPr>
          <w:spacing w:val="-8"/>
        </w:rPr>
        <w:t xml:space="preserve">下进行蒸馏，塔顶气体经 </w:t>
      </w:r>
      <w:r>
        <w:t>3＃冷凝器冷凝（</w:t>
      </w:r>
      <w:r>
        <w:rPr>
          <w:spacing w:val="-7"/>
        </w:rPr>
        <w:t xml:space="preserve">冷凝温度为 </w:t>
      </w:r>
      <w:r>
        <w:t>80~85℃）</w:t>
      </w:r>
      <w:r>
        <w:rPr>
          <w:spacing w:val="-2"/>
        </w:rPr>
        <w:t xml:space="preserve">后进入塔顶回流罐，一部分经回流泵返回 </w:t>
      </w:r>
      <w:r>
        <w:t>3＃</w:t>
      </w:r>
      <w:r>
        <w:rPr>
          <w:spacing w:val="-3"/>
        </w:rPr>
        <w:t>精馏塔，另一</w:t>
      </w:r>
      <w:r>
        <w:rPr>
          <w:spacing w:val="11"/>
        </w:rPr>
        <w:t xml:space="preserve">部分作为 </w:t>
      </w:r>
      <w:r>
        <w:rPr>
          <w:spacing w:val="3"/>
        </w:rPr>
        <w:t>120</w:t>
      </w:r>
      <w:r>
        <w:rPr>
          <w:spacing w:val="6"/>
        </w:rPr>
        <w:t xml:space="preserve">＃溶剂油产品流入成品罐，塔顶气体约为进塔物料的 </w:t>
      </w:r>
      <w:r>
        <w:rPr>
          <w:spacing w:val="2"/>
        </w:rPr>
        <w:t>45.5</w:t>
      </w:r>
      <w:r>
        <w:t>％，回流比1:1.5</w:t>
      </w:r>
      <w:r>
        <w:rPr>
          <w:spacing w:val="3"/>
        </w:rPr>
        <w:t>；塔底物料经再沸器气化后返回</w:t>
      </w:r>
      <w:r>
        <w:t>3＃</w:t>
      </w:r>
      <w:r>
        <w:rPr>
          <w:spacing w:val="3"/>
        </w:rPr>
        <w:t>精馏塔，直至塔底物料满足要求后作为</w:t>
      </w:r>
      <w:r>
        <w:rPr>
          <w:spacing w:val="-5"/>
        </w:rPr>
        <w:t xml:space="preserve">200＃ </w:t>
      </w:r>
      <w:r>
        <w:t>溶剂油产品经塔底泵打入换热器与原料溶剂油换热后进入成品罐。</w:t>
      </w:r>
    </w:p>
    <w:p>
      <w:pPr>
        <w:pStyle w:val="ListParagraph"/>
        <w:numPr>
          <w:ilvl w:val="3"/>
          <w:numId w:val="17"/>
        </w:numPr>
        <w:tabs>
          <w:tab w:val="left" w:pos="2330"/>
        </w:tabs>
        <w:spacing w:before="5" w:after="0" w:line="240" w:lineRule="auto"/>
        <w:ind w:left="2329" w:right="0" w:hanging="902"/>
        <w:jc w:val="left"/>
        <w:rPr>
          <w:sz w:val="36"/>
        </w:rPr>
      </w:pPr>
      <w:r>
        <w:rPr>
          <w:sz w:val="36"/>
        </w:rPr>
        <w:t>工艺流程图</w:t>
      </w:r>
    </w:p>
    <w:p>
      <w:pPr>
        <w:pStyle w:val="BodyText"/>
        <w:spacing w:before="240"/>
        <w:ind w:left="1428"/>
      </w:pPr>
      <w:r>
        <w:t>重交沥青项目工艺流程及产污环节图见图 3.4-1、图 3.4-2。</w:t>
      </w:r>
    </w:p>
    <w:p>
      <w:pPr>
        <w:pStyle w:val="BodyText"/>
        <w:spacing w:before="10"/>
        <w:rPr>
          <w:sz w:val="14"/>
        </w:rPr>
      </w:pPr>
      <w:r>
        <w:pict>
          <v:group id="_x0000_s1236" style="width:677pt;height:412pt;margin-top:11.46pt;margin-left:108pt;mso-position-horizontal-relative:page;mso-wrap-distance-left:0;mso-wrap-distance-right:0;position:absolute;z-index:-251630592" coordorigin="2160,229" coordsize="13540,8240">
            <v:shape id="_x0000_s1237" type="#_x0000_t75" style="width:13540;height:8240;left:2160;position:absolute;top:229" stroked="f">
              <v:imagedata r:id="rId142" o:title=""/>
            </v:shape>
            <v:shape id="_x0000_s1238" type="#_x0000_t202" style="width:710;height:345;left:5290;position:absolute;top:463" filled="f" stroked="f">
              <v:textbox inset="0,0,0,0">
                <w:txbxContent>
                  <w:p>
                    <w:pPr>
                      <w:spacing w:before="0" w:line="345" w:lineRule="exact"/>
                      <w:ind w:left="0" w:right="0" w:firstLine="0"/>
                      <w:jc w:val="left"/>
                      <w:rPr>
                        <w:rFonts w:ascii="宋体" w:eastAsia="宋体" w:hint="eastAsia"/>
                        <w:sz w:val="34"/>
                      </w:rPr>
                    </w:pPr>
                    <w:r>
                      <w:rPr>
                        <w:rFonts w:ascii="宋体" w:eastAsia="宋体" w:hint="eastAsia"/>
                        <w:sz w:val="34"/>
                      </w:rPr>
                      <w:t>渣油</w:t>
                    </w:r>
                  </w:p>
                </w:txbxContent>
              </v:textbox>
            </v:shape>
            <v:shape id="_x0000_s1239" type="#_x0000_t202" style="width:2138;height:383;left:7839;position:absolute;top:1115" filled="f" stroked="f">
              <v:textbox inset="0,0,0,0">
                <w:txbxContent>
                  <w:p>
                    <w:pPr>
                      <w:spacing w:before="0" w:line="383" w:lineRule="exact"/>
                      <w:ind w:left="0" w:right="0" w:firstLine="0"/>
                      <w:jc w:val="left"/>
                      <w:rPr>
                        <w:rFonts w:ascii="宋体" w:eastAsia="宋体" w:hint="eastAsia"/>
                        <w:sz w:val="34"/>
                      </w:rPr>
                    </w:pPr>
                    <w:r>
                      <w:rPr>
                        <w:rFonts w:ascii="Calibri" w:eastAsia="Calibri"/>
                        <w:sz w:val="34"/>
                      </w:rPr>
                      <w:t>G1</w:t>
                    </w:r>
                    <w:r>
                      <w:rPr>
                        <w:rFonts w:ascii="宋体" w:eastAsia="宋体" w:hint="eastAsia"/>
                        <w:sz w:val="34"/>
                      </w:rPr>
                      <w:t>非甲烷总烃</w:t>
                    </w:r>
                  </w:p>
                </w:txbxContent>
              </v:textbox>
            </v:shape>
            <v:shape id="_x0000_s1240" type="#_x0000_t202" style="width:1055;height:345;left:5118;position:absolute;top:1685" filled="f" stroked="f">
              <v:textbox inset="0,0,0,0">
                <w:txbxContent>
                  <w:p>
                    <w:pPr>
                      <w:spacing w:before="0" w:line="345" w:lineRule="exact"/>
                      <w:ind w:left="0" w:right="0" w:firstLine="0"/>
                      <w:jc w:val="left"/>
                      <w:rPr>
                        <w:rFonts w:ascii="宋体" w:eastAsia="宋体" w:hint="eastAsia"/>
                        <w:sz w:val="34"/>
                      </w:rPr>
                    </w:pPr>
                    <w:r>
                      <w:rPr>
                        <w:rFonts w:ascii="宋体" w:eastAsia="宋体" w:hint="eastAsia"/>
                        <w:sz w:val="34"/>
                      </w:rPr>
                      <w:t>加热炉</w:t>
                    </w:r>
                  </w:p>
                </w:txbxContent>
              </v:textbox>
            </v:shape>
            <v:shape id="_x0000_s1241" type="#_x0000_t202" style="width:2138;height:383;left:12857;position:absolute;top:2093" filled="f" stroked="f">
              <v:textbox inset="0,0,0,0">
                <w:txbxContent>
                  <w:p>
                    <w:pPr>
                      <w:spacing w:before="0" w:line="383" w:lineRule="exact"/>
                      <w:ind w:left="0" w:right="0" w:firstLine="0"/>
                      <w:jc w:val="left"/>
                      <w:rPr>
                        <w:rFonts w:ascii="宋体" w:eastAsia="宋体" w:hint="eastAsia"/>
                        <w:sz w:val="34"/>
                      </w:rPr>
                    </w:pPr>
                    <w:r>
                      <w:rPr>
                        <w:rFonts w:ascii="Calibri" w:eastAsia="Calibri"/>
                        <w:sz w:val="34"/>
                      </w:rPr>
                      <w:t>G2</w:t>
                    </w:r>
                    <w:r>
                      <w:rPr>
                        <w:rFonts w:ascii="宋体" w:eastAsia="宋体" w:hint="eastAsia"/>
                        <w:sz w:val="34"/>
                      </w:rPr>
                      <w:t>非甲烷总烃</w:t>
                    </w:r>
                  </w:p>
                </w:txbxContent>
              </v:textbox>
            </v:shape>
            <v:shape id="_x0000_s1242" type="#_x0000_t202" style="width:1055;height:345;left:5118;position:absolute;top:3723" filled="f" stroked="f">
              <v:textbox inset="0,0,0,0">
                <w:txbxContent>
                  <w:p>
                    <w:pPr>
                      <w:spacing w:before="0" w:line="345" w:lineRule="exact"/>
                      <w:ind w:left="0" w:right="0" w:firstLine="0"/>
                      <w:jc w:val="left"/>
                      <w:rPr>
                        <w:rFonts w:ascii="宋体" w:eastAsia="宋体" w:hint="eastAsia"/>
                        <w:sz w:val="34"/>
                      </w:rPr>
                    </w:pPr>
                    <w:r>
                      <w:rPr>
                        <w:rFonts w:ascii="宋体" w:eastAsia="宋体" w:hint="eastAsia"/>
                        <w:sz w:val="34"/>
                      </w:rPr>
                      <w:t>分离塔</w:t>
                    </w:r>
                  </w:p>
                </w:txbxContent>
              </v:textbox>
            </v:shape>
            <v:shape id="_x0000_s1243" type="#_x0000_t202" style="width:1055;height:345;left:8381;position:absolute;top:3723" filled="f" stroked="f">
              <v:textbox inset="0,0,0,0">
                <w:txbxContent>
                  <w:p>
                    <w:pPr>
                      <w:spacing w:before="0" w:line="345" w:lineRule="exact"/>
                      <w:ind w:left="0" w:right="0" w:firstLine="0"/>
                      <w:jc w:val="left"/>
                      <w:rPr>
                        <w:rFonts w:ascii="宋体" w:eastAsia="宋体" w:hint="eastAsia"/>
                        <w:sz w:val="34"/>
                      </w:rPr>
                    </w:pPr>
                    <w:r>
                      <w:rPr>
                        <w:rFonts w:ascii="宋体" w:eastAsia="宋体" w:hint="eastAsia"/>
                        <w:sz w:val="34"/>
                      </w:rPr>
                      <w:t>冷凝器</w:t>
                    </w:r>
                  </w:p>
                </w:txbxContent>
              </v:textbox>
            </v:shape>
            <v:shape id="_x0000_s1244" type="#_x0000_t202" style="width:1055;height:345;left:11237;position:absolute;top:3723" filled="f" stroked="f">
              <v:textbox inset="0,0,0,0">
                <w:txbxContent>
                  <w:p>
                    <w:pPr>
                      <w:spacing w:before="0" w:line="345" w:lineRule="exact"/>
                      <w:ind w:left="0" w:right="0" w:firstLine="0"/>
                      <w:jc w:val="left"/>
                      <w:rPr>
                        <w:rFonts w:ascii="宋体" w:eastAsia="宋体" w:hint="eastAsia"/>
                        <w:sz w:val="34"/>
                      </w:rPr>
                    </w:pPr>
                    <w:r>
                      <w:rPr>
                        <w:rFonts w:ascii="宋体" w:eastAsia="宋体" w:hint="eastAsia"/>
                        <w:sz w:val="34"/>
                      </w:rPr>
                      <w:t>接受罐</w:t>
                    </w:r>
                  </w:p>
                </w:txbxContent>
              </v:textbox>
            </v:shape>
            <v:shape id="_x0000_s1245" type="#_x0000_t202" style="width:1745;height:345;left:13747;position:absolute;top:3723" filled="f" stroked="f">
              <v:textbox inset="0,0,0,0">
                <w:txbxContent>
                  <w:p>
                    <w:pPr>
                      <w:spacing w:before="0" w:line="345" w:lineRule="exact"/>
                      <w:ind w:left="0" w:right="0" w:firstLine="0"/>
                      <w:jc w:val="left"/>
                      <w:rPr>
                        <w:rFonts w:ascii="宋体" w:eastAsia="宋体" w:hint="eastAsia"/>
                        <w:sz w:val="34"/>
                      </w:rPr>
                    </w:pPr>
                    <w:r>
                      <w:rPr>
                        <w:rFonts w:ascii="宋体" w:eastAsia="宋体" w:hint="eastAsia"/>
                        <w:sz w:val="34"/>
                      </w:rPr>
                      <w:t>石脑油储罐</w:t>
                    </w:r>
                  </w:p>
                </w:txbxContent>
              </v:textbox>
            </v:shape>
            <v:shape id="_x0000_s1246" type="#_x0000_t202" style="width:1055;height:345;left:7973;position:absolute;top:4538" filled="f" stroked="f">
              <v:textbox inset="0,0,0,0">
                <w:txbxContent>
                  <w:p>
                    <w:pPr>
                      <w:spacing w:before="0" w:line="345" w:lineRule="exact"/>
                      <w:ind w:left="0" w:right="0" w:firstLine="0"/>
                      <w:jc w:val="left"/>
                      <w:rPr>
                        <w:rFonts w:ascii="宋体" w:eastAsia="宋体" w:hint="eastAsia"/>
                        <w:sz w:val="34"/>
                      </w:rPr>
                    </w:pPr>
                    <w:r>
                      <w:rPr>
                        <w:rFonts w:ascii="宋体" w:eastAsia="宋体" w:hint="eastAsia"/>
                        <w:sz w:val="34"/>
                      </w:rPr>
                      <w:t>不凝气</w:t>
                    </w:r>
                  </w:p>
                </w:txbxContent>
              </v:textbox>
            </v:shape>
            <v:shape id="_x0000_s1247" type="#_x0000_t202" style="width:2138;height:383;left:10695;position:absolute;top:4742" filled="f" stroked="f">
              <v:textbox inset="0,0,0,0">
                <w:txbxContent>
                  <w:p>
                    <w:pPr>
                      <w:spacing w:before="0" w:line="383" w:lineRule="exact"/>
                      <w:ind w:left="0" w:right="0" w:firstLine="0"/>
                      <w:jc w:val="left"/>
                      <w:rPr>
                        <w:rFonts w:ascii="宋体" w:eastAsia="宋体" w:hint="eastAsia"/>
                        <w:sz w:val="34"/>
                      </w:rPr>
                    </w:pPr>
                    <w:r>
                      <w:rPr>
                        <w:rFonts w:ascii="Calibri" w:eastAsia="Calibri"/>
                        <w:sz w:val="34"/>
                      </w:rPr>
                      <w:t>G3</w:t>
                    </w:r>
                    <w:r>
                      <w:rPr>
                        <w:rFonts w:ascii="宋体" w:eastAsia="宋体" w:hint="eastAsia"/>
                        <w:sz w:val="34"/>
                      </w:rPr>
                      <w:t>非甲烷总烃</w:t>
                    </w:r>
                  </w:p>
                </w:txbxContent>
              </v:textbox>
            </v:shape>
            <v:shape id="_x0000_s1248" type="#_x0000_t202" style="width:710;height:345;left:2842;position:absolute;top:5761" filled="f" stroked="f">
              <v:textbox inset="0,0,0,0">
                <w:txbxContent>
                  <w:p>
                    <w:pPr>
                      <w:spacing w:before="0" w:line="345" w:lineRule="exact"/>
                      <w:ind w:left="0" w:right="0" w:firstLine="0"/>
                      <w:jc w:val="left"/>
                      <w:rPr>
                        <w:rFonts w:ascii="宋体" w:eastAsia="宋体" w:hint="eastAsia"/>
                        <w:sz w:val="34"/>
                      </w:rPr>
                    </w:pPr>
                    <w:r>
                      <w:rPr>
                        <w:rFonts w:ascii="宋体" w:eastAsia="宋体" w:hint="eastAsia"/>
                        <w:sz w:val="34"/>
                      </w:rPr>
                      <w:t>空气</w:t>
                    </w:r>
                  </w:p>
                </w:txbxContent>
              </v:textbox>
            </v:shape>
            <v:shape id="_x0000_s1249" type="#_x0000_t202" style="width:1055;height:345;left:5118;position:absolute;top:5761" filled="f" stroked="f">
              <v:textbox inset="0,0,0,0">
                <w:txbxContent>
                  <w:p>
                    <w:pPr>
                      <w:spacing w:before="0" w:line="345" w:lineRule="exact"/>
                      <w:ind w:left="0" w:right="0" w:firstLine="0"/>
                      <w:jc w:val="left"/>
                      <w:rPr>
                        <w:rFonts w:ascii="宋体" w:eastAsia="宋体" w:hint="eastAsia"/>
                        <w:sz w:val="34"/>
                      </w:rPr>
                    </w:pPr>
                    <w:r>
                      <w:rPr>
                        <w:rFonts w:ascii="宋体" w:eastAsia="宋体" w:hint="eastAsia"/>
                        <w:sz w:val="34"/>
                      </w:rPr>
                      <w:t>氧化塔</w:t>
                    </w:r>
                  </w:p>
                </w:txbxContent>
              </v:textbox>
            </v:shape>
            <v:shape id="_x0000_s1250" type="#_x0000_t202" style="width:1055;height:345;left:8381;position:absolute;top:5761" filled="f" stroked="f">
              <v:textbox inset="0,0,0,0">
                <w:txbxContent>
                  <w:p>
                    <w:pPr>
                      <w:spacing w:before="0" w:line="345" w:lineRule="exact"/>
                      <w:ind w:left="0" w:right="0" w:firstLine="0"/>
                      <w:jc w:val="left"/>
                      <w:rPr>
                        <w:rFonts w:ascii="宋体" w:eastAsia="宋体" w:hint="eastAsia"/>
                        <w:sz w:val="34"/>
                      </w:rPr>
                    </w:pPr>
                    <w:r>
                      <w:rPr>
                        <w:rFonts w:ascii="宋体" w:eastAsia="宋体" w:hint="eastAsia"/>
                        <w:sz w:val="34"/>
                      </w:rPr>
                      <w:t>脱硫塔</w:t>
                    </w:r>
                  </w:p>
                </w:txbxContent>
              </v:textbox>
            </v:shape>
            <v:shape id="_x0000_s1251" type="#_x0000_t202" style="width:1055;height:345;left:11237;position:absolute;top:5761" filled="f" stroked="f">
              <v:textbox inset="0,0,0,0">
                <w:txbxContent>
                  <w:p>
                    <w:pPr>
                      <w:spacing w:before="0" w:line="345" w:lineRule="exact"/>
                      <w:ind w:left="0" w:right="0" w:firstLine="0"/>
                      <w:jc w:val="left"/>
                      <w:rPr>
                        <w:rFonts w:ascii="宋体" w:eastAsia="宋体" w:hint="eastAsia"/>
                        <w:sz w:val="34"/>
                      </w:rPr>
                    </w:pPr>
                    <w:r>
                      <w:rPr>
                        <w:rFonts w:ascii="宋体" w:eastAsia="宋体" w:hint="eastAsia"/>
                        <w:sz w:val="34"/>
                      </w:rPr>
                      <w:t>污油罐</w:t>
                    </w:r>
                  </w:p>
                </w:txbxContent>
              </v:textbox>
            </v:shape>
            <v:shape id="_x0000_s1252" type="#_x0000_t202" style="width:1745;height:345;left:4772;position:absolute;top:7799" filled="f" stroked="f">
              <v:textbox inset="0,0,0,0">
                <w:txbxContent>
                  <w:p>
                    <w:pPr>
                      <w:spacing w:before="0" w:line="345" w:lineRule="exact"/>
                      <w:ind w:left="0" w:right="0" w:firstLine="0"/>
                      <w:jc w:val="left"/>
                      <w:rPr>
                        <w:rFonts w:ascii="宋体" w:eastAsia="宋体" w:hint="eastAsia"/>
                        <w:sz w:val="34"/>
                      </w:rPr>
                    </w:pPr>
                    <w:r>
                      <w:rPr>
                        <w:rFonts w:ascii="宋体" w:eastAsia="宋体" w:hint="eastAsia"/>
                        <w:sz w:val="34"/>
                      </w:rPr>
                      <w:t>重交沥青罐</w:t>
                    </w:r>
                  </w:p>
                </w:txbxContent>
              </v:textbox>
            </v:shape>
            <v:shape id="_x0000_s1253" type="#_x0000_t202" style="width:861;height:484;left:8495;position:absolute;top:7825" filled="f" stroked="f">
              <v:textbox inset="0,0,0,0">
                <w:txbxContent>
                  <w:p>
                    <w:pPr>
                      <w:spacing w:before="0" w:line="189" w:lineRule="auto"/>
                      <w:ind w:left="0" w:right="0" w:firstLine="0"/>
                      <w:jc w:val="left"/>
                      <w:rPr>
                        <w:rFonts w:ascii="Calibri"/>
                        <w:sz w:val="29"/>
                      </w:rPr>
                    </w:pPr>
                    <w:r>
                      <w:rPr>
                        <w:rFonts w:ascii="Calibri"/>
                        <w:sz w:val="34"/>
                      </w:rPr>
                      <w:t>G4 N</w:t>
                    </w:r>
                    <w:r>
                      <w:rPr>
                        <w:rFonts w:ascii="Calibri"/>
                        <w:position w:val="-14"/>
                        <w:sz w:val="29"/>
                      </w:rPr>
                      <w:t>2</w:t>
                    </w:r>
                  </w:p>
                </w:txbxContent>
              </v:textbox>
            </v:shape>
            <w10:wrap type="topAndBottom"/>
          </v:group>
        </w:pict>
      </w:r>
    </w:p>
    <w:p>
      <w:pPr>
        <w:pStyle w:val="BodyText"/>
        <w:spacing w:before="4"/>
        <w:rPr>
          <w:sz w:val="9"/>
        </w:rPr>
      </w:pPr>
    </w:p>
    <w:p>
      <w:pPr>
        <w:pStyle w:val="Heading3"/>
        <w:spacing w:before="49"/>
        <w:ind w:left="490" w:right="563"/>
        <w:jc w:val="center"/>
      </w:pPr>
      <w:r>
        <w:t>图 3.4-1 重交沥青生产工艺流程图</w:t>
      </w:r>
    </w:p>
    <w:p>
      <w:pPr>
        <w:spacing w:after="0"/>
        <w:jc w:val="center"/>
        <w:sectPr>
          <w:headerReference w:type="default" r:id="rId143"/>
          <w:footerReference w:type="default" r:id="rId144"/>
          <w:pgSz w:w="17860" w:h="25260"/>
          <w:pgMar w:top="1380" w:right="1360" w:bottom="2020" w:left="1420" w:header="1083" w:footer="1826"/>
          <w:pgNumType w:start="54"/>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6"/>
        <w:rPr>
          <w:b/>
          <w:sz w:val="16"/>
        </w:rPr>
      </w:pPr>
    </w:p>
    <w:tbl>
      <w:tblPr>
        <w:tblStyle w:val="TableNormal9"/>
        <w:tblW w:w="0" w:type="auto"/>
        <w:jc w:val="left"/>
        <w:tblInd w:w="10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93"/>
        <w:gridCol w:w="2395"/>
        <w:gridCol w:w="2483"/>
        <w:gridCol w:w="2114"/>
        <w:gridCol w:w="2864"/>
      </w:tblGrid>
      <w:tr>
        <w:tblPrEx>
          <w:tblW w:w="0" w:type="auto"/>
          <w:jc w:val="left"/>
          <w:tblInd w:w="10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57"/>
          <w:jc w:val="left"/>
        </w:trPr>
        <w:tc>
          <w:tcPr>
            <w:tcW w:w="2593" w:type="dxa"/>
          </w:tcPr>
          <w:p>
            <w:pPr>
              <w:pStyle w:val="TableParagraph"/>
              <w:spacing w:line="443" w:lineRule="exact"/>
              <w:ind w:left="176"/>
              <w:jc w:val="left"/>
              <w:rPr>
                <w:rFonts w:ascii="宋体" w:eastAsia="宋体" w:hint="eastAsia"/>
                <w:sz w:val="35"/>
              </w:rPr>
            </w:pPr>
            <w:r>
              <w:rPr>
                <w:rFonts w:ascii="Arial" w:eastAsia="Arial"/>
                <w:sz w:val="35"/>
              </w:rPr>
              <w:t>180</w:t>
            </w:r>
            <w:r>
              <w:rPr>
                <w:rFonts w:ascii="宋体" w:eastAsia="宋体" w:hint="eastAsia"/>
                <w:sz w:val="35"/>
              </w:rPr>
              <w:t>＃溶剂油</w:t>
            </w:r>
          </w:p>
        </w:tc>
        <w:tc>
          <w:tcPr>
            <w:tcW w:w="2395" w:type="dxa"/>
          </w:tcPr>
          <w:p>
            <w:pPr>
              <w:pStyle w:val="TableParagraph"/>
              <w:spacing w:line="444" w:lineRule="exact"/>
              <w:ind w:left="364"/>
              <w:jc w:val="left"/>
              <w:rPr>
                <w:rFonts w:ascii="宋体" w:eastAsia="宋体" w:hint="eastAsia"/>
                <w:sz w:val="35"/>
              </w:rPr>
            </w:pPr>
            <w:r>
              <w:rPr>
                <w:rFonts w:ascii="Calibri" w:eastAsia="Calibri"/>
                <w:sz w:val="35"/>
              </w:rPr>
              <w:t>1</w:t>
            </w:r>
            <w:r>
              <w:rPr>
                <w:rFonts w:ascii="宋体" w:eastAsia="宋体" w:hint="eastAsia"/>
                <w:sz w:val="35"/>
              </w:rPr>
              <w:t>＃回流罐</w:t>
            </w:r>
          </w:p>
        </w:tc>
        <w:tc>
          <w:tcPr>
            <w:tcW w:w="2483" w:type="dxa"/>
          </w:tcPr>
          <w:p>
            <w:pPr>
              <w:pStyle w:val="TableParagraph"/>
              <w:spacing w:line="444" w:lineRule="exact"/>
              <w:ind w:left="452"/>
              <w:jc w:val="left"/>
              <w:rPr>
                <w:rFonts w:ascii="宋体" w:eastAsia="宋体" w:hint="eastAsia"/>
                <w:sz w:val="35"/>
              </w:rPr>
            </w:pPr>
            <w:r>
              <w:rPr>
                <w:rFonts w:ascii="Calibri" w:eastAsia="Calibri"/>
                <w:sz w:val="35"/>
              </w:rPr>
              <w:t>1</w:t>
            </w:r>
            <w:r>
              <w:rPr>
                <w:rFonts w:ascii="宋体" w:eastAsia="宋体" w:hint="eastAsia"/>
                <w:sz w:val="35"/>
              </w:rPr>
              <w:t>＃冷凝器</w:t>
            </w:r>
          </w:p>
        </w:tc>
        <w:tc>
          <w:tcPr>
            <w:tcW w:w="2114" w:type="dxa"/>
          </w:tcPr>
          <w:p>
            <w:pPr>
              <w:pStyle w:val="TableParagraph"/>
              <w:spacing w:line="444" w:lineRule="exact"/>
              <w:ind w:right="82"/>
              <w:jc w:val="right"/>
              <w:rPr>
                <w:rFonts w:ascii="宋体" w:eastAsia="宋体" w:hint="eastAsia"/>
                <w:sz w:val="35"/>
              </w:rPr>
            </w:pPr>
            <w:r>
              <w:rPr>
                <w:rFonts w:ascii="Calibri" w:eastAsia="Calibri"/>
                <w:sz w:val="35"/>
              </w:rPr>
              <w:t>1</w:t>
            </w:r>
            <w:r>
              <w:rPr>
                <w:rFonts w:ascii="宋体" w:eastAsia="宋体" w:hint="eastAsia"/>
                <w:sz w:val="35"/>
              </w:rPr>
              <w:t>＃精馏塔</w:t>
            </w:r>
          </w:p>
        </w:tc>
        <w:tc>
          <w:tcPr>
            <w:tcW w:w="2864" w:type="dxa"/>
          </w:tcPr>
          <w:p>
            <w:pPr>
              <w:pStyle w:val="TableParagraph"/>
              <w:spacing w:line="443" w:lineRule="exact"/>
              <w:ind w:right="52"/>
              <w:jc w:val="right"/>
              <w:rPr>
                <w:rFonts w:ascii="宋体" w:eastAsia="宋体" w:hint="eastAsia"/>
                <w:sz w:val="35"/>
              </w:rPr>
            </w:pPr>
            <w:r>
              <w:rPr>
                <w:rFonts w:ascii="Arial" w:eastAsia="Arial"/>
                <w:w w:val="95"/>
                <w:sz w:val="35"/>
              </w:rPr>
              <w:t>1</w:t>
            </w:r>
            <w:r>
              <w:rPr>
                <w:rFonts w:ascii="宋体" w:eastAsia="宋体" w:hint="eastAsia"/>
                <w:w w:val="95"/>
                <w:sz w:val="35"/>
              </w:rPr>
              <w:t>＃再沸器</w:t>
            </w:r>
          </w:p>
        </w:tc>
      </w:tr>
      <w:tr>
        <w:tblPrEx>
          <w:tblW w:w="0" w:type="auto"/>
          <w:jc w:val="left"/>
          <w:tblInd w:w="1009" w:type="dxa"/>
          <w:tblLayout w:type="fixed"/>
          <w:tblCellMar>
            <w:top w:w="0" w:type="dxa"/>
            <w:left w:w="0" w:type="dxa"/>
            <w:bottom w:w="0" w:type="dxa"/>
            <w:right w:w="0" w:type="dxa"/>
          </w:tblCellMar>
          <w:tblLook w:val="01E0"/>
        </w:tblPrEx>
        <w:trPr>
          <w:trHeight w:val="1262"/>
          <w:jc w:val="left"/>
        </w:trPr>
        <w:tc>
          <w:tcPr>
            <w:tcW w:w="2593" w:type="dxa"/>
          </w:tcPr>
          <w:p>
            <w:pPr>
              <w:pStyle w:val="TableParagraph"/>
              <w:spacing w:before="8"/>
              <w:jc w:val="left"/>
              <w:rPr>
                <w:b/>
                <w:sz w:val="32"/>
              </w:rPr>
            </w:pPr>
          </w:p>
          <w:p>
            <w:pPr>
              <w:pStyle w:val="TableParagraph"/>
              <w:ind w:left="50"/>
              <w:jc w:val="left"/>
              <w:rPr>
                <w:rFonts w:ascii="宋体" w:eastAsia="宋体" w:hint="eastAsia"/>
                <w:sz w:val="35"/>
              </w:rPr>
            </w:pPr>
            <w:r>
              <w:rPr>
                <w:rFonts w:ascii="Arial" w:eastAsia="Arial"/>
                <w:sz w:val="35"/>
              </w:rPr>
              <w:t>G2</w:t>
            </w:r>
            <w:r>
              <w:rPr>
                <w:rFonts w:ascii="宋体" w:eastAsia="宋体" w:hint="eastAsia"/>
                <w:sz w:val="35"/>
              </w:rPr>
              <w:t>非甲烷总烃</w:t>
            </w:r>
          </w:p>
        </w:tc>
        <w:tc>
          <w:tcPr>
            <w:tcW w:w="2395" w:type="dxa"/>
          </w:tcPr>
          <w:p>
            <w:pPr>
              <w:pStyle w:val="TableParagraph"/>
              <w:jc w:val="left"/>
              <w:rPr>
                <w:rFonts w:ascii="Times New Roman"/>
                <w:sz w:val="34"/>
              </w:rPr>
            </w:pPr>
          </w:p>
        </w:tc>
        <w:tc>
          <w:tcPr>
            <w:tcW w:w="2483" w:type="dxa"/>
          </w:tcPr>
          <w:p>
            <w:pPr>
              <w:pStyle w:val="TableParagraph"/>
              <w:jc w:val="left"/>
              <w:rPr>
                <w:rFonts w:ascii="Times New Roman"/>
                <w:sz w:val="34"/>
              </w:rPr>
            </w:pPr>
          </w:p>
        </w:tc>
        <w:tc>
          <w:tcPr>
            <w:tcW w:w="2114" w:type="dxa"/>
          </w:tcPr>
          <w:p>
            <w:pPr>
              <w:pStyle w:val="TableParagraph"/>
              <w:jc w:val="left"/>
              <w:rPr>
                <w:rFonts w:ascii="Times New Roman"/>
                <w:sz w:val="34"/>
              </w:rPr>
            </w:pPr>
          </w:p>
        </w:tc>
        <w:tc>
          <w:tcPr>
            <w:tcW w:w="2864" w:type="dxa"/>
          </w:tcPr>
          <w:p>
            <w:pPr>
              <w:pStyle w:val="TableParagraph"/>
              <w:spacing w:before="8"/>
              <w:jc w:val="left"/>
              <w:rPr>
                <w:b/>
                <w:sz w:val="32"/>
              </w:rPr>
            </w:pPr>
          </w:p>
          <w:p>
            <w:pPr>
              <w:pStyle w:val="TableParagraph"/>
              <w:ind w:left="81"/>
              <w:jc w:val="left"/>
              <w:rPr>
                <w:rFonts w:ascii="宋体" w:eastAsia="宋体" w:hint="eastAsia"/>
                <w:sz w:val="35"/>
              </w:rPr>
            </w:pPr>
            <w:r>
              <w:rPr>
                <w:rFonts w:ascii="宋体" w:eastAsia="宋体" w:hint="eastAsia"/>
                <w:sz w:val="35"/>
              </w:rPr>
              <w:t>塔底物料</w:t>
            </w:r>
          </w:p>
        </w:tc>
      </w:tr>
      <w:tr>
        <w:tblPrEx>
          <w:tblW w:w="0" w:type="auto"/>
          <w:jc w:val="left"/>
          <w:tblInd w:w="1009" w:type="dxa"/>
          <w:tblLayout w:type="fixed"/>
          <w:tblCellMar>
            <w:top w:w="0" w:type="dxa"/>
            <w:left w:w="0" w:type="dxa"/>
            <w:bottom w:w="0" w:type="dxa"/>
            <w:right w:w="0" w:type="dxa"/>
          </w:tblCellMar>
          <w:tblLook w:val="01E0"/>
        </w:tblPrEx>
        <w:trPr>
          <w:trHeight w:val="1302"/>
          <w:jc w:val="left"/>
        </w:trPr>
        <w:tc>
          <w:tcPr>
            <w:tcW w:w="2593" w:type="dxa"/>
          </w:tcPr>
          <w:p>
            <w:pPr>
              <w:pStyle w:val="TableParagraph"/>
              <w:spacing w:before="3"/>
              <w:jc w:val="left"/>
              <w:rPr>
                <w:b/>
                <w:sz w:val="34"/>
              </w:rPr>
            </w:pPr>
          </w:p>
          <w:p>
            <w:pPr>
              <w:pStyle w:val="TableParagraph"/>
              <w:ind w:left="351"/>
              <w:jc w:val="left"/>
              <w:rPr>
                <w:rFonts w:ascii="宋体" w:eastAsia="宋体" w:hint="eastAsia"/>
                <w:sz w:val="35"/>
              </w:rPr>
            </w:pPr>
            <w:r>
              <w:rPr>
                <w:rFonts w:ascii="Arial" w:eastAsia="Arial"/>
                <w:sz w:val="35"/>
              </w:rPr>
              <w:t>6</w:t>
            </w:r>
            <w:r>
              <w:rPr>
                <w:rFonts w:ascii="宋体" w:eastAsia="宋体" w:hint="eastAsia"/>
                <w:sz w:val="35"/>
              </w:rPr>
              <w:t>＃溶剂油</w:t>
            </w:r>
          </w:p>
        </w:tc>
        <w:tc>
          <w:tcPr>
            <w:tcW w:w="2395" w:type="dxa"/>
          </w:tcPr>
          <w:p>
            <w:pPr>
              <w:pStyle w:val="TableParagraph"/>
              <w:spacing w:before="4"/>
              <w:jc w:val="left"/>
              <w:rPr>
                <w:b/>
                <w:sz w:val="34"/>
              </w:rPr>
            </w:pPr>
          </w:p>
          <w:p>
            <w:pPr>
              <w:pStyle w:val="TableParagraph"/>
              <w:ind w:left="364"/>
              <w:jc w:val="left"/>
              <w:rPr>
                <w:rFonts w:ascii="宋体" w:eastAsia="宋体" w:hint="eastAsia"/>
                <w:sz w:val="35"/>
              </w:rPr>
            </w:pPr>
            <w:r>
              <w:rPr>
                <w:rFonts w:ascii="Calibri" w:eastAsia="Calibri"/>
                <w:sz w:val="35"/>
              </w:rPr>
              <w:t>2</w:t>
            </w:r>
            <w:r>
              <w:rPr>
                <w:rFonts w:ascii="宋体" w:eastAsia="宋体" w:hint="eastAsia"/>
                <w:sz w:val="35"/>
              </w:rPr>
              <w:t>＃回流罐</w:t>
            </w:r>
          </w:p>
        </w:tc>
        <w:tc>
          <w:tcPr>
            <w:tcW w:w="2483" w:type="dxa"/>
          </w:tcPr>
          <w:p>
            <w:pPr>
              <w:pStyle w:val="TableParagraph"/>
              <w:spacing w:before="4"/>
              <w:jc w:val="left"/>
              <w:rPr>
                <w:b/>
                <w:sz w:val="34"/>
              </w:rPr>
            </w:pPr>
          </w:p>
          <w:p>
            <w:pPr>
              <w:pStyle w:val="TableParagraph"/>
              <w:ind w:left="452"/>
              <w:jc w:val="left"/>
              <w:rPr>
                <w:rFonts w:ascii="宋体" w:eastAsia="宋体" w:hint="eastAsia"/>
                <w:sz w:val="35"/>
              </w:rPr>
            </w:pPr>
            <w:r>
              <w:rPr>
                <w:rFonts w:ascii="Calibri" w:eastAsia="Calibri"/>
                <w:sz w:val="35"/>
              </w:rPr>
              <w:t>2</w:t>
            </w:r>
            <w:r>
              <w:rPr>
                <w:rFonts w:ascii="宋体" w:eastAsia="宋体" w:hint="eastAsia"/>
                <w:sz w:val="35"/>
              </w:rPr>
              <w:t>＃冷凝器</w:t>
            </w:r>
          </w:p>
        </w:tc>
        <w:tc>
          <w:tcPr>
            <w:tcW w:w="2114" w:type="dxa"/>
          </w:tcPr>
          <w:p>
            <w:pPr>
              <w:pStyle w:val="TableParagraph"/>
              <w:spacing w:before="3"/>
              <w:jc w:val="left"/>
              <w:rPr>
                <w:b/>
                <w:sz w:val="34"/>
              </w:rPr>
            </w:pPr>
          </w:p>
          <w:p>
            <w:pPr>
              <w:pStyle w:val="TableParagraph"/>
              <w:ind w:right="83"/>
              <w:jc w:val="right"/>
              <w:rPr>
                <w:rFonts w:ascii="宋体" w:eastAsia="宋体" w:hint="eastAsia"/>
                <w:sz w:val="35"/>
              </w:rPr>
            </w:pPr>
            <w:r>
              <w:rPr>
                <w:rFonts w:ascii="Arial" w:eastAsia="Arial"/>
                <w:w w:val="95"/>
                <w:sz w:val="35"/>
              </w:rPr>
              <w:t>2</w:t>
            </w:r>
            <w:r>
              <w:rPr>
                <w:rFonts w:ascii="宋体" w:eastAsia="宋体" w:hint="eastAsia"/>
                <w:w w:val="95"/>
                <w:sz w:val="35"/>
              </w:rPr>
              <w:t>＃精馏塔</w:t>
            </w:r>
          </w:p>
        </w:tc>
        <w:tc>
          <w:tcPr>
            <w:tcW w:w="2864" w:type="dxa"/>
          </w:tcPr>
          <w:p>
            <w:pPr>
              <w:pStyle w:val="TableParagraph"/>
              <w:spacing w:before="4"/>
              <w:jc w:val="left"/>
              <w:rPr>
                <w:b/>
                <w:sz w:val="34"/>
              </w:rPr>
            </w:pPr>
          </w:p>
          <w:p>
            <w:pPr>
              <w:pStyle w:val="TableParagraph"/>
              <w:ind w:right="49"/>
              <w:jc w:val="right"/>
              <w:rPr>
                <w:rFonts w:ascii="宋体" w:eastAsia="宋体" w:hint="eastAsia"/>
                <w:sz w:val="35"/>
              </w:rPr>
            </w:pPr>
            <w:r>
              <w:rPr>
                <w:rFonts w:ascii="Calibri" w:eastAsia="Calibri"/>
                <w:sz w:val="35"/>
              </w:rPr>
              <w:t>2</w:t>
            </w:r>
            <w:r>
              <w:rPr>
                <w:rFonts w:ascii="宋体" w:eastAsia="宋体" w:hint="eastAsia"/>
                <w:sz w:val="35"/>
              </w:rPr>
              <w:t>＃再沸器</w:t>
            </w:r>
          </w:p>
        </w:tc>
      </w:tr>
      <w:tr>
        <w:tblPrEx>
          <w:tblW w:w="0" w:type="auto"/>
          <w:jc w:val="left"/>
          <w:tblInd w:w="1009" w:type="dxa"/>
          <w:tblLayout w:type="fixed"/>
          <w:tblCellMar>
            <w:top w:w="0" w:type="dxa"/>
            <w:left w:w="0" w:type="dxa"/>
            <w:bottom w:w="0" w:type="dxa"/>
            <w:right w:w="0" w:type="dxa"/>
          </w:tblCellMar>
          <w:tblLook w:val="01E0"/>
        </w:tblPrEx>
        <w:trPr>
          <w:trHeight w:val="1612"/>
          <w:jc w:val="left"/>
        </w:trPr>
        <w:tc>
          <w:tcPr>
            <w:tcW w:w="2593" w:type="dxa"/>
          </w:tcPr>
          <w:p>
            <w:pPr>
              <w:pStyle w:val="TableParagraph"/>
              <w:jc w:val="left"/>
              <w:rPr>
                <w:b/>
                <w:sz w:val="38"/>
              </w:rPr>
            </w:pPr>
          </w:p>
          <w:p>
            <w:pPr>
              <w:pStyle w:val="TableParagraph"/>
              <w:spacing w:before="302"/>
              <w:ind w:left="50"/>
              <w:jc w:val="left"/>
              <w:rPr>
                <w:rFonts w:ascii="宋体" w:eastAsia="宋体" w:hint="eastAsia"/>
                <w:sz w:val="35"/>
              </w:rPr>
            </w:pPr>
            <w:r>
              <w:rPr>
                <w:rFonts w:ascii="Arial" w:eastAsia="Arial"/>
                <w:sz w:val="35"/>
              </w:rPr>
              <w:t>G3</w:t>
            </w:r>
            <w:r>
              <w:rPr>
                <w:rFonts w:ascii="宋体" w:eastAsia="宋体" w:hint="eastAsia"/>
                <w:sz w:val="35"/>
              </w:rPr>
              <w:t>非甲烷总烃</w:t>
            </w:r>
          </w:p>
        </w:tc>
        <w:tc>
          <w:tcPr>
            <w:tcW w:w="2395" w:type="dxa"/>
          </w:tcPr>
          <w:p>
            <w:pPr>
              <w:pStyle w:val="TableParagraph"/>
              <w:jc w:val="left"/>
              <w:rPr>
                <w:rFonts w:ascii="Times New Roman"/>
                <w:sz w:val="34"/>
              </w:rPr>
            </w:pPr>
          </w:p>
        </w:tc>
        <w:tc>
          <w:tcPr>
            <w:tcW w:w="2483" w:type="dxa"/>
          </w:tcPr>
          <w:p>
            <w:pPr>
              <w:pStyle w:val="TableParagraph"/>
              <w:jc w:val="left"/>
              <w:rPr>
                <w:rFonts w:ascii="Times New Roman"/>
                <w:sz w:val="34"/>
              </w:rPr>
            </w:pPr>
          </w:p>
        </w:tc>
        <w:tc>
          <w:tcPr>
            <w:tcW w:w="2114" w:type="dxa"/>
          </w:tcPr>
          <w:p>
            <w:pPr>
              <w:pStyle w:val="TableParagraph"/>
              <w:jc w:val="left"/>
              <w:rPr>
                <w:rFonts w:ascii="Times New Roman"/>
                <w:sz w:val="34"/>
              </w:rPr>
            </w:pPr>
          </w:p>
        </w:tc>
        <w:tc>
          <w:tcPr>
            <w:tcW w:w="2864" w:type="dxa"/>
          </w:tcPr>
          <w:p>
            <w:pPr>
              <w:pStyle w:val="TableParagraph"/>
              <w:spacing w:before="4"/>
              <w:jc w:val="left"/>
              <w:rPr>
                <w:b/>
                <w:sz w:val="29"/>
              </w:rPr>
            </w:pPr>
          </w:p>
          <w:p>
            <w:pPr>
              <w:pStyle w:val="TableParagraph"/>
              <w:ind w:left="81"/>
              <w:jc w:val="left"/>
              <w:rPr>
                <w:rFonts w:ascii="宋体" w:eastAsia="宋体" w:hint="eastAsia"/>
                <w:sz w:val="35"/>
              </w:rPr>
            </w:pPr>
            <w:r>
              <w:rPr>
                <w:rFonts w:ascii="宋体" w:eastAsia="宋体" w:hint="eastAsia"/>
                <w:sz w:val="35"/>
              </w:rPr>
              <w:t>塔底物料</w:t>
            </w:r>
          </w:p>
        </w:tc>
      </w:tr>
      <w:tr>
        <w:tblPrEx>
          <w:tblW w:w="0" w:type="auto"/>
          <w:jc w:val="left"/>
          <w:tblInd w:w="1009" w:type="dxa"/>
          <w:tblLayout w:type="fixed"/>
          <w:tblCellMar>
            <w:top w:w="0" w:type="dxa"/>
            <w:left w:w="0" w:type="dxa"/>
            <w:bottom w:w="0" w:type="dxa"/>
            <w:right w:w="0" w:type="dxa"/>
          </w:tblCellMar>
          <w:tblLook w:val="01E0"/>
        </w:tblPrEx>
        <w:trPr>
          <w:trHeight w:val="856"/>
          <w:jc w:val="left"/>
        </w:trPr>
        <w:tc>
          <w:tcPr>
            <w:tcW w:w="2593" w:type="dxa"/>
          </w:tcPr>
          <w:p>
            <w:pPr>
              <w:pStyle w:val="TableParagraph"/>
              <w:spacing w:before="7"/>
              <w:jc w:val="left"/>
              <w:rPr>
                <w:b/>
                <w:sz w:val="32"/>
              </w:rPr>
            </w:pPr>
          </w:p>
          <w:p>
            <w:pPr>
              <w:pStyle w:val="TableParagraph"/>
              <w:spacing w:before="1" w:line="419" w:lineRule="exact"/>
              <w:ind w:left="176"/>
              <w:jc w:val="left"/>
              <w:rPr>
                <w:rFonts w:ascii="宋体" w:eastAsia="宋体" w:hint="eastAsia"/>
                <w:sz w:val="35"/>
              </w:rPr>
            </w:pPr>
            <w:r>
              <w:rPr>
                <w:rFonts w:ascii="Arial" w:eastAsia="Arial"/>
                <w:sz w:val="35"/>
              </w:rPr>
              <w:t>120</w:t>
            </w:r>
            <w:r>
              <w:rPr>
                <w:rFonts w:ascii="宋体" w:eastAsia="宋体" w:hint="eastAsia"/>
                <w:sz w:val="35"/>
              </w:rPr>
              <w:t>＃溶剂油</w:t>
            </w:r>
          </w:p>
        </w:tc>
        <w:tc>
          <w:tcPr>
            <w:tcW w:w="2395" w:type="dxa"/>
          </w:tcPr>
          <w:p>
            <w:pPr>
              <w:pStyle w:val="TableParagraph"/>
              <w:spacing w:before="9"/>
              <w:jc w:val="left"/>
              <w:rPr>
                <w:b/>
                <w:sz w:val="32"/>
              </w:rPr>
            </w:pPr>
          </w:p>
          <w:p>
            <w:pPr>
              <w:pStyle w:val="TableParagraph"/>
              <w:spacing w:line="418" w:lineRule="exact"/>
              <w:ind w:left="364"/>
              <w:jc w:val="left"/>
              <w:rPr>
                <w:rFonts w:ascii="宋体" w:eastAsia="宋体" w:hint="eastAsia"/>
                <w:sz w:val="35"/>
              </w:rPr>
            </w:pPr>
            <w:r>
              <w:rPr>
                <w:rFonts w:ascii="Calibri" w:eastAsia="Calibri"/>
                <w:sz w:val="35"/>
              </w:rPr>
              <w:t>3</w:t>
            </w:r>
            <w:r>
              <w:rPr>
                <w:rFonts w:ascii="宋体" w:eastAsia="宋体" w:hint="eastAsia"/>
                <w:sz w:val="35"/>
              </w:rPr>
              <w:t>＃回流罐</w:t>
            </w:r>
          </w:p>
        </w:tc>
        <w:tc>
          <w:tcPr>
            <w:tcW w:w="2483" w:type="dxa"/>
          </w:tcPr>
          <w:p>
            <w:pPr>
              <w:pStyle w:val="TableParagraph"/>
              <w:spacing w:before="9"/>
              <w:jc w:val="left"/>
              <w:rPr>
                <w:b/>
                <w:sz w:val="32"/>
              </w:rPr>
            </w:pPr>
          </w:p>
          <w:p>
            <w:pPr>
              <w:pStyle w:val="TableParagraph"/>
              <w:spacing w:line="418" w:lineRule="exact"/>
              <w:ind w:left="452"/>
              <w:jc w:val="left"/>
              <w:rPr>
                <w:rFonts w:ascii="宋体" w:eastAsia="宋体" w:hint="eastAsia"/>
                <w:sz w:val="35"/>
              </w:rPr>
            </w:pPr>
            <w:r>
              <w:rPr>
                <w:rFonts w:ascii="Calibri" w:eastAsia="Calibri"/>
                <w:sz w:val="35"/>
              </w:rPr>
              <w:t>3</w:t>
            </w:r>
            <w:r>
              <w:rPr>
                <w:rFonts w:ascii="宋体" w:eastAsia="宋体" w:hint="eastAsia"/>
                <w:sz w:val="35"/>
              </w:rPr>
              <w:t>＃冷凝器</w:t>
            </w:r>
          </w:p>
        </w:tc>
        <w:tc>
          <w:tcPr>
            <w:tcW w:w="2114" w:type="dxa"/>
          </w:tcPr>
          <w:p>
            <w:pPr>
              <w:pStyle w:val="TableParagraph"/>
              <w:spacing w:before="7"/>
              <w:jc w:val="left"/>
              <w:rPr>
                <w:b/>
                <w:sz w:val="32"/>
              </w:rPr>
            </w:pPr>
          </w:p>
          <w:p>
            <w:pPr>
              <w:pStyle w:val="TableParagraph"/>
              <w:spacing w:before="1" w:line="419" w:lineRule="exact"/>
              <w:ind w:right="83"/>
              <w:jc w:val="right"/>
              <w:rPr>
                <w:rFonts w:ascii="宋体" w:eastAsia="宋体" w:hint="eastAsia"/>
                <w:sz w:val="35"/>
              </w:rPr>
            </w:pPr>
            <w:r>
              <w:rPr>
                <w:rFonts w:ascii="Arial" w:eastAsia="Arial"/>
                <w:w w:val="95"/>
                <w:sz w:val="35"/>
              </w:rPr>
              <w:t>3</w:t>
            </w:r>
            <w:r>
              <w:rPr>
                <w:rFonts w:ascii="宋体" w:eastAsia="宋体" w:hint="eastAsia"/>
                <w:w w:val="95"/>
                <w:sz w:val="35"/>
              </w:rPr>
              <w:t>＃精馏塔</w:t>
            </w:r>
          </w:p>
        </w:tc>
        <w:tc>
          <w:tcPr>
            <w:tcW w:w="2864" w:type="dxa"/>
          </w:tcPr>
          <w:p>
            <w:pPr>
              <w:pStyle w:val="TableParagraph"/>
              <w:spacing w:before="9"/>
              <w:jc w:val="left"/>
              <w:rPr>
                <w:b/>
                <w:sz w:val="32"/>
              </w:rPr>
            </w:pPr>
          </w:p>
          <w:p>
            <w:pPr>
              <w:pStyle w:val="TableParagraph"/>
              <w:spacing w:line="418" w:lineRule="exact"/>
              <w:ind w:right="49"/>
              <w:jc w:val="right"/>
              <w:rPr>
                <w:rFonts w:ascii="宋体" w:eastAsia="宋体" w:hint="eastAsia"/>
                <w:sz w:val="35"/>
              </w:rPr>
            </w:pPr>
            <w:r>
              <w:rPr>
                <w:rFonts w:ascii="Calibri" w:eastAsia="Calibri"/>
                <w:sz w:val="35"/>
              </w:rPr>
              <w:t>3</w:t>
            </w:r>
            <w:r>
              <w:rPr>
                <w:rFonts w:ascii="宋体" w:eastAsia="宋体" w:hint="eastAsia"/>
                <w:sz w:val="35"/>
              </w:rPr>
              <w:t>＃再沸器</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19"/>
        </w:rPr>
      </w:pPr>
    </w:p>
    <w:p>
      <w:pPr>
        <w:spacing w:before="50"/>
        <w:ind w:left="490" w:right="685" w:firstLine="0"/>
        <w:jc w:val="center"/>
        <w:rPr>
          <w:b/>
          <w:sz w:val="36"/>
        </w:rPr>
      </w:pPr>
      <w:r>
        <w:pict>
          <v:group id="_x0000_s1254" style="width:651pt;height:664pt;margin-top:-683.64pt;margin-left:120pt;mso-position-horizontal-relative:page;position:absolute;z-index:-251629568" coordorigin="2400,-13673" coordsize="13020,13280">
            <v:shape id="_x0000_s1255" type="#_x0000_t75" style="width:13020;height:13280;left:2400;position:absolute;top:-13673" stroked="f">
              <v:imagedata r:id="rId145" o:title=""/>
            </v:shape>
            <v:shape id="_x0000_s1256" type="#_x0000_t202" style="width:1070;height:350;left:10608;position:absolute;top:-13434" filled="f" stroked="f">
              <v:textbox inset="0,0,0,0">
                <w:txbxContent>
                  <w:p>
                    <w:pPr>
                      <w:spacing w:before="0" w:line="350" w:lineRule="exact"/>
                      <w:ind w:left="0" w:right="0" w:firstLine="0"/>
                      <w:jc w:val="left"/>
                      <w:rPr>
                        <w:rFonts w:ascii="宋体" w:eastAsia="宋体" w:hint="eastAsia"/>
                        <w:sz w:val="35"/>
                      </w:rPr>
                    </w:pPr>
                    <w:r>
                      <w:rPr>
                        <w:rFonts w:ascii="宋体" w:eastAsia="宋体" w:hint="eastAsia"/>
                        <w:sz w:val="35"/>
                      </w:rPr>
                      <w:t>石脑油</w:t>
                    </w:r>
                  </w:p>
                </w:txbxContent>
              </v:textbox>
            </v:shape>
            <v:shape id="_x0000_s1257" type="#_x0000_t202" style="width:1070;height:350;left:7712;position:absolute;top:-12194" filled="f" stroked="f">
              <v:textbox inset="0,0,0,0">
                <w:txbxContent>
                  <w:p>
                    <w:pPr>
                      <w:spacing w:before="0" w:line="350" w:lineRule="exact"/>
                      <w:ind w:left="0" w:right="0" w:firstLine="0"/>
                      <w:jc w:val="left"/>
                      <w:rPr>
                        <w:rFonts w:ascii="宋体" w:eastAsia="宋体" w:hint="eastAsia"/>
                        <w:sz w:val="35"/>
                      </w:rPr>
                    </w:pPr>
                    <w:r>
                      <w:rPr>
                        <w:rFonts w:ascii="宋体" w:eastAsia="宋体" w:hint="eastAsia"/>
                        <w:sz w:val="35"/>
                      </w:rPr>
                      <w:t>脱硫剂</w:t>
                    </w:r>
                  </w:p>
                </w:txbxContent>
              </v:textbox>
            </v:shape>
            <v:shape id="_x0000_s1258" type="#_x0000_t202" style="width:720;height:350;left:10783;position:absolute;top:-12194" filled="f" stroked="f">
              <v:textbox inset="0,0,0,0">
                <w:txbxContent>
                  <w:p>
                    <w:pPr>
                      <w:spacing w:before="0" w:line="350" w:lineRule="exact"/>
                      <w:ind w:left="0" w:right="0" w:firstLine="0"/>
                      <w:jc w:val="left"/>
                      <w:rPr>
                        <w:rFonts w:ascii="宋体" w:eastAsia="宋体" w:hint="eastAsia"/>
                        <w:sz w:val="35"/>
                      </w:rPr>
                    </w:pPr>
                    <w:r>
                      <w:rPr>
                        <w:rFonts w:ascii="宋体" w:eastAsia="宋体" w:hint="eastAsia"/>
                        <w:sz w:val="35"/>
                      </w:rPr>
                      <w:t>脱硫</w:t>
                    </w:r>
                  </w:p>
                </w:txbxContent>
              </v:textbox>
            </v:shape>
            <v:shape id="_x0000_s1259" type="#_x0000_t202" style="width:1420;height:350;left:13330;position:absolute;top:-11473" filled="f" stroked="f">
              <v:textbox inset="0,0,0,0">
                <w:txbxContent>
                  <w:p>
                    <w:pPr>
                      <w:spacing w:before="0" w:line="350" w:lineRule="exact"/>
                      <w:ind w:left="0" w:right="0" w:firstLine="0"/>
                      <w:jc w:val="left"/>
                      <w:rPr>
                        <w:rFonts w:ascii="宋体" w:eastAsia="宋体" w:hint="eastAsia"/>
                        <w:sz w:val="35"/>
                      </w:rPr>
                    </w:pPr>
                    <w:r>
                      <w:rPr>
                        <w:rFonts w:ascii="宋体" w:eastAsia="宋体" w:hint="eastAsia"/>
                        <w:sz w:val="35"/>
                      </w:rPr>
                      <w:t>废脱硫剂</w:t>
                    </w:r>
                  </w:p>
                </w:txbxContent>
              </v:textbox>
            </v:shape>
            <v:shape id="_x0000_s1260" type="#_x0000_t202" style="width:2120;height:350;left:13062;position:absolute;top:-10540" filled="f" stroked="f">
              <v:textbox inset="0,0,0,0">
                <w:txbxContent>
                  <w:p>
                    <w:pPr>
                      <w:spacing w:before="0" w:line="350" w:lineRule="exact"/>
                      <w:ind w:left="0" w:right="0" w:firstLine="0"/>
                      <w:jc w:val="left"/>
                      <w:rPr>
                        <w:rFonts w:ascii="宋体" w:eastAsia="宋体" w:hint="eastAsia"/>
                        <w:sz w:val="35"/>
                      </w:rPr>
                    </w:pPr>
                    <w:r>
                      <w:rPr>
                        <w:rFonts w:ascii="宋体" w:eastAsia="宋体" w:hint="eastAsia"/>
                        <w:sz w:val="35"/>
                      </w:rPr>
                      <w:t>脱硫后石脑油</w:t>
                    </w:r>
                  </w:p>
                </w:txbxContent>
              </v:textbox>
            </v:shape>
            <v:shape id="_x0000_s1261" type="#_x0000_t202" style="width:2199;height:394;left:2471;position:absolute;top:-9467" filled="f" stroked="f">
              <v:textbox inset="0,0,0,0">
                <w:txbxContent>
                  <w:p>
                    <w:pPr>
                      <w:spacing w:before="0" w:line="394" w:lineRule="exact"/>
                      <w:ind w:left="0" w:right="0" w:firstLine="0"/>
                      <w:jc w:val="left"/>
                      <w:rPr>
                        <w:rFonts w:ascii="宋体" w:eastAsia="宋体" w:hint="eastAsia"/>
                        <w:sz w:val="35"/>
                      </w:rPr>
                    </w:pPr>
                    <w:r>
                      <w:rPr>
                        <w:rFonts w:ascii="Arial" w:eastAsia="Arial"/>
                        <w:w w:val="95"/>
                        <w:sz w:val="35"/>
                      </w:rPr>
                      <w:t>G1</w:t>
                    </w:r>
                    <w:r>
                      <w:rPr>
                        <w:rFonts w:ascii="宋体" w:eastAsia="宋体" w:hint="eastAsia"/>
                        <w:w w:val="95"/>
                        <w:sz w:val="35"/>
                      </w:rPr>
                      <w:t>非甲烷总烃</w:t>
                    </w:r>
                  </w:p>
                </w:txbxContent>
              </v:textbox>
            </v:shape>
            <v:shape id="_x0000_s1262" type="#_x0000_t202" style="width:1946;height:394;left:6860;position:absolute;top:-9757" filled="f" stroked="f">
              <v:textbox inset="0,0,0,0">
                <w:txbxContent>
                  <w:p>
                    <w:pPr>
                      <w:spacing w:before="0" w:line="394" w:lineRule="exact"/>
                      <w:ind w:left="0" w:right="0" w:firstLine="0"/>
                      <w:jc w:val="left"/>
                      <w:rPr>
                        <w:rFonts w:ascii="宋体" w:eastAsia="宋体" w:hint="eastAsia"/>
                        <w:sz w:val="35"/>
                      </w:rPr>
                    </w:pPr>
                    <w:r>
                      <w:rPr>
                        <w:rFonts w:ascii="Arial" w:eastAsia="Arial"/>
                        <w:w w:val="95"/>
                        <w:sz w:val="35"/>
                      </w:rPr>
                      <w:t>200</w:t>
                    </w:r>
                    <w:r>
                      <w:rPr>
                        <w:rFonts w:ascii="宋体" w:eastAsia="宋体" w:hint="eastAsia"/>
                        <w:w w:val="95"/>
                        <w:sz w:val="35"/>
                      </w:rPr>
                      <w:t>＃溶剂油</w:t>
                    </w:r>
                  </w:p>
                </w:txbxContent>
              </v:textbox>
            </v:shape>
            <v:shape id="_x0000_s1263" type="#_x0000_t202" style="width:1070;height:350;left:10608;position:absolute;top:-9713" filled="f" stroked="f">
              <v:textbox inset="0,0,0,0">
                <w:txbxContent>
                  <w:p>
                    <w:pPr>
                      <w:spacing w:before="0" w:line="350" w:lineRule="exact"/>
                      <w:ind w:left="0" w:right="0" w:firstLine="0"/>
                      <w:jc w:val="left"/>
                      <w:rPr>
                        <w:rFonts w:ascii="宋体" w:eastAsia="宋体" w:hint="eastAsia"/>
                        <w:sz w:val="35"/>
                      </w:rPr>
                    </w:pPr>
                    <w:r>
                      <w:rPr>
                        <w:rFonts w:ascii="宋体" w:eastAsia="宋体" w:hint="eastAsia"/>
                        <w:sz w:val="35"/>
                      </w:rPr>
                      <w:t>热换器</w:t>
                    </w:r>
                  </w:p>
                </w:txbxContent>
              </v:textbox>
            </v:shape>
            <v:shape id="_x0000_s1264" type="#_x0000_t202" style="width:1420;height:350;left:12088;position:absolute;top:-1443" filled="f" stroked="f">
              <v:textbox inset="0,0,0,0">
                <w:txbxContent>
                  <w:p>
                    <w:pPr>
                      <w:spacing w:before="0" w:line="350" w:lineRule="exact"/>
                      <w:ind w:left="0" w:right="0" w:firstLine="0"/>
                      <w:jc w:val="left"/>
                      <w:rPr>
                        <w:rFonts w:ascii="宋体" w:eastAsia="宋体" w:hint="eastAsia"/>
                        <w:sz w:val="35"/>
                      </w:rPr>
                    </w:pPr>
                    <w:r>
                      <w:rPr>
                        <w:rFonts w:ascii="宋体" w:eastAsia="宋体" w:hint="eastAsia"/>
                        <w:sz w:val="35"/>
                      </w:rPr>
                      <w:t>塔底物料</w:t>
                    </w:r>
                  </w:p>
                </w:txbxContent>
              </v:textbox>
            </v:shape>
          </v:group>
        </w:pict>
      </w:r>
      <w:r>
        <w:rPr>
          <w:b/>
          <w:sz w:val="36"/>
        </w:rPr>
        <w:t>图 3.4-2 溶剂油生产工艺流程图</w:t>
      </w:r>
    </w:p>
    <w:p>
      <w:pPr>
        <w:pStyle w:val="ListParagraph"/>
        <w:numPr>
          <w:ilvl w:val="3"/>
          <w:numId w:val="35"/>
        </w:numPr>
        <w:tabs>
          <w:tab w:val="left" w:pos="2330"/>
        </w:tabs>
        <w:spacing w:before="240" w:after="0" w:line="240" w:lineRule="auto"/>
        <w:ind w:left="2329" w:right="0" w:hanging="902"/>
        <w:jc w:val="left"/>
        <w:rPr>
          <w:sz w:val="36"/>
        </w:rPr>
      </w:pPr>
      <w:r>
        <w:rPr>
          <w:sz w:val="36"/>
        </w:rPr>
        <w:t>产污环节分析</w:t>
      </w:r>
    </w:p>
    <w:p>
      <w:pPr>
        <w:pStyle w:val="BodyText"/>
        <w:spacing w:before="12"/>
        <w:rPr>
          <w:sz w:val="14"/>
        </w:rPr>
      </w:pPr>
    </w:p>
    <w:p>
      <w:pPr>
        <w:pStyle w:val="BodyText"/>
        <w:spacing w:before="50"/>
        <w:ind w:left="1428"/>
      </w:pPr>
      <w:r>
        <w:t>①脱硫塔定期更换脱硫剂填料，会产生废脱硫剂填料 S1；</w:t>
      </w:r>
    </w:p>
    <w:p>
      <w:pPr>
        <w:pStyle w:val="BodyText"/>
        <w:spacing w:before="241"/>
        <w:ind w:left="1428"/>
      </w:pPr>
      <w:r>
        <w:t>②为了维持工艺系统常压状态，溶剂油装置冷凝后产生的不凝气须在各个塔顶</w:t>
      </w:r>
    </w:p>
    <w:p>
      <w:pPr>
        <w:pStyle w:val="BodyText"/>
        <w:spacing w:before="241" w:line="364" w:lineRule="auto"/>
        <w:ind w:left="708" w:right="689" w:firstLine="720"/>
      </w:pPr>
      <w:r>
        <w:rPr>
          <w:spacing w:val="-6"/>
        </w:rPr>
        <w:t xml:space="preserve">回流罐处进行放空，产生不凝气 </w:t>
      </w:r>
      <w:r>
        <w:t>G1</w:t>
      </w:r>
      <w:r>
        <w:rPr>
          <w:spacing w:val="-10"/>
        </w:rPr>
        <w:t xml:space="preserve"> 主要污染物为非甲烷总烃</w:t>
      </w:r>
      <w:r>
        <w:t>(3-</w:t>
      </w:r>
      <w:r>
        <w:rPr>
          <w:spacing w:val="-3"/>
        </w:rPr>
        <w:t xml:space="preserve">甲基戊烷，丙烷， </w:t>
      </w:r>
      <w:r>
        <w:t>甲基环戊烷</w:t>
      </w:r>
      <w:r>
        <w:rPr>
          <w:spacing w:val="-13"/>
        </w:rPr>
        <w:t>），G2</w:t>
      </w:r>
      <w:r>
        <w:rPr>
          <w:spacing w:val="-10"/>
        </w:rPr>
        <w:t xml:space="preserve"> 主要污染物为非甲烷总烃(正己烷)，</w:t>
      </w:r>
      <w:r>
        <w:rPr>
          <w:spacing w:val="-7"/>
        </w:rPr>
        <w:t>G3</w:t>
      </w:r>
      <w:r>
        <w:rPr>
          <w:spacing w:val="-10"/>
        </w:rPr>
        <w:t xml:space="preserve"> 主要污染物为非甲烷总烃(异</w:t>
      </w:r>
      <w:r>
        <w:rPr>
          <w:spacing w:val="-12"/>
        </w:rPr>
        <w:t xml:space="preserve">丁烷，正丁烷，正戊烷)，重交沥青装置中 </w:t>
      </w:r>
      <w:r>
        <w:t>G1、G2、G3</w:t>
      </w:r>
      <w:r>
        <w:rPr>
          <w:spacing w:val="-6"/>
        </w:rPr>
        <w:t xml:space="preserve"> 主要污染物为非甲烷总烃</w:t>
      </w:r>
      <w:r>
        <w:t>(C7、</w:t>
      </w:r>
      <w:r>
        <w:rPr>
          <w:spacing w:val="3"/>
        </w:rPr>
        <w:t>异戊烷、</w:t>
      </w:r>
      <w:r>
        <w:t>C8</w:t>
      </w:r>
      <w:r>
        <w:rPr>
          <w:spacing w:val="3"/>
        </w:rPr>
        <w:t>、</w:t>
      </w:r>
      <w:r>
        <w:t>C9、正戊烷)。废气放空后接入本项目自设的废气收集缓冲罐，经安全报警系统后，通入导热油炉、加热炉燃烧。</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6" w:history="1">
        <w:r>
          <w:rPr>
            <w:rFonts w:ascii="SimSun" w:eastAsia="SimSun" w:hAnsi="SimSun" w:cs="SimSun"/>
            <w:b/>
            <w:bCs/>
            <w:color w:val="0000EE"/>
            <w:sz w:val="30"/>
            <w:szCs w:val="30"/>
            <w:u w:val="single" w:color="0000EE"/>
          </w:rPr>
          <w:t>https://d.book118.com/168100025101006023</w:t>
        </w:r>
      </w:hyperlink>
    </w:p>
    <w:p>
      <w:pPr>
        <w:spacing w:after="0" w:line="364" w:lineRule="auto"/>
      </w:pPr>
    </w:p>
    <w:sectPr>
      <w:headerReference w:type="default" r:id="rId147"/>
      <w:footerReference w:type="default" r:id="rId148"/>
      <w:pgSz w:w="17860" w:h="25260"/>
      <w:pgMar w:top="1380" w:right="1360" w:bottom="2020" w:left="1420" w:header="1083" w:footer="1826"/>
      <w:pgNumType w:start="5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Courier New">
    <w:altName w:val="Courier New"/>
    <w:charset w:val="00"/>
    <w:family w:val="modern"/>
    <w:pitch w:val="fixed"/>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56pt;margin-left:267.59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051" type="#_x0000_t202" style="width:56pt;height:15.5pt;margin-top:1160.56pt;margin-left:389.14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56pt;height:15.5pt;margin-top:1160.56pt;margin-left:267.59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054" type="#_x0000_t202" style="width:56pt;height:15.5pt;margin-top:1160.56pt;margin-left:389.14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0.56pt;margin-left:267.59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057" type="#_x0000_t202" style="width:56pt;height:15.5pt;margin-top:1160.56pt;margin-left:389.14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56pt;height:15.5pt;margin-top:1160.56pt;margin-left:267.59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060" type="#_x0000_t202" style="width:56pt;height:15.5pt;margin-top:1160.56pt;margin-left:389.14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0.56pt;margin-left:267.59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063" type="#_x0000_t202" style="width:56pt;height:15.5pt;margin-top:1160.56pt;margin-left:389.14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56pt;height:15.5pt;margin-top:1160.56pt;margin-left:267.59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066" type="#_x0000_t202" style="width:56pt;height:15.5pt;margin-top:1160.56pt;margin-left:389.14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60.56pt;margin-left:267.59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069" type="#_x0000_t202" style="width:56pt;height:15.5pt;margin-top:1160.56pt;margin-left:389.14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56pt;height:15.5pt;margin-top:1160.56pt;margin-left:267.59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072" type="#_x0000_t202" style="width:56pt;height:15.5pt;margin-top:1160.56pt;margin-left:389.14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6pt;height:15.5pt;margin-top:1160.56pt;margin-left:267.59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075" type="#_x0000_t202" style="width:56pt;height:15.5pt;margin-top:1160.56pt;margin-left:389.14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56pt;height:15.5pt;margin-top:1160.56pt;margin-left:267.59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078" type="#_x0000_t202" style="width:56pt;height:15.5pt;margin-top:1160.56pt;margin-left:389.14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6pt;height:15.5pt;margin-top:1160.56pt;margin-left:267.59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081" type="#_x0000_t202" style="width:56pt;height:15.5pt;margin-top:1160.56pt;margin-left:389.14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56pt;height:15.5pt;margin-top:1160.56pt;margin-left:267.59pt;mso-position-horizontal-relative:page;mso-position-vertical-relative:page;position:absolute;z-index:-251635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084" type="#_x0000_t202" style="width:56pt;height:15.5pt;margin-top:1160.56pt;margin-left:389.14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56pt;height:15.5pt;margin-top:1160.56pt;margin-left:267.59pt;mso-position-horizontal-relative:page;mso-position-vertical-relative:page;position:absolute;z-index:-251633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087" type="#_x0000_t202" style="width:56pt;height:15.5pt;margin-top:1160.56pt;margin-left:389.14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56pt;height:15.5pt;margin-top:1160.56pt;margin-left:267.59pt;mso-position-horizontal-relative:page;mso-position-vertical-relative:page;position:absolute;z-index:-251631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090" type="#_x0000_t202" style="width:56pt;height:15.5pt;margin-top:1160.56pt;margin-left:389.14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56pt;height:15.5pt;margin-top:1160.56pt;margin-left:267.59pt;mso-position-horizontal-relative:page;mso-position-vertical-relative:page;position:absolute;z-index:-251629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093" type="#_x0000_t202" style="width:56pt;height:15.5pt;margin-top:1160.56pt;margin-left:389.14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56pt;height:15.5pt;margin-top:1160.56pt;margin-left:267.59pt;mso-position-horizontal-relative:page;mso-position-vertical-relative:page;position:absolute;z-index:-2516275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096" type="#_x0000_t202" style="width:56pt;height:15.5pt;margin-top:1160.56pt;margin-left:389.14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56pt;height:15.5pt;margin-top:1160.56pt;margin-left:267.59pt;mso-position-horizontal-relative:page;mso-position-vertical-relative:page;position:absolute;z-index:-2516254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099" type="#_x0000_t202" style="width:56pt;height:15.5pt;margin-top:1160.56pt;margin-left:389.14pt;mso-position-horizontal-relative:page;mso-position-vertical-relative:page;position:absolute;z-index:-251624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56pt;height:15.5pt;margin-top:1160.56pt;margin-left:267.59pt;mso-position-horizontal-relative:page;mso-position-vertical-relative:page;position:absolute;z-index:-2516234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02" type="#_x0000_t202" style="width:56pt;height:15.5pt;margin-top:1160.56pt;margin-left:389.14pt;mso-position-horizontal-relative:page;mso-position-vertical-relative:page;position:absolute;z-index:-251622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56pt;height:15.5pt;margin-top:1160.56pt;margin-left:267.59pt;mso-position-horizontal-relative:page;mso-position-vertical-relative:page;position:absolute;z-index:-2516213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05" type="#_x0000_t202" style="width:56pt;height:15.5pt;margin-top:1160.56pt;margin-left:389.14pt;mso-position-horizontal-relative:page;mso-position-vertical-relative:page;position:absolute;z-index:-251620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56pt;height:15.5pt;margin-top:1160.56pt;margin-left:267.59pt;mso-position-horizontal-relative:page;mso-position-vertical-relative:page;position:absolute;z-index:-2516193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08" type="#_x0000_t202" style="width:56pt;height:15.5pt;margin-top:1160.56pt;margin-left:389.14pt;mso-position-horizontal-relative:page;mso-position-vertical-relative:page;position:absolute;z-index:-2516183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56pt;height:15.5pt;margin-top:1160.56pt;margin-left:267.59pt;mso-position-horizontal-relative:page;mso-position-vertical-relative:page;position:absolute;z-index:-2516172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11" type="#_x0000_t202" style="width:56pt;height:15.5pt;margin-top:1160.56pt;margin-left:389.14pt;mso-position-horizontal-relative:page;mso-position-vertical-relative:page;position:absolute;z-index:-2516162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56pt;height:15.5pt;margin-top:1160.56pt;margin-left:267.59pt;mso-position-horizontal-relative:page;mso-position-vertical-relative:page;position:absolute;z-index:-2516152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14" type="#_x0000_t202" style="width:56pt;height:15.5pt;margin-top:1160.56pt;margin-left:389.14pt;mso-position-horizontal-relative:page;mso-position-vertical-relative:page;position:absolute;z-index:-2516142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56pt;height:15.5pt;margin-top:1160.56pt;margin-left:267.59pt;mso-position-horizontal-relative:page;mso-position-vertical-relative:page;position:absolute;z-index:-2516131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17" type="#_x0000_t202" style="width:56pt;height:15.5pt;margin-top:1160.56pt;margin-left:389.14pt;mso-position-horizontal-relative:page;mso-position-vertical-relative:page;position:absolute;z-index:-2516121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56pt;height:15.5pt;margin-top:1160.56pt;margin-left:267.59pt;mso-position-horizontal-relative:page;mso-position-vertical-relative:page;position:absolute;z-index:-2516111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20" type="#_x0000_t202" style="width:56pt;height:15.5pt;margin-top:1160.56pt;margin-left:389.14pt;mso-position-horizontal-relative:page;mso-position-vertical-relative:page;position:absolute;z-index:-2516101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56pt;height:15.5pt;margin-top:1160.56pt;margin-left:267.59pt;mso-position-horizontal-relative:page;mso-position-vertical-relative:page;position:absolute;z-index:-2516090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23" type="#_x0000_t202" style="width:56pt;height:15.5pt;margin-top:1160.56pt;margin-left:389.14pt;mso-position-horizontal-relative:page;mso-position-vertical-relative:page;position:absolute;z-index:-2516080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5" type="#_x0000_t202" style="width:56pt;height:15.5pt;margin-top:1160.56pt;margin-left:267.59pt;mso-position-horizontal-relative:page;mso-position-vertical-relative:page;position:absolute;z-index:-2516070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26" type="#_x0000_t202" style="width:56pt;height:15.5pt;margin-top:1160.56pt;margin-left:389.14pt;mso-position-horizontal-relative:page;mso-position-vertical-relative:page;position:absolute;z-index:-2516060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56pt;height:15.5pt;margin-top:1160.56pt;margin-left:267.59pt;mso-position-horizontal-relative:page;mso-position-vertical-relative:page;position:absolute;z-index:-2516049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29" type="#_x0000_t202" style="width:56pt;height:15.5pt;margin-top:1160.56pt;margin-left:389.14pt;mso-position-horizontal-relative:page;mso-position-vertical-relative:page;position:absolute;z-index:-2516039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56pt;height:15.5pt;margin-top:1160.56pt;margin-left:267.59pt;mso-position-horizontal-relative:page;mso-position-vertical-relative:page;position:absolute;z-index:-2516029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32" type="#_x0000_t202" style="width:56pt;height:15.5pt;margin-top:1160.56pt;margin-left:389.14pt;mso-position-horizontal-relative:page;mso-position-vertical-relative:page;position:absolute;z-index:-2516019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4" type="#_x0000_t202" style="width:56pt;height:15.5pt;margin-top:1160.56pt;margin-left:267.59pt;mso-position-horizontal-relative:page;mso-position-vertical-relative:page;position:absolute;z-index:-2516008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35" type="#_x0000_t202" style="width:56pt;height:15.5pt;margin-top:1160.56pt;margin-left:389.14pt;mso-position-horizontal-relative:page;mso-position-vertical-relative:page;position:absolute;z-index:-2515998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7" type="#_x0000_t202" style="width:56pt;height:15.5pt;margin-top:1160.56pt;margin-left:267.59pt;mso-position-horizontal-relative:page;mso-position-vertical-relative:page;position:absolute;z-index:-2515988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38" type="#_x0000_t202" style="width:56pt;height:15.5pt;margin-top:1160.56pt;margin-left:389.14pt;mso-position-horizontal-relative:page;mso-position-vertical-relative:page;position:absolute;z-index:-2515978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0" type="#_x0000_t202" style="width:56pt;height:15.5pt;margin-top:1160.56pt;margin-left:267.59pt;mso-position-horizontal-relative:page;mso-position-vertical-relative:page;position:absolute;z-index:-2515968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41" type="#_x0000_t202" style="width:56pt;height:15.5pt;margin-top:1160.56pt;margin-left:389.14pt;mso-position-horizontal-relative:page;mso-position-vertical-relative:page;position:absolute;z-index:-2515957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3" type="#_x0000_t202" style="width:56pt;height:15.5pt;margin-top:1160.56pt;margin-left:267.59pt;mso-position-horizontal-relative:page;mso-position-vertical-relative:page;position:absolute;z-index:-2515947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44" type="#_x0000_t202" style="width:56pt;height:15.5pt;margin-top:1160.56pt;margin-left:389.14pt;mso-position-horizontal-relative:page;mso-position-vertical-relative:page;position:absolute;z-index:-2515937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6" type="#_x0000_t202" style="width:56pt;height:15.5pt;margin-top:1160.56pt;margin-left:267.59pt;mso-position-horizontal-relative:page;mso-position-vertical-relative:page;position:absolute;z-index:-2515927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47" type="#_x0000_t202" style="width:56pt;height:15.5pt;margin-top:1160.56pt;margin-left:389.14pt;mso-position-horizontal-relative:page;mso-position-vertical-relative:page;position:absolute;z-index:-2515916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9" type="#_x0000_t202" style="width:56pt;height:15.5pt;margin-top:1160.56pt;margin-left:267.59pt;mso-position-horizontal-relative:page;mso-position-vertical-relative:page;position:absolute;z-index:-2515906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50" type="#_x0000_t202" style="width:56pt;height:15.5pt;margin-top:1160.56pt;margin-left:389.14pt;mso-position-horizontal-relative:page;mso-position-vertical-relative:page;position:absolute;z-index:-2515896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2" type="#_x0000_t202" style="width:56pt;height:15.5pt;margin-top:1160.56pt;margin-left:267.59pt;mso-position-horizontal-relative:page;mso-position-vertical-relative:page;position:absolute;z-index:-2515886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53" type="#_x0000_t202" style="width:56pt;height:15.5pt;margin-top:1160.56pt;margin-left:389.14pt;mso-position-horizontal-relative:page;mso-position-vertical-relative:page;position:absolute;z-index:-2515875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5" type="#_x0000_t202" style="width:56pt;height:15.5pt;margin-top:1160.56pt;margin-left:267.59pt;mso-position-horizontal-relative:page;mso-position-vertical-relative:page;position:absolute;z-index:-2515865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56" type="#_x0000_t202" style="width:56pt;height:15.5pt;margin-top:1160.56pt;margin-left:389.14pt;mso-position-horizontal-relative:page;mso-position-vertical-relative:page;position:absolute;z-index:-2515855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8" type="#_x0000_t202" style="width:56pt;height:15.5pt;margin-top:1160.56pt;margin-left:267.59pt;mso-position-horizontal-relative:page;mso-position-vertical-relative:page;position:absolute;z-index:-2515845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59" type="#_x0000_t202" style="width:56pt;height:15.5pt;margin-top:1160.56pt;margin-left:389.14pt;mso-position-horizontal-relative:page;mso-position-vertical-relative:page;position:absolute;z-index:-2515834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1" type="#_x0000_t202" style="width:56pt;height:15.5pt;margin-top:1160.56pt;margin-left:267.59pt;mso-position-horizontal-relative:page;mso-position-vertical-relative:page;position:absolute;z-index:-2515824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62" type="#_x0000_t202" style="width:56pt;height:15.5pt;margin-top:1160.56pt;margin-left:389.14pt;mso-position-horizontal-relative:page;mso-position-vertical-relative:page;position:absolute;z-index:-2515814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4" type="#_x0000_t202" style="width:56pt;height:15.5pt;margin-top:1160.56pt;margin-left:267.59pt;mso-position-horizontal-relative:page;mso-position-vertical-relative:page;position:absolute;z-index:-2515804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65" type="#_x0000_t202" style="width:56pt;height:15.5pt;margin-top:1160.56pt;margin-left:389.14pt;mso-position-horizontal-relative:page;mso-position-vertical-relative:page;position:absolute;z-index:-2515793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7" type="#_x0000_t202" style="width:56pt;height:15.5pt;margin-top:1160.56pt;margin-left:267.59pt;mso-position-horizontal-relative:page;mso-position-vertical-relative:page;position:absolute;z-index:-2515783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68" type="#_x0000_t202" style="width:56pt;height:15.5pt;margin-top:1160.56pt;margin-left:389.14pt;mso-position-horizontal-relative:page;mso-position-vertical-relative:page;position:absolute;z-index:-2515773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0" type="#_x0000_t202" style="width:56pt;height:15.5pt;margin-top:1160.56pt;margin-left:267.59pt;mso-position-horizontal-relative:page;mso-position-vertical-relative:page;position:absolute;z-index:-2515763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71" type="#_x0000_t202" style="width:56pt;height:15.5pt;margin-top:1160.56pt;margin-left:389.14pt;mso-position-horizontal-relative:page;mso-position-vertical-relative:page;position:absolute;z-index:-2515752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3" type="#_x0000_t202" style="width:56pt;height:15.5pt;margin-top:1160.56pt;margin-left:267.59pt;mso-position-horizontal-relative:page;mso-position-vertical-relative:page;position:absolute;z-index:-2515742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74" type="#_x0000_t202" style="width:56pt;height:15.5pt;margin-top:1160.56pt;margin-left:389.14pt;mso-position-horizontal-relative:page;mso-position-vertical-relative:page;position:absolute;z-index:-2515732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6" type="#_x0000_t202" style="width:56pt;height:15.5pt;margin-top:1160.56pt;margin-left:267.59pt;mso-position-horizontal-relative:page;mso-position-vertical-relative:page;position:absolute;z-index:-2515722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77" type="#_x0000_t202" style="width:56pt;height:15.5pt;margin-top:1160.56pt;margin-left:389.14pt;mso-position-horizontal-relative:page;mso-position-vertical-relative:page;position:absolute;z-index:-2515712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9" type="#_x0000_t202" style="width:56pt;height:15.5pt;margin-top:1160.56pt;margin-left:267.59pt;mso-position-horizontal-relative:page;mso-position-vertical-relative:page;position:absolute;z-index:-2515701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80" type="#_x0000_t202" style="width:56pt;height:15.5pt;margin-top:1160.56pt;margin-left:389.14pt;mso-position-horizontal-relative:page;mso-position-vertical-relative:page;position:absolute;z-index:-2515691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2" type="#_x0000_t202" style="width:56pt;height:15.5pt;margin-top:1160.56pt;margin-left:267.59pt;mso-position-horizontal-relative:page;mso-position-vertical-relative:page;position:absolute;z-index:-2515681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83" type="#_x0000_t202" style="width:56pt;height:15.5pt;margin-top:1160.56pt;margin-left:389.14pt;mso-position-horizontal-relative:page;mso-position-vertical-relative:page;position:absolute;z-index:-2515671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5" type="#_x0000_t202" style="width:56pt;height:15.5pt;margin-top:1160.56pt;margin-left:267.59pt;mso-position-horizontal-relative:page;mso-position-vertical-relative:page;position:absolute;z-index:-2515660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86" type="#_x0000_t202" style="width:56pt;height:15.5pt;margin-top:1160.56pt;margin-left:389.14pt;mso-position-horizontal-relative:page;mso-position-vertical-relative:page;position:absolute;z-index:-2515650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8" type="#_x0000_t202" style="width:56pt;height:15.5pt;margin-top:1160.56pt;margin-left:267.59pt;mso-position-horizontal-relative:page;mso-position-vertical-relative:page;position:absolute;z-index:-2515640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89" type="#_x0000_t202" style="width:56pt;height:15.5pt;margin-top:1160.56pt;margin-left:389.14pt;mso-position-horizontal-relative:page;mso-position-vertical-relative:page;position:absolute;z-index:-2515630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1" type="#_x0000_t202" style="width:56pt;height:15.5pt;margin-top:1160.56pt;margin-left:267.59pt;mso-position-horizontal-relative:page;mso-position-vertical-relative:page;position:absolute;z-index:-2515619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92" type="#_x0000_t202" style="width:56pt;height:15.5pt;margin-top:1160.56pt;margin-left:389.14pt;mso-position-horizontal-relative:page;mso-position-vertical-relative:page;position:absolute;z-index:-2515609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4" type="#_x0000_t202" style="width:56pt;height:15.5pt;margin-top:1160.56pt;margin-left:267.59pt;mso-position-horizontal-relative:page;mso-position-vertical-relative:page;position:absolute;z-index:-2515599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95" type="#_x0000_t202" style="width:56pt;height:15.5pt;margin-top:1160.56pt;margin-left:389.14pt;mso-position-horizontal-relative:page;mso-position-vertical-relative:page;position:absolute;z-index:-2515589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7" type="#_x0000_t202" style="width:56pt;height:15.5pt;margin-top:1160.56pt;margin-left:267.59pt;mso-position-horizontal-relative:page;mso-position-vertical-relative:page;position:absolute;z-index:-2515578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198" type="#_x0000_t202" style="width:56pt;height:15.5pt;margin-top:1160.56pt;margin-left:389.14pt;mso-position-horizontal-relative:page;mso-position-vertical-relative:page;position:absolute;z-index:-2515568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0" type="#_x0000_t202" style="width:56pt;height:15.5pt;margin-top:1160.56pt;margin-left:267.59pt;mso-position-horizontal-relative:page;mso-position-vertical-relative:page;position:absolute;z-index:-2515558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201" type="#_x0000_t202" style="width:56pt;height:15.5pt;margin-top:1160.56pt;margin-left:389.14pt;mso-position-horizontal-relative:page;mso-position-vertical-relative:page;position:absolute;z-index:-2515548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3" type="#_x0000_t202" style="width:56pt;height:15.5pt;margin-top:1160.56pt;margin-left:267.59pt;mso-position-horizontal-relative:page;mso-position-vertical-relative:page;position:absolute;z-index:-2515537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204" type="#_x0000_t202" style="width:56pt;height:15.5pt;margin-top:1160.56pt;margin-left:389.14pt;mso-position-horizontal-relative:page;mso-position-vertical-relative:page;position:absolute;z-index:-2515527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6" type="#_x0000_t202" style="width:56pt;height:15.5pt;margin-top:1160.56pt;margin-left:267.59pt;mso-position-horizontal-relative:page;mso-position-vertical-relative:page;position:absolute;z-index:-2515517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207" type="#_x0000_t202" style="width:56pt;height:15.5pt;margin-top:1160.56pt;margin-left:389.14pt;mso-position-horizontal-relative:page;mso-position-vertical-relative:page;position:absolute;z-index:-2515507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9" type="#_x0000_t202" style="width:56pt;height:15.5pt;margin-top:1160.56pt;margin-left:267.59pt;mso-position-horizontal-relative:page;mso-position-vertical-relative:page;position:absolute;z-index:-2515496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210" type="#_x0000_t202" style="width:56pt;height:15.5pt;margin-top:1160.56pt;margin-left:389.14pt;mso-position-horizontal-relative:page;mso-position-vertical-relative:page;position:absolute;z-index:-2515486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2" type="#_x0000_t202" style="width:56pt;height:15.5pt;margin-top:1160.56pt;margin-left:267.59pt;mso-position-horizontal-relative:page;mso-position-vertical-relative:page;position:absolute;z-index:-2515476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专业资料</w:t>
                </w:r>
              </w:p>
            </w:txbxContent>
          </v:textbox>
        </v:shape>
      </w:pict>
    </w:r>
    <w:r>
      <w:pict>
        <v:shape id="_x0000_s2213" type="#_x0000_t202" style="width:56pt;height:15.5pt;margin-top:1160.56pt;margin-left:389.14pt;mso-position-horizontal-relative:page;mso-position-vertical-relative:page;position:absolute;z-index:-2515466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color w:val="FF0000"/>
                    <w:sz w:val="27"/>
                  </w:rPr>
                  <w:t>整理分享</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40.95pt;height:17.2pt;margin-top:53.13pt;margin-left:105.42pt;mso-position-horizontal-relative:page;mso-position-vertical-relative:page;position:absolute;z-index:-251658240"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40.95pt;height:17.2pt;margin-top:53.13pt;margin-left:105.42pt;mso-position-horizontal-relative:page;mso-position-vertical-relative:page;position:absolute;z-index:-251657216"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40.95pt;height:17.2pt;margin-top:53.13pt;margin-left:105.42pt;mso-position-horizontal-relative:page;mso-position-vertical-relative:page;position:absolute;z-index:-251656192"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40.95pt;height:17.2pt;margin-top:53.13pt;margin-left:105.42pt;mso-position-horizontal-relative:page;mso-position-vertical-relative:page;position:absolute;z-index:-251655168"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40.95pt;height:17.2pt;margin-top:53.13pt;margin-left:105.42pt;mso-position-horizontal-relative:page;mso-position-vertical-relative:page;position:absolute;z-index:-251654144"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40.95pt;height:17.2pt;margin-top:53.13pt;margin-left:105.42pt;mso-position-horizontal-relative:page;mso-position-vertical-relative:page;position:absolute;z-index:-251653120"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40.95pt;height:17.2pt;margin-top:53.13pt;margin-left:105.42pt;mso-position-horizontal-relative:page;mso-position-vertical-relative:page;position:absolute;z-index:-251652096"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40.95pt;height:17.2pt;margin-top:53.13pt;margin-left:105.42pt;mso-position-horizontal-relative:page;mso-position-vertical-relative:page;position:absolute;z-index:-251651072"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40.95pt;height:17.2pt;margin-top:53.13pt;margin-left:105.42pt;mso-position-horizontal-relative:page;mso-position-vertical-relative:page;position:absolute;z-index:-251650048"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40.95pt;height:17.2pt;margin-top:53.13pt;margin-left:105.42pt;mso-position-horizontal-relative:page;mso-position-vertical-relative:page;position:absolute;z-index:-251649024"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40.95pt;height:17.2pt;margin-top:53.13pt;margin-left:105.42pt;mso-position-horizontal-relative:page;mso-position-vertical-relative:page;position:absolute;z-index:-251648000"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40.95pt;height:17.2pt;margin-top:53.13pt;margin-left:105.42pt;mso-position-horizontal-relative:page;mso-position-vertical-relative:page;position:absolute;z-index:-251646976"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140.95pt;height:17.2pt;margin-top:53.13pt;margin-left:105.42pt;mso-position-horizontal-relative:page;mso-position-vertical-relative:page;position:absolute;z-index:-251645952"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40.95pt;height:17.2pt;margin-top:53.13pt;margin-left:105.42pt;mso-position-horizontal-relative:page;mso-position-vertical-relative:page;position:absolute;z-index:-251644928"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40.95pt;height:17.2pt;margin-top:53.13pt;margin-left:105.42pt;mso-position-horizontal-relative:page;mso-position-vertical-relative:page;position:absolute;z-index:-251643904"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140.95pt;height:17.2pt;margin-top:53.13pt;margin-left:105.42pt;mso-position-horizontal-relative:page;mso-position-vertical-relative:page;position:absolute;z-index:-251642880"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140.95pt;height:17.2pt;margin-top:53.13pt;margin-left:105.42pt;mso-position-horizontal-relative:page;mso-position-vertical-relative:page;position:absolute;z-index:-251641856"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140.95pt;height:17.2pt;margin-top:53.13pt;margin-left:105.42pt;mso-position-horizontal-relative:page;mso-position-vertical-relative:page;position:absolute;z-index:-251640832"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140.95pt;height:17.2pt;margin-top:53.13pt;margin-left:105.42pt;mso-position-horizontal-relative:page;mso-position-vertical-relative:page;position:absolute;z-index:-251639808"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140.95pt;height:17.2pt;margin-top:53.13pt;margin-left:105.42pt;mso-position-horizontal-relative:page;mso-position-vertical-relative:page;position:absolute;z-index:-251638784"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140.95pt;height:17.2pt;margin-top:53.13pt;margin-left:105.42pt;mso-position-horizontal-relative:page;mso-position-vertical-relative:page;position:absolute;z-index:-251637760"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140.95pt;height:17.2pt;margin-top:53.13pt;margin-left:105.42pt;mso-position-horizontal-relative:page;mso-position-vertical-relative:page;position:absolute;z-index:-251636736"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140.95pt;height:17.2pt;margin-top:53.13pt;margin-left:105.42pt;mso-position-horizontal-relative:page;mso-position-vertical-relative:page;position:absolute;z-index:-251635712"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140.95pt;height:17.2pt;margin-top:53.13pt;margin-left:105.42pt;mso-position-horizontal-relative:page;mso-position-vertical-relative:page;position:absolute;z-index:-251634688"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140.95pt;height:17.2pt;margin-top:53.13pt;margin-left:105.42pt;mso-position-horizontal-relative:page;mso-position-vertical-relative:page;position:absolute;z-index:-251633664"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140.95pt;height:17.2pt;margin-top:53.13pt;margin-left:105.42pt;mso-position-horizontal-relative:page;mso-position-vertical-relative:page;position:absolute;z-index:-251632640"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140.95pt;height:17.2pt;margin-top:53.13pt;margin-left:105.42pt;mso-position-horizontal-relative:page;mso-position-vertical-relative:page;position:absolute;z-index:-251631616"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140.95pt;height:17.2pt;margin-top:53.13pt;margin-left:105.42pt;mso-position-horizontal-relative:page;mso-position-vertical-relative:page;position:absolute;z-index:-251630592"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140.95pt;height:17.2pt;margin-top:53.13pt;margin-left:105.42pt;mso-position-horizontal-relative:page;mso-position-vertical-relative:page;position:absolute;z-index:-251629568"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140.95pt;height:17.2pt;margin-top:53.13pt;margin-left:105.42pt;mso-position-horizontal-relative:page;mso-position-vertical-relative:page;position:absolute;z-index:-251628544"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9" type="#_x0000_t202" style="width:140.95pt;height:17.2pt;margin-top:53.13pt;margin-left:105.42pt;mso-position-horizontal-relative:page;mso-position-vertical-relative:page;position:absolute;z-index:-251627520"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2" type="#_x0000_t202" style="width:140.95pt;height:17.2pt;margin-top:53.13pt;margin-left:105.42pt;mso-position-horizontal-relative:page;mso-position-vertical-relative:page;position:absolute;z-index:-251626496"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5" type="#_x0000_t202" style="width:140.95pt;height:17.2pt;margin-top:53.13pt;margin-left:105.42pt;mso-position-horizontal-relative:page;mso-position-vertical-relative:page;position:absolute;z-index:-251625472"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8" type="#_x0000_t202" style="width:140.95pt;height:17.2pt;margin-top:53.13pt;margin-left:105.42pt;mso-position-horizontal-relative:page;mso-position-vertical-relative:page;position:absolute;z-index:-251624448"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1" type="#_x0000_t202" style="width:140.95pt;height:17.2pt;margin-top:53.13pt;margin-left:105.42pt;mso-position-horizontal-relative:page;mso-position-vertical-relative:page;position:absolute;z-index:-251623424"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4" type="#_x0000_t202" style="width:140.95pt;height:17.2pt;margin-top:53.13pt;margin-left:105.42pt;mso-position-horizontal-relative:page;mso-position-vertical-relative:page;position:absolute;z-index:-251622400"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7" type="#_x0000_t202" style="width:140.95pt;height:17.2pt;margin-top:53.13pt;margin-left:105.42pt;mso-position-horizontal-relative:page;mso-position-vertical-relative:page;position:absolute;z-index:-251621376"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0" type="#_x0000_t202" style="width:140.95pt;height:17.2pt;margin-top:53.13pt;margin-left:105.42pt;mso-position-horizontal-relative:page;mso-position-vertical-relative:page;position:absolute;z-index:-251620352"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3" type="#_x0000_t202" style="width:140.95pt;height:17.2pt;margin-top:53.13pt;margin-left:105.42pt;mso-position-horizontal-relative:page;mso-position-vertical-relative:page;position:absolute;z-index:-251619328"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6" type="#_x0000_t202" style="width:140.95pt;height:17.2pt;margin-top:53.13pt;margin-left:105.42pt;mso-position-horizontal-relative:page;mso-position-vertical-relative:page;position:absolute;z-index:-251618304"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9" type="#_x0000_t202" style="width:140.95pt;height:17.2pt;margin-top:53.13pt;margin-left:105.42pt;mso-position-horizontal-relative:page;mso-position-vertical-relative:page;position:absolute;z-index:-251617280"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2" type="#_x0000_t202" style="width:140.95pt;height:17.2pt;margin-top:53.13pt;margin-left:105.42pt;mso-position-horizontal-relative:page;mso-position-vertical-relative:page;position:absolute;z-index:-251616256"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5" type="#_x0000_t202" style="width:140.95pt;height:17.2pt;margin-top:53.13pt;margin-left:105.42pt;mso-position-horizontal-relative:page;mso-position-vertical-relative:page;position:absolute;z-index:-251615232"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8" type="#_x0000_t202" style="width:140.95pt;height:17.2pt;margin-top:53.13pt;margin-left:105.42pt;mso-position-horizontal-relative:page;mso-position-vertical-relative:page;position:absolute;z-index:-251614208"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1" type="#_x0000_t202" style="width:140.95pt;height:17.2pt;margin-top:53.13pt;margin-left:105.42pt;mso-position-horizontal-relative:page;mso-position-vertical-relative:page;position:absolute;z-index:-251613184"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4" type="#_x0000_t202" style="width:140.95pt;height:17.2pt;margin-top:53.13pt;margin-left:105.42pt;mso-position-horizontal-relative:page;mso-position-vertical-relative:page;position:absolute;z-index:-251612160"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7" type="#_x0000_t202" style="width:140.95pt;height:17.2pt;margin-top:53.13pt;margin-left:105.42pt;mso-position-horizontal-relative:page;mso-position-vertical-relative:page;position:absolute;z-index:-251611136"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0" type="#_x0000_t202" style="width:140.95pt;height:17.2pt;margin-top:53.13pt;margin-left:105.42pt;mso-position-horizontal-relative:page;mso-position-vertical-relative:page;position:absolute;z-index:-251610112"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3" type="#_x0000_t202" style="width:140.95pt;height:17.2pt;margin-top:53.13pt;margin-left:105.42pt;mso-position-horizontal-relative:page;mso-position-vertical-relative:page;position:absolute;z-index:-251609088"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6" type="#_x0000_t202" style="width:140.95pt;height:17.2pt;margin-top:53.13pt;margin-left:105.42pt;mso-position-horizontal-relative:page;mso-position-vertical-relative:page;position:absolute;z-index:-251608064"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9" type="#_x0000_t202" style="width:140.95pt;height:17.2pt;margin-top:53.13pt;margin-left:105.42pt;mso-position-horizontal-relative:page;mso-position-vertical-relative:page;position:absolute;z-index:-251607040"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2" type="#_x0000_t202" style="width:140.95pt;height:17.2pt;margin-top:53.13pt;margin-left:105.42pt;mso-position-horizontal-relative:page;mso-position-vertical-relative:page;position:absolute;z-index:-251606016"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5" type="#_x0000_t202" style="width:140.95pt;height:17.2pt;margin-top:53.13pt;margin-left:105.42pt;mso-position-horizontal-relative:page;mso-position-vertical-relative:page;position:absolute;z-index:-251604992"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8" type="#_x0000_t202" style="width:140.95pt;height:17.2pt;margin-top:53.13pt;margin-left:105.42pt;mso-position-horizontal-relative:page;mso-position-vertical-relative:page;position:absolute;z-index:-251603968"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1" type="#_x0000_t202" style="width:140.95pt;height:17.2pt;margin-top:53.13pt;margin-left:105.42pt;mso-position-horizontal-relative:page;mso-position-vertical-relative:page;position:absolute;z-index:-251602944"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34"/>
                    <w:sz w:val="27"/>
                  </w:rPr>
                  <w:t xml:space="preserve"> </w:t>
                </w:r>
                <w:r>
                  <w:rPr>
                    <w:rFonts w:ascii="宋体" w:eastAsia="宋体" w:hint="eastAsia"/>
                    <w:sz w:val="27"/>
                  </w:rPr>
                  <w:t>格式下载可编辑</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DC3C8"/>
    <w:multiLevelType w:val="hybridMultilevel"/>
    <w:tmpl w:val="00000000"/>
    <w:lvl w:ilvl="0">
      <w:start w:val="0"/>
      <w:numFmt w:val="bullet"/>
      <w:lvlText w:val=""/>
      <w:lvlJc w:val="left"/>
      <w:pPr>
        <w:ind w:left="357" w:hanging="260"/>
      </w:pPr>
      <w:rPr>
        <w:rFonts w:ascii="Symbol" w:eastAsia="Symbol" w:hAnsi="Symbol" w:cs="Symbol" w:hint="default"/>
        <w:w w:val="101"/>
        <w:sz w:val="35"/>
        <w:szCs w:val="35"/>
      </w:rPr>
    </w:lvl>
    <w:lvl w:ilvl="1">
      <w:start w:val="0"/>
      <w:numFmt w:val="bullet"/>
      <w:lvlText w:val="•"/>
      <w:lvlJc w:val="left"/>
      <w:pPr>
        <w:ind w:left="1118" w:hanging="260"/>
      </w:pPr>
      <w:rPr>
        <w:rFonts w:hint="default"/>
      </w:rPr>
    </w:lvl>
    <w:lvl w:ilvl="2">
      <w:start w:val="0"/>
      <w:numFmt w:val="bullet"/>
      <w:lvlText w:val="•"/>
      <w:lvlJc w:val="left"/>
      <w:pPr>
        <w:ind w:left="1877" w:hanging="260"/>
      </w:pPr>
      <w:rPr>
        <w:rFonts w:hint="default"/>
      </w:rPr>
    </w:lvl>
    <w:lvl w:ilvl="3">
      <w:start w:val="0"/>
      <w:numFmt w:val="bullet"/>
      <w:lvlText w:val="•"/>
      <w:lvlJc w:val="left"/>
      <w:pPr>
        <w:ind w:left="2636" w:hanging="260"/>
      </w:pPr>
      <w:rPr>
        <w:rFonts w:hint="default"/>
      </w:rPr>
    </w:lvl>
    <w:lvl w:ilvl="4">
      <w:start w:val="0"/>
      <w:numFmt w:val="bullet"/>
      <w:lvlText w:val="•"/>
      <w:lvlJc w:val="left"/>
      <w:pPr>
        <w:ind w:left="3395" w:hanging="260"/>
      </w:pPr>
      <w:rPr>
        <w:rFonts w:hint="default"/>
      </w:rPr>
    </w:lvl>
    <w:lvl w:ilvl="5">
      <w:start w:val="0"/>
      <w:numFmt w:val="bullet"/>
      <w:lvlText w:val="•"/>
      <w:lvlJc w:val="left"/>
      <w:pPr>
        <w:ind w:left="4154" w:hanging="260"/>
      </w:pPr>
      <w:rPr>
        <w:rFonts w:hint="default"/>
      </w:rPr>
    </w:lvl>
    <w:lvl w:ilvl="6">
      <w:start w:val="0"/>
      <w:numFmt w:val="bullet"/>
      <w:lvlText w:val="•"/>
      <w:lvlJc w:val="left"/>
      <w:pPr>
        <w:ind w:left="4912" w:hanging="260"/>
      </w:pPr>
      <w:rPr>
        <w:rFonts w:hint="default"/>
      </w:rPr>
    </w:lvl>
    <w:lvl w:ilvl="7">
      <w:start w:val="0"/>
      <w:numFmt w:val="bullet"/>
      <w:lvlText w:val="•"/>
      <w:lvlJc w:val="left"/>
      <w:pPr>
        <w:ind w:left="5671" w:hanging="260"/>
      </w:pPr>
      <w:rPr>
        <w:rFonts w:hint="default"/>
      </w:rPr>
    </w:lvl>
    <w:lvl w:ilvl="8">
      <w:start w:val="0"/>
      <w:numFmt w:val="bullet"/>
      <w:lvlText w:val="•"/>
      <w:lvlJc w:val="left"/>
      <w:pPr>
        <w:ind w:left="6430" w:hanging="260"/>
      </w:pPr>
      <w:rPr>
        <w:rFonts w:hint="default"/>
      </w:rPr>
    </w:lvl>
  </w:abstractNum>
  <w:abstractNum w:abstractNumId="1">
    <w:nsid w:val="0FAA32B9"/>
    <w:multiLevelType w:val="hybridMultilevel"/>
    <w:tmpl w:val="00000000"/>
    <w:lvl w:ilvl="0">
      <w:start w:val="1"/>
      <w:numFmt w:val="decimal"/>
      <w:lvlText w:val="（%1）"/>
      <w:lvlJc w:val="left"/>
      <w:pPr>
        <w:ind w:left="1609" w:hanging="901"/>
        <w:jc w:val="left"/>
      </w:pPr>
      <w:rPr>
        <w:rFonts w:ascii="楷体" w:eastAsia="楷体" w:hAnsi="楷体" w:cs="楷体" w:hint="default"/>
        <w:w w:val="100"/>
        <w:sz w:val="34"/>
        <w:szCs w:val="34"/>
      </w:rPr>
    </w:lvl>
    <w:lvl w:ilvl="1">
      <w:start w:val="0"/>
      <w:numFmt w:val="bullet"/>
      <w:lvlText w:val="•"/>
      <w:lvlJc w:val="left"/>
      <w:pPr>
        <w:ind w:left="2947" w:hanging="901"/>
      </w:pPr>
      <w:rPr>
        <w:rFonts w:hint="default"/>
      </w:rPr>
    </w:lvl>
    <w:lvl w:ilvl="2">
      <w:start w:val="0"/>
      <w:numFmt w:val="bullet"/>
      <w:lvlText w:val="•"/>
      <w:lvlJc w:val="left"/>
      <w:pPr>
        <w:ind w:left="4295" w:hanging="901"/>
      </w:pPr>
      <w:rPr>
        <w:rFonts w:hint="default"/>
      </w:rPr>
    </w:lvl>
    <w:lvl w:ilvl="3">
      <w:start w:val="0"/>
      <w:numFmt w:val="bullet"/>
      <w:lvlText w:val="•"/>
      <w:lvlJc w:val="left"/>
      <w:pPr>
        <w:ind w:left="5643" w:hanging="901"/>
      </w:pPr>
      <w:rPr>
        <w:rFonts w:hint="default"/>
      </w:rPr>
    </w:lvl>
    <w:lvl w:ilvl="4">
      <w:start w:val="0"/>
      <w:numFmt w:val="bullet"/>
      <w:lvlText w:val="•"/>
      <w:lvlJc w:val="left"/>
      <w:pPr>
        <w:ind w:left="6991" w:hanging="901"/>
      </w:pPr>
      <w:rPr>
        <w:rFonts w:hint="default"/>
      </w:rPr>
    </w:lvl>
    <w:lvl w:ilvl="5">
      <w:start w:val="0"/>
      <w:numFmt w:val="bullet"/>
      <w:lvlText w:val="•"/>
      <w:lvlJc w:val="left"/>
      <w:pPr>
        <w:ind w:left="8339" w:hanging="901"/>
      </w:pPr>
      <w:rPr>
        <w:rFonts w:hint="default"/>
      </w:rPr>
    </w:lvl>
    <w:lvl w:ilvl="6">
      <w:start w:val="0"/>
      <w:numFmt w:val="bullet"/>
      <w:lvlText w:val="•"/>
      <w:lvlJc w:val="left"/>
      <w:pPr>
        <w:ind w:left="9687" w:hanging="901"/>
      </w:pPr>
      <w:rPr>
        <w:rFonts w:hint="default"/>
      </w:rPr>
    </w:lvl>
    <w:lvl w:ilvl="7">
      <w:start w:val="0"/>
      <w:numFmt w:val="bullet"/>
      <w:lvlText w:val="•"/>
      <w:lvlJc w:val="left"/>
      <w:pPr>
        <w:ind w:left="11035" w:hanging="901"/>
      </w:pPr>
      <w:rPr>
        <w:rFonts w:hint="default"/>
      </w:rPr>
    </w:lvl>
    <w:lvl w:ilvl="8">
      <w:start w:val="0"/>
      <w:numFmt w:val="bullet"/>
      <w:lvlText w:val="•"/>
      <w:lvlJc w:val="left"/>
      <w:pPr>
        <w:ind w:left="12383" w:hanging="901"/>
      </w:pPr>
      <w:rPr>
        <w:rFonts w:hint="default"/>
      </w:rPr>
    </w:lvl>
  </w:abstractNum>
  <w:abstractNum w:abstractNumId="2">
    <w:nsid w:val="170D2A1B"/>
    <w:multiLevelType w:val="hybridMultilevel"/>
    <w:tmpl w:val="00000000"/>
    <w:lvl w:ilvl="0">
      <w:start w:val="5"/>
      <w:numFmt w:val="decimal"/>
      <w:lvlText w:val="%1"/>
      <w:lvlJc w:val="left"/>
      <w:pPr>
        <w:ind w:left="1057" w:hanging="350"/>
        <w:jc w:val="left"/>
      </w:pPr>
      <w:rPr>
        <w:rFonts w:ascii="楷体" w:eastAsia="楷体" w:hAnsi="楷体" w:cs="楷体" w:hint="default"/>
        <w:b/>
        <w:bCs/>
        <w:w w:val="99"/>
        <w:sz w:val="45"/>
        <w:szCs w:val="45"/>
      </w:rPr>
    </w:lvl>
    <w:lvl w:ilvl="1">
      <w:start w:val="1"/>
      <w:numFmt w:val="decimal"/>
      <w:lvlText w:val="%1.%2"/>
      <w:lvlJc w:val="left"/>
      <w:pPr>
        <w:ind w:left="1468" w:hanging="760"/>
        <w:jc w:val="left"/>
      </w:pPr>
      <w:rPr>
        <w:rFonts w:ascii="楷体" w:eastAsia="楷体" w:hAnsi="楷体" w:cs="楷体" w:hint="default"/>
        <w:b/>
        <w:bCs/>
        <w:w w:val="99"/>
        <w:sz w:val="42"/>
        <w:szCs w:val="42"/>
      </w:rPr>
    </w:lvl>
    <w:lvl w:ilvl="2">
      <w:start w:val="1"/>
      <w:numFmt w:val="decimal"/>
      <w:lvlText w:val="（%3）"/>
      <w:lvlJc w:val="left"/>
      <w:pPr>
        <w:ind w:left="2329" w:hanging="901"/>
        <w:jc w:val="left"/>
      </w:pPr>
      <w:rPr>
        <w:rFonts w:ascii="楷体" w:eastAsia="楷体" w:hAnsi="楷体" w:cs="楷体" w:hint="default"/>
        <w:spacing w:val="-177"/>
        <w:w w:val="100"/>
        <w:sz w:val="34"/>
        <w:szCs w:val="34"/>
      </w:rPr>
    </w:lvl>
    <w:lvl w:ilvl="3">
      <w:start w:val="0"/>
      <w:numFmt w:val="bullet"/>
      <w:lvlText w:val="•"/>
      <w:lvlJc w:val="left"/>
      <w:pPr>
        <w:ind w:left="3914" w:hanging="901"/>
      </w:pPr>
      <w:rPr>
        <w:rFonts w:hint="default"/>
      </w:rPr>
    </w:lvl>
    <w:lvl w:ilvl="4">
      <w:start w:val="0"/>
      <w:numFmt w:val="bullet"/>
      <w:lvlText w:val="•"/>
      <w:lvlJc w:val="left"/>
      <w:pPr>
        <w:ind w:left="5509" w:hanging="901"/>
      </w:pPr>
      <w:rPr>
        <w:rFonts w:hint="default"/>
      </w:rPr>
    </w:lvl>
    <w:lvl w:ilvl="5">
      <w:start w:val="0"/>
      <w:numFmt w:val="bullet"/>
      <w:lvlText w:val="•"/>
      <w:lvlJc w:val="left"/>
      <w:pPr>
        <w:ind w:left="7104" w:hanging="901"/>
      </w:pPr>
      <w:rPr>
        <w:rFonts w:hint="default"/>
      </w:rPr>
    </w:lvl>
    <w:lvl w:ilvl="6">
      <w:start w:val="0"/>
      <w:numFmt w:val="bullet"/>
      <w:lvlText w:val="•"/>
      <w:lvlJc w:val="left"/>
      <w:pPr>
        <w:ind w:left="8699" w:hanging="901"/>
      </w:pPr>
      <w:rPr>
        <w:rFonts w:hint="default"/>
      </w:rPr>
    </w:lvl>
    <w:lvl w:ilvl="7">
      <w:start w:val="0"/>
      <w:numFmt w:val="bullet"/>
      <w:lvlText w:val="•"/>
      <w:lvlJc w:val="left"/>
      <w:pPr>
        <w:ind w:left="10294" w:hanging="901"/>
      </w:pPr>
      <w:rPr>
        <w:rFonts w:hint="default"/>
      </w:rPr>
    </w:lvl>
    <w:lvl w:ilvl="8">
      <w:start w:val="0"/>
      <w:numFmt w:val="bullet"/>
      <w:lvlText w:val="•"/>
      <w:lvlJc w:val="left"/>
      <w:pPr>
        <w:ind w:left="11889" w:hanging="901"/>
      </w:pPr>
      <w:rPr>
        <w:rFonts w:hint="default"/>
      </w:rPr>
    </w:lvl>
  </w:abstractNum>
  <w:abstractNum w:abstractNumId="3">
    <w:nsid w:val="20298981"/>
    <w:multiLevelType w:val="hybridMultilevel"/>
    <w:tmpl w:val="00000000"/>
    <w:lvl w:ilvl="0">
      <w:start w:val="1"/>
      <w:numFmt w:val="decimal"/>
      <w:lvlText w:val="%1"/>
      <w:lvlJc w:val="left"/>
      <w:pPr>
        <w:ind w:left="1180" w:hanging="472"/>
        <w:jc w:val="left"/>
      </w:pPr>
      <w:rPr>
        <w:rFonts w:ascii="楷体" w:eastAsia="楷体" w:hAnsi="楷体" w:cs="楷体" w:hint="default"/>
        <w:b/>
        <w:bCs/>
        <w:w w:val="99"/>
        <w:sz w:val="45"/>
        <w:szCs w:val="45"/>
      </w:rPr>
    </w:lvl>
    <w:lvl w:ilvl="1">
      <w:start w:val="1"/>
      <w:numFmt w:val="decimal"/>
      <w:lvlText w:val="%1.%2"/>
      <w:lvlJc w:val="left"/>
      <w:pPr>
        <w:ind w:left="1468" w:hanging="760"/>
        <w:jc w:val="left"/>
      </w:pPr>
      <w:rPr>
        <w:rFonts w:ascii="楷体" w:eastAsia="楷体" w:hAnsi="楷体" w:cs="楷体" w:hint="default"/>
        <w:b/>
        <w:bCs/>
        <w:w w:val="99"/>
        <w:sz w:val="42"/>
        <w:szCs w:val="42"/>
      </w:rPr>
    </w:lvl>
    <w:lvl w:ilvl="2">
      <w:start w:val="1"/>
      <w:numFmt w:val="decimal"/>
      <w:lvlText w:val="（%3）"/>
      <w:lvlJc w:val="left"/>
      <w:pPr>
        <w:ind w:left="708" w:hanging="901"/>
        <w:jc w:val="left"/>
      </w:pPr>
      <w:rPr>
        <w:rFonts w:ascii="楷体" w:eastAsia="楷体" w:hAnsi="楷体" w:cs="楷体" w:hint="default"/>
        <w:spacing w:val="-1"/>
        <w:w w:val="100"/>
        <w:sz w:val="34"/>
        <w:szCs w:val="34"/>
      </w:rPr>
    </w:lvl>
    <w:lvl w:ilvl="3">
      <w:start w:val="0"/>
      <w:numFmt w:val="bullet"/>
      <w:lvlText w:val="•"/>
      <w:lvlJc w:val="left"/>
      <w:pPr>
        <w:ind w:left="3162" w:hanging="901"/>
      </w:pPr>
      <w:rPr>
        <w:rFonts w:hint="default"/>
      </w:rPr>
    </w:lvl>
    <w:lvl w:ilvl="4">
      <w:start w:val="0"/>
      <w:numFmt w:val="bullet"/>
      <w:lvlText w:val="•"/>
      <w:lvlJc w:val="left"/>
      <w:pPr>
        <w:ind w:left="4864" w:hanging="901"/>
      </w:pPr>
      <w:rPr>
        <w:rFonts w:hint="default"/>
      </w:rPr>
    </w:lvl>
    <w:lvl w:ilvl="5">
      <w:start w:val="0"/>
      <w:numFmt w:val="bullet"/>
      <w:lvlText w:val="•"/>
      <w:lvlJc w:val="left"/>
      <w:pPr>
        <w:ind w:left="6567" w:hanging="901"/>
      </w:pPr>
      <w:rPr>
        <w:rFonts w:hint="default"/>
      </w:rPr>
    </w:lvl>
    <w:lvl w:ilvl="6">
      <w:start w:val="0"/>
      <w:numFmt w:val="bullet"/>
      <w:lvlText w:val="•"/>
      <w:lvlJc w:val="left"/>
      <w:pPr>
        <w:ind w:left="8269" w:hanging="901"/>
      </w:pPr>
      <w:rPr>
        <w:rFonts w:hint="default"/>
      </w:rPr>
    </w:lvl>
    <w:lvl w:ilvl="7">
      <w:start w:val="0"/>
      <w:numFmt w:val="bullet"/>
      <w:lvlText w:val="•"/>
      <w:lvlJc w:val="left"/>
      <w:pPr>
        <w:ind w:left="9972" w:hanging="901"/>
      </w:pPr>
      <w:rPr>
        <w:rFonts w:hint="default"/>
      </w:rPr>
    </w:lvl>
    <w:lvl w:ilvl="8">
      <w:start w:val="0"/>
      <w:numFmt w:val="bullet"/>
      <w:lvlText w:val="•"/>
      <w:lvlJc w:val="left"/>
      <w:pPr>
        <w:ind w:left="11674" w:hanging="901"/>
      </w:pPr>
      <w:rPr>
        <w:rFonts w:hint="default"/>
      </w:rPr>
    </w:lvl>
  </w:abstractNum>
  <w:abstractNum w:abstractNumId="4">
    <w:nsid w:val="21352C35"/>
    <w:multiLevelType w:val="hybridMultilevel"/>
    <w:tmpl w:val="00000000"/>
    <w:lvl w:ilvl="0">
      <w:start w:val="1"/>
      <w:numFmt w:val="decimal"/>
      <w:lvlText w:val="（%1）"/>
      <w:lvlJc w:val="left"/>
      <w:pPr>
        <w:ind w:left="114" w:hanging="793"/>
        <w:jc w:val="left"/>
      </w:pPr>
      <w:rPr>
        <w:rFonts w:ascii="楷体" w:eastAsia="楷体" w:hAnsi="楷体" w:cs="楷体" w:hint="default"/>
        <w:w w:val="102"/>
        <w:sz w:val="29"/>
        <w:szCs w:val="29"/>
      </w:rPr>
    </w:lvl>
    <w:lvl w:ilvl="1">
      <w:start w:val="1"/>
      <w:numFmt w:val="decimal"/>
      <w:lvlText w:val="(%2)"/>
      <w:lvlJc w:val="left"/>
      <w:pPr>
        <w:ind w:left="241" w:hanging="477"/>
        <w:jc w:val="left"/>
      </w:pPr>
      <w:rPr>
        <w:rFonts w:ascii="楷体" w:eastAsia="楷体" w:hAnsi="楷体" w:cs="楷体" w:hint="default"/>
        <w:spacing w:val="-4"/>
        <w:w w:val="102"/>
        <w:sz w:val="29"/>
        <w:szCs w:val="29"/>
      </w:rPr>
    </w:lvl>
    <w:lvl w:ilvl="2">
      <w:start w:val="0"/>
      <w:numFmt w:val="bullet"/>
      <w:lvlText w:val="•"/>
      <w:lvlJc w:val="left"/>
      <w:pPr>
        <w:ind w:left="898" w:hanging="477"/>
      </w:pPr>
      <w:rPr>
        <w:rFonts w:hint="default"/>
      </w:rPr>
    </w:lvl>
    <w:lvl w:ilvl="3">
      <w:start w:val="0"/>
      <w:numFmt w:val="bullet"/>
      <w:lvlText w:val="•"/>
      <w:lvlJc w:val="left"/>
      <w:pPr>
        <w:ind w:left="1556" w:hanging="477"/>
      </w:pPr>
      <w:rPr>
        <w:rFonts w:hint="default"/>
      </w:rPr>
    </w:lvl>
    <w:lvl w:ilvl="4">
      <w:start w:val="0"/>
      <w:numFmt w:val="bullet"/>
      <w:lvlText w:val="•"/>
      <w:lvlJc w:val="left"/>
      <w:pPr>
        <w:ind w:left="2215" w:hanging="477"/>
      </w:pPr>
      <w:rPr>
        <w:rFonts w:hint="default"/>
      </w:rPr>
    </w:lvl>
    <w:lvl w:ilvl="5">
      <w:start w:val="0"/>
      <w:numFmt w:val="bullet"/>
      <w:lvlText w:val="•"/>
      <w:lvlJc w:val="left"/>
      <w:pPr>
        <w:ind w:left="2873" w:hanging="477"/>
      </w:pPr>
      <w:rPr>
        <w:rFonts w:hint="default"/>
      </w:rPr>
    </w:lvl>
    <w:lvl w:ilvl="6">
      <w:start w:val="0"/>
      <w:numFmt w:val="bullet"/>
      <w:lvlText w:val="•"/>
      <w:lvlJc w:val="left"/>
      <w:pPr>
        <w:ind w:left="3532" w:hanging="477"/>
      </w:pPr>
      <w:rPr>
        <w:rFonts w:hint="default"/>
      </w:rPr>
    </w:lvl>
    <w:lvl w:ilvl="7">
      <w:start w:val="0"/>
      <w:numFmt w:val="bullet"/>
      <w:lvlText w:val="•"/>
      <w:lvlJc w:val="left"/>
      <w:pPr>
        <w:ind w:left="4190" w:hanging="477"/>
      </w:pPr>
      <w:rPr>
        <w:rFonts w:hint="default"/>
      </w:rPr>
    </w:lvl>
    <w:lvl w:ilvl="8">
      <w:start w:val="0"/>
      <w:numFmt w:val="bullet"/>
      <w:lvlText w:val="•"/>
      <w:lvlJc w:val="left"/>
      <w:pPr>
        <w:ind w:left="4848" w:hanging="477"/>
      </w:pPr>
      <w:rPr>
        <w:rFonts w:hint="default"/>
      </w:rPr>
    </w:lvl>
  </w:abstractNum>
  <w:abstractNum w:abstractNumId="5">
    <w:nsid w:val="248C1175"/>
    <w:multiLevelType w:val="hybridMultilevel"/>
    <w:tmpl w:val="00000000"/>
    <w:lvl w:ilvl="0">
      <w:start w:val="9"/>
      <w:numFmt w:val="decimal"/>
      <w:lvlText w:val="（%1）"/>
      <w:lvlJc w:val="left"/>
      <w:pPr>
        <w:ind w:left="1609" w:hanging="901"/>
        <w:jc w:val="left"/>
      </w:pPr>
      <w:rPr>
        <w:rFonts w:ascii="楷体" w:eastAsia="楷体" w:hAnsi="楷体" w:cs="楷体" w:hint="default"/>
        <w:w w:val="100"/>
        <w:sz w:val="34"/>
        <w:szCs w:val="34"/>
      </w:rPr>
    </w:lvl>
    <w:lvl w:ilvl="1">
      <w:start w:val="0"/>
      <w:numFmt w:val="bullet"/>
      <w:lvlText w:val="•"/>
      <w:lvlJc w:val="left"/>
      <w:pPr>
        <w:ind w:left="2947" w:hanging="901"/>
      </w:pPr>
      <w:rPr>
        <w:rFonts w:hint="default"/>
      </w:rPr>
    </w:lvl>
    <w:lvl w:ilvl="2">
      <w:start w:val="0"/>
      <w:numFmt w:val="bullet"/>
      <w:lvlText w:val="•"/>
      <w:lvlJc w:val="left"/>
      <w:pPr>
        <w:ind w:left="4295" w:hanging="901"/>
      </w:pPr>
      <w:rPr>
        <w:rFonts w:hint="default"/>
      </w:rPr>
    </w:lvl>
    <w:lvl w:ilvl="3">
      <w:start w:val="0"/>
      <w:numFmt w:val="bullet"/>
      <w:lvlText w:val="•"/>
      <w:lvlJc w:val="left"/>
      <w:pPr>
        <w:ind w:left="5643" w:hanging="901"/>
      </w:pPr>
      <w:rPr>
        <w:rFonts w:hint="default"/>
      </w:rPr>
    </w:lvl>
    <w:lvl w:ilvl="4">
      <w:start w:val="0"/>
      <w:numFmt w:val="bullet"/>
      <w:lvlText w:val="•"/>
      <w:lvlJc w:val="left"/>
      <w:pPr>
        <w:ind w:left="6991" w:hanging="901"/>
      </w:pPr>
      <w:rPr>
        <w:rFonts w:hint="default"/>
      </w:rPr>
    </w:lvl>
    <w:lvl w:ilvl="5">
      <w:start w:val="0"/>
      <w:numFmt w:val="bullet"/>
      <w:lvlText w:val="•"/>
      <w:lvlJc w:val="left"/>
      <w:pPr>
        <w:ind w:left="8339" w:hanging="901"/>
      </w:pPr>
      <w:rPr>
        <w:rFonts w:hint="default"/>
      </w:rPr>
    </w:lvl>
    <w:lvl w:ilvl="6">
      <w:start w:val="0"/>
      <w:numFmt w:val="bullet"/>
      <w:lvlText w:val="•"/>
      <w:lvlJc w:val="left"/>
      <w:pPr>
        <w:ind w:left="9687" w:hanging="901"/>
      </w:pPr>
      <w:rPr>
        <w:rFonts w:hint="default"/>
      </w:rPr>
    </w:lvl>
    <w:lvl w:ilvl="7">
      <w:start w:val="0"/>
      <w:numFmt w:val="bullet"/>
      <w:lvlText w:val="•"/>
      <w:lvlJc w:val="left"/>
      <w:pPr>
        <w:ind w:left="11035" w:hanging="901"/>
      </w:pPr>
      <w:rPr>
        <w:rFonts w:hint="default"/>
      </w:rPr>
    </w:lvl>
    <w:lvl w:ilvl="8">
      <w:start w:val="0"/>
      <w:numFmt w:val="bullet"/>
      <w:lvlText w:val="•"/>
      <w:lvlJc w:val="left"/>
      <w:pPr>
        <w:ind w:left="12383" w:hanging="901"/>
      </w:pPr>
      <w:rPr>
        <w:rFonts w:hint="default"/>
      </w:rPr>
    </w:lvl>
  </w:abstractNum>
  <w:abstractNum w:abstractNumId="6">
    <w:nsid w:val="27713890"/>
    <w:multiLevelType w:val="hybridMultilevel"/>
    <w:tmpl w:val="00000000"/>
    <w:lvl w:ilvl="0">
      <w:start w:val="1"/>
      <w:numFmt w:val="decimal"/>
      <w:lvlText w:val="%1."/>
      <w:lvlJc w:val="left"/>
      <w:pPr>
        <w:ind w:left="1072" w:hanging="364"/>
        <w:jc w:val="left"/>
      </w:pPr>
      <w:rPr>
        <w:rFonts w:ascii="楷体" w:eastAsia="楷体" w:hAnsi="楷体" w:cs="楷体" w:hint="default"/>
        <w:b/>
        <w:bCs/>
        <w:w w:val="99"/>
        <w:sz w:val="34"/>
        <w:szCs w:val="34"/>
      </w:rPr>
    </w:lvl>
    <w:lvl w:ilvl="1">
      <w:start w:val="0"/>
      <w:numFmt w:val="bullet"/>
      <w:lvlText w:val="•"/>
      <w:lvlJc w:val="left"/>
      <w:pPr>
        <w:ind w:left="2479" w:hanging="364"/>
      </w:pPr>
      <w:rPr>
        <w:rFonts w:hint="default"/>
      </w:rPr>
    </w:lvl>
    <w:lvl w:ilvl="2">
      <w:start w:val="0"/>
      <w:numFmt w:val="bullet"/>
      <w:lvlText w:val="•"/>
      <w:lvlJc w:val="left"/>
      <w:pPr>
        <w:ind w:left="3879" w:hanging="364"/>
      </w:pPr>
      <w:rPr>
        <w:rFonts w:hint="default"/>
      </w:rPr>
    </w:lvl>
    <w:lvl w:ilvl="3">
      <w:start w:val="0"/>
      <w:numFmt w:val="bullet"/>
      <w:lvlText w:val="•"/>
      <w:lvlJc w:val="left"/>
      <w:pPr>
        <w:ind w:left="5279" w:hanging="364"/>
      </w:pPr>
      <w:rPr>
        <w:rFonts w:hint="default"/>
      </w:rPr>
    </w:lvl>
    <w:lvl w:ilvl="4">
      <w:start w:val="0"/>
      <w:numFmt w:val="bullet"/>
      <w:lvlText w:val="•"/>
      <w:lvlJc w:val="left"/>
      <w:pPr>
        <w:ind w:left="6679" w:hanging="364"/>
      </w:pPr>
      <w:rPr>
        <w:rFonts w:hint="default"/>
      </w:rPr>
    </w:lvl>
    <w:lvl w:ilvl="5">
      <w:start w:val="0"/>
      <w:numFmt w:val="bullet"/>
      <w:lvlText w:val="•"/>
      <w:lvlJc w:val="left"/>
      <w:pPr>
        <w:ind w:left="8079" w:hanging="364"/>
      </w:pPr>
      <w:rPr>
        <w:rFonts w:hint="default"/>
      </w:rPr>
    </w:lvl>
    <w:lvl w:ilvl="6">
      <w:start w:val="0"/>
      <w:numFmt w:val="bullet"/>
      <w:lvlText w:val="•"/>
      <w:lvlJc w:val="left"/>
      <w:pPr>
        <w:ind w:left="9479" w:hanging="364"/>
      </w:pPr>
      <w:rPr>
        <w:rFonts w:hint="default"/>
      </w:rPr>
    </w:lvl>
    <w:lvl w:ilvl="7">
      <w:start w:val="0"/>
      <w:numFmt w:val="bullet"/>
      <w:lvlText w:val="•"/>
      <w:lvlJc w:val="left"/>
      <w:pPr>
        <w:ind w:left="10879" w:hanging="364"/>
      </w:pPr>
      <w:rPr>
        <w:rFonts w:hint="default"/>
      </w:rPr>
    </w:lvl>
    <w:lvl w:ilvl="8">
      <w:start w:val="0"/>
      <w:numFmt w:val="bullet"/>
      <w:lvlText w:val="•"/>
      <w:lvlJc w:val="left"/>
      <w:pPr>
        <w:ind w:left="12279" w:hanging="364"/>
      </w:pPr>
      <w:rPr>
        <w:rFonts w:hint="default"/>
      </w:rPr>
    </w:lvl>
  </w:abstractNum>
  <w:abstractNum w:abstractNumId="7">
    <w:nsid w:val="2C4727FE"/>
    <w:multiLevelType w:val="hybridMultilevel"/>
    <w:tmpl w:val="00000000"/>
    <w:lvl w:ilvl="0">
      <w:start w:val="2"/>
      <w:numFmt w:val="decimal"/>
      <w:lvlText w:val="%1"/>
      <w:lvlJc w:val="left"/>
      <w:pPr>
        <w:ind w:left="1705" w:hanging="997"/>
        <w:jc w:val="left"/>
      </w:pPr>
      <w:rPr>
        <w:rFonts w:hint="default"/>
      </w:rPr>
    </w:lvl>
    <w:lvl w:ilvl="1">
      <w:start w:val="2"/>
      <w:numFmt w:val="decimal"/>
      <w:lvlText w:val="%1.%2"/>
      <w:lvlJc w:val="left"/>
      <w:pPr>
        <w:ind w:left="1705" w:hanging="997"/>
        <w:jc w:val="left"/>
      </w:pPr>
      <w:rPr>
        <w:rFonts w:hint="default"/>
      </w:rPr>
    </w:lvl>
    <w:lvl w:ilvl="2">
      <w:start w:val="1"/>
      <w:numFmt w:val="decimal"/>
      <w:lvlText w:val="%1.%2.%3"/>
      <w:lvlJc w:val="left"/>
      <w:pPr>
        <w:ind w:left="1705" w:hanging="997"/>
        <w:jc w:val="left"/>
      </w:pPr>
      <w:rPr>
        <w:rFonts w:ascii="楷体" w:eastAsia="楷体" w:hAnsi="楷体" w:cs="楷体" w:hint="default"/>
        <w:b/>
        <w:bCs/>
        <w:w w:val="99"/>
        <w:sz w:val="36"/>
        <w:szCs w:val="36"/>
      </w:rPr>
    </w:lvl>
    <w:lvl w:ilvl="3">
      <w:start w:val="1"/>
      <w:numFmt w:val="decimal"/>
      <w:lvlText w:val="（%4）"/>
      <w:lvlJc w:val="left"/>
      <w:pPr>
        <w:ind w:left="708" w:hanging="901"/>
        <w:jc w:val="left"/>
      </w:pPr>
      <w:rPr>
        <w:rFonts w:ascii="楷体" w:eastAsia="楷体" w:hAnsi="楷体" w:cs="楷体" w:hint="default"/>
        <w:spacing w:val="-1"/>
        <w:w w:val="100"/>
        <w:sz w:val="34"/>
        <w:szCs w:val="34"/>
      </w:rPr>
    </w:lvl>
    <w:lvl w:ilvl="4">
      <w:start w:val="0"/>
      <w:numFmt w:val="bullet"/>
      <w:lvlText w:val="•"/>
      <w:lvlJc w:val="left"/>
      <w:pPr>
        <w:ind w:left="6159" w:hanging="901"/>
      </w:pPr>
      <w:rPr>
        <w:rFonts w:hint="default"/>
      </w:rPr>
    </w:lvl>
    <w:lvl w:ilvl="5">
      <w:start w:val="0"/>
      <w:numFmt w:val="bullet"/>
      <w:lvlText w:val="•"/>
      <w:lvlJc w:val="left"/>
      <w:pPr>
        <w:ind w:left="7646" w:hanging="901"/>
      </w:pPr>
      <w:rPr>
        <w:rFonts w:hint="default"/>
      </w:rPr>
    </w:lvl>
    <w:lvl w:ilvl="6">
      <w:start w:val="0"/>
      <w:numFmt w:val="bullet"/>
      <w:lvlText w:val="•"/>
      <w:lvlJc w:val="left"/>
      <w:pPr>
        <w:ind w:left="9133" w:hanging="901"/>
      </w:pPr>
      <w:rPr>
        <w:rFonts w:hint="default"/>
      </w:rPr>
    </w:lvl>
    <w:lvl w:ilvl="7">
      <w:start w:val="0"/>
      <w:numFmt w:val="bullet"/>
      <w:lvlText w:val="•"/>
      <w:lvlJc w:val="left"/>
      <w:pPr>
        <w:ind w:left="10619" w:hanging="901"/>
      </w:pPr>
      <w:rPr>
        <w:rFonts w:hint="default"/>
      </w:rPr>
    </w:lvl>
    <w:lvl w:ilvl="8">
      <w:start w:val="0"/>
      <w:numFmt w:val="bullet"/>
      <w:lvlText w:val="•"/>
      <w:lvlJc w:val="left"/>
      <w:pPr>
        <w:ind w:left="12106" w:hanging="901"/>
      </w:pPr>
      <w:rPr>
        <w:rFonts w:hint="default"/>
      </w:rPr>
    </w:lvl>
  </w:abstractNum>
  <w:abstractNum w:abstractNumId="8">
    <w:nsid w:val="2C8B1E90"/>
    <w:multiLevelType w:val="hybridMultilevel"/>
    <w:tmpl w:val="00000000"/>
    <w:lvl w:ilvl="0">
      <w:start w:val="17"/>
      <w:numFmt w:val="decimal"/>
      <w:lvlText w:val="（%1）"/>
      <w:lvlJc w:val="left"/>
      <w:pPr>
        <w:ind w:left="1789" w:hanging="1081"/>
        <w:jc w:val="left"/>
      </w:pPr>
      <w:rPr>
        <w:rFonts w:ascii="楷体" w:eastAsia="楷体" w:hAnsi="楷体" w:cs="楷体" w:hint="default"/>
        <w:w w:val="100"/>
        <w:sz w:val="34"/>
        <w:szCs w:val="34"/>
      </w:rPr>
    </w:lvl>
    <w:lvl w:ilvl="1">
      <w:start w:val="0"/>
      <w:numFmt w:val="bullet"/>
      <w:lvlText w:val="•"/>
      <w:lvlJc w:val="left"/>
      <w:pPr>
        <w:ind w:left="3109" w:hanging="1081"/>
      </w:pPr>
      <w:rPr>
        <w:rFonts w:hint="default"/>
      </w:rPr>
    </w:lvl>
    <w:lvl w:ilvl="2">
      <w:start w:val="0"/>
      <w:numFmt w:val="bullet"/>
      <w:lvlText w:val="•"/>
      <w:lvlJc w:val="left"/>
      <w:pPr>
        <w:ind w:left="4439" w:hanging="1081"/>
      </w:pPr>
      <w:rPr>
        <w:rFonts w:hint="default"/>
      </w:rPr>
    </w:lvl>
    <w:lvl w:ilvl="3">
      <w:start w:val="0"/>
      <w:numFmt w:val="bullet"/>
      <w:lvlText w:val="•"/>
      <w:lvlJc w:val="left"/>
      <w:pPr>
        <w:ind w:left="5769" w:hanging="1081"/>
      </w:pPr>
      <w:rPr>
        <w:rFonts w:hint="default"/>
      </w:rPr>
    </w:lvl>
    <w:lvl w:ilvl="4">
      <w:start w:val="0"/>
      <w:numFmt w:val="bullet"/>
      <w:lvlText w:val="•"/>
      <w:lvlJc w:val="left"/>
      <w:pPr>
        <w:ind w:left="7099" w:hanging="1081"/>
      </w:pPr>
      <w:rPr>
        <w:rFonts w:hint="default"/>
      </w:rPr>
    </w:lvl>
    <w:lvl w:ilvl="5">
      <w:start w:val="0"/>
      <w:numFmt w:val="bullet"/>
      <w:lvlText w:val="•"/>
      <w:lvlJc w:val="left"/>
      <w:pPr>
        <w:ind w:left="8429" w:hanging="1081"/>
      </w:pPr>
      <w:rPr>
        <w:rFonts w:hint="default"/>
      </w:rPr>
    </w:lvl>
    <w:lvl w:ilvl="6">
      <w:start w:val="0"/>
      <w:numFmt w:val="bullet"/>
      <w:lvlText w:val="•"/>
      <w:lvlJc w:val="left"/>
      <w:pPr>
        <w:ind w:left="9759" w:hanging="1081"/>
      </w:pPr>
      <w:rPr>
        <w:rFonts w:hint="default"/>
      </w:rPr>
    </w:lvl>
    <w:lvl w:ilvl="7">
      <w:start w:val="0"/>
      <w:numFmt w:val="bullet"/>
      <w:lvlText w:val="•"/>
      <w:lvlJc w:val="left"/>
      <w:pPr>
        <w:ind w:left="11089" w:hanging="1081"/>
      </w:pPr>
      <w:rPr>
        <w:rFonts w:hint="default"/>
      </w:rPr>
    </w:lvl>
    <w:lvl w:ilvl="8">
      <w:start w:val="0"/>
      <w:numFmt w:val="bullet"/>
      <w:lvlText w:val="•"/>
      <w:lvlJc w:val="left"/>
      <w:pPr>
        <w:ind w:left="12419" w:hanging="1081"/>
      </w:pPr>
      <w:rPr>
        <w:rFonts w:hint="default"/>
      </w:rPr>
    </w:lvl>
  </w:abstractNum>
  <w:abstractNum w:abstractNumId="9">
    <w:nsid w:val="2F48D0B3"/>
    <w:multiLevelType w:val="hybridMultilevel"/>
    <w:tmpl w:val="00000000"/>
    <w:lvl w:ilvl="0">
      <w:start w:val="4"/>
      <w:numFmt w:val="decimal"/>
      <w:lvlText w:val="%1"/>
      <w:lvlJc w:val="left"/>
      <w:pPr>
        <w:ind w:left="1057" w:hanging="350"/>
        <w:jc w:val="left"/>
      </w:pPr>
      <w:rPr>
        <w:rFonts w:ascii="楷体" w:eastAsia="楷体" w:hAnsi="楷体" w:cs="楷体" w:hint="default"/>
        <w:b/>
        <w:bCs/>
        <w:w w:val="99"/>
        <w:sz w:val="45"/>
        <w:szCs w:val="45"/>
      </w:rPr>
    </w:lvl>
    <w:lvl w:ilvl="1">
      <w:start w:val="1"/>
      <w:numFmt w:val="decimal"/>
      <w:lvlText w:val="%1.%2"/>
      <w:lvlJc w:val="left"/>
      <w:pPr>
        <w:ind w:left="1468" w:hanging="760"/>
        <w:jc w:val="left"/>
      </w:pPr>
      <w:rPr>
        <w:rFonts w:ascii="楷体" w:eastAsia="楷体" w:hAnsi="楷体" w:cs="楷体" w:hint="default"/>
        <w:b/>
        <w:bCs/>
        <w:w w:val="99"/>
        <w:sz w:val="42"/>
        <w:szCs w:val="42"/>
      </w:rPr>
    </w:lvl>
    <w:lvl w:ilvl="2">
      <w:start w:val="1"/>
      <w:numFmt w:val="decimal"/>
      <w:lvlText w:val="%1.%2.%3"/>
      <w:lvlJc w:val="left"/>
      <w:pPr>
        <w:ind w:left="1737" w:hanging="1030"/>
        <w:jc w:val="left"/>
      </w:pPr>
      <w:rPr>
        <w:rFonts w:ascii="楷体" w:eastAsia="楷体" w:hAnsi="楷体" w:cs="楷体" w:hint="default"/>
        <w:b/>
        <w:bCs/>
        <w:w w:val="99"/>
        <w:sz w:val="36"/>
        <w:szCs w:val="36"/>
      </w:rPr>
    </w:lvl>
    <w:lvl w:ilvl="3">
      <w:start w:val="1"/>
      <w:numFmt w:val="decimal"/>
      <w:lvlText w:val="%1.%2.%3.%4"/>
      <w:lvlJc w:val="left"/>
      <w:pPr>
        <w:ind w:left="1979" w:hanging="1271"/>
        <w:jc w:val="left"/>
      </w:pPr>
      <w:rPr>
        <w:rFonts w:ascii="楷体" w:eastAsia="楷体" w:hAnsi="楷体" w:cs="楷体" w:hint="default"/>
        <w:b/>
        <w:bCs/>
        <w:w w:val="99"/>
        <w:sz w:val="34"/>
        <w:szCs w:val="34"/>
      </w:rPr>
    </w:lvl>
    <w:lvl w:ilvl="4">
      <w:start w:val="0"/>
      <w:numFmt w:val="bullet"/>
      <w:lvlText w:val="•"/>
      <w:lvlJc w:val="left"/>
      <w:pPr>
        <w:ind w:left="1800" w:hanging="1271"/>
      </w:pPr>
      <w:rPr>
        <w:rFonts w:hint="default"/>
      </w:rPr>
    </w:lvl>
    <w:lvl w:ilvl="5">
      <w:start w:val="0"/>
      <w:numFmt w:val="bullet"/>
      <w:lvlText w:val="•"/>
      <w:lvlJc w:val="left"/>
      <w:pPr>
        <w:ind w:left="1980" w:hanging="1271"/>
      </w:pPr>
      <w:rPr>
        <w:rFonts w:hint="default"/>
      </w:rPr>
    </w:lvl>
    <w:lvl w:ilvl="6">
      <w:start w:val="0"/>
      <w:numFmt w:val="bullet"/>
      <w:lvlText w:val="•"/>
      <w:lvlJc w:val="left"/>
      <w:pPr>
        <w:ind w:left="2060" w:hanging="1271"/>
      </w:pPr>
      <w:rPr>
        <w:rFonts w:hint="default"/>
      </w:rPr>
    </w:lvl>
    <w:lvl w:ilvl="7">
      <w:start w:val="0"/>
      <w:numFmt w:val="bullet"/>
      <w:lvlText w:val="•"/>
      <w:lvlJc w:val="left"/>
      <w:pPr>
        <w:ind w:left="3300" w:hanging="1271"/>
      </w:pPr>
      <w:rPr>
        <w:rFonts w:hint="default"/>
      </w:rPr>
    </w:lvl>
    <w:lvl w:ilvl="8">
      <w:start w:val="0"/>
      <w:numFmt w:val="bullet"/>
      <w:lvlText w:val="•"/>
      <w:lvlJc w:val="left"/>
      <w:pPr>
        <w:ind w:left="3520" w:hanging="1271"/>
      </w:pPr>
      <w:rPr>
        <w:rFonts w:hint="default"/>
      </w:rPr>
    </w:lvl>
  </w:abstractNum>
  <w:abstractNum w:abstractNumId="10">
    <w:nsid w:val="3329AECA"/>
    <w:multiLevelType w:val="hybridMultilevel"/>
    <w:tmpl w:val="00000000"/>
    <w:lvl w:ilvl="0">
      <w:start w:val="3"/>
      <w:numFmt w:val="decimal"/>
      <w:lvlText w:val="%1"/>
      <w:lvlJc w:val="left"/>
      <w:pPr>
        <w:ind w:left="1615" w:hanging="907"/>
        <w:jc w:val="left"/>
      </w:pPr>
      <w:rPr>
        <w:rFonts w:hint="default"/>
      </w:rPr>
    </w:lvl>
    <w:lvl w:ilvl="1">
      <w:start w:val="6"/>
      <w:numFmt w:val="decimal"/>
      <w:lvlText w:val="%1.%2"/>
      <w:lvlJc w:val="left"/>
      <w:pPr>
        <w:ind w:left="1615" w:hanging="907"/>
        <w:jc w:val="left"/>
      </w:pPr>
      <w:rPr>
        <w:rFonts w:hint="default"/>
      </w:rPr>
    </w:lvl>
    <w:lvl w:ilvl="2">
      <w:start w:val="1"/>
      <w:numFmt w:val="decimal"/>
      <w:lvlText w:val="%1.%2.%3"/>
      <w:lvlJc w:val="left"/>
      <w:pPr>
        <w:ind w:left="1615" w:hanging="907"/>
        <w:jc w:val="right"/>
      </w:pPr>
      <w:rPr>
        <w:rFonts w:ascii="楷体" w:eastAsia="楷体" w:hAnsi="楷体" w:cs="楷体" w:hint="default"/>
        <w:b/>
        <w:bCs/>
        <w:w w:val="99"/>
        <w:sz w:val="34"/>
        <w:szCs w:val="34"/>
      </w:rPr>
    </w:lvl>
    <w:lvl w:ilvl="3">
      <w:start w:val="1"/>
      <w:numFmt w:val="decimal"/>
      <w:lvlText w:val="%4."/>
      <w:lvlJc w:val="left"/>
      <w:pPr>
        <w:ind w:left="2900" w:hanging="408"/>
        <w:jc w:val="left"/>
      </w:pPr>
      <w:rPr>
        <w:rFonts w:ascii="楷体" w:eastAsia="楷体" w:hAnsi="楷体" w:cs="楷体" w:hint="default"/>
        <w:spacing w:val="0"/>
        <w:w w:val="100"/>
        <w:sz w:val="25"/>
        <w:szCs w:val="25"/>
      </w:rPr>
    </w:lvl>
    <w:lvl w:ilvl="4">
      <w:start w:val="0"/>
      <w:numFmt w:val="bullet"/>
      <w:lvlText w:val="•"/>
      <w:lvlJc w:val="left"/>
      <w:pPr>
        <w:ind w:left="6959" w:hanging="408"/>
      </w:pPr>
      <w:rPr>
        <w:rFonts w:hint="default"/>
      </w:rPr>
    </w:lvl>
    <w:lvl w:ilvl="5">
      <w:start w:val="0"/>
      <w:numFmt w:val="bullet"/>
      <w:lvlText w:val="•"/>
      <w:lvlJc w:val="left"/>
      <w:pPr>
        <w:ind w:left="8313" w:hanging="408"/>
      </w:pPr>
      <w:rPr>
        <w:rFonts w:hint="default"/>
      </w:rPr>
    </w:lvl>
    <w:lvl w:ilvl="6">
      <w:start w:val="0"/>
      <w:numFmt w:val="bullet"/>
      <w:lvlText w:val="•"/>
      <w:lvlJc w:val="left"/>
      <w:pPr>
        <w:ind w:left="9666" w:hanging="408"/>
      </w:pPr>
      <w:rPr>
        <w:rFonts w:hint="default"/>
      </w:rPr>
    </w:lvl>
    <w:lvl w:ilvl="7">
      <w:start w:val="0"/>
      <w:numFmt w:val="bullet"/>
      <w:lvlText w:val="•"/>
      <w:lvlJc w:val="left"/>
      <w:pPr>
        <w:ind w:left="11019" w:hanging="408"/>
      </w:pPr>
      <w:rPr>
        <w:rFonts w:hint="default"/>
      </w:rPr>
    </w:lvl>
    <w:lvl w:ilvl="8">
      <w:start w:val="0"/>
      <w:numFmt w:val="bullet"/>
      <w:lvlText w:val="•"/>
      <w:lvlJc w:val="left"/>
      <w:pPr>
        <w:ind w:left="12373" w:hanging="408"/>
      </w:pPr>
      <w:rPr>
        <w:rFonts w:hint="default"/>
      </w:rPr>
    </w:lvl>
  </w:abstractNum>
  <w:abstractNum w:abstractNumId="11">
    <w:nsid w:val="3A2C04D9"/>
    <w:multiLevelType w:val="hybridMultilevel"/>
    <w:tmpl w:val="00000000"/>
    <w:lvl w:ilvl="0">
      <w:start w:val="3"/>
      <w:numFmt w:val="decimal"/>
      <w:lvlText w:val="%1"/>
      <w:lvlJc w:val="left"/>
      <w:pPr>
        <w:ind w:left="1705" w:hanging="997"/>
        <w:jc w:val="left"/>
      </w:pPr>
      <w:rPr>
        <w:rFonts w:hint="default"/>
      </w:rPr>
    </w:lvl>
    <w:lvl w:ilvl="1">
      <w:start w:val="2"/>
      <w:numFmt w:val="decimal"/>
      <w:lvlText w:val="%1.%2"/>
      <w:lvlJc w:val="left"/>
      <w:pPr>
        <w:ind w:left="1705" w:hanging="997"/>
        <w:jc w:val="left"/>
      </w:pPr>
      <w:rPr>
        <w:rFonts w:hint="default"/>
      </w:rPr>
    </w:lvl>
    <w:lvl w:ilvl="2">
      <w:start w:val="1"/>
      <w:numFmt w:val="decimal"/>
      <w:lvlText w:val="%1.%2.%3"/>
      <w:lvlJc w:val="left"/>
      <w:pPr>
        <w:ind w:left="1705" w:hanging="997"/>
        <w:jc w:val="left"/>
      </w:pPr>
      <w:rPr>
        <w:rFonts w:ascii="楷体" w:eastAsia="楷体" w:hAnsi="楷体" w:cs="楷体" w:hint="default"/>
        <w:b/>
        <w:bCs/>
        <w:w w:val="99"/>
        <w:sz w:val="36"/>
        <w:szCs w:val="36"/>
      </w:rPr>
    </w:lvl>
    <w:lvl w:ilvl="3">
      <w:start w:val="1"/>
      <w:numFmt w:val="decimal"/>
      <w:lvlText w:val="（%4）"/>
      <w:lvlJc w:val="left"/>
      <w:pPr>
        <w:ind w:left="2329" w:hanging="901"/>
        <w:jc w:val="left"/>
      </w:pPr>
      <w:rPr>
        <w:rFonts w:ascii="楷体" w:eastAsia="楷体" w:hAnsi="楷体" w:cs="楷体" w:hint="default"/>
        <w:spacing w:val="-1"/>
        <w:w w:val="100"/>
        <w:sz w:val="34"/>
        <w:szCs w:val="34"/>
      </w:rPr>
    </w:lvl>
    <w:lvl w:ilvl="4">
      <w:start w:val="0"/>
      <w:numFmt w:val="bullet"/>
      <w:lvlText w:val="•"/>
      <w:lvlJc w:val="left"/>
      <w:pPr>
        <w:ind w:left="6573" w:hanging="901"/>
      </w:pPr>
      <w:rPr>
        <w:rFonts w:hint="default"/>
      </w:rPr>
    </w:lvl>
    <w:lvl w:ilvl="5">
      <w:start w:val="0"/>
      <w:numFmt w:val="bullet"/>
      <w:lvlText w:val="•"/>
      <w:lvlJc w:val="left"/>
      <w:pPr>
        <w:ind w:left="7990" w:hanging="901"/>
      </w:pPr>
      <w:rPr>
        <w:rFonts w:hint="default"/>
      </w:rPr>
    </w:lvl>
    <w:lvl w:ilvl="6">
      <w:start w:val="0"/>
      <w:numFmt w:val="bullet"/>
      <w:lvlText w:val="•"/>
      <w:lvlJc w:val="left"/>
      <w:pPr>
        <w:ind w:left="9408" w:hanging="901"/>
      </w:pPr>
      <w:rPr>
        <w:rFonts w:hint="default"/>
      </w:rPr>
    </w:lvl>
    <w:lvl w:ilvl="7">
      <w:start w:val="0"/>
      <w:numFmt w:val="bullet"/>
      <w:lvlText w:val="•"/>
      <w:lvlJc w:val="left"/>
      <w:pPr>
        <w:ind w:left="10826" w:hanging="901"/>
      </w:pPr>
      <w:rPr>
        <w:rFonts w:hint="default"/>
      </w:rPr>
    </w:lvl>
    <w:lvl w:ilvl="8">
      <w:start w:val="0"/>
      <w:numFmt w:val="bullet"/>
      <w:lvlText w:val="•"/>
      <w:lvlJc w:val="left"/>
      <w:pPr>
        <w:ind w:left="12244" w:hanging="901"/>
      </w:pPr>
      <w:rPr>
        <w:rFonts w:hint="default"/>
      </w:rPr>
    </w:lvl>
  </w:abstractNum>
  <w:abstractNum w:abstractNumId="12">
    <w:nsid w:val="3BAB1B5F"/>
    <w:multiLevelType w:val="hybridMultilevel"/>
    <w:tmpl w:val="00000000"/>
    <w:lvl w:ilvl="0">
      <w:start w:val="1"/>
      <w:numFmt w:val="decimal"/>
      <w:lvlText w:val="(%1)"/>
      <w:lvlJc w:val="left"/>
      <w:pPr>
        <w:ind w:left="1969" w:hanging="541"/>
        <w:jc w:val="left"/>
      </w:pPr>
      <w:rPr>
        <w:rFonts w:ascii="楷体" w:eastAsia="楷体" w:hAnsi="楷体" w:cs="楷体" w:hint="default"/>
        <w:spacing w:val="-1"/>
        <w:w w:val="100"/>
        <w:sz w:val="34"/>
        <w:szCs w:val="34"/>
      </w:rPr>
    </w:lvl>
    <w:lvl w:ilvl="1">
      <w:start w:val="0"/>
      <w:numFmt w:val="bullet"/>
      <w:lvlText w:val="•"/>
      <w:lvlJc w:val="left"/>
      <w:pPr>
        <w:ind w:left="3271" w:hanging="541"/>
      </w:pPr>
      <w:rPr>
        <w:rFonts w:hint="default"/>
      </w:rPr>
    </w:lvl>
    <w:lvl w:ilvl="2">
      <w:start w:val="0"/>
      <w:numFmt w:val="bullet"/>
      <w:lvlText w:val="•"/>
      <w:lvlJc w:val="left"/>
      <w:pPr>
        <w:ind w:left="4583" w:hanging="541"/>
      </w:pPr>
      <w:rPr>
        <w:rFonts w:hint="default"/>
      </w:rPr>
    </w:lvl>
    <w:lvl w:ilvl="3">
      <w:start w:val="0"/>
      <w:numFmt w:val="bullet"/>
      <w:lvlText w:val="•"/>
      <w:lvlJc w:val="left"/>
      <w:pPr>
        <w:ind w:left="5895" w:hanging="541"/>
      </w:pPr>
      <w:rPr>
        <w:rFonts w:hint="default"/>
      </w:rPr>
    </w:lvl>
    <w:lvl w:ilvl="4">
      <w:start w:val="0"/>
      <w:numFmt w:val="bullet"/>
      <w:lvlText w:val="•"/>
      <w:lvlJc w:val="left"/>
      <w:pPr>
        <w:ind w:left="7207" w:hanging="541"/>
      </w:pPr>
      <w:rPr>
        <w:rFonts w:hint="default"/>
      </w:rPr>
    </w:lvl>
    <w:lvl w:ilvl="5">
      <w:start w:val="0"/>
      <w:numFmt w:val="bullet"/>
      <w:lvlText w:val="•"/>
      <w:lvlJc w:val="left"/>
      <w:pPr>
        <w:ind w:left="8519" w:hanging="541"/>
      </w:pPr>
      <w:rPr>
        <w:rFonts w:hint="default"/>
      </w:rPr>
    </w:lvl>
    <w:lvl w:ilvl="6">
      <w:start w:val="0"/>
      <w:numFmt w:val="bullet"/>
      <w:lvlText w:val="•"/>
      <w:lvlJc w:val="left"/>
      <w:pPr>
        <w:ind w:left="9831" w:hanging="541"/>
      </w:pPr>
      <w:rPr>
        <w:rFonts w:hint="default"/>
      </w:rPr>
    </w:lvl>
    <w:lvl w:ilvl="7">
      <w:start w:val="0"/>
      <w:numFmt w:val="bullet"/>
      <w:lvlText w:val="•"/>
      <w:lvlJc w:val="left"/>
      <w:pPr>
        <w:ind w:left="11143" w:hanging="541"/>
      </w:pPr>
      <w:rPr>
        <w:rFonts w:hint="default"/>
      </w:rPr>
    </w:lvl>
    <w:lvl w:ilvl="8">
      <w:start w:val="0"/>
      <w:numFmt w:val="bullet"/>
      <w:lvlText w:val="•"/>
      <w:lvlJc w:val="left"/>
      <w:pPr>
        <w:ind w:left="12455" w:hanging="541"/>
      </w:pPr>
      <w:rPr>
        <w:rFonts w:hint="default"/>
      </w:rPr>
    </w:lvl>
  </w:abstractNum>
  <w:abstractNum w:abstractNumId="13">
    <w:nsid w:val="3D52C129"/>
    <w:multiLevelType w:val="hybridMultilevel"/>
    <w:tmpl w:val="00000000"/>
    <w:lvl w:ilvl="0">
      <w:start w:val="1"/>
      <w:numFmt w:val="decimal"/>
      <w:lvlText w:val="%1."/>
      <w:lvlJc w:val="left"/>
      <w:pPr>
        <w:ind w:left="1072" w:hanging="364"/>
        <w:jc w:val="left"/>
      </w:pPr>
      <w:rPr>
        <w:rFonts w:ascii="楷体" w:eastAsia="楷体" w:hAnsi="楷体" w:cs="楷体" w:hint="default"/>
        <w:b/>
        <w:bCs/>
        <w:w w:val="99"/>
        <w:sz w:val="34"/>
        <w:szCs w:val="34"/>
      </w:rPr>
    </w:lvl>
    <w:lvl w:ilvl="1">
      <w:start w:val="2"/>
      <w:numFmt w:val="decimal"/>
      <w:lvlText w:val="%2."/>
      <w:lvlJc w:val="left"/>
      <w:pPr>
        <w:ind w:left="708" w:hanging="545"/>
        <w:jc w:val="left"/>
      </w:pPr>
      <w:rPr>
        <w:rFonts w:ascii="楷体" w:eastAsia="楷体" w:hAnsi="楷体" w:cs="楷体" w:hint="default"/>
        <w:spacing w:val="0"/>
        <w:w w:val="100"/>
        <w:sz w:val="34"/>
        <w:szCs w:val="34"/>
      </w:rPr>
    </w:lvl>
    <w:lvl w:ilvl="2">
      <w:start w:val="0"/>
      <w:numFmt w:val="bullet"/>
      <w:lvlText w:val="•"/>
      <w:lvlJc w:val="left"/>
      <w:pPr>
        <w:ind w:left="1740" w:hanging="545"/>
      </w:pPr>
      <w:rPr>
        <w:rFonts w:hint="default"/>
      </w:rPr>
    </w:lvl>
    <w:lvl w:ilvl="3">
      <w:start w:val="0"/>
      <w:numFmt w:val="bullet"/>
      <w:lvlText w:val="•"/>
      <w:lvlJc w:val="left"/>
      <w:pPr>
        <w:ind w:left="1938" w:hanging="545"/>
      </w:pPr>
      <w:rPr>
        <w:rFonts w:hint="default"/>
      </w:rPr>
    </w:lvl>
    <w:lvl w:ilvl="4">
      <w:start w:val="0"/>
      <w:numFmt w:val="bullet"/>
      <w:lvlText w:val="•"/>
      <w:lvlJc w:val="left"/>
      <w:pPr>
        <w:ind w:left="2136" w:hanging="545"/>
      </w:pPr>
      <w:rPr>
        <w:rFonts w:hint="default"/>
      </w:rPr>
    </w:lvl>
    <w:lvl w:ilvl="5">
      <w:start w:val="0"/>
      <w:numFmt w:val="bullet"/>
      <w:lvlText w:val="•"/>
      <w:lvlJc w:val="left"/>
      <w:pPr>
        <w:ind w:left="2334" w:hanging="545"/>
      </w:pPr>
      <w:rPr>
        <w:rFonts w:hint="default"/>
      </w:rPr>
    </w:lvl>
    <w:lvl w:ilvl="6">
      <w:start w:val="0"/>
      <w:numFmt w:val="bullet"/>
      <w:lvlText w:val="•"/>
      <w:lvlJc w:val="left"/>
      <w:pPr>
        <w:ind w:left="2532" w:hanging="545"/>
      </w:pPr>
      <w:rPr>
        <w:rFonts w:hint="default"/>
      </w:rPr>
    </w:lvl>
    <w:lvl w:ilvl="7">
      <w:start w:val="0"/>
      <w:numFmt w:val="bullet"/>
      <w:lvlText w:val="•"/>
      <w:lvlJc w:val="left"/>
      <w:pPr>
        <w:ind w:left="2731" w:hanging="545"/>
      </w:pPr>
      <w:rPr>
        <w:rFonts w:hint="default"/>
      </w:rPr>
    </w:lvl>
    <w:lvl w:ilvl="8">
      <w:start w:val="0"/>
      <w:numFmt w:val="bullet"/>
      <w:lvlText w:val="•"/>
      <w:lvlJc w:val="left"/>
      <w:pPr>
        <w:ind w:left="2929" w:hanging="545"/>
      </w:pPr>
      <w:rPr>
        <w:rFonts w:hint="default"/>
      </w:rPr>
    </w:lvl>
  </w:abstractNum>
  <w:abstractNum w:abstractNumId="14">
    <w:nsid w:val="3FC99137"/>
    <w:multiLevelType w:val="hybridMultilevel"/>
    <w:tmpl w:val="00000000"/>
    <w:lvl w:ilvl="0">
      <w:start w:val="1"/>
      <w:numFmt w:val="decimal"/>
      <w:lvlText w:val="%1."/>
      <w:lvlJc w:val="left"/>
      <w:pPr>
        <w:ind w:left="1072" w:hanging="364"/>
        <w:jc w:val="left"/>
      </w:pPr>
      <w:rPr>
        <w:rFonts w:ascii="楷体" w:eastAsia="楷体" w:hAnsi="楷体" w:cs="楷体" w:hint="default"/>
        <w:b/>
        <w:bCs/>
        <w:w w:val="99"/>
        <w:sz w:val="34"/>
        <w:szCs w:val="34"/>
      </w:rPr>
    </w:lvl>
    <w:lvl w:ilvl="1">
      <w:start w:val="1"/>
      <w:numFmt w:val="decimal"/>
      <w:lvlText w:val="(%2)"/>
      <w:lvlJc w:val="left"/>
      <w:pPr>
        <w:ind w:left="708" w:hanging="544"/>
        <w:jc w:val="left"/>
      </w:pPr>
      <w:rPr>
        <w:rFonts w:ascii="楷体" w:eastAsia="楷体" w:hAnsi="楷体" w:cs="楷体" w:hint="default"/>
        <w:w w:val="100"/>
        <w:sz w:val="34"/>
        <w:szCs w:val="34"/>
      </w:rPr>
    </w:lvl>
    <w:lvl w:ilvl="2">
      <w:start w:val="0"/>
      <w:numFmt w:val="bullet"/>
      <w:lvlText w:val="•"/>
      <w:lvlJc w:val="left"/>
      <w:pPr>
        <w:ind w:left="2635" w:hanging="544"/>
      </w:pPr>
      <w:rPr>
        <w:rFonts w:hint="default"/>
      </w:rPr>
    </w:lvl>
    <w:lvl w:ilvl="3">
      <w:start w:val="0"/>
      <w:numFmt w:val="bullet"/>
      <w:lvlText w:val="•"/>
      <w:lvlJc w:val="left"/>
      <w:pPr>
        <w:ind w:left="4191" w:hanging="544"/>
      </w:pPr>
      <w:rPr>
        <w:rFonts w:hint="default"/>
      </w:rPr>
    </w:lvl>
    <w:lvl w:ilvl="4">
      <w:start w:val="0"/>
      <w:numFmt w:val="bullet"/>
      <w:lvlText w:val="•"/>
      <w:lvlJc w:val="left"/>
      <w:pPr>
        <w:ind w:left="5746" w:hanging="544"/>
      </w:pPr>
      <w:rPr>
        <w:rFonts w:hint="default"/>
      </w:rPr>
    </w:lvl>
    <w:lvl w:ilvl="5">
      <w:start w:val="0"/>
      <w:numFmt w:val="bullet"/>
      <w:lvlText w:val="•"/>
      <w:lvlJc w:val="left"/>
      <w:pPr>
        <w:ind w:left="7302" w:hanging="544"/>
      </w:pPr>
      <w:rPr>
        <w:rFonts w:hint="default"/>
      </w:rPr>
    </w:lvl>
    <w:lvl w:ilvl="6">
      <w:start w:val="0"/>
      <w:numFmt w:val="bullet"/>
      <w:lvlText w:val="•"/>
      <w:lvlJc w:val="left"/>
      <w:pPr>
        <w:ind w:left="8857" w:hanging="544"/>
      </w:pPr>
      <w:rPr>
        <w:rFonts w:hint="default"/>
      </w:rPr>
    </w:lvl>
    <w:lvl w:ilvl="7">
      <w:start w:val="0"/>
      <w:numFmt w:val="bullet"/>
      <w:lvlText w:val="•"/>
      <w:lvlJc w:val="left"/>
      <w:pPr>
        <w:ind w:left="10413" w:hanging="544"/>
      </w:pPr>
      <w:rPr>
        <w:rFonts w:hint="default"/>
      </w:rPr>
    </w:lvl>
    <w:lvl w:ilvl="8">
      <w:start w:val="0"/>
      <w:numFmt w:val="bullet"/>
      <w:lvlText w:val="•"/>
      <w:lvlJc w:val="left"/>
      <w:pPr>
        <w:ind w:left="11968" w:hanging="544"/>
      </w:pPr>
      <w:rPr>
        <w:rFonts w:hint="default"/>
      </w:rPr>
    </w:lvl>
  </w:abstractNum>
  <w:abstractNum w:abstractNumId="15">
    <w:nsid w:val="402BBE82"/>
    <w:multiLevelType w:val="hybridMultilevel"/>
    <w:tmpl w:val="00000000"/>
    <w:lvl w:ilvl="0">
      <w:start w:val="3"/>
      <w:numFmt w:val="decimal"/>
      <w:lvlText w:val="%1."/>
      <w:lvlJc w:val="left"/>
      <w:pPr>
        <w:ind w:left="1172" w:hanging="465"/>
        <w:jc w:val="left"/>
      </w:pPr>
      <w:rPr>
        <w:rFonts w:ascii="楷体" w:eastAsia="楷体" w:hAnsi="楷体" w:cs="楷体" w:hint="default"/>
        <w:b/>
        <w:bCs/>
        <w:w w:val="99"/>
        <w:sz w:val="43"/>
        <w:szCs w:val="43"/>
      </w:rPr>
    </w:lvl>
    <w:lvl w:ilvl="1">
      <w:start w:val="1"/>
      <w:numFmt w:val="decimal"/>
      <w:lvlText w:val="%1.%2"/>
      <w:lvlJc w:val="left"/>
      <w:pPr>
        <w:ind w:left="708" w:hanging="760"/>
        <w:jc w:val="left"/>
      </w:pPr>
      <w:rPr>
        <w:rFonts w:ascii="楷体" w:eastAsia="楷体" w:hAnsi="楷体" w:cs="楷体" w:hint="default"/>
        <w:b/>
        <w:bCs/>
        <w:w w:val="99"/>
        <w:sz w:val="42"/>
        <w:szCs w:val="42"/>
      </w:rPr>
    </w:lvl>
    <w:lvl w:ilvl="2">
      <w:start w:val="1"/>
      <w:numFmt w:val="decimal"/>
      <w:lvlText w:val="（%3）"/>
      <w:lvlJc w:val="left"/>
      <w:pPr>
        <w:ind w:left="2329" w:hanging="901"/>
        <w:jc w:val="left"/>
      </w:pPr>
      <w:rPr>
        <w:rFonts w:ascii="楷体" w:eastAsia="楷体" w:hAnsi="楷体" w:cs="楷体" w:hint="default"/>
        <w:spacing w:val="-1"/>
        <w:w w:val="100"/>
        <w:sz w:val="34"/>
        <w:szCs w:val="34"/>
      </w:rPr>
    </w:lvl>
    <w:lvl w:ilvl="3">
      <w:start w:val="0"/>
      <w:numFmt w:val="bullet"/>
      <w:lvlText w:val="•"/>
      <w:lvlJc w:val="left"/>
      <w:pPr>
        <w:ind w:left="3914" w:hanging="901"/>
      </w:pPr>
      <w:rPr>
        <w:rFonts w:hint="default"/>
      </w:rPr>
    </w:lvl>
    <w:lvl w:ilvl="4">
      <w:start w:val="0"/>
      <w:numFmt w:val="bullet"/>
      <w:lvlText w:val="•"/>
      <w:lvlJc w:val="left"/>
      <w:pPr>
        <w:ind w:left="5509" w:hanging="901"/>
      </w:pPr>
      <w:rPr>
        <w:rFonts w:hint="default"/>
      </w:rPr>
    </w:lvl>
    <w:lvl w:ilvl="5">
      <w:start w:val="0"/>
      <w:numFmt w:val="bullet"/>
      <w:lvlText w:val="•"/>
      <w:lvlJc w:val="left"/>
      <w:pPr>
        <w:ind w:left="7104" w:hanging="901"/>
      </w:pPr>
      <w:rPr>
        <w:rFonts w:hint="default"/>
      </w:rPr>
    </w:lvl>
    <w:lvl w:ilvl="6">
      <w:start w:val="0"/>
      <w:numFmt w:val="bullet"/>
      <w:lvlText w:val="•"/>
      <w:lvlJc w:val="left"/>
      <w:pPr>
        <w:ind w:left="8699" w:hanging="901"/>
      </w:pPr>
      <w:rPr>
        <w:rFonts w:hint="default"/>
      </w:rPr>
    </w:lvl>
    <w:lvl w:ilvl="7">
      <w:start w:val="0"/>
      <w:numFmt w:val="bullet"/>
      <w:lvlText w:val="•"/>
      <w:lvlJc w:val="left"/>
      <w:pPr>
        <w:ind w:left="10294" w:hanging="901"/>
      </w:pPr>
      <w:rPr>
        <w:rFonts w:hint="default"/>
      </w:rPr>
    </w:lvl>
    <w:lvl w:ilvl="8">
      <w:start w:val="0"/>
      <w:numFmt w:val="bullet"/>
      <w:lvlText w:val="•"/>
      <w:lvlJc w:val="left"/>
      <w:pPr>
        <w:ind w:left="11889" w:hanging="901"/>
      </w:pPr>
      <w:rPr>
        <w:rFonts w:hint="default"/>
      </w:rPr>
    </w:lvl>
  </w:abstractNum>
  <w:abstractNum w:abstractNumId="16">
    <w:nsid w:val="4917503C"/>
    <w:multiLevelType w:val="hybridMultilevel"/>
    <w:tmpl w:val="00000000"/>
    <w:lvl w:ilvl="0">
      <w:start w:val="3"/>
      <w:numFmt w:val="decimal"/>
      <w:lvlText w:val="%1"/>
      <w:lvlJc w:val="left"/>
      <w:pPr>
        <w:ind w:left="1737" w:hanging="1030"/>
        <w:jc w:val="left"/>
      </w:pPr>
      <w:rPr>
        <w:rFonts w:hint="default"/>
      </w:rPr>
    </w:lvl>
    <w:lvl w:ilvl="1">
      <w:start w:val="4"/>
      <w:numFmt w:val="decimal"/>
      <w:lvlText w:val="%1.%2"/>
      <w:lvlJc w:val="left"/>
      <w:pPr>
        <w:ind w:left="1737" w:hanging="1030"/>
        <w:jc w:val="left"/>
      </w:pPr>
      <w:rPr>
        <w:rFonts w:hint="default"/>
      </w:rPr>
    </w:lvl>
    <w:lvl w:ilvl="2">
      <w:start w:val="1"/>
      <w:numFmt w:val="decimal"/>
      <w:lvlText w:val="%1.%2.%3"/>
      <w:lvlJc w:val="left"/>
      <w:pPr>
        <w:ind w:left="1737" w:hanging="1030"/>
        <w:jc w:val="left"/>
      </w:pPr>
      <w:rPr>
        <w:rFonts w:ascii="楷体" w:eastAsia="楷体" w:hAnsi="楷体" w:cs="楷体" w:hint="default"/>
        <w:b/>
        <w:bCs/>
        <w:w w:val="99"/>
        <w:sz w:val="36"/>
        <w:szCs w:val="36"/>
      </w:rPr>
    </w:lvl>
    <w:lvl w:ilvl="3">
      <w:start w:val="1"/>
      <w:numFmt w:val="decimal"/>
      <w:lvlText w:val="（%4）"/>
      <w:lvlJc w:val="left"/>
      <w:pPr>
        <w:ind w:left="2329" w:hanging="901"/>
        <w:jc w:val="left"/>
      </w:pPr>
      <w:rPr>
        <w:rFonts w:ascii="楷体" w:eastAsia="楷体" w:hAnsi="楷体" w:cs="楷体" w:hint="default"/>
        <w:spacing w:val="-1"/>
        <w:w w:val="100"/>
        <w:sz w:val="34"/>
        <w:szCs w:val="34"/>
      </w:rPr>
    </w:lvl>
    <w:lvl w:ilvl="4">
      <w:start w:val="0"/>
      <w:numFmt w:val="bullet"/>
      <w:lvlText w:val="•"/>
      <w:lvlJc w:val="left"/>
      <w:pPr>
        <w:ind w:left="6573" w:hanging="901"/>
      </w:pPr>
      <w:rPr>
        <w:rFonts w:hint="default"/>
      </w:rPr>
    </w:lvl>
    <w:lvl w:ilvl="5">
      <w:start w:val="0"/>
      <w:numFmt w:val="bullet"/>
      <w:lvlText w:val="•"/>
      <w:lvlJc w:val="left"/>
      <w:pPr>
        <w:ind w:left="7990" w:hanging="901"/>
      </w:pPr>
      <w:rPr>
        <w:rFonts w:hint="default"/>
      </w:rPr>
    </w:lvl>
    <w:lvl w:ilvl="6">
      <w:start w:val="0"/>
      <w:numFmt w:val="bullet"/>
      <w:lvlText w:val="•"/>
      <w:lvlJc w:val="left"/>
      <w:pPr>
        <w:ind w:left="9408" w:hanging="901"/>
      </w:pPr>
      <w:rPr>
        <w:rFonts w:hint="default"/>
      </w:rPr>
    </w:lvl>
    <w:lvl w:ilvl="7">
      <w:start w:val="0"/>
      <w:numFmt w:val="bullet"/>
      <w:lvlText w:val="•"/>
      <w:lvlJc w:val="left"/>
      <w:pPr>
        <w:ind w:left="10826" w:hanging="901"/>
      </w:pPr>
      <w:rPr>
        <w:rFonts w:hint="default"/>
      </w:rPr>
    </w:lvl>
    <w:lvl w:ilvl="8">
      <w:start w:val="0"/>
      <w:numFmt w:val="bullet"/>
      <w:lvlText w:val="•"/>
      <w:lvlJc w:val="left"/>
      <w:pPr>
        <w:ind w:left="12244" w:hanging="901"/>
      </w:pPr>
      <w:rPr>
        <w:rFonts w:hint="default"/>
      </w:rPr>
    </w:lvl>
  </w:abstractNum>
  <w:abstractNum w:abstractNumId="17">
    <w:nsid w:val="54D6506C"/>
    <w:multiLevelType w:val="hybridMultilevel"/>
    <w:tmpl w:val="00000000"/>
    <w:lvl w:ilvl="0">
      <w:start w:val="3"/>
      <w:numFmt w:val="decimal"/>
      <w:lvlText w:val="%1"/>
      <w:lvlJc w:val="left"/>
      <w:pPr>
        <w:ind w:left="1737" w:hanging="1030"/>
        <w:jc w:val="left"/>
      </w:pPr>
      <w:rPr>
        <w:rFonts w:hint="default"/>
      </w:rPr>
    </w:lvl>
    <w:lvl w:ilvl="1">
      <w:start w:val="7"/>
      <w:numFmt w:val="decimal"/>
      <w:lvlText w:val="%1.%2"/>
      <w:lvlJc w:val="left"/>
      <w:pPr>
        <w:ind w:left="1737" w:hanging="1030"/>
        <w:jc w:val="left"/>
      </w:pPr>
      <w:rPr>
        <w:rFonts w:hint="default"/>
      </w:rPr>
    </w:lvl>
    <w:lvl w:ilvl="2">
      <w:start w:val="1"/>
      <w:numFmt w:val="decimal"/>
      <w:lvlText w:val="%1.%2.%3"/>
      <w:lvlJc w:val="left"/>
      <w:pPr>
        <w:ind w:left="1737" w:hanging="1030"/>
        <w:jc w:val="left"/>
      </w:pPr>
      <w:rPr>
        <w:rFonts w:ascii="楷体" w:eastAsia="楷体" w:hAnsi="楷体" w:cs="楷体" w:hint="default"/>
        <w:b/>
        <w:bCs/>
        <w:w w:val="99"/>
        <w:sz w:val="36"/>
        <w:szCs w:val="36"/>
      </w:rPr>
    </w:lvl>
    <w:lvl w:ilvl="3">
      <w:start w:val="0"/>
      <w:numFmt w:val="bullet"/>
      <w:lvlText w:val="•"/>
      <w:lvlJc w:val="left"/>
      <w:pPr>
        <w:ind w:left="5741" w:hanging="1030"/>
      </w:pPr>
      <w:rPr>
        <w:rFonts w:hint="default"/>
      </w:rPr>
    </w:lvl>
    <w:lvl w:ilvl="4">
      <w:start w:val="0"/>
      <w:numFmt w:val="bullet"/>
      <w:lvlText w:val="•"/>
      <w:lvlJc w:val="left"/>
      <w:pPr>
        <w:ind w:left="7075" w:hanging="1030"/>
      </w:pPr>
      <w:rPr>
        <w:rFonts w:hint="default"/>
      </w:rPr>
    </w:lvl>
    <w:lvl w:ilvl="5">
      <w:start w:val="0"/>
      <w:numFmt w:val="bullet"/>
      <w:lvlText w:val="•"/>
      <w:lvlJc w:val="left"/>
      <w:pPr>
        <w:ind w:left="8409" w:hanging="1030"/>
      </w:pPr>
      <w:rPr>
        <w:rFonts w:hint="default"/>
      </w:rPr>
    </w:lvl>
    <w:lvl w:ilvl="6">
      <w:start w:val="0"/>
      <w:numFmt w:val="bullet"/>
      <w:lvlText w:val="•"/>
      <w:lvlJc w:val="left"/>
      <w:pPr>
        <w:ind w:left="9743" w:hanging="1030"/>
      </w:pPr>
      <w:rPr>
        <w:rFonts w:hint="default"/>
      </w:rPr>
    </w:lvl>
    <w:lvl w:ilvl="7">
      <w:start w:val="0"/>
      <w:numFmt w:val="bullet"/>
      <w:lvlText w:val="•"/>
      <w:lvlJc w:val="left"/>
      <w:pPr>
        <w:ind w:left="11077" w:hanging="1030"/>
      </w:pPr>
      <w:rPr>
        <w:rFonts w:hint="default"/>
      </w:rPr>
    </w:lvl>
    <w:lvl w:ilvl="8">
      <w:start w:val="0"/>
      <w:numFmt w:val="bullet"/>
      <w:lvlText w:val="•"/>
      <w:lvlJc w:val="left"/>
      <w:pPr>
        <w:ind w:left="12411" w:hanging="1030"/>
      </w:pPr>
      <w:rPr>
        <w:rFonts w:hint="default"/>
      </w:rPr>
    </w:lvl>
  </w:abstractNum>
  <w:abstractNum w:abstractNumId="18">
    <w:nsid w:val="564554E6"/>
    <w:multiLevelType w:val="hybridMultilevel"/>
    <w:tmpl w:val="00000000"/>
    <w:lvl w:ilvl="0">
      <w:start w:val="6"/>
      <w:numFmt w:val="decimal"/>
      <w:lvlText w:val="%1"/>
      <w:lvlJc w:val="left"/>
      <w:pPr>
        <w:ind w:left="1316" w:hanging="2502"/>
        <w:jc w:val="left"/>
      </w:pPr>
      <w:rPr>
        <w:rFonts w:ascii="楷体" w:eastAsia="楷体" w:hAnsi="楷体" w:cs="楷体" w:hint="default"/>
        <w:w w:val="100"/>
        <w:sz w:val="27"/>
        <w:szCs w:val="27"/>
      </w:rPr>
    </w:lvl>
    <w:lvl w:ilvl="1">
      <w:start w:val="0"/>
      <w:numFmt w:val="bullet"/>
      <w:lvlText w:val="•"/>
      <w:lvlJc w:val="left"/>
      <w:pPr>
        <w:ind w:left="2695" w:hanging="2502"/>
      </w:pPr>
      <w:rPr>
        <w:rFonts w:hint="default"/>
      </w:rPr>
    </w:lvl>
    <w:lvl w:ilvl="2">
      <w:start w:val="0"/>
      <w:numFmt w:val="bullet"/>
      <w:lvlText w:val="•"/>
      <w:lvlJc w:val="left"/>
      <w:pPr>
        <w:ind w:left="4071" w:hanging="2502"/>
      </w:pPr>
      <w:rPr>
        <w:rFonts w:hint="default"/>
      </w:rPr>
    </w:lvl>
    <w:lvl w:ilvl="3">
      <w:start w:val="0"/>
      <w:numFmt w:val="bullet"/>
      <w:lvlText w:val="•"/>
      <w:lvlJc w:val="left"/>
      <w:pPr>
        <w:ind w:left="5447" w:hanging="2502"/>
      </w:pPr>
      <w:rPr>
        <w:rFonts w:hint="default"/>
      </w:rPr>
    </w:lvl>
    <w:lvl w:ilvl="4">
      <w:start w:val="0"/>
      <w:numFmt w:val="bullet"/>
      <w:lvlText w:val="•"/>
      <w:lvlJc w:val="left"/>
      <w:pPr>
        <w:ind w:left="6823" w:hanging="2502"/>
      </w:pPr>
      <w:rPr>
        <w:rFonts w:hint="default"/>
      </w:rPr>
    </w:lvl>
    <w:lvl w:ilvl="5">
      <w:start w:val="0"/>
      <w:numFmt w:val="bullet"/>
      <w:lvlText w:val="•"/>
      <w:lvlJc w:val="left"/>
      <w:pPr>
        <w:ind w:left="8199" w:hanging="2502"/>
      </w:pPr>
      <w:rPr>
        <w:rFonts w:hint="default"/>
      </w:rPr>
    </w:lvl>
    <w:lvl w:ilvl="6">
      <w:start w:val="0"/>
      <w:numFmt w:val="bullet"/>
      <w:lvlText w:val="•"/>
      <w:lvlJc w:val="left"/>
      <w:pPr>
        <w:ind w:left="9575" w:hanging="2502"/>
      </w:pPr>
      <w:rPr>
        <w:rFonts w:hint="default"/>
      </w:rPr>
    </w:lvl>
    <w:lvl w:ilvl="7">
      <w:start w:val="0"/>
      <w:numFmt w:val="bullet"/>
      <w:lvlText w:val="•"/>
      <w:lvlJc w:val="left"/>
      <w:pPr>
        <w:ind w:left="10951" w:hanging="2502"/>
      </w:pPr>
      <w:rPr>
        <w:rFonts w:hint="default"/>
      </w:rPr>
    </w:lvl>
    <w:lvl w:ilvl="8">
      <w:start w:val="0"/>
      <w:numFmt w:val="bullet"/>
      <w:lvlText w:val="•"/>
      <w:lvlJc w:val="left"/>
      <w:pPr>
        <w:ind w:left="12327" w:hanging="2502"/>
      </w:pPr>
      <w:rPr>
        <w:rFonts w:hint="default"/>
      </w:rPr>
    </w:lvl>
  </w:abstractNum>
  <w:abstractNum w:abstractNumId="19">
    <w:nsid w:val="5D5EAFA2"/>
    <w:multiLevelType w:val="hybridMultilevel"/>
    <w:tmpl w:val="00000000"/>
    <w:lvl w:ilvl="0">
      <w:start w:val="1"/>
      <w:numFmt w:val="decimal"/>
      <w:lvlText w:val="%1）"/>
      <w:lvlJc w:val="left"/>
      <w:pPr>
        <w:ind w:left="1969" w:hanging="541"/>
        <w:jc w:val="left"/>
      </w:pPr>
      <w:rPr>
        <w:rFonts w:ascii="楷体" w:eastAsia="楷体" w:hAnsi="楷体" w:cs="楷体" w:hint="default"/>
        <w:spacing w:val="-1"/>
        <w:w w:val="100"/>
        <w:sz w:val="34"/>
        <w:szCs w:val="34"/>
      </w:rPr>
    </w:lvl>
    <w:lvl w:ilvl="1">
      <w:start w:val="0"/>
      <w:numFmt w:val="bullet"/>
      <w:lvlText w:val="•"/>
      <w:lvlJc w:val="left"/>
      <w:pPr>
        <w:ind w:left="3271" w:hanging="541"/>
      </w:pPr>
      <w:rPr>
        <w:rFonts w:hint="default"/>
      </w:rPr>
    </w:lvl>
    <w:lvl w:ilvl="2">
      <w:start w:val="0"/>
      <w:numFmt w:val="bullet"/>
      <w:lvlText w:val="•"/>
      <w:lvlJc w:val="left"/>
      <w:pPr>
        <w:ind w:left="4583" w:hanging="541"/>
      </w:pPr>
      <w:rPr>
        <w:rFonts w:hint="default"/>
      </w:rPr>
    </w:lvl>
    <w:lvl w:ilvl="3">
      <w:start w:val="0"/>
      <w:numFmt w:val="bullet"/>
      <w:lvlText w:val="•"/>
      <w:lvlJc w:val="left"/>
      <w:pPr>
        <w:ind w:left="5895" w:hanging="541"/>
      </w:pPr>
      <w:rPr>
        <w:rFonts w:hint="default"/>
      </w:rPr>
    </w:lvl>
    <w:lvl w:ilvl="4">
      <w:start w:val="0"/>
      <w:numFmt w:val="bullet"/>
      <w:lvlText w:val="•"/>
      <w:lvlJc w:val="left"/>
      <w:pPr>
        <w:ind w:left="7207" w:hanging="541"/>
      </w:pPr>
      <w:rPr>
        <w:rFonts w:hint="default"/>
      </w:rPr>
    </w:lvl>
    <w:lvl w:ilvl="5">
      <w:start w:val="0"/>
      <w:numFmt w:val="bullet"/>
      <w:lvlText w:val="•"/>
      <w:lvlJc w:val="left"/>
      <w:pPr>
        <w:ind w:left="8519" w:hanging="541"/>
      </w:pPr>
      <w:rPr>
        <w:rFonts w:hint="default"/>
      </w:rPr>
    </w:lvl>
    <w:lvl w:ilvl="6">
      <w:start w:val="0"/>
      <w:numFmt w:val="bullet"/>
      <w:lvlText w:val="•"/>
      <w:lvlJc w:val="left"/>
      <w:pPr>
        <w:ind w:left="9831" w:hanging="541"/>
      </w:pPr>
      <w:rPr>
        <w:rFonts w:hint="default"/>
      </w:rPr>
    </w:lvl>
    <w:lvl w:ilvl="7">
      <w:start w:val="0"/>
      <w:numFmt w:val="bullet"/>
      <w:lvlText w:val="•"/>
      <w:lvlJc w:val="left"/>
      <w:pPr>
        <w:ind w:left="11143" w:hanging="541"/>
      </w:pPr>
      <w:rPr>
        <w:rFonts w:hint="default"/>
      </w:rPr>
    </w:lvl>
    <w:lvl w:ilvl="8">
      <w:start w:val="0"/>
      <w:numFmt w:val="bullet"/>
      <w:lvlText w:val="•"/>
      <w:lvlJc w:val="left"/>
      <w:pPr>
        <w:ind w:left="12455" w:hanging="541"/>
      </w:pPr>
      <w:rPr>
        <w:rFonts w:hint="default"/>
      </w:rPr>
    </w:lvl>
  </w:abstractNum>
  <w:abstractNum w:abstractNumId="20">
    <w:nsid w:val="62429550"/>
    <w:multiLevelType w:val="hybridMultilevel"/>
    <w:tmpl w:val="00000000"/>
    <w:lvl w:ilvl="0">
      <w:start w:val="1"/>
      <w:numFmt w:val="decimal"/>
      <w:lvlText w:val="（%1）"/>
      <w:lvlJc w:val="left"/>
      <w:pPr>
        <w:ind w:left="2329" w:hanging="901"/>
        <w:jc w:val="left"/>
      </w:pPr>
      <w:rPr>
        <w:rFonts w:ascii="楷体" w:eastAsia="楷体" w:hAnsi="楷体" w:cs="楷体" w:hint="default"/>
        <w:spacing w:val="-1"/>
        <w:w w:val="100"/>
        <w:sz w:val="34"/>
        <w:szCs w:val="34"/>
      </w:rPr>
    </w:lvl>
    <w:lvl w:ilvl="1">
      <w:start w:val="0"/>
      <w:numFmt w:val="bullet"/>
      <w:lvlText w:val="•"/>
      <w:lvlJc w:val="left"/>
      <w:pPr>
        <w:ind w:left="3595" w:hanging="901"/>
      </w:pPr>
      <w:rPr>
        <w:rFonts w:hint="default"/>
      </w:rPr>
    </w:lvl>
    <w:lvl w:ilvl="2">
      <w:start w:val="0"/>
      <w:numFmt w:val="bullet"/>
      <w:lvlText w:val="•"/>
      <w:lvlJc w:val="left"/>
      <w:pPr>
        <w:ind w:left="4871" w:hanging="901"/>
      </w:pPr>
      <w:rPr>
        <w:rFonts w:hint="default"/>
      </w:rPr>
    </w:lvl>
    <w:lvl w:ilvl="3">
      <w:start w:val="0"/>
      <w:numFmt w:val="bullet"/>
      <w:lvlText w:val="•"/>
      <w:lvlJc w:val="left"/>
      <w:pPr>
        <w:ind w:left="6147" w:hanging="901"/>
      </w:pPr>
      <w:rPr>
        <w:rFonts w:hint="default"/>
      </w:rPr>
    </w:lvl>
    <w:lvl w:ilvl="4">
      <w:start w:val="0"/>
      <w:numFmt w:val="bullet"/>
      <w:lvlText w:val="•"/>
      <w:lvlJc w:val="left"/>
      <w:pPr>
        <w:ind w:left="7423" w:hanging="901"/>
      </w:pPr>
      <w:rPr>
        <w:rFonts w:hint="default"/>
      </w:rPr>
    </w:lvl>
    <w:lvl w:ilvl="5">
      <w:start w:val="0"/>
      <w:numFmt w:val="bullet"/>
      <w:lvlText w:val="•"/>
      <w:lvlJc w:val="left"/>
      <w:pPr>
        <w:ind w:left="8699" w:hanging="901"/>
      </w:pPr>
      <w:rPr>
        <w:rFonts w:hint="default"/>
      </w:rPr>
    </w:lvl>
    <w:lvl w:ilvl="6">
      <w:start w:val="0"/>
      <w:numFmt w:val="bullet"/>
      <w:lvlText w:val="•"/>
      <w:lvlJc w:val="left"/>
      <w:pPr>
        <w:ind w:left="9975" w:hanging="901"/>
      </w:pPr>
      <w:rPr>
        <w:rFonts w:hint="default"/>
      </w:rPr>
    </w:lvl>
    <w:lvl w:ilvl="7">
      <w:start w:val="0"/>
      <w:numFmt w:val="bullet"/>
      <w:lvlText w:val="•"/>
      <w:lvlJc w:val="left"/>
      <w:pPr>
        <w:ind w:left="11251" w:hanging="901"/>
      </w:pPr>
      <w:rPr>
        <w:rFonts w:hint="default"/>
      </w:rPr>
    </w:lvl>
    <w:lvl w:ilvl="8">
      <w:start w:val="0"/>
      <w:numFmt w:val="bullet"/>
      <w:lvlText w:val="•"/>
      <w:lvlJc w:val="left"/>
      <w:pPr>
        <w:ind w:left="12527" w:hanging="901"/>
      </w:pPr>
      <w:rPr>
        <w:rFonts w:hint="default"/>
      </w:rPr>
    </w:lvl>
  </w:abstractNum>
  <w:abstractNum w:abstractNumId="21">
    <w:nsid w:val="627903FF"/>
    <w:multiLevelType w:val="hybridMultilevel"/>
    <w:tmpl w:val="00000000"/>
    <w:lvl w:ilvl="0">
      <w:start w:val="2"/>
      <w:numFmt w:val="decimal"/>
      <w:lvlText w:val="%1"/>
      <w:lvlJc w:val="left"/>
      <w:pPr>
        <w:ind w:left="1669" w:hanging="720"/>
        <w:jc w:val="left"/>
      </w:pPr>
      <w:rPr>
        <w:rFonts w:ascii="楷体" w:eastAsia="楷体" w:hAnsi="楷体" w:cs="楷体" w:hint="default"/>
        <w:w w:val="102"/>
        <w:position w:val="-3"/>
        <w:sz w:val="31"/>
        <w:szCs w:val="31"/>
      </w:rPr>
    </w:lvl>
    <w:lvl w:ilvl="1">
      <w:start w:val="0"/>
      <w:numFmt w:val="bullet"/>
      <w:lvlText w:val="•"/>
      <w:lvlJc w:val="left"/>
      <w:pPr>
        <w:ind w:left="2179" w:hanging="720"/>
      </w:pPr>
      <w:rPr>
        <w:rFonts w:hint="default"/>
      </w:rPr>
    </w:lvl>
    <w:lvl w:ilvl="2">
      <w:start w:val="0"/>
      <w:numFmt w:val="bullet"/>
      <w:lvlText w:val="•"/>
      <w:lvlJc w:val="left"/>
      <w:pPr>
        <w:ind w:left="2698" w:hanging="720"/>
      </w:pPr>
      <w:rPr>
        <w:rFonts w:hint="default"/>
      </w:rPr>
    </w:lvl>
    <w:lvl w:ilvl="3">
      <w:start w:val="0"/>
      <w:numFmt w:val="bullet"/>
      <w:lvlText w:val="•"/>
      <w:lvlJc w:val="left"/>
      <w:pPr>
        <w:ind w:left="3217" w:hanging="720"/>
      </w:pPr>
      <w:rPr>
        <w:rFonts w:hint="default"/>
      </w:rPr>
    </w:lvl>
    <w:lvl w:ilvl="4">
      <w:start w:val="0"/>
      <w:numFmt w:val="bullet"/>
      <w:lvlText w:val="•"/>
      <w:lvlJc w:val="left"/>
      <w:pPr>
        <w:ind w:left="3736" w:hanging="720"/>
      </w:pPr>
      <w:rPr>
        <w:rFonts w:hint="default"/>
      </w:rPr>
    </w:lvl>
    <w:lvl w:ilvl="5">
      <w:start w:val="0"/>
      <w:numFmt w:val="bullet"/>
      <w:lvlText w:val="•"/>
      <w:lvlJc w:val="left"/>
      <w:pPr>
        <w:ind w:left="4255" w:hanging="720"/>
      </w:pPr>
      <w:rPr>
        <w:rFonts w:hint="default"/>
      </w:rPr>
    </w:lvl>
    <w:lvl w:ilvl="6">
      <w:start w:val="0"/>
      <w:numFmt w:val="bullet"/>
      <w:lvlText w:val="•"/>
      <w:lvlJc w:val="left"/>
      <w:pPr>
        <w:ind w:left="4774" w:hanging="720"/>
      </w:pPr>
      <w:rPr>
        <w:rFonts w:hint="default"/>
      </w:rPr>
    </w:lvl>
    <w:lvl w:ilvl="7">
      <w:start w:val="0"/>
      <w:numFmt w:val="bullet"/>
      <w:lvlText w:val="•"/>
      <w:lvlJc w:val="left"/>
      <w:pPr>
        <w:ind w:left="5293" w:hanging="720"/>
      </w:pPr>
      <w:rPr>
        <w:rFonts w:hint="default"/>
      </w:rPr>
    </w:lvl>
    <w:lvl w:ilvl="8">
      <w:start w:val="0"/>
      <w:numFmt w:val="bullet"/>
      <w:lvlText w:val="•"/>
      <w:lvlJc w:val="left"/>
      <w:pPr>
        <w:ind w:left="5812" w:hanging="720"/>
      </w:pPr>
      <w:rPr>
        <w:rFonts w:hint="default"/>
      </w:rPr>
    </w:lvl>
  </w:abstractNum>
  <w:abstractNum w:abstractNumId="22">
    <w:nsid w:val="637F75FE"/>
    <w:multiLevelType w:val="hybridMultilevel"/>
    <w:tmpl w:val="00000000"/>
    <w:lvl w:ilvl="0">
      <w:start w:val="1"/>
      <w:numFmt w:val="decimal"/>
      <w:lvlText w:val="%1."/>
      <w:lvlJc w:val="left"/>
      <w:pPr>
        <w:ind w:left="1072" w:hanging="364"/>
        <w:jc w:val="left"/>
      </w:pPr>
      <w:rPr>
        <w:rFonts w:ascii="楷体" w:eastAsia="楷体" w:hAnsi="楷体" w:cs="楷体" w:hint="default"/>
        <w:b/>
        <w:bCs/>
        <w:w w:val="99"/>
        <w:sz w:val="34"/>
        <w:szCs w:val="34"/>
      </w:rPr>
    </w:lvl>
    <w:lvl w:ilvl="1">
      <w:start w:val="1"/>
      <w:numFmt w:val="decimal"/>
      <w:lvlText w:val="(%2)"/>
      <w:lvlJc w:val="left"/>
      <w:pPr>
        <w:ind w:left="708" w:hanging="541"/>
        <w:jc w:val="left"/>
      </w:pPr>
      <w:rPr>
        <w:rFonts w:ascii="楷体" w:eastAsia="楷体" w:hAnsi="楷体" w:cs="楷体" w:hint="default"/>
        <w:spacing w:val="-1"/>
        <w:w w:val="100"/>
        <w:sz w:val="34"/>
        <w:szCs w:val="34"/>
      </w:rPr>
    </w:lvl>
    <w:lvl w:ilvl="2">
      <w:start w:val="0"/>
      <w:numFmt w:val="bullet"/>
      <w:lvlText w:val="•"/>
      <w:lvlJc w:val="left"/>
      <w:pPr>
        <w:ind w:left="2635" w:hanging="541"/>
      </w:pPr>
      <w:rPr>
        <w:rFonts w:hint="default"/>
      </w:rPr>
    </w:lvl>
    <w:lvl w:ilvl="3">
      <w:start w:val="0"/>
      <w:numFmt w:val="bullet"/>
      <w:lvlText w:val="•"/>
      <w:lvlJc w:val="left"/>
      <w:pPr>
        <w:ind w:left="4191" w:hanging="541"/>
      </w:pPr>
      <w:rPr>
        <w:rFonts w:hint="default"/>
      </w:rPr>
    </w:lvl>
    <w:lvl w:ilvl="4">
      <w:start w:val="0"/>
      <w:numFmt w:val="bullet"/>
      <w:lvlText w:val="•"/>
      <w:lvlJc w:val="left"/>
      <w:pPr>
        <w:ind w:left="5746" w:hanging="541"/>
      </w:pPr>
      <w:rPr>
        <w:rFonts w:hint="default"/>
      </w:rPr>
    </w:lvl>
    <w:lvl w:ilvl="5">
      <w:start w:val="0"/>
      <w:numFmt w:val="bullet"/>
      <w:lvlText w:val="•"/>
      <w:lvlJc w:val="left"/>
      <w:pPr>
        <w:ind w:left="7302" w:hanging="541"/>
      </w:pPr>
      <w:rPr>
        <w:rFonts w:hint="default"/>
      </w:rPr>
    </w:lvl>
    <w:lvl w:ilvl="6">
      <w:start w:val="0"/>
      <w:numFmt w:val="bullet"/>
      <w:lvlText w:val="•"/>
      <w:lvlJc w:val="left"/>
      <w:pPr>
        <w:ind w:left="8857" w:hanging="541"/>
      </w:pPr>
      <w:rPr>
        <w:rFonts w:hint="default"/>
      </w:rPr>
    </w:lvl>
    <w:lvl w:ilvl="7">
      <w:start w:val="0"/>
      <w:numFmt w:val="bullet"/>
      <w:lvlText w:val="•"/>
      <w:lvlJc w:val="left"/>
      <w:pPr>
        <w:ind w:left="10413" w:hanging="541"/>
      </w:pPr>
      <w:rPr>
        <w:rFonts w:hint="default"/>
      </w:rPr>
    </w:lvl>
    <w:lvl w:ilvl="8">
      <w:start w:val="0"/>
      <w:numFmt w:val="bullet"/>
      <w:lvlText w:val="•"/>
      <w:lvlJc w:val="left"/>
      <w:pPr>
        <w:ind w:left="11968" w:hanging="541"/>
      </w:pPr>
      <w:rPr>
        <w:rFonts w:hint="default"/>
      </w:rPr>
    </w:lvl>
  </w:abstractNum>
  <w:abstractNum w:abstractNumId="23">
    <w:nsid w:val="6599FF19"/>
    <w:multiLevelType w:val="hybridMultilevel"/>
    <w:tmpl w:val="00000000"/>
    <w:lvl w:ilvl="0">
      <w:start w:val="3"/>
      <w:numFmt w:val="decimal"/>
      <w:lvlText w:val="%1."/>
      <w:lvlJc w:val="left"/>
      <w:pPr>
        <w:ind w:left="1172" w:hanging="465"/>
        <w:jc w:val="left"/>
      </w:pPr>
      <w:rPr>
        <w:rFonts w:ascii="楷体" w:eastAsia="楷体" w:hAnsi="楷体" w:cs="楷体" w:hint="default"/>
        <w:b/>
        <w:bCs/>
        <w:w w:val="99"/>
        <w:sz w:val="43"/>
        <w:szCs w:val="43"/>
      </w:rPr>
    </w:lvl>
    <w:lvl w:ilvl="1">
      <w:start w:val="1"/>
      <w:numFmt w:val="decimal"/>
      <w:lvlText w:val="%1.%2"/>
      <w:lvlJc w:val="left"/>
      <w:pPr>
        <w:ind w:left="708" w:hanging="760"/>
        <w:jc w:val="left"/>
      </w:pPr>
      <w:rPr>
        <w:rFonts w:ascii="楷体" w:eastAsia="楷体" w:hAnsi="楷体" w:cs="楷体" w:hint="default"/>
        <w:b/>
        <w:bCs/>
        <w:w w:val="99"/>
        <w:sz w:val="42"/>
        <w:szCs w:val="42"/>
      </w:rPr>
    </w:lvl>
    <w:lvl w:ilvl="2">
      <w:start w:val="1"/>
      <w:numFmt w:val="decimal"/>
      <w:lvlText w:val="（%3）"/>
      <w:lvlJc w:val="left"/>
      <w:pPr>
        <w:ind w:left="2329" w:hanging="901"/>
        <w:jc w:val="left"/>
      </w:pPr>
      <w:rPr>
        <w:rFonts w:ascii="楷体" w:eastAsia="楷体" w:hAnsi="楷体" w:cs="楷体" w:hint="default"/>
        <w:spacing w:val="-1"/>
        <w:w w:val="100"/>
        <w:sz w:val="34"/>
        <w:szCs w:val="34"/>
      </w:rPr>
    </w:lvl>
    <w:lvl w:ilvl="3">
      <w:start w:val="0"/>
      <w:numFmt w:val="bullet"/>
      <w:lvlText w:val="•"/>
      <w:lvlJc w:val="left"/>
      <w:pPr>
        <w:ind w:left="3914" w:hanging="901"/>
      </w:pPr>
      <w:rPr>
        <w:rFonts w:hint="default"/>
      </w:rPr>
    </w:lvl>
    <w:lvl w:ilvl="4">
      <w:start w:val="0"/>
      <w:numFmt w:val="bullet"/>
      <w:lvlText w:val="•"/>
      <w:lvlJc w:val="left"/>
      <w:pPr>
        <w:ind w:left="5509" w:hanging="901"/>
      </w:pPr>
      <w:rPr>
        <w:rFonts w:hint="default"/>
      </w:rPr>
    </w:lvl>
    <w:lvl w:ilvl="5">
      <w:start w:val="0"/>
      <w:numFmt w:val="bullet"/>
      <w:lvlText w:val="•"/>
      <w:lvlJc w:val="left"/>
      <w:pPr>
        <w:ind w:left="7104" w:hanging="901"/>
      </w:pPr>
      <w:rPr>
        <w:rFonts w:hint="default"/>
      </w:rPr>
    </w:lvl>
    <w:lvl w:ilvl="6">
      <w:start w:val="0"/>
      <w:numFmt w:val="bullet"/>
      <w:lvlText w:val="•"/>
      <w:lvlJc w:val="left"/>
      <w:pPr>
        <w:ind w:left="8699" w:hanging="901"/>
      </w:pPr>
      <w:rPr>
        <w:rFonts w:hint="default"/>
      </w:rPr>
    </w:lvl>
    <w:lvl w:ilvl="7">
      <w:start w:val="0"/>
      <w:numFmt w:val="bullet"/>
      <w:lvlText w:val="•"/>
      <w:lvlJc w:val="left"/>
      <w:pPr>
        <w:ind w:left="10294" w:hanging="901"/>
      </w:pPr>
      <w:rPr>
        <w:rFonts w:hint="default"/>
      </w:rPr>
    </w:lvl>
    <w:lvl w:ilvl="8">
      <w:start w:val="0"/>
      <w:numFmt w:val="bullet"/>
      <w:lvlText w:val="•"/>
      <w:lvlJc w:val="left"/>
      <w:pPr>
        <w:ind w:left="11889" w:hanging="901"/>
      </w:pPr>
      <w:rPr>
        <w:rFonts w:hint="default"/>
      </w:rPr>
    </w:lvl>
  </w:abstractNum>
  <w:abstractNum w:abstractNumId="24">
    <w:nsid w:val="691A6EF2"/>
    <w:multiLevelType w:val="hybridMultilevel"/>
    <w:tmpl w:val="00000000"/>
    <w:lvl w:ilvl="0">
      <w:start w:val="3"/>
      <w:numFmt w:val="decimal"/>
      <w:lvlText w:val="%1"/>
      <w:lvlJc w:val="left"/>
      <w:pPr>
        <w:ind w:left="1799" w:hanging="1091"/>
        <w:jc w:val="left"/>
      </w:pPr>
      <w:rPr>
        <w:rFonts w:hint="default"/>
      </w:rPr>
    </w:lvl>
    <w:lvl w:ilvl="1">
      <w:start w:val="3"/>
      <w:numFmt w:val="decimal"/>
      <w:lvlText w:val="%1.%2"/>
      <w:lvlJc w:val="left"/>
      <w:pPr>
        <w:ind w:left="1799" w:hanging="1091"/>
        <w:jc w:val="left"/>
      </w:pPr>
      <w:rPr>
        <w:rFonts w:hint="default"/>
      </w:rPr>
    </w:lvl>
    <w:lvl w:ilvl="2">
      <w:start w:val="1"/>
      <w:numFmt w:val="decimal"/>
      <w:lvlText w:val="%1.%2.%3"/>
      <w:lvlJc w:val="left"/>
      <w:pPr>
        <w:ind w:left="1799" w:hanging="1091"/>
        <w:jc w:val="left"/>
      </w:pPr>
      <w:rPr>
        <w:rFonts w:ascii="楷体" w:eastAsia="楷体" w:hAnsi="楷体" w:cs="楷体" w:hint="default"/>
        <w:b/>
        <w:bCs/>
        <w:w w:val="99"/>
        <w:sz w:val="36"/>
        <w:szCs w:val="36"/>
      </w:rPr>
    </w:lvl>
    <w:lvl w:ilvl="3">
      <w:start w:val="0"/>
      <w:numFmt w:val="bullet"/>
      <w:lvlText w:val="•"/>
      <w:lvlJc w:val="left"/>
      <w:pPr>
        <w:ind w:left="2601" w:hanging="1091"/>
      </w:pPr>
      <w:rPr>
        <w:rFonts w:hint="default"/>
      </w:rPr>
    </w:lvl>
    <w:lvl w:ilvl="4">
      <w:start w:val="0"/>
      <w:numFmt w:val="bullet"/>
      <w:lvlText w:val="•"/>
      <w:lvlJc w:val="left"/>
      <w:pPr>
        <w:ind w:left="2732" w:hanging="1091"/>
      </w:pPr>
      <w:rPr>
        <w:rFonts w:hint="default"/>
      </w:rPr>
    </w:lvl>
    <w:lvl w:ilvl="5">
      <w:start w:val="0"/>
      <w:numFmt w:val="bullet"/>
      <w:lvlText w:val="•"/>
      <w:lvlJc w:val="left"/>
      <w:pPr>
        <w:ind w:left="2862" w:hanging="1091"/>
      </w:pPr>
      <w:rPr>
        <w:rFonts w:hint="default"/>
      </w:rPr>
    </w:lvl>
    <w:lvl w:ilvl="6">
      <w:start w:val="0"/>
      <w:numFmt w:val="bullet"/>
      <w:lvlText w:val="•"/>
      <w:lvlJc w:val="left"/>
      <w:pPr>
        <w:ind w:left="2993" w:hanging="1091"/>
      </w:pPr>
      <w:rPr>
        <w:rFonts w:hint="default"/>
      </w:rPr>
    </w:lvl>
    <w:lvl w:ilvl="7">
      <w:start w:val="0"/>
      <w:numFmt w:val="bullet"/>
      <w:lvlText w:val="•"/>
      <w:lvlJc w:val="left"/>
      <w:pPr>
        <w:ind w:left="3124" w:hanging="1091"/>
      </w:pPr>
      <w:rPr>
        <w:rFonts w:hint="default"/>
      </w:rPr>
    </w:lvl>
    <w:lvl w:ilvl="8">
      <w:start w:val="0"/>
      <w:numFmt w:val="bullet"/>
      <w:lvlText w:val="•"/>
      <w:lvlJc w:val="left"/>
      <w:pPr>
        <w:ind w:left="3254" w:hanging="1091"/>
      </w:pPr>
      <w:rPr>
        <w:rFonts w:hint="default"/>
      </w:rPr>
    </w:lvl>
  </w:abstractNum>
  <w:abstractNum w:abstractNumId="25">
    <w:nsid w:val="6960F836"/>
    <w:multiLevelType w:val="hybridMultilevel"/>
    <w:tmpl w:val="00000000"/>
    <w:lvl w:ilvl="0">
      <w:start w:val="3"/>
      <w:numFmt w:val="decimal"/>
      <w:lvlText w:val="%1）"/>
      <w:lvlJc w:val="left"/>
      <w:pPr>
        <w:ind w:left="1969" w:hanging="541"/>
        <w:jc w:val="left"/>
      </w:pPr>
      <w:rPr>
        <w:rFonts w:ascii="楷体" w:eastAsia="楷体" w:hAnsi="楷体" w:cs="楷体" w:hint="default"/>
        <w:spacing w:val="-1"/>
        <w:w w:val="100"/>
        <w:sz w:val="34"/>
        <w:szCs w:val="34"/>
      </w:rPr>
    </w:lvl>
    <w:lvl w:ilvl="1">
      <w:start w:val="0"/>
      <w:numFmt w:val="bullet"/>
      <w:lvlText w:val="•"/>
      <w:lvlJc w:val="left"/>
      <w:pPr>
        <w:ind w:left="3271" w:hanging="541"/>
      </w:pPr>
      <w:rPr>
        <w:rFonts w:hint="default"/>
      </w:rPr>
    </w:lvl>
    <w:lvl w:ilvl="2">
      <w:start w:val="0"/>
      <w:numFmt w:val="bullet"/>
      <w:lvlText w:val="•"/>
      <w:lvlJc w:val="left"/>
      <w:pPr>
        <w:ind w:left="4583" w:hanging="541"/>
      </w:pPr>
      <w:rPr>
        <w:rFonts w:hint="default"/>
      </w:rPr>
    </w:lvl>
    <w:lvl w:ilvl="3">
      <w:start w:val="0"/>
      <w:numFmt w:val="bullet"/>
      <w:lvlText w:val="•"/>
      <w:lvlJc w:val="left"/>
      <w:pPr>
        <w:ind w:left="5895" w:hanging="541"/>
      </w:pPr>
      <w:rPr>
        <w:rFonts w:hint="default"/>
      </w:rPr>
    </w:lvl>
    <w:lvl w:ilvl="4">
      <w:start w:val="0"/>
      <w:numFmt w:val="bullet"/>
      <w:lvlText w:val="•"/>
      <w:lvlJc w:val="left"/>
      <w:pPr>
        <w:ind w:left="7207" w:hanging="541"/>
      </w:pPr>
      <w:rPr>
        <w:rFonts w:hint="default"/>
      </w:rPr>
    </w:lvl>
    <w:lvl w:ilvl="5">
      <w:start w:val="0"/>
      <w:numFmt w:val="bullet"/>
      <w:lvlText w:val="•"/>
      <w:lvlJc w:val="left"/>
      <w:pPr>
        <w:ind w:left="8519" w:hanging="541"/>
      </w:pPr>
      <w:rPr>
        <w:rFonts w:hint="default"/>
      </w:rPr>
    </w:lvl>
    <w:lvl w:ilvl="6">
      <w:start w:val="0"/>
      <w:numFmt w:val="bullet"/>
      <w:lvlText w:val="•"/>
      <w:lvlJc w:val="left"/>
      <w:pPr>
        <w:ind w:left="9831" w:hanging="541"/>
      </w:pPr>
      <w:rPr>
        <w:rFonts w:hint="default"/>
      </w:rPr>
    </w:lvl>
    <w:lvl w:ilvl="7">
      <w:start w:val="0"/>
      <w:numFmt w:val="bullet"/>
      <w:lvlText w:val="•"/>
      <w:lvlJc w:val="left"/>
      <w:pPr>
        <w:ind w:left="11143" w:hanging="541"/>
      </w:pPr>
      <w:rPr>
        <w:rFonts w:hint="default"/>
      </w:rPr>
    </w:lvl>
    <w:lvl w:ilvl="8">
      <w:start w:val="0"/>
      <w:numFmt w:val="bullet"/>
      <w:lvlText w:val="•"/>
      <w:lvlJc w:val="left"/>
      <w:pPr>
        <w:ind w:left="12455" w:hanging="541"/>
      </w:pPr>
      <w:rPr>
        <w:rFonts w:hint="default"/>
      </w:rPr>
    </w:lvl>
  </w:abstractNum>
  <w:abstractNum w:abstractNumId="26">
    <w:nsid w:val="6974F841"/>
    <w:multiLevelType w:val="hybridMultilevel"/>
    <w:tmpl w:val="00000000"/>
    <w:lvl w:ilvl="0">
      <w:start w:val="1"/>
      <w:numFmt w:val="decimal"/>
      <w:lvlText w:val="%1"/>
      <w:lvlJc w:val="left"/>
      <w:pPr>
        <w:ind w:left="989" w:hanging="281"/>
        <w:jc w:val="left"/>
      </w:pPr>
      <w:rPr>
        <w:rFonts w:ascii="楷体" w:eastAsia="楷体" w:hAnsi="楷体" w:cs="楷体" w:hint="default"/>
        <w:b/>
        <w:bCs/>
        <w:w w:val="99"/>
        <w:sz w:val="36"/>
        <w:szCs w:val="36"/>
      </w:rPr>
    </w:lvl>
    <w:lvl w:ilvl="1">
      <w:start w:val="1"/>
      <w:numFmt w:val="decimal"/>
      <w:lvlText w:val="%1.%2"/>
      <w:lvlJc w:val="left"/>
      <w:pPr>
        <w:ind w:left="1989" w:hanging="652"/>
        <w:jc w:val="left"/>
      </w:pPr>
      <w:rPr>
        <w:rFonts w:ascii="楷体" w:eastAsia="楷体" w:hAnsi="楷体" w:cs="楷体" w:hint="default"/>
        <w:w w:val="100"/>
        <w:sz w:val="36"/>
        <w:szCs w:val="36"/>
      </w:rPr>
    </w:lvl>
    <w:lvl w:ilvl="2">
      <w:start w:val="0"/>
      <w:numFmt w:val="bullet"/>
      <w:lvlText w:val="•"/>
      <w:lvlJc w:val="left"/>
      <w:pPr>
        <w:ind w:left="3435" w:hanging="652"/>
      </w:pPr>
      <w:rPr>
        <w:rFonts w:hint="default"/>
      </w:rPr>
    </w:lvl>
    <w:lvl w:ilvl="3">
      <w:start w:val="0"/>
      <w:numFmt w:val="bullet"/>
      <w:lvlText w:val="•"/>
      <w:lvlJc w:val="left"/>
      <w:pPr>
        <w:ind w:left="4891" w:hanging="652"/>
      </w:pPr>
      <w:rPr>
        <w:rFonts w:hint="default"/>
      </w:rPr>
    </w:lvl>
    <w:lvl w:ilvl="4">
      <w:start w:val="0"/>
      <w:numFmt w:val="bullet"/>
      <w:lvlText w:val="•"/>
      <w:lvlJc w:val="left"/>
      <w:pPr>
        <w:ind w:left="6346" w:hanging="652"/>
      </w:pPr>
      <w:rPr>
        <w:rFonts w:hint="default"/>
      </w:rPr>
    </w:lvl>
    <w:lvl w:ilvl="5">
      <w:start w:val="0"/>
      <w:numFmt w:val="bullet"/>
      <w:lvlText w:val="•"/>
      <w:lvlJc w:val="left"/>
      <w:pPr>
        <w:ind w:left="7802" w:hanging="652"/>
      </w:pPr>
      <w:rPr>
        <w:rFonts w:hint="default"/>
      </w:rPr>
    </w:lvl>
    <w:lvl w:ilvl="6">
      <w:start w:val="0"/>
      <w:numFmt w:val="bullet"/>
      <w:lvlText w:val="•"/>
      <w:lvlJc w:val="left"/>
      <w:pPr>
        <w:ind w:left="9257" w:hanging="652"/>
      </w:pPr>
      <w:rPr>
        <w:rFonts w:hint="default"/>
      </w:rPr>
    </w:lvl>
    <w:lvl w:ilvl="7">
      <w:start w:val="0"/>
      <w:numFmt w:val="bullet"/>
      <w:lvlText w:val="•"/>
      <w:lvlJc w:val="left"/>
      <w:pPr>
        <w:ind w:left="10713" w:hanging="652"/>
      </w:pPr>
      <w:rPr>
        <w:rFonts w:hint="default"/>
      </w:rPr>
    </w:lvl>
    <w:lvl w:ilvl="8">
      <w:start w:val="0"/>
      <w:numFmt w:val="bullet"/>
      <w:lvlText w:val="•"/>
      <w:lvlJc w:val="left"/>
      <w:pPr>
        <w:ind w:left="12168" w:hanging="652"/>
      </w:pPr>
      <w:rPr>
        <w:rFonts w:hint="default"/>
      </w:rPr>
    </w:lvl>
  </w:abstractNum>
  <w:abstractNum w:abstractNumId="27">
    <w:nsid w:val="6D9C129A"/>
    <w:multiLevelType w:val="hybridMultilevel"/>
    <w:tmpl w:val="00000000"/>
    <w:lvl w:ilvl="0">
      <w:start w:val="1"/>
      <w:numFmt w:val="decimal"/>
      <w:lvlText w:val="%1."/>
      <w:lvlJc w:val="left"/>
      <w:pPr>
        <w:ind w:left="1072" w:hanging="364"/>
        <w:jc w:val="left"/>
      </w:pPr>
      <w:rPr>
        <w:rFonts w:ascii="楷体" w:eastAsia="楷体" w:hAnsi="楷体" w:cs="楷体" w:hint="default"/>
        <w:b/>
        <w:bCs/>
        <w:w w:val="99"/>
        <w:sz w:val="34"/>
        <w:szCs w:val="34"/>
      </w:rPr>
    </w:lvl>
    <w:lvl w:ilvl="1">
      <w:start w:val="1"/>
      <w:numFmt w:val="decimal"/>
      <w:lvlText w:val="(%2)"/>
      <w:lvlJc w:val="left"/>
      <w:pPr>
        <w:ind w:left="708" w:hanging="541"/>
        <w:jc w:val="left"/>
      </w:pPr>
      <w:rPr>
        <w:rFonts w:ascii="楷体" w:eastAsia="楷体" w:hAnsi="楷体" w:cs="楷体" w:hint="default"/>
        <w:spacing w:val="-1"/>
        <w:w w:val="100"/>
        <w:sz w:val="34"/>
        <w:szCs w:val="34"/>
      </w:rPr>
    </w:lvl>
    <w:lvl w:ilvl="2">
      <w:start w:val="0"/>
      <w:numFmt w:val="bullet"/>
      <w:lvlText w:val="•"/>
      <w:lvlJc w:val="left"/>
      <w:pPr>
        <w:ind w:left="2635" w:hanging="541"/>
      </w:pPr>
      <w:rPr>
        <w:rFonts w:hint="default"/>
      </w:rPr>
    </w:lvl>
    <w:lvl w:ilvl="3">
      <w:start w:val="0"/>
      <w:numFmt w:val="bullet"/>
      <w:lvlText w:val="•"/>
      <w:lvlJc w:val="left"/>
      <w:pPr>
        <w:ind w:left="4191" w:hanging="541"/>
      </w:pPr>
      <w:rPr>
        <w:rFonts w:hint="default"/>
      </w:rPr>
    </w:lvl>
    <w:lvl w:ilvl="4">
      <w:start w:val="0"/>
      <w:numFmt w:val="bullet"/>
      <w:lvlText w:val="•"/>
      <w:lvlJc w:val="left"/>
      <w:pPr>
        <w:ind w:left="5746" w:hanging="541"/>
      </w:pPr>
      <w:rPr>
        <w:rFonts w:hint="default"/>
      </w:rPr>
    </w:lvl>
    <w:lvl w:ilvl="5">
      <w:start w:val="0"/>
      <w:numFmt w:val="bullet"/>
      <w:lvlText w:val="•"/>
      <w:lvlJc w:val="left"/>
      <w:pPr>
        <w:ind w:left="7302" w:hanging="541"/>
      </w:pPr>
      <w:rPr>
        <w:rFonts w:hint="default"/>
      </w:rPr>
    </w:lvl>
    <w:lvl w:ilvl="6">
      <w:start w:val="0"/>
      <w:numFmt w:val="bullet"/>
      <w:lvlText w:val="•"/>
      <w:lvlJc w:val="left"/>
      <w:pPr>
        <w:ind w:left="8857" w:hanging="541"/>
      </w:pPr>
      <w:rPr>
        <w:rFonts w:hint="default"/>
      </w:rPr>
    </w:lvl>
    <w:lvl w:ilvl="7">
      <w:start w:val="0"/>
      <w:numFmt w:val="bullet"/>
      <w:lvlText w:val="•"/>
      <w:lvlJc w:val="left"/>
      <w:pPr>
        <w:ind w:left="10413" w:hanging="541"/>
      </w:pPr>
      <w:rPr>
        <w:rFonts w:hint="default"/>
      </w:rPr>
    </w:lvl>
    <w:lvl w:ilvl="8">
      <w:start w:val="0"/>
      <w:numFmt w:val="bullet"/>
      <w:lvlText w:val="•"/>
      <w:lvlJc w:val="left"/>
      <w:pPr>
        <w:ind w:left="11968" w:hanging="541"/>
      </w:pPr>
      <w:rPr>
        <w:rFonts w:hint="default"/>
      </w:rPr>
    </w:lvl>
  </w:abstractNum>
  <w:abstractNum w:abstractNumId="28">
    <w:nsid w:val="6E545FA6"/>
    <w:multiLevelType w:val="hybridMultilevel"/>
    <w:tmpl w:val="00000000"/>
    <w:lvl w:ilvl="0">
      <w:start w:val="1"/>
      <w:numFmt w:val="decimal"/>
      <w:lvlText w:val="%1."/>
      <w:lvlJc w:val="left"/>
      <w:pPr>
        <w:ind w:left="1072" w:hanging="364"/>
        <w:jc w:val="left"/>
      </w:pPr>
      <w:rPr>
        <w:rFonts w:ascii="楷体" w:eastAsia="楷体" w:hAnsi="楷体" w:cs="楷体" w:hint="default"/>
        <w:b/>
        <w:bCs/>
        <w:w w:val="99"/>
        <w:sz w:val="34"/>
        <w:szCs w:val="34"/>
      </w:rPr>
    </w:lvl>
    <w:lvl w:ilvl="1">
      <w:start w:val="0"/>
      <w:numFmt w:val="bullet"/>
      <w:lvlText w:val="•"/>
      <w:lvlJc w:val="left"/>
      <w:pPr>
        <w:ind w:left="2479" w:hanging="364"/>
      </w:pPr>
      <w:rPr>
        <w:rFonts w:hint="default"/>
      </w:rPr>
    </w:lvl>
    <w:lvl w:ilvl="2">
      <w:start w:val="0"/>
      <w:numFmt w:val="bullet"/>
      <w:lvlText w:val="•"/>
      <w:lvlJc w:val="left"/>
      <w:pPr>
        <w:ind w:left="3879" w:hanging="364"/>
      </w:pPr>
      <w:rPr>
        <w:rFonts w:hint="default"/>
      </w:rPr>
    </w:lvl>
    <w:lvl w:ilvl="3">
      <w:start w:val="0"/>
      <w:numFmt w:val="bullet"/>
      <w:lvlText w:val="•"/>
      <w:lvlJc w:val="left"/>
      <w:pPr>
        <w:ind w:left="5279" w:hanging="364"/>
      </w:pPr>
      <w:rPr>
        <w:rFonts w:hint="default"/>
      </w:rPr>
    </w:lvl>
    <w:lvl w:ilvl="4">
      <w:start w:val="0"/>
      <w:numFmt w:val="bullet"/>
      <w:lvlText w:val="•"/>
      <w:lvlJc w:val="left"/>
      <w:pPr>
        <w:ind w:left="6679" w:hanging="364"/>
      </w:pPr>
      <w:rPr>
        <w:rFonts w:hint="default"/>
      </w:rPr>
    </w:lvl>
    <w:lvl w:ilvl="5">
      <w:start w:val="0"/>
      <w:numFmt w:val="bullet"/>
      <w:lvlText w:val="•"/>
      <w:lvlJc w:val="left"/>
      <w:pPr>
        <w:ind w:left="8079" w:hanging="364"/>
      </w:pPr>
      <w:rPr>
        <w:rFonts w:hint="default"/>
      </w:rPr>
    </w:lvl>
    <w:lvl w:ilvl="6">
      <w:start w:val="0"/>
      <w:numFmt w:val="bullet"/>
      <w:lvlText w:val="•"/>
      <w:lvlJc w:val="left"/>
      <w:pPr>
        <w:ind w:left="9479" w:hanging="364"/>
      </w:pPr>
      <w:rPr>
        <w:rFonts w:hint="default"/>
      </w:rPr>
    </w:lvl>
    <w:lvl w:ilvl="7">
      <w:start w:val="0"/>
      <w:numFmt w:val="bullet"/>
      <w:lvlText w:val="•"/>
      <w:lvlJc w:val="left"/>
      <w:pPr>
        <w:ind w:left="10879" w:hanging="364"/>
      </w:pPr>
      <w:rPr>
        <w:rFonts w:hint="default"/>
      </w:rPr>
    </w:lvl>
    <w:lvl w:ilvl="8">
      <w:start w:val="0"/>
      <w:numFmt w:val="bullet"/>
      <w:lvlText w:val="•"/>
      <w:lvlJc w:val="left"/>
      <w:pPr>
        <w:ind w:left="12279" w:hanging="364"/>
      </w:pPr>
      <w:rPr>
        <w:rFonts w:hint="default"/>
      </w:rPr>
    </w:lvl>
  </w:abstractNum>
  <w:abstractNum w:abstractNumId="29">
    <w:nsid w:val="6E96104F"/>
    <w:multiLevelType w:val="hybridMultilevel"/>
    <w:tmpl w:val="00000000"/>
    <w:lvl w:ilvl="0">
      <w:start w:val="3"/>
      <w:numFmt w:val="decimal"/>
      <w:lvlText w:val="%1"/>
      <w:lvlJc w:val="left"/>
      <w:pPr>
        <w:ind w:left="1737" w:hanging="1030"/>
        <w:jc w:val="left"/>
      </w:pPr>
      <w:rPr>
        <w:rFonts w:hint="default"/>
      </w:rPr>
    </w:lvl>
    <w:lvl w:ilvl="1">
      <w:start w:val="4"/>
      <w:numFmt w:val="decimal"/>
      <w:lvlText w:val="%1.%2"/>
      <w:lvlJc w:val="left"/>
      <w:pPr>
        <w:ind w:left="1737" w:hanging="1030"/>
        <w:jc w:val="left"/>
      </w:pPr>
      <w:rPr>
        <w:rFonts w:hint="default"/>
      </w:rPr>
    </w:lvl>
    <w:lvl w:ilvl="2">
      <w:start w:val="1"/>
      <w:numFmt w:val="decimal"/>
      <w:lvlText w:val="%1.%2.%3"/>
      <w:lvlJc w:val="left"/>
      <w:pPr>
        <w:ind w:left="1737" w:hanging="1030"/>
        <w:jc w:val="left"/>
      </w:pPr>
      <w:rPr>
        <w:rFonts w:ascii="楷体" w:eastAsia="楷体" w:hAnsi="楷体" w:cs="楷体" w:hint="default"/>
        <w:b/>
        <w:bCs/>
        <w:w w:val="99"/>
        <w:sz w:val="36"/>
        <w:szCs w:val="36"/>
      </w:rPr>
    </w:lvl>
    <w:lvl w:ilvl="3">
      <w:start w:val="1"/>
      <w:numFmt w:val="decimal"/>
      <w:lvlText w:val="（%4）"/>
      <w:lvlJc w:val="left"/>
      <w:pPr>
        <w:ind w:left="2329" w:hanging="901"/>
        <w:jc w:val="left"/>
      </w:pPr>
      <w:rPr>
        <w:rFonts w:ascii="楷体" w:eastAsia="楷体" w:hAnsi="楷体" w:cs="楷体" w:hint="default"/>
        <w:spacing w:val="-1"/>
        <w:w w:val="100"/>
        <w:sz w:val="34"/>
        <w:szCs w:val="34"/>
      </w:rPr>
    </w:lvl>
    <w:lvl w:ilvl="4">
      <w:start w:val="0"/>
      <w:numFmt w:val="bullet"/>
      <w:lvlText w:val="•"/>
      <w:lvlJc w:val="left"/>
      <w:pPr>
        <w:ind w:left="6573" w:hanging="901"/>
      </w:pPr>
      <w:rPr>
        <w:rFonts w:hint="default"/>
      </w:rPr>
    </w:lvl>
    <w:lvl w:ilvl="5">
      <w:start w:val="0"/>
      <w:numFmt w:val="bullet"/>
      <w:lvlText w:val="•"/>
      <w:lvlJc w:val="left"/>
      <w:pPr>
        <w:ind w:left="7990" w:hanging="901"/>
      </w:pPr>
      <w:rPr>
        <w:rFonts w:hint="default"/>
      </w:rPr>
    </w:lvl>
    <w:lvl w:ilvl="6">
      <w:start w:val="0"/>
      <w:numFmt w:val="bullet"/>
      <w:lvlText w:val="•"/>
      <w:lvlJc w:val="left"/>
      <w:pPr>
        <w:ind w:left="9408" w:hanging="901"/>
      </w:pPr>
      <w:rPr>
        <w:rFonts w:hint="default"/>
      </w:rPr>
    </w:lvl>
    <w:lvl w:ilvl="7">
      <w:start w:val="0"/>
      <w:numFmt w:val="bullet"/>
      <w:lvlText w:val="•"/>
      <w:lvlJc w:val="left"/>
      <w:pPr>
        <w:ind w:left="10826" w:hanging="901"/>
      </w:pPr>
      <w:rPr>
        <w:rFonts w:hint="default"/>
      </w:rPr>
    </w:lvl>
    <w:lvl w:ilvl="8">
      <w:start w:val="0"/>
      <w:numFmt w:val="bullet"/>
      <w:lvlText w:val="•"/>
      <w:lvlJc w:val="left"/>
      <w:pPr>
        <w:ind w:left="12244" w:hanging="901"/>
      </w:pPr>
      <w:rPr>
        <w:rFonts w:hint="default"/>
      </w:rPr>
    </w:lvl>
  </w:abstractNum>
  <w:abstractNum w:abstractNumId="30">
    <w:nsid w:val="6FBE379A"/>
    <w:multiLevelType w:val="hybridMultilevel"/>
    <w:tmpl w:val="00000000"/>
    <w:lvl w:ilvl="0">
      <w:start w:val="3"/>
      <w:numFmt w:val="decimal"/>
      <w:lvlText w:val="%1"/>
      <w:lvlJc w:val="left"/>
      <w:pPr>
        <w:ind w:left="1766" w:hanging="1059"/>
        <w:jc w:val="left"/>
      </w:pPr>
      <w:rPr>
        <w:rFonts w:hint="default"/>
      </w:rPr>
    </w:lvl>
    <w:lvl w:ilvl="1">
      <w:start w:val="1"/>
      <w:numFmt w:val="decimal"/>
      <w:lvlText w:val="%1.%2"/>
      <w:lvlJc w:val="left"/>
      <w:pPr>
        <w:ind w:left="1766" w:hanging="1059"/>
        <w:jc w:val="left"/>
      </w:pPr>
      <w:rPr>
        <w:rFonts w:hint="default"/>
      </w:rPr>
    </w:lvl>
    <w:lvl w:ilvl="2">
      <w:start w:val="2"/>
      <w:numFmt w:val="decimal"/>
      <w:lvlText w:val="%1.%2.%3"/>
      <w:lvlJc w:val="left"/>
      <w:pPr>
        <w:ind w:left="1766" w:hanging="1059"/>
        <w:jc w:val="left"/>
      </w:pPr>
      <w:rPr>
        <w:rFonts w:hint="default"/>
        <w:b/>
        <w:bCs/>
        <w:w w:val="99"/>
      </w:rPr>
    </w:lvl>
    <w:lvl w:ilvl="3">
      <w:start w:val="0"/>
      <w:numFmt w:val="bullet"/>
      <w:lvlText w:val="•"/>
      <w:lvlJc w:val="left"/>
      <w:pPr>
        <w:ind w:left="4875" w:hanging="1059"/>
      </w:pPr>
      <w:rPr>
        <w:rFonts w:hint="default"/>
      </w:rPr>
    </w:lvl>
    <w:lvl w:ilvl="4">
      <w:start w:val="0"/>
      <w:numFmt w:val="bullet"/>
      <w:lvlText w:val="•"/>
      <w:lvlJc w:val="left"/>
      <w:pPr>
        <w:ind w:left="6333" w:hanging="1059"/>
      </w:pPr>
      <w:rPr>
        <w:rFonts w:hint="default"/>
      </w:rPr>
    </w:lvl>
    <w:lvl w:ilvl="5">
      <w:start w:val="0"/>
      <w:numFmt w:val="bullet"/>
      <w:lvlText w:val="•"/>
      <w:lvlJc w:val="left"/>
      <w:pPr>
        <w:ind w:left="7790" w:hanging="1059"/>
      </w:pPr>
      <w:rPr>
        <w:rFonts w:hint="default"/>
      </w:rPr>
    </w:lvl>
    <w:lvl w:ilvl="6">
      <w:start w:val="0"/>
      <w:numFmt w:val="bullet"/>
      <w:lvlText w:val="•"/>
      <w:lvlJc w:val="left"/>
      <w:pPr>
        <w:ind w:left="9248" w:hanging="1059"/>
      </w:pPr>
      <w:rPr>
        <w:rFonts w:hint="default"/>
      </w:rPr>
    </w:lvl>
    <w:lvl w:ilvl="7">
      <w:start w:val="0"/>
      <w:numFmt w:val="bullet"/>
      <w:lvlText w:val="•"/>
      <w:lvlJc w:val="left"/>
      <w:pPr>
        <w:ind w:left="10706" w:hanging="1059"/>
      </w:pPr>
      <w:rPr>
        <w:rFonts w:hint="default"/>
      </w:rPr>
    </w:lvl>
    <w:lvl w:ilvl="8">
      <w:start w:val="0"/>
      <w:numFmt w:val="bullet"/>
      <w:lvlText w:val="•"/>
      <w:lvlJc w:val="left"/>
      <w:pPr>
        <w:ind w:left="12164" w:hanging="1059"/>
      </w:pPr>
      <w:rPr>
        <w:rFonts w:hint="default"/>
      </w:rPr>
    </w:lvl>
  </w:abstractNum>
  <w:abstractNum w:abstractNumId="31">
    <w:nsid w:val="7433B5AA"/>
    <w:multiLevelType w:val="hybridMultilevel"/>
    <w:tmpl w:val="00000000"/>
    <w:lvl w:ilvl="0">
      <w:start w:val="1"/>
      <w:numFmt w:val="decimal"/>
      <w:lvlText w:val="（%1）"/>
      <w:lvlJc w:val="left"/>
      <w:pPr>
        <w:ind w:left="1609" w:hanging="901"/>
        <w:jc w:val="left"/>
      </w:pPr>
      <w:rPr>
        <w:rFonts w:ascii="楷体" w:eastAsia="楷体" w:hAnsi="楷体" w:cs="楷体" w:hint="default"/>
        <w:w w:val="100"/>
        <w:sz w:val="34"/>
        <w:szCs w:val="34"/>
      </w:rPr>
    </w:lvl>
    <w:lvl w:ilvl="1">
      <w:start w:val="0"/>
      <w:numFmt w:val="bullet"/>
      <w:lvlText w:val="•"/>
      <w:lvlJc w:val="left"/>
      <w:pPr>
        <w:ind w:left="2947" w:hanging="901"/>
      </w:pPr>
      <w:rPr>
        <w:rFonts w:hint="default"/>
      </w:rPr>
    </w:lvl>
    <w:lvl w:ilvl="2">
      <w:start w:val="0"/>
      <w:numFmt w:val="bullet"/>
      <w:lvlText w:val="•"/>
      <w:lvlJc w:val="left"/>
      <w:pPr>
        <w:ind w:left="4295" w:hanging="901"/>
      </w:pPr>
      <w:rPr>
        <w:rFonts w:hint="default"/>
      </w:rPr>
    </w:lvl>
    <w:lvl w:ilvl="3">
      <w:start w:val="0"/>
      <w:numFmt w:val="bullet"/>
      <w:lvlText w:val="•"/>
      <w:lvlJc w:val="left"/>
      <w:pPr>
        <w:ind w:left="5643" w:hanging="901"/>
      </w:pPr>
      <w:rPr>
        <w:rFonts w:hint="default"/>
      </w:rPr>
    </w:lvl>
    <w:lvl w:ilvl="4">
      <w:start w:val="0"/>
      <w:numFmt w:val="bullet"/>
      <w:lvlText w:val="•"/>
      <w:lvlJc w:val="left"/>
      <w:pPr>
        <w:ind w:left="6991" w:hanging="901"/>
      </w:pPr>
      <w:rPr>
        <w:rFonts w:hint="default"/>
      </w:rPr>
    </w:lvl>
    <w:lvl w:ilvl="5">
      <w:start w:val="0"/>
      <w:numFmt w:val="bullet"/>
      <w:lvlText w:val="•"/>
      <w:lvlJc w:val="left"/>
      <w:pPr>
        <w:ind w:left="8339" w:hanging="901"/>
      </w:pPr>
      <w:rPr>
        <w:rFonts w:hint="default"/>
      </w:rPr>
    </w:lvl>
    <w:lvl w:ilvl="6">
      <w:start w:val="0"/>
      <w:numFmt w:val="bullet"/>
      <w:lvlText w:val="•"/>
      <w:lvlJc w:val="left"/>
      <w:pPr>
        <w:ind w:left="9687" w:hanging="901"/>
      </w:pPr>
      <w:rPr>
        <w:rFonts w:hint="default"/>
      </w:rPr>
    </w:lvl>
    <w:lvl w:ilvl="7">
      <w:start w:val="0"/>
      <w:numFmt w:val="bullet"/>
      <w:lvlText w:val="•"/>
      <w:lvlJc w:val="left"/>
      <w:pPr>
        <w:ind w:left="11035" w:hanging="901"/>
      </w:pPr>
      <w:rPr>
        <w:rFonts w:hint="default"/>
      </w:rPr>
    </w:lvl>
    <w:lvl w:ilvl="8">
      <w:start w:val="0"/>
      <w:numFmt w:val="bullet"/>
      <w:lvlText w:val="•"/>
      <w:lvlJc w:val="left"/>
      <w:pPr>
        <w:ind w:left="12383" w:hanging="901"/>
      </w:pPr>
      <w:rPr>
        <w:rFonts w:hint="default"/>
      </w:rPr>
    </w:lvl>
  </w:abstractNum>
  <w:abstractNum w:abstractNumId="32">
    <w:nsid w:val="760FE139"/>
    <w:multiLevelType w:val="hybridMultilevel"/>
    <w:tmpl w:val="00000000"/>
    <w:lvl w:ilvl="0">
      <w:start w:val="1"/>
      <w:numFmt w:val="decimal"/>
      <w:lvlText w:val="（%1）"/>
      <w:lvlJc w:val="left"/>
      <w:pPr>
        <w:ind w:left="1609" w:hanging="901"/>
        <w:jc w:val="left"/>
      </w:pPr>
      <w:rPr>
        <w:rFonts w:ascii="楷体" w:eastAsia="楷体" w:hAnsi="楷体" w:cs="楷体" w:hint="default"/>
        <w:w w:val="100"/>
        <w:sz w:val="34"/>
        <w:szCs w:val="34"/>
      </w:rPr>
    </w:lvl>
    <w:lvl w:ilvl="1">
      <w:start w:val="0"/>
      <w:numFmt w:val="bullet"/>
      <w:lvlText w:val="•"/>
      <w:lvlJc w:val="left"/>
      <w:pPr>
        <w:ind w:left="2947" w:hanging="901"/>
      </w:pPr>
      <w:rPr>
        <w:rFonts w:hint="default"/>
      </w:rPr>
    </w:lvl>
    <w:lvl w:ilvl="2">
      <w:start w:val="0"/>
      <w:numFmt w:val="bullet"/>
      <w:lvlText w:val="•"/>
      <w:lvlJc w:val="left"/>
      <w:pPr>
        <w:ind w:left="4295" w:hanging="901"/>
      </w:pPr>
      <w:rPr>
        <w:rFonts w:hint="default"/>
      </w:rPr>
    </w:lvl>
    <w:lvl w:ilvl="3">
      <w:start w:val="0"/>
      <w:numFmt w:val="bullet"/>
      <w:lvlText w:val="•"/>
      <w:lvlJc w:val="left"/>
      <w:pPr>
        <w:ind w:left="5643" w:hanging="901"/>
      </w:pPr>
      <w:rPr>
        <w:rFonts w:hint="default"/>
      </w:rPr>
    </w:lvl>
    <w:lvl w:ilvl="4">
      <w:start w:val="0"/>
      <w:numFmt w:val="bullet"/>
      <w:lvlText w:val="•"/>
      <w:lvlJc w:val="left"/>
      <w:pPr>
        <w:ind w:left="6991" w:hanging="901"/>
      </w:pPr>
      <w:rPr>
        <w:rFonts w:hint="default"/>
      </w:rPr>
    </w:lvl>
    <w:lvl w:ilvl="5">
      <w:start w:val="0"/>
      <w:numFmt w:val="bullet"/>
      <w:lvlText w:val="•"/>
      <w:lvlJc w:val="left"/>
      <w:pPr>
        <w:ind w:left="8339" w:hanging="901"/>
      </w:pPr>
      <w:rPr>
        <w:rFonts w:hint="default"/>
      </w:rPr>
    </w:lvl>
    <w:lvl w:ilvl="6">
      <w:start w:val="0"/>
      <w:numFmt w:val="bullet"/>
      <w:lvlText w:val="•"/>
      <w:lvlJc w:val="left"/>
      <w:pPr>
        <w:ind w:left="9687" w:hanging="901"/>
      </w:pPr>
      <w:rPr>
        <w:rFonts w:hint="default"/>
      </w:rPr>
    </w:lvl>
    <w:lvl w:ilvl="7">
      <w:start w:val="0"/>
      <w:numFmt w:val="bullet"/>
      <w:lvlText w:val="•"/>
      <w:lvlJc w:val="left"/>
      <w:pPr>
        <w:ind w:left="11035" w:hanging="901"/>
      </w:pPr>
      <w:rPr>
        <w:rFonts w:hint="default"/>
      </w:rPr>
    </w:lvl>
    <w:lvl w:ilvl="8">
      <w:start w:val="0"/>
      <w:numFmt w:val="bullet"/>
      <w:lvlText w:val="•"/>
      <w:lvlJc w:val="left"/>
      <w:pPr>
        <w:ind w:left="12383" w:hanging="901"/>
      </w:pPr>
      <w:rPr>
        <w:rFonts w:hint="default"/>
      </w:rPr>
    </w:lvl>
  </w:abstractNum>
  <w:abstractNum w:abstractNumId="33">
    <w:nsid w:val="78CC886F"/>
    <w:multiLevelType w:val="hybridMultilevel"/>
    <w:tmpl w:val="00000000"/>
    <w:lvl w:ilvl="0">
      <w:start w:val="2"/>
      <w:numFmt w:val="decimal"/>
      <w:lvlText w:val="%1"/>
      <w:lvlJc w:val="left"/>
      <w:pPr>
        <w:ind w:left="1705" w:hanging="997"/>
        <w:jc w:val="left"/>
      </w:pPr>
      <w:rPr>
        <w:rFonts w:hint="default"/>
      </w:rPr>
    </w:lvl>
    <w:lvl w:ilvl="1">
      <w:start w:val="3"/>
      <w:numFmt w:val="decimal"/>
      <w:lvlText w:val="%1.%2"/>
      <w:lvlJc w:val="left"/>
      <w:pPr>
        <w:ind w:left="1705" w:hanging="997"/>
        <w:jc w:val="left"/>
      </w:pPr>
      <w:rPr>
        <w:rFonts w:hint="default"/>
      </w:rPr>
    </w:lvl>
    <w:lvl w:ilvl="2">
      <w:start w:val="1"/>
      <w:numFmt w:val="decimal"/>
      <w:lvlText w:val="%1.%2.%3"/>
      <w:lvlJc w:val="left"/>
      <w:pPr>
        <w:ind w:left="1705" w:hanging="997"/>
        <w:jc w:val="left"/>
      </w:pPr>
      <w:rPr>
        <w:rFonts w:ascii="楷体" w:eastAsia="楷体" w:hAnsi="楷体" w:cs="楷体" w:hint="default"/>
        <w:b/>
        <w:bCs/>
        <w:w w:val="99"/>
        <w:sz w:val="36"/>
        <w:szCs w:val="36"/>
      </w:rPr>
    </w:lvl>
    <w:lvl w:ilvl="3">
      <w:start w:val="0"/>
      <w:numFmt w:val="bullet"/>
      <w:lvlText w:val="•"/>
      <w:lvlJc w:val="left"/>
      <w:pPr>
        <w:ind w:left="5713" w:hanging="997"/>
      </w:pPr>
      <w:rPr>
        <w:rFonts w:hint="default"/>
      </w:rPr>
    </w:lvl>
    <w:lvl w:ilvl="4">
      <w:start w:val="0"/>
      <w:numFmt w:val="bullet"/>
      <w:lvlText w:val="•"/>
      <w:lvlJc w:val="left"/>
      <w:pPr>
        <w:ind w:left="7051" w:hanging="997"/>
      </w:pPr>
      <w:rPr>
        <w:rFonts w:hint="default"/>
      </w:rPr>
    </w:lvl>
    <w:lvl w:ilvl="5">
      <w:start w:val="0"/>
      <w:numFmt w:val="bullet"/>
      <w:lvlText w:val="•"/>
      <w:lvlJc w:val="left"/>
      <w:pPr>
        <w:ind w:left="8389" w:hanging="997"/>
      </w:pPr>
      <w:rPr>
        <w:rFonts w:hint="default"/>
      </w:rPr>
    </w:lvl>
    <w:lvl w:ilvl="6">
      <w:start w:val="0"/>
      <w:numFmt w:val="bullet"/>
      <w:lvlText w:val="•"/>
      <w:lvlJc w:val="left"/>
      <w:pPr>
        <w:ind w:left="9727" w:hanging="997"/>
      </w:pPr>
      <w:rPr>
        <w:rFonts w:hint="default"/>
      </w:rPr>
    </w:lvl>
    <w:lvl w:ilvl="7">
      <w:start w:val="0"/>
      <w:numFmt w:val="bullet"/>
      <w:lvlText w:val="•"/>
      <w:lvlJc w:val="left"/>
      <w:pPr>
        <w:ind w:left="11065" w:hanging="997"/>
      </w:pPr>
      <w:rPr>
        <w:rFonts w:hint="default"/>
      </w:rPr>
    </w:lvl>
    <w:lvl w:ilvl="8">
      <w:start w:val="0"/>
      <w:numFmt w:val="bullet"/>
      <w:lvlText w:val="•"/>
      <w:lvlJc w:val="left"/>
      <w:pPr>
        <w:ind w:left="12403" w:hanging="997"/>
      </w:pPr>
      <w:rPr>
        <w:rFonts w:hint="default"/>
      </w:rPr>
    </w:lvl>
  </w:abstractNum>
  <w:abstractNum w:abstractNumId="34">
    <w:nsid w:val="7B439011"/>
    <w:multiLevelType w:val="hybridMultilevel"/>
    <w:tmpl w:val="00000000"/>
    <w:lvl w:ilvl="0">
      <w:start w:val="3"/>
      <w:numFmt w:val="decimal"/>
      <w:lvlText w:val="%1"/>
      <w:lvlJc w:val="left"/>
      <w:pPr>
        <w:ind w:left="1799" w:hanging="1091"/>
        <w:jc w:val="left"/>
      </w:pPr>
      <w:rPr>
        <w:rFonts w:hint="default"/>
      </w:rPr>
    </w:lvl>
    <w:lvl w:ilvl="1">
      <w:start w:val="3"/>
      <w:numFmt w:val="decimal"/>
      <w:lvlText w:val="%1.%2"/>
      <w:lvlJc w:val="left"/>
      <w:pPr>
        <w:ind w:left="1799" w:hanging="1091"/>
        <w:jc w:val="left"/>
      </w:pPr>
      <w:rPr>
        <w:rFonts w:hint="default"/>
      </w:rPr>
    </w:lvl>
    <w:lvl w:ilvl="2">
      <w:start w:val="1"/>
      <w:numFmt w:val="decimal"/>
      <w:lvlText w:val="%1.%2.%3"/>
      <w:lvlJc w:val="left"/>
      <w:pPr>
        <w:ind w:left="1799" w:hanging="1091"/>
        <w:jc w:val="left"/>
      </w:pPr>
      <w:rPr>
        <w:rFonts w:ascii="楷体" w:eastAsia="楷体" w:hAnsi="楷体" w:cs="楷体" w:hint="default"/>
        <w:b/>
        <w:bCs/>
        <w:w w:val="99"/>
        <w:sz w:val="36"/>
        <w:szCs w:val="36"/>
      </w:rPr>
    </w:lvl>
    <w:lvl w:ilvl="3">
      <w:start w:val="0"/>
      <w:numFmt w:val="bullet"/>
      <w:lvlText w:val="•"/>
      <w:lvlJc w:val="left"/>
      <w:pPr>
        <w:ind w:left="2601" w:hanging="1091"/>
      </w:pPr>
      <w:rPr>
        <w:rFonts w:hint="default"/>
      </w:rPr>
    </w:lvl>
    <w:lvl w:ilvl="4">
      <w:start w:val="0"/>
      <w:numFmt w:val="bullet"/>
      <w:lvlText w:val="•"/>
      <w:lvlJc w:val="left"/>
      <w:pPr>
        <w:ind w:left="2732" w:hanging="1091"/>
      </w:pPr>
      <w:rPr>
        <w:rFonts w:hint="default"/>
      </w:rPr>
    </w:lvl>
    <w:lvl w:ilvl="5">
      <w:start w:val="0"/>
      <w:numFmt w:val="bullet"/>
      <w:lvlText w:val="•"/>
      <w:lvlJc w:val="left"/>
      <w:pPr>
        <w:ind w:left="2862" w:hanging="1091"/>
      </w:pPr>
      <w:rPr>
        <w:rFonts w:hint="default"/>
      </w:rPr>
    </w:lvl>
    <w:lvl w:ilvl="6">
      <w:start w:val="0"/>
      <w:numFmt w:val="bullet"/>
      <w:lvlText w:val="•"/>
      <w:lvlJc w:val="left"/>
      <w:pPr>
        <w:ind w:left="2993" w:hanging="1091"/>
      </w:pPr>
      <w:rPr>
        <w:rFonts w:hint="default"/>
      </w:rPr>
    </w:lvl>
    <w:lvl w:ilvl="7">
      <w:start w:val="0"/>
      <w:numFmt w:val="bullet"/>
      <w:lvlText w:val="•"/>
      <w:lvlJc w:val="left"/>
      <w:pPr>
        <w:ind w:left="3124" w:hanging="1091"/>
      </w:pPr>
      <w:rPr>
        <w:rFonts w:hint="default"/>
      </w:rPr>
    </w:lvl>
    <w:lvl w:ilvl="8">
      <w:start w:val="0"/>
      <w:numFmt w:val="bullet"/>
      <w:lvlText w:val="•"/>
      <w:lvlJc w:val="left"/>
      <w:pPr>
        <w:ind w:left="3254" w:hanging="1091"/>
      </w:pPr>
      <w:rPr>
        <w:rFonts w:hint="default"/>
      </w:rPr>
    </w:lvl>
  </w:abstractNum>
  <w:num w:numId="1">
    <w:abstractNumId w:val="4"/>
  </w:num>
  <w:num w:numId="2">
    <w:abstractNumId w:val="21"/>
  </w:num>
  <w:num w:numId="3">
    <w:abstractNumId w:val="2"/>
  </w:num>
  <w:num w:numId="4">
    <w:abstractNumId w:val="0"/>
  </w:num>
  <w:num w:numId="5">
    <w:abstractNumId w:val="12"/>
  </w:num>
  <w:num w:numId="6">
    <w:abstractNumId w:val="20"/>
  </w:num>
  <w:num w:numId="7">
    <w:abstractNumId w:val="13"/>
  </w:num>
  <w:num w:numId="8">
    <w:abstractNumId w:val="28"/>
  </w:num>
  <w:num w:numId="9">
    <w:abstractNumId w:val="6"/>
  </w:num>
  <w:num w:numId="10">
    <w:abstractNumId w:val="14"/>
  </w:num>
  <w:num w:numId="11">
    <w:abstractNumId w:val="22"/>
  </w:num>
  <w:num w:numId="12">
    <w:abstractNumId w:val="27"/>
  </w:num>
  <w:num w:numId="13">
    <w:abstractNumId w:val="9"/>
  </w:num>
  <w:num w:numId="14">
    <w:abstractNumId w:val="17"/>
  </w:num>
  <w:num w:numId="15">
    <w:abstractNumId w:val="18"/>
  </w:num>
  <w:num w:numId="16">
    <w:abstractNumId w:val="10"/>
  </w:num>
  <w:num w:numId="17">
    <w:abstractNumId w:val="29"/>
  </w:num>
  <w:num w:numId="18">
    <w:abstractNumId w:val="24"/>
  </w:num>
  <w:num w:numId="19">
    <w:abstractNumId w:val="11"/>
  </w:num>
  <w:num w:numId="20">
    <w:abstractNumId w:val="19"/>
  </w:num>
  <w:num w:numId="21">
    <w:abstractNumId w:val="25"/>
  </w:num>
  <w:num w:numId="22">
    <w:abstractNumId w:val="30"/>
  </w:num>
  <w:num w:numId="23">
    <w:abstractNumId w:val="23"/>
  </w:num>
  <w:num w:numId="24">
    <w:abstractNumId w:val="33"/>
  </w:num>
  <w:num w:numId="25">
    <w:abstractNumId w:val="5"/>
  </w:num>
  <w:num w:numId="26">
    <w:abstractNumId w:val="1"/>
  </w:num>
  <w:num w:numId="27">
    <w:abstractNumId w:val="8"/>
  </w:num>
  <w:num w:numId="28">
    <w:abstractNumId w:val="32"/>
  </w:num>
  <w:num w:numId="29">
    <w:abstractNumId w:val="31"/>
  </w:num>
  <w:num w:numId="30">
    <w:abstractNumId w:val="7"/>
  </w:num>
  <w:num w:numId="31">
    <w:abstractNumId w:val="3"/>
  </w:num>
  <w:num w:numId="32">
    <w:abstractNumId w:val="26"/>
  </w:num>
  <w:num w:numId="33">
    <w:abstractNumId w:val="15"/>
  </w:num>
  <w:num w:numId="34">
    <w:abstractNumId w:val="34"/>
  </w:num>
  <w:num w:numId="35">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spacing w:before="37"/>
      <w:ind w:left="1057" w:hanging="350"/>
      <w:outlineLvl w:val="0"/>
    </w:pPr>
    <w:rPr>
      <w:rFonts w:ascii="楷体" w:eastAsia="楷体" w:hAnsi="楷体" w:cs="楷体"/>
      <w:b/>
      <w:bCs/>
      <w:sz w:val="45"/>
      <w:szCs w:val="45"/>
    </w:rPr>
  </w:style>
  <w:style w:type="paragraph" w:styleId="Heading2">
    <w:name w:val="heading 2"/>
    <w:basedOn w:val="Normal"/>
    <w:uiPriority w:val="1"/>
    <w:qFormat/>
    <w:pPr>
      <w:ind w:left="1468" w:hanging="760"/>
      <w:outlineLvl w:val="1"/>
    </w:pPr>
    <w:rPr>
      <w:rFonts w:ascii="楷体" w:eastAsia="楷体" w:hAnsi="楷体" w:cs="楷体"/>
      <w:b/>
      <w:bCs/>
      <w:sz w:val="42"/>
      <w:szCs w:val="42"/>
    </w:rPr>
  </w:style>
  <w:style w:type="paragraph" w:styleId="Heading3">
    <w:name w:val="heading 3"/>
    <w:basedOn w:val="Normal"/>
    <w:uiPriority w:val="1"/>
    <w:qFormat/>
    <w:pPr>
      <w:ind w:left="1072"/>
      <w:outlineLvl w:val="2"/>
    </w:pPr>
    <w:rPr>
      <w:rFonts w:ascii="楷体" w:eastAsia="楷体" w:hAnsi="楷体" w:cs="楷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5"/>
      <w:ind w:left="989" w:hanging="282"/>
    </w:pPr>
    <w:rPr>
      <w:rFonts w:ascii="楷体" w:eastAsia="楷体" w:hAnsi="楷体" w:cs="楷体"/>
      <w:b/>
      <w:bCs/>
      <w:sz w:val="36"/>
      <w:szCs w:val="36"/>
    </w:rPr>
  </w:style>
  <w:style w:type="paragraph" w:styleId="TOC2">
    <w:name w:val="toc 2"/>
    <w:basedOn w:val="Normal"/>
    <w:uiPriority w:val="1"/>
    <w:qFormat/>
    <w:pPr>
      <w:ind w:left="989" w:hanging="282"/>
    </w:pPr>
    <w:rPr>
      <w:rFonts w:ascii="楷体" w:eastAsia="楷体" w:hAnsi="楷体" w:cs="楷体"/>
      <w:b/>
      <w:bCs/>
      <w:i/>
    </w:rPr>
  </w:style>
  <w:style w:type="paragraph" w:styleId="TOC3">
    <w:name w:val="toc 3"/>
    <w:basedOn w:val="Normal"/>
    <w:uiPriority w:val="1"/>
    <w:qFormat/>
    <w:pPr>
      <w:spacing w:line="487" w:lineRule="exact"/>
      <w:ind w:left="1989" w:hanging="652"/>
    </w:pPr>
    <w:rPr>
      <w:rFonts w:ascii="楷体" w:eastAsia="楷体" w:hAnsi="楷体" w:cs="楷体"/>
      <w:sz w:val="36"/>
      <w:szCs w:val="36"/>
    </w:rPr>
  </w:style>
  <w:style w:type="paragraph" w:styleId="TOC4">
    <w:name w:val="toc 4"/>
    <w:basedOn w:val="Normal"/>
    <w:uiPriority w:val="1"/>
    <w:qFormat/>
    <w:pPr>
      <w:spacing w:line="487" w:lineRule="exact"/>
      <w:ind w:left="1989" w:hanging="652"/>
    </w:pPr>
    <w:rPr>
      <w:rFonts w:ascii="楷体" w:eastAsia="楷体" w:hAnsi="楷体" w:cs="楷体"/>
      <w:b/>
      <w:bCs/>
      <w:i/>
    </w:rPr>
  </w:style>
  <w:style w:type="paragraph" w:styleId="BodyText">
    <w:name w:val="Body Text"/>
    <w:basedOn w:val="Normal"/>
    <w:uiPriority w:val="1"/>
    <w:qFormat/>
    <w:rPr>
      <w:rFonts w:ascii="楷体" w:eastAsia="楷体" w:hAnsi="楷体" w:cs="楷体"/>
      <w:sz w:val="36"/>
      <w:szCs w:val="36"/>
    </w:rPr>
  </w:style>
  <w:style w:type="paragraph" w:styleId="Title">
    <w:name w:val="Title"/>
    <w:basedOn w:val="Normal"/>
    <w:uiPriority w:val="1"/>
    <w:qFormat/>
    <w:pPr>
      <w:ind w:left="490" w:right="573"/>
      <w:jc w:val="center"/>
    </w:pPr>
    <w:rPr>
      <w:rFonts w:ascii="楷体" w:eastAsia="楷体" w:hAnsi="楷体" w:cs="楷体"/>
      <w:b/>
      <w:bCs/>
      <w:sz w:val="78"/>
      <w:szCs w:val="78"/>
    </w:rPr>
  </w:style>
  <w:style w:type="paragraph" w:styleId="ListParagraph">
    <w:name w:val="List Paragraph"/>
    <w:basedOn w:val="Normal"/>
    <w:uiPriority w:val="1"/>
    <w:qFormat/>
    <w:pPr>
      <w:ind w:left="708" w:hanging="902"/>
    </w:pPr>
    <w:rPr>
      <w:rFonts w:ascii="楷体" w:eastAsia="楷体" w:hAnsi="楷体" w:cs="楷体"/>
    </w:rPr>
  </w:style>
  <w:style w:type="paragraph" w:customStyle="1" w:styleId="TableParagraph">
    <w:name w:val="Table Paragraph"/>
    <w:basedOn w:val="Normal"/>
    <w:uiPriority w:val="1"/>
    <w:qFormat/>
    <w:pPr>
      <w:jc w:val="center"/>
    </w:pPr>
    <w:rPr>
      <w:rFonts w:ascii="楷体" w:eastAsia="楷体" w:hAnsi="楷体" w:cs="楷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37.xml" /><Relationship Id="rId101" Type="http://schemas.openxmlformats.org/officeDocument/2006/relationships/footer" Target="footer37.xml" /><Relationship Id="rId102" Type="http://schemas.openxmlformats.org/officeDocument/2006/relationships/image" Target="media/image25.png" /><Relationship Id="rId103" Type="http://schemas.openxmlformats.org/officeDocument/2006/relationships/header" Target="header38.xml" /><Relationship Id="rId104" Type="http://schemas.openxmlformats.org/officeDocument/2006/relationships/footer" Target="footer38.xml" /><Relationship Id="rId105" Type="http://schemas.openxmlformats.org/officeDocument/2006/relationships/header" Target="header39.xml" /><Relationship Id="rId106" Type="http://schemas.openxmlformats.org/officeDocument/2006/relationships/footer" Target="footer39.xml" /><Relationship Id="rId107" Type="http://schemas.openxmlformats.org/officeDocument/2006/relationships/image" Target="media/image26.png" /><Relationship Id="rId108" Type="http://schemas.openxmlformats.org/officeDocument/2006/relationships/header" Target="header40.xml" /><Relationship Id="rId109" Type="http://schemas.openxmlformats.org/officeDocument/2006/relationships/footer" Target="footer40.xml" /><Relationship Id="rId11" Type="http://schemas.openxmlformats.org/officeDocument/2006/relationships/footer" Target="footer4.xml" /><Relationship Id="rId110" Type="http://schemas.openxmlformats.org/officeDocument/2006/relationships/image" Target="media/image27.png" /><Relationship Id="rId111" Type="http://schemas.openxmlformats.org/officeDocument/2006/relationships/header" Target="header41.xml" /><Relationship Id="rId112" Type="http://schemas.openxmlformats.org/officeDocument/2006/relationships/footer" Target="footer41.xml" /><Relationship Id="rId113" Type="http://schemas.openxmlformats.org/officeDocument/2006/relationships/header" Target="header42.xml" /><Relationship Id="rId114" Type="http://schemas.openxmlformats.org/officeDocument/2006/relationships/footer" Target="footer42.xml" /><Relationship Id="rId115" Type="http://schemas.openxmlformats.org/officeDocument/2006/relationships/image" Target="media/image28.png" /><Relationship Id="rId116" Type="http://schemas.openxmlformats.org/officeDocument/2006/relationships/header" Target="header43.xml" /><Relationship Id="rId117" Type="http://schemas.openxmlformats.org/officeDocument/2006/relationships/footer" Target="footer43.xml" /><Relationship Id="rId118" Type="http://schemas.openxmlformats.org/officeDocument/2006/relationships/image" Target="media/image29.png" /><Relationship Id="rId119" Type="http://schemas.openxmlformats.org/officeDocument/2006/relationships/header" Target="header44.xml" /><Relationship Id="rId12" Type="http://schemas.openxmlformats.org/officeDocument/2006/relationships/header" Target="header5.xml" /><Relationship Id="rId120" Type="http://schemas.openxmlformats.org/officeDocument/2006/relationships/footer" Target="footer44.xml" /><Relationship Id="rId121" Type="http://schemas.openxmlformats.org/officeDocument/2006/relationships/header" Target="header45.xml" /><Relationship Id="rId122" Type="http://schemas.openxmlformats.org/officeDocument/2006/relationships/footer" Target="footer45.xml" /><Relationship Id="rId123" Type="http://schemas.openxmlformats.org/officeDocument/2006/relationships/header" Target="header46.xml" /><Relationship Id="rId124" Type="http://schemas.openxmlformats.org/officeDocument/2006/relationships/footer" Target="footer46.xml" /><Relationship Id="rId125" Type="http://schemas.openxmlformats.org/officeDocument/2006/relationships/header" Target="header47.xml" /><Relationship Id="rId126" Type="http://schemas.openxmlformats.org/officeDocument/2006/relationships/footer" Target="footer47.xml" /><Relationship Id="rId127" Type="http://schemas.openxmlformats.org/officeDocument/2006/relationships/header" Target="header48.xml" /><Relationship Id="rId128" Type="http://schemas.openxmlformats.org/officeDocument/2006/relationships/footer" Target="footer48.xml" /><Relationship Id="rId129" Type="http://schemas.openxmlformats.org/officeDocument/2006/relationships/header" Target="header49.xml" /><Relationship Id="rId13" Type="http://schemas.openxmlformats.org/officeDocument/2006/relationships/footer" Target="footer5.xml" /><Relationship Id="rId130" Type="http://schemas.openxmlformats.org/officeDocument/2006/relationships/footer" Target="footer49.xml" /><Relationship Id="rId131" Type="http://schemas.openxmlformats.org/officeDocument/2006/relationships/header" Target="header50.xml" /><Relationship Id="rId132" Type="http://schemas.openxmlformats.org/officeDocument/2006/relationships/footer" Target="footer50.xml" /><Relationship Id="rId133" Type="http://schemas.openxmlformats.org/officeDocument/2006/relationships/image" Target="media/image30.png" /><Relationship Id="rId134" Type="http://schemas.openxmlformats.org/officeDocument/2006/relationships/header" Target="header51.xml" /><Relationship Id="rId135" Type="http://schemas.openxmlformats.org/officeDocument/2006/relationships/footer" Target="footer51.xml" /><Relationship Id="rId136" Type="http://schemas.openxmlformats.org/officeDocument/2006/relationships/image" Target="media/image31.png" /><Relationship Id="rId137" Type="http://schemas.openxmlformats.org/officeDocument/2006/relationships/image" Target="media/image32.png" /><Relationship Id="rId138" Type="http://schemas.openxmlformats.org/officeDocument/2006/relationships/header" Target="header52.xml" /><Relationship Id="rId139" Type="http://schemas.openxmlformats.org/officeDocument/2006/relationships/footer" Target="footer52.xml" /><Relationship Id="rId14" Type="http://schemas.openxmlformats.org/officeDocument/2006/relationships/header" Target="header6.xml" /><Relationship Id="rId140" Type="http://schemas.openxmlformats.org/officeDocument/2006/relationships/header" Target="header53.xml" /><Relationship Id="rId141" Type="http://schemas.openxmlformats.org/officeDocument/2006/relationships/footer" Target="footer53.xml" /><Relationship Id="rId142" Type="http://schemas.openxmlformats.org/officeDocument/2006/relationships/image" Target="media/image33.png" /><Relationship Id="rId143" Type="http://schemas.openxmlformats.org/officeDocument/2006/relationships/header" Target="header54.xml" /><Relationship Id="rId144" Type="http://schemas.openxmlformats.org/officeDocument/2006/relationships/footer" Target="footer54.xml" /><Relationship Id="rId145" Type="http://schemas.openxmlformats.org/officeDocument/2006/relationships/image" Target="media/image34.png" /><Relationship Id="rId146" Type="http://schemas.openxmlformats.org/officeDocument/2006/relationships/hyperlink" Target="https://d.book118.com/168100025101006023" TargetMode="External" /><Relationship Id="rId147" Type="http://schemas.openxmlformats.org/officeDocument/2006/relationships/header" Target="header55.xml" /><Relationship Id="rId148" Type="http://schemas.openxmlformats.org/officeDocument/2006/relationships/footer" Target="footer55.xml" /><Relationship Id="rId149" Type="http://schemas.openxmlformats.org/officeDocument/2006/relationships/theme" Target="theme/theme1.xml" /><Relationship Id="rId15" Type="http://schemas.openxmlformats.org/officeDocument/2006/relationships/footer" Target="footer6.xml" /><Relationship Id="rId150" Type="http://schemas.openxmlformats.org/officeDocument/2006/relationships/numbering" Target="numbering.xml" /><Relationship Id="rId151" Type="http://schemas.openxmlformats.org/officeDocument/2006/relationships/styles" Target="styles.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image" Target="media/image1.png" /><Relationship Id="rId19" Type="http://schemas.openxmlformats.org/officeDocument/2006/relationships/image" Target="media/image2.png"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image" Target="media/image3.png"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image" Target="media/image4.png"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image" Target="media/image5.png"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image" Target="media/image6.png" /><Relationship Id="rId34" Type="http://schemas.openxmlformats.org/officeDocument/2006/relationships/header" Target="header13.xml" /><Relationship Id="rId35" Type="http://schemas.openxmlformats.org/officeDocument/2006/relationships/footer" Target="footer13.xml" /><Relationship Id="rId36" Type="http://schemas.openxmlformats.org/officeDocument/2006/relationships/header" Target="header14.xml" /><Relationship Id="rId37" Type="http://schemas.openxmlformats.org/officeDocument/2006/relationships/footer" Target="footer14.xml"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header" Target="header1.xml"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image" Target="media/image7.png" /><Relationship Id="rId43" Type="http://schemas.openxmlformats.org/officeDocument/2006/relationships/header" Target="header17.xml" /><Relationship Id="rId44" Type="http://schemas.openxmlformats.org/officeDocument/2006/relationships/footer" Target="footer17.xml" /><Relationship Id="rId45" Type="http://schemas.openxmlformats.org/officeDocument/2006/relationships/image" Target="media/image8.png" /><Relationship Id="rId46" Type="http://schemas.openxmlformats.org/officeDocument/2006/relationships/image" Target="media/image9.png" /><Relationship Id="rId47" Type="http://schemas.openxmlformats.org/officeDocument/2006/relationships/image" Target="media/image10.png" /><Relationship Id="rId48" Type="http://schemas.openxmlformats.org/officeDocument/2006/relationships/image" Target="media/image11.png" /><Relationship Id="rId49" Type="http://schemas.openxmlformats.org/officeDocument/2006/relationships/header" Target="header18.xml" /><Relationship Id="rId5" Type="http://schemas.openxmlformats.org/officeDocument/2006/relationships/footer" Target="footer1.xml" /><Relationship Id="rId50" Type="http://schemas.openxmlformats.org/officeDocument/2006/relationships/footer" Target="footer18.xml" /><Relationship Id="rId51" Type="http://schemas.openxmlformats.org/officeDocument/2006/relationships/image" Target="media/image12.png" /><Relationship Id="rId52" Type="http://schemas.openxmlformats.org/officeDocument/2006/relationships/header" Target="header19.xml" /><Relationship Id="rId53" Type="http://schemas.openxmlformats.org/officeDocument/2006/relationships/footer" Target="footer19.xml" /><Relationship Id="rId54" Type="http://schemas.openxmlformats.org/officeDocument/2006/relationships/image" Target="media/image13.png" /><Relationship Id="rId55" Type="http://schemas.openxmlformats.org/officeDocument/2006/relationships/image" Target="media/image14.png" /><Relationship Id="rId56" Type="http://schemas.openxmlformats.org/officeDocument/2006/relationships/header" Target="header20.xml" /><Relationship Id="rId57" Type="http://schemas.openxmlformats.org/officeDocument/2006/relationships/footer" Target="footer20.xml" /><Relationship Id="rId58" Type="http://schemas.openxmlformats.org/officeDocument/2006/relationships/image" Target="media/image15.png" /><Relationship Id="rId59" Type="http://schemas.openxmlformats.org/officeDocument/2006/relationships/image" Target="media/image16.png" /><Relationship Id="rId6" Type="http://schemas.openxmlformats.org/officeDocument/2006/relationships/header" Target="header2.xml" /><Relationship Id="rId60" Type="http://schemas.openxmlformats.org/officeDocument/2006/relationships/header" Target="header21.xml" /><Relationship Id="rId61" Type="http://schemas.openxmlformats.org/officeDocument/2006/relationships/footer" Target="footer21.xml" /><Relationship Id="rId62" Type="http://schemas.openxmlformats.org/officeDocument/2006/relationships/header" Target="header22.xml" /><Relationship Id="rId63" Type="http://schemas.openxmlformats.org/officeDocument/2006/relationships/footer" Target="footer22.xml" /><Relationship Id="rId64" Type="http://schemas.openxmlformats.org/officeDocument/2006/relationships/header" Target="header23.xml" /><Relationship Id="rId65" Type="http://schemas.openxmlformats.org/officeDocument/2006/relationships/footer" Target="footer23.xml" /><Relationship Id="rId66" Type="http://schemas.openxmlformats.org/officeDocument/2006/relationships/header" Target="header24.xml" /><Relationship Id="rId67" Type="http://schemas.openxmlformats.org/officeDocument/2006/relationships/footer" Target="footer24.xml" /><Relationship Id="rId68" Type="http://schemas.openxmlformats.org/officeDocument/2006/relationships/image" Target="media/image17.png" /><Relationship Id="rId69" Type="http://schemas.openxmlformats.org/officeDocument/2006/relationships/image" Target="media/image18.png" /><Relationship Id="rId7" Type="http://schemas.openxmlformats.org/officeDocument/2006/relationships/footer" Target="footer2.xml" /><Relationship Id="rId70" Type="http://schemas.openxmlformats.org/officeDocument/2006/relationships/header" Target="header25.xml" /><Relationship Id="rId71" Type="http://schemas.openxmlformats.org/officeDocument/2006/relationships/footer" Target="footer25.xml" /><Relationship Id="rId72" Type="http://schemas.openxmlformats.org/officeDocument/2006/relationships/header" Target="header26.xml" /><Relationship Id="rId73" Type="http://schemas.openxmlformats.org/officeDocument/2006/relationships/footer" Target="footer26.xml" /><Relationship Id="rId74" Type="http://schemas.openxmlformats.org/officeDocument/2006/relationships/header" Target="header27.xml" /><Relationship Id="rId75" Type="http://schemas.openxmlformats.org/officeDocument/2006/relationships/footer" Target="footer27.xml" /><Relationship Id="rId76" Type="http://schemas.openxmlformats.org/officeDocument/2006/relationships/image" Target="media/image19.png" /><Relationship Id="rId77" Type="http://schemas.openxmlformats.org/officeDocument/2006/relationships/header" Target="header28.xml" /><Relationship Id="rId78" Type="http://schemas.openxmlformats.org/officeDocument/2006/relationships/footer" Target="footer28.xml" /><Relationship Id="rId79" Type="http://schemas.openxmlformats.org/officeDocument/2006/relationships/image" Target="media/image20.png" /><Relationship Id="rId8" Type="http://schemas.openxmlformats.org/officeDocument/2006/relationships/header" Target="header3.xml" /><Relationship Id="rId80" Type="http://schemas.openxmlformats.org/officeDocument/2006/relationships/header" Target="header29.xml" /><Relationship Id="rId81" Type="http://schemas.openxmlformats.org/officeDocument/2006/relationships/footer" Target="footer29.xml" /><Relationship Id="rId82" Type="http://schemas.openxmlformats.org/officeDocument/2006/relationships/header" Target="header30.xml" /><Relationship Id="rId83" Type="http://schemas.openxmlformats.org/officeDocument/2006/relationships/footer" Target="footer30.xml" /><Relationship Id="rId84" Type="http://schemas.openxmlformats.org/officeDocument/2006/relationships/header" Target="header31.xml" /><Relationship Id="rId85" Type="http://schemas.openxmlformats.org/officeDocument/2006/relationships/footer" Target="footer31.xml" /><Relationship Id="rId86" Type="http://schemas.openxmlformats.org/officeDocument/2006/relationships/image" Target="media/image21.png" /><Relationship Id="rId87" Type="http://schemas.openxmlformats.org/officeDocument/2006/relationships/header" Target="header32.xml" /><Relationship Id="rId88" Type="http://schemas.openxmlformats.org/officeDocument/2006/relationships/footer" Target="footer32.xml" /><Relationship Id="rId89" Type="http://schemas.openxmlformats.org/officeDocument/2006/relationships/header" Target="header33.xml" /><Relationship Id="rId9" Type="http://schemas.openxmlformats.org/officeDocument/2006/relationships/footer" Target="footer3.xml" /><Relationship Id="rId90" Type="http://schemas.openxmlformats.org/officeDocument/2006/relationships/footer" Target="footer33.xml" /><Relationship Id="rId91" Type="http://schemas.openxmlformats.org/officeDocument/2006/relationships/image" Target="media/image22.png" /><Relationship Id="rId92" Type="http://schemas.openxmlformats.org/officeDocument/2006/relationships/header" Target="header34.xml" /><Relationship Id="rId93" Type="http://schemas.openxmlformats.org/officeDocument/2006/relationships/footer" Target="footer34.xml" /><Relationship Id="rId94" Type="http://schemas.openxmlformats.org/officeDocument/2006/relationships/image" Target="media/image23.png" /><Relationship Id="rId95" Type="http://schemas.openxmlformats.org/officeDocument/2006/relationships/header" Target="header35.xml" /><Relationship Id="rId96" Type="http://schemas.openxmlformats.org/officeDocument/2006/relationships/footer" Target="footer35.xml" /><Relationship Id="rId97" Type="http://schemas.openxmlformats.org/officeDocument/2006/relationships/image" Target="media/image24.png" /><Relationship Id="rId98" Type="http://schemas.openxmlformats.org/officeDocument/2006/relationships/header" Target="header36.xml" /><Relationship Id="rId99" Type="http://schemas.openxmlformats.org/officeDocument/2006/relationships/footer" Target="footer3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2023-12-18T13:24:33Z</dcterms:created>
  <dcterms:modified xsi:type="dcterms:W3CDTF">2023-12-18T13:24:33Z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2022-10-11T00:00:00Z</vt:filetime>
  </property>
  <property fmtid="{D5CDD505-2E9C-101B-9397-08002B2CF9AE}" pid="3" name="LastSaved">
    <vt:filetime>2023-12-18T00:00:00Z</vt:filetime>
  </property>
</Properties>
</file>