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2018-2023年新疆现代职业技术学院高职单招（数学／语文／英语）历年常考试题库含答案解析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陶渊明《饮酒》中，最富有哲理意味的诗句是（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A.飞鸟相与还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B.心远地自偏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C.结庐在人境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D.悠然见南山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“举案齐眉”、“乘舟梦日”、“鲈鱼堪脍”三个典故所涉及的人物依次是（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B.盂光、伊尹、季鹰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下列句子中，“且”字可译为“将近”的是（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A.外无待而犹死守，人相食且尽。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B.岂吾相不当侯邪？且固命也？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C.且臣结发而与匈奴战，今乃一得当单于。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D.虽食，且不下咽。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下列各组句子中，加点字意思相同的一组是（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705384" cy="2105246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5384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侯方域是明末清初著名的（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A.诗文作家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B.政治家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C.思想家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D.教育家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“还将旧来意，怜取眼前人”中后句的意思是（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A.可怜眼前的我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B.爱眼前的我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C.可怜眼前的新人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D.爱眼前的新人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称司马迁《史记》为“史家之绝唱，无韵之《离骚》”的作家是（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C.胡适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生活在南北宋交替之际的诗人是（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A.19世纪俄国作家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B.19世纪法国作家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C.19世纪英国作家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D.19世纪德国作家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“文章的通病总不外两种，一是不知选择，二是不知安排”，此句话出自（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A.鲁迅的《灯下漫笔》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B.钱锺书的《论快乐》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C.梁实秋的《谈时间》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D.朱光潜的《选择与安排》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https://d.book118.com/168114052133006040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168114052133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