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药学教育项目招商引资风险评估报告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一、药学教育项目选址研究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(一)、药学教育项目选址的指导原则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(二)、药学教育项目选址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二、药学教育项目概论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(一)、药学教育项目名称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0" w:history="1">
        <w:r>
          <w:rPr>
            <w:rFonts w:ascii="仿宋" w:eastAsia="仿宋" w:hAnsi="仿宋" w:cs="仿宋" w:hint="eastAsia"/>
            <w:lang w:eastAsia="zh-CN"/>
          </w:rPr>
          <w:t>(二)、药学教育项目选址</w:t>
        </w:r>
        <w:r>
          <w:tab/>
        </w:r>
        <w:r>
          <w:fldChar w:fldCharType="begin"/>
        </w:r>
        <w:r>
          <w:instrText xml:space="preserve"> PAGEREF _Toc16610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(三)、药学教育项目用地规模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(四)、药学教育项目用地控制指标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(九)、药学教育项目总投资及资本结构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(十一)、药学教育项目预期经济效益规划目标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(十二)、药学教育项目进度计划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" w:history="1">
        <w:r>
          <w:rPr>
            <w:rFonts w:ascii="仿宋" w:eastAsia="仿宋" w:hAnsi="仿宋" w:cs="仿宋" w:hint="eastAsia"/>
            <w:lang w:eastAsia="zh-CN"/>
          </w:rPr>
          <w:t>(十四)、药学教育项目评价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(一)、药学教育项目建设期的原材料及辅助材料供应概述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(二)、药学教育项目运营期原辅材料采购及管理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(四)、药学教育项目工艺技术设计方案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(五)、药学教育项目设备选型及配置方案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(四)、药学教育项目建设对区域经济的短期与长期影响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(八)、药学教育项目建设的经济效益与环境效益权衡分析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" w:history="1">
        <w:r>
          <w:rPr>
            <w:rFonts w:ascii="仿宋" w:eastAsia="仿宋" w:hAnsi="仿宋" w:cs="仿宋" w:hint="eastAsia"/>
            <w:lang w:eastAsia="zh-CN"/>
          </w:rPr>
          <w:t>六、药学教育项目实施进度</w:t>
        </w:r>
        <w:r>
          <w:tab/>
        </w:r>
        <w:r>
          <w:fldChar w:fldCharType="begin"/>
        </w:r>
        <w:r>
          <w:instrText xml:space="preserve"> PAGEREF _Toc1335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(六)、药学教育项目实施保障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(三)、药学教育项目盈利能力分析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十、药学教育项目招投标方案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(四)、药学教育项目招投标要求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(五)、药学教育项目招标方式和招标程序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十一、药学教育项目优势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https://d.book118.com/168123047074006047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药学教育项目招商引资风险评估报告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药学教育项目招商引资风险评估报告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药学教育项目招商引资风险评估报告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药学教育项目招商引资风险评估报告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E913D7"/>
    <w:rsid w:val="0FE913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12304707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2024-01-31T02:32:00Z</dcterms:created>
  <dcterms:modified xsi:type="dcterms:W3CDTF">2024-01-31T02:33:03Z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A718A2FD0EBB42C3ACACEB3060EFECCB_11</vt:lpwstr>
  </property>
  <property fmtid="{D5CDD505-2E9C-101B-9397-08002B2CF9AE}" pid="3" name="KSOProductBuildVer">
    <vt:lpwstr>2052-12.1.0.16250</vt:lpwstr>
  </property>
</Properties>
</file>