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lang w:eastAsia="zh-CN"/>
        </w:rPr>
      </w:pPr>
      <w:bookmarkStart w:id="0" w:name="_GoBack"/>
      <w:bookmarkEnd w:id="0"/>
      <w:r>
        <w:rPr>
          <w:rFonts w:ascii="宋体" w:eastAsia="宋体" w:hAnsi="宋体" w:cs="宋体" w:hint="eastAsia"/>
          <w:outline w:val="0"/>
          <w:shadow w:val="0"/>
          <w:emboss w:val="0"/>
          <w:imprint w:val="0"/>
          <w:vanish w:val="0"/>
          <w:w w:val="100"/>
          <w:sz w:val="28"/>
          <w:szCs w:val="28"/>
          <w:u w:val="none"/>
          <w:lang w:eastAsia="zh-CN"/>
        </w:rPr>
        <w:t>银行柜员考试：建设银行柜员考试考点巩固四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1、多选 尾箱风险点主要包括（）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A、尾箱现金实行限额管理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B、尾箱开启、上锁、贴封要在监控下进行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C、每日营业终了所有库存现金、重证必须一律封箱入库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D、尾箱要双人上锁，钥匙分</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别保管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2、单选 营业终了尾箱必须（）。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A.上锁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B.入柜保管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C.入库保管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D.入支行临时库保管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3、单选 内部帐余额查询的操作代码是（）。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A、7013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B、7014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C、7015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D、7016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4、多选 个人定期存款包括（）等。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B、教育储蓄存款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C、存本取息定期储蓄存款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D、整存零取定期储蓄存款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5、单选 网银个人服务储蓄卡、存折在查询和转账时报“子账户不存在”错误，客户该如何操作？（）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A.删除账户重新追加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B.到开户储蓄网点补录子账户信息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C.账户状态异常，终止操作</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D.在“一卡通服务”中进行“更新账户信息”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6、多选 下列款项可以转账存入个人银行结算账户（）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A、工资、奖金收入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B、稿费、演出费等劳务收入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C、债券、期货、信托等投资的本金和收益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D、个人债权或产权转让收益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7、单选 领取票样时，应指定专人办理签收手续，登记（）登记簿，并纳入会计表外核算，专夹入库保管。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A.交接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B.票样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C.有价单证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8、单选 单位协定存款基本存款额度以内的存款按结息日中国人民银行规定的（）计息，超过基本存款额度的存款按结息日中国人民银行规定的（）计息。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A、活期存款利率，协定存款利率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B、协定存款利率，活期存款利率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C、活期存款利率，不计息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D、协定存款利率，不计息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9、单选 建设银行的核心价值观是（）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A、敬业精神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B、求真务实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C、实现价值最大化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D、严谨规范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10、单选 发生客户投诉时，普通柜员需要衔接的是（）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A、个人业务顾问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C、被投诉柜员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D、柜员主管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11、单选 78、79、无论多么棘手、复杂的投诉，永远是分三步走：（）。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A、先控制情绪，再控制事态，后解决问题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B、先控制事态，再控制情绪，后解决问题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C、先调控情绪，再控制事态，后处理问题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D、先控制事态，再调控情绪，后解决问题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12、单选 教育储蓄存款的最高金额为（）。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13、多选 非账务性业务主要是（）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A、各类定期、活期储蓄存折的换折、毁损补发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B、各类定期、活期储蓄存折的重建磁条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C、各类定期、活期储蓄存折的旧系统存折换发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D、批量开户后储蓄存款账户的存单/折打印和补登存折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14、判断题 办理速汇通业务，汇往大连、青岛、苏州、宁波、厦门、宜昌、深圳七个城市的汇款，汇入地不能只填所在省份，必须填写城市名称</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15、单选 已纳入损益的应收未收贷款利息，在其贷款本金或应收利息逾期超过（）天（不含）以后，应及时冲减利息收入。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16、单选 办理协助冻结业务时，经办人在所提供材料审核无误后，应在协助冻结存款通知书回执联上写明情况并加盖（）交执法人员。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A.结算专用章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B.转讫章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C.业务用公章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D.票据受理章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17、单选 （）以一本存折管理多笔本外币整存整取、个人通知存款、定活两便储蓄存款和凭证式国债等固有本金、正常情况下一次性存入和支取的储蓄存款。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A、活期一本通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B、定期一本通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C、龙卡通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D、通存通兑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18、单选 客户可以开立（）个基金账户。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D、不限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19、单选 储蓄所一次领用其它重要单证，一般以本所（）天签发量为限。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C、十五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20、单选 客户办理查询业务时，若发现非其单位财会人员或出纳人员要查询其单位存款时，你应该（）。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A、对客户说：你不能查，让你们单位会计来查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B、对客户说：这不是你能查询的账户，你为什么来查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C、马上给客户查询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D、对客户说：对不起，为了保护客户权益，按规定我不能为您查询，请您谅解</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21、多选 代缴费分为（）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A、代缴公共事业费（水电气等）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B、代缴通讯费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C、代缴行政事业费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D、其他代缴费（学费、报费、房租等）等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22、单选 下列表述错误的是（）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A、尾箱要双人上锁，钥匙分别保管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B、营业终了尾箱实行寄库保管，网点不得留有现金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C、柜员之间的现金调剂必须由有权人监交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D、空白凭证上可以加盖印章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23、单选 由他人代为账户所有人办理业务时，代办人应在凭条的签名处签写（）的姓名。柜员应审核其签名是否与提交的身份证件相符。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A、帐户所有人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B、代办人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C、帐户所有人和代办人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24、单选 办理业务时如有电话打来，必须办完业务后再接电话，缩短客户等候时间；如有特殊情况，必须先接电话的，须征得客户的同意；接听、拨打电话要长话短说、言简意赅，私人电话不超过（）分钟。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4"/>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25、多选 单位人民币活期存款适用对象有（）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A、企业法人；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B、企业法人内部单独核算的单位、私营企业、个体经济户和承包户J、外地临时机构可以开立临时存款账户。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C、行政机关、事业单位；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D、县级以上军队、武警单位；</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E、外国驻华机构；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F、社会团体、外地常设机构。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E, F</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26、单选 下列属于普通柜员营业终的工作有（）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B、备齐营销资料和营业用非重空单证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C、查看现金和重空库存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D、兑换零钞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27、单选 个人耐用消费品贷款额度为（），且最高不超过所购商品价格总额的（）。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A、3000元至5万元,80%；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B、1000元至2万元，80%；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C、3000元至5万元,70%；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D、1000元至2万元，70%。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28、单选 单位通知存款最低起存金额为（），最低支取金额为（）。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A.10万元，20万元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B.20万元，50万元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C.50万元，10万元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D.100万元，10万元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29、多选 “百易安——交易资金托管服务”可适用的领域有（）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A、房地产交易；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B、商品贸易；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C、股权转让；</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D、留学和移民中介；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E、网上交易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30、判断题 发生客户投诉时，普通柜员只需移交大堂经理即可，没有后续服务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5"/>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31、单选 因服务质量问题被新闻媒体曝光，严重影响建设银行声誉的重大客户投诉事件，经调查情况属实的，对相关责任人、网点负责人及其上级行服务主管部门负责人分别处以的罚款，情节严重的，对相关人员依据《中国建设银行工作人员违规行为处理办法》的有关规定给予纪律处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B、100至2000元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D、100至1000元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32、单选 支票的提示付款期限自出票日起（）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B、15日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D、3个月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33、多选 客户向银行申请流动资金贷款必须符合下列条件：（）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A、借款人必须符合《贷款通则》的要求；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B、生产经营活动符合国家产业政策；外汇管理政策和银行的信贷政策；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C、生产经营正常，财务制度健全，资金使用合理；拥有法定资本金，有不少于正常流动资金周转需要量30%的营运资金;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D、生产经营正常，财务制度健全，资金使用合理；拥有法定资本金，有不少于正常流动资金周转需要量20%的营运资金。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34、多选 普通柜员应通过以下服务，推荐客户到自助服务区（）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A.仔细聆听以确保理解客户需求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B.礼貌提醒客户交易可以去自助服务区完成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C.提供适当的宣传册：双手递出宣传册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D.主动告诉客户下次使用自助服务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E.以上均可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35、单选 转入“其他应付款”科目核算的长期睡眠户款项，超过（）年可作为“营业外收入”入账。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B、3年（含3年）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D、5年（含5年）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6"/>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36、多选 我行为个人住房贷款、个人住房组合贷款、个人住房转让贷款、个人再交易住房贷款的客户提供方便多样的贷款偿还方式，其中：借款期限在1年以上的，可以采用等额本息还款法、等额本金还款法、等额累进还款法、等比累进还款法等多种分期还款方法，但目前一般采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A、等额本息还款法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B、等额本金还款法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C、等额累进还款法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D、等比累进还款法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37、判断题 普通柜员对于不能当场完成的客户服务应及时移交高级柜员办理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38、多选 重要单证要实行专人管理，做到（）管账，()管证。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A、记账员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B、复核员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C、单证专管员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D、会计人员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E、出纳人员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F、会计主管、综合员</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39、多选 建设银行会计账簿由（）组成。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A、总帐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B、分户帐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C、明细账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D、流水帐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E、登记簿</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40、单选 "速汇通"是建设银行电子汇款业务的品牌名称，汇款收费按实汇笔数收取，最低收取（）元，最高收取50元。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41、单选 现金差错率应控制在（）之内。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C.百万分之五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D.百万分之零点五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7"/>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42、单选 普通柜员对办理业务中发现的大额或可疑类交易应及时报告（）</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B、网点经理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C、柜员主管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D、个人业务顾问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43、单选 有权机关应当在冻结期满前办理续冻，逾期未办理续冻手续的，视为（）措施。</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A.自动解除冻结</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B.继续续冻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C.延长冻结期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D.其他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44、单选 "自动理财账户-新股随心打"的预期年化收益率为（）。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45、单选 我行是第（）家获得人民银行批准开办交易资金托管业务的国内商业银行。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D、4</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46、多选 （）等银行内部使用的重要空白凭证不允许出售。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A、支票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B、银行汇票、存款开户证实书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C、银行承兑汇票、印鉴卡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D、商业承兑汇票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E、银行本票</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F、汇票申请书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47、多选 根据存款期限的不同，外汇存款分为（）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A、外币活期存款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B、外币5天通知存款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C、外币约定存款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8"/>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D、外币定期存款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48、多选 客户离开柜台时，普通柜员应（）</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A、询问客户是否他们还需要其他的服务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B、感谢客户在建行办理业务：感谢您光临建设银行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C、提醒客户带好他们的物品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D、礼貌送别</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49、单选 普通柜员提供投诉后续服务后，需将问题解决情况和客户意见通过什么方式反馈给（）（）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A.个人业务顾问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B.大堂经理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C.被投诉柜员 </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 xml:space="preserve">D.柜员主管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50、判断题 普通柜员对办理业务中发现的大额或可疑类交易应及时报告柜员主管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51、单选 在以下义项中，属于“射”本义的是（）。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A.猜度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B.射出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C.追求</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D.射箭</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E.比赛</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52、单选 解答客户业务咨询，禁止说：“不知道”、“不清楚”、“不归我管”等带“不”字的语言，对于确实不知道或办不了的问题，应该按照（）的要求去处理。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A、“柜面服务技巧实用手册”</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B、“中国建设银行服务准则”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C、“首问负责制”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D、业务制度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53、单选 下列属于普通柜员办理的业务交易有（）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A、速汇通业务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B、个人外汇业务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C、理财卡业务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D、电子银行签约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9"/>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54、单选 网上银行个人客户服务系统客户号是（）。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A.个人证件号码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C.DCC系统客户号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D.系统随机生成</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55、单选 一般商业性助学贷款额度为：（）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A、最低1000元，最高5万元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B、最低2000元，最高2万元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C、最低2000元，最高5万元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D、最低2000元，最高10万元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56、单选 现金调拨业务必须由（）名解款员办理。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57、单选 我行理财卡包括（）个系列的理财产品。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D.8</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58、单选 按照总行小额账户收费实施文件，对公告后，在（）前主动到我行进行帐户归并或对小额帐户进行销户的，销户时需要办理挂失手续的，我行免收挂失手续费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A、2005年9月30日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B、2005年9月21日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C、2005年12月31日</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D、任意时间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59、单选 个人借款本息偿还完毕，所签订《借款合同》自行终止。经办行在《借款合同》终止（）办理抵押登记注销手续，并将物权证明等退还给借款人。</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A.三十日内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B.三十日后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C.三个月内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D.三个月后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0"/>
          <w:cols w:num="1" w:space="425"/>
          <w:titlePg w:val="0"/>
          <w:docGrid w:type="lines" w:linePitch="312" w:charSpace="0"/>
        </w:sect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60、多选 单位通知存款遇哪些情况，按活期存款利率计息？()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A、实际存期不足通知期限的，按活期存款利率计息；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B、未提前通知而支取的，支取部分按活期存款利率计息；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C、已办理通知手续而提前支取或逾期支取的，支取部分按活期存款利率计息；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D、支取金额不足或超过约定金额的，不足或超过部分按活期存款利率计息；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E、支取金额不足最低支取金额的（10万元），按活期存款利率计息。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61、单选 教育储蓄属于（），存期分为一年、三年、六年。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A、整存整取定期储蓄存款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B、零存整取定期储蓄存款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C、存本取息定期储蓄存款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D、整存零取定期储蓄存款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62、单选 单位协定存款的期限由客户与银行在《协定存款合同》中约定，最长不超过（），到期时任何一方没有提出终止或修改合同，即视为自动延期。</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B、半年（含半年）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C、1年(含1年)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D、三个月</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63、多选 不宜流通人民币挑剔标准是：（）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A、纸币票面缺少面积在10平方毫米以上的；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B、纸币票面裂口2处以上，长度每处超过5毫米，纸币票面裂口1处，长度每处超过10毫米的；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C、纸币票面有纸质绵软，起皱较明显，脱色、变色、变形，不能保持其票面防伪功能等情形之一的；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D、纸币票面污渍、涂写字迹面积超过2平方厘米的；不超过2平方厘米，但遮盖了防伪特征之一的；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E、硬币有穿孔、裂口、变形、磨损、氧化、或文字、面额数字、图案模糊不清等情形之一的。</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C, D, E</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64、多选 1996年版100美元精制假钞的特点是（）。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A、钞纸颜色已接近真钞；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B、安全线有改进，在常光下已看不见棕色线条，但透视宽线条轮廓仍很清楚；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C、背面绿颜色油墨已接近真钞颜色；</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D、纸质已经接近真钞。</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sectPr>
          <w:type w:val="nextPage"/>
          <w:pgSz w:w="11906" w:h="16838"/>
          <w:pgMar w:top="1440" w:right="1080" w:bottom="1440" w:left="1080" w:header="851" w:footer="992" w:gutter="0"/>
          <w:pgNumType w:start="11"/>
          <w:cols w:num="1" w:space="425"/>
          <w:titlePg w:val="0"/>
          <w:docGrid w:type="lines" w:linePitch="312" w:charSpace="0"/>
        </w:sectPr>
      </w:pP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65、单选 人行分支机构和人行授权的鉴定机构应自受理假币鉴定之日起（）个工作日内，出具《货币真伪鉴定书》。因情况复杂不能在规定期限完成的，可延长至（）个工作日的，必须以书面形式说明原因。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A、3，7</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B、7，15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D、15，30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66、单选 银行为客户开具个人存款证明书时，按每份()元人民币收取手续费。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67、单选 下列属于普通柜员营业中的工作有（）</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A、逐笔勾对流水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B、双人清点封箱</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C、将客户投诉移交大堂经理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D、备齐营销资料</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68、单选 单位购买银行汇票申请书一次最多出售（），并在每联汇票申请书上加盖开户银行名章及存款人账号。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A、一张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B、五张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C、十张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D、一本</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69、单选 冻结单位或个人存款的期限最长为（）个月，期满后可以续冻。</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A、6</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B、3</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C、9</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D、12</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70、判断题 "自动理财账户-新股随心打"的预期年化收益率8%，上不封顶。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71、多选 下列表述正确的是（）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A、柜员之间的现金调剂必须由有权人监交</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2"/>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B、现金付款坚持先记账后付款</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C、营业终了尾箱实行寄库保管，网点不得留有现金</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D、DCC系统采用指纹对柜员进行身份认证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72、单选 个人汽车消费贷款期限最长不超过（）</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A.8年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C.3年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D.10年</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73、单选 本币个人活期储蓄卡账户起存金额为（）元。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74、单选 我国（）规定，“国家保护公民的储蓄所有权”。</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A．商业银行法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B．人民银行法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C．民法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D．宪法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75、单选 柜员在收缴假币过程中，一次性发现假人民币（）张（枚）（含张、枚）以上、假外币（）张（枚）（含张、枚）以上的；属于利用新的造假手段制造假币的；有制造贩卖假币线索的；持有人不配合金融机构收缴行为的，立即报告公安机关，并提供有关线索。</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A、10，5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B、10，10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C、5，5</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D、20，10</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76、单选 BtoC电子商户使用（）作为网上资金结算账户。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A.对公信用卡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B.会计结算账户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C.临时账户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D.储蓄卡账户</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77、单选 客户办理业务时，普通柜员应（）接过客户证件、现金或者单据</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sectPr>
          <w:type w:val="nextPage"/>
          <w:pgSz w:w="11906" w:h="16838"/>
          <w:pgMar w:top="1440" w:right="1080" w:bottom="1440" w:left="1080" w:header="851" w:footer="992" w:gutter="0"/>
          <w:pgNumType w:start="13"/>
          <w:cols w:num="1" w:space="425"/>
          <w:titlePg w:val="0"/>
          <w:docGrid w:type="lines" w:linePitch="312" w:charSpace="0"/>
        </w:sectPr>
      </w:pPr>
      <w:r>
        <w:rPr>
          <w:rFonts w:ascii="宋体" w:eastAsia="宋体" w:hAnsi="宋体" w:cs="宋体" w:hint="eastAsia"/>
          <w:outline w:val="0"/>
          <w:shadow w:val="0"/>
          <w:emboss w:val="0"/>
          <w:imprint w:val="0"/>
          <w:vanish w:val="0"/>
          <w:w w:val="100"/>
          <w:sz w:val="28"/>
          <w:szCs w:val="28"/>
          <w:u w:val="none"/>
        </w:rPr>
        <w:t>A、双手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C、双手或单手</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D、视情况而定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78、多选 下面关于柜面现金收款业务规定叙述正确的是（）</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A、先收款后记账；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B、必须手工填制或使用计算机打印现金交款回单；</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C、当面点清现金，一笔一清；不得将几笔款项混收；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D、清点票币时要看清票面，鉴别真伪及是否为现行流通的货币。</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C,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79、多选 教育储蓄到期支取时应遵循以下规定（）</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A、客户凭存折和学校提供的正在接受非义务教育的学生身份证明一次支取本金和利息，客户凭"证明"可以享受利率优惠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B、客户不能提供"证明"的，其教育储蓄不享受利率优惠</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C、教育储蓄逾期支取，其超过原定存期的部分，按支取日定期储蓄存款计付利息，并按有关规定征收储蓄存款利息所得税</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D、教育储蓄提前支取时必须全额支取</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 B, 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80、判断题 50万元以上的转账收入、转账支出等大额款项转移,应审核和登记客户有效身份证件</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81、判断题 当日营业终了普通柜员必须将业务印章随钱箱人库保管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对</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82、单选 下列哪种存款业务不需要签发存款开户证实书（）。</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A、单位定期存款业务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B、协定存款业务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C、信用卡保证金存款业务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D、通知存款业务</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rPr>
        <w:t>83、单选 沈阳某支行2004年2月2日接收一笔电汇，收款人账号为我行开户单位账号，但收款人名称不符，当日发出查询，次日未收到查复，2月3日如何处理？（）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A、2月3日不做处理，待查复后再处理；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B、将此款项入到我行开户单位账户内；</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C、做退汇处理；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D、挂到“3140待处理结算款项”科目中，待查复后再处理。</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r>
        <w:rPr>
          <w:rFonts w:ascii="宋体" w:eastAsia="宋体" w:hAnsi="宋体" w:cs="宋体" w:hint="eastAsia"/>
          <w:outline w:val="0"/>
          <w:shadow w:val="0"/>
          <w:emboss w:val="0"/>
          <w:imprint w:val="0"/>
          <w:vanish w:val="0"/>
          <w:w w:val="100"/>
          <w:sz w:val="28"/>
          <w:szCs w:val="28"/>
          <w:u w:val="none"/>
          <w:lang w:eastAsia="zh-CN"/>
        </w:rPr>
        <w:br/>
      </w:r>
      <w:r>
        <w:rPr>
          <w:rFonts w:ascii="宋体" w:eastAsia="宋体" w:hAnsi="宋体" w:cs="宋体" w:hint="eastAsia"/>
          <w:outline w:val="0"/>
          <w:shadow w:val="0"/>
          <w:emboss w:val="0"/>
          <w:imprint w:val="0"/>
          <w:vanish w:val="0"/>
          <w:w w:val="100"/>
          <w:sz w:val="28"/>
          <w:szCs w:val="28"/>
          <w:u w:val="none"/>
          <w:lang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https://d.book118.com/168131026135006036</w:t>
        </w:r>
      </w:hyperlink>
    </w:p>
    <w:p>
      <w:pPr>
        <w:pStyle w:val="NormalWeb"/>
        <w:keepNext w:val="0"/>
        <w:keepLines w:val="0"/>
        <w:pageBreakBefore w:val="0"/>
        <w:widowControl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lang w:eastAsia="zh-CN"/>
        </w:rPr>
      </w:pPr>
    </w:p>
    <w:sectPr>
      <w:type w:val="nextPage"/>
      <w:pgSz w:w="11906" w:h="16838"/>
      <w:pgMar w:top="1440" w:right="1080" w:bottom="1440" w:left="1080" w:header="851" w:footer="992" w:gutter="0"/>
      <w:pgNumType w:start="1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0F53"/>
    <w:rsid w:val="002B1D86"/>
    <w:rsid w:val="00D90F53"/>
    <w:rsid w:val="27C67AFF"/>
    <w:rsid w:val="3A210EFC"/>
    <w:rsid w:val="3CD14C04"/>
  </w:rsids>
  <w:docVars>
    <w:docVar w:name="commondata" w:val="eyJoZGlkIjoiMzIxODdiYzkyZWJiMzc1YmY5NThiYjgyMjcxMWRjMm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unhideWhenUsed="0" w:qFormat="1"/>
    <w:lsdException w:name="footer" w:semiHidden="0" w:uiPriority="0" w:unhideWhenUsed="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iPriority="0" w:unhideWhenUsed="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autoRedefine/>
    <w:qFormat/>
    <w:pPr>
      <w:widowControl/>
      <w:spacing w:beforeAutospacing="1" w:afterAutospacing="1"/>
      <w:jc w:val="left"/>
      <w:outlineLvl w:val="0"/>
    </w:pPr>
    <w:rPr>
      <w:rFonts w:ascii="宋体" w:eastAsia="宋体" w:hAnsi="宋体" w:cs="Times New Roman" w:hint="eastAsia"/>
      <w:b/>
      <w:bCs/>
      <w:kern w:val="44"/>
      <w:sz w:val="48"/>
      <w:szCs w:val="48"/>
    </w:rPr>
  </w:style>
  <w:style w:type="paragraph" w:styleId="Heading2">
    <w:name w:val="heading 2"/>
    <w:basedOn w:val="Normal"/>
    <w:next w:val="Normal"/>
    <w:link w:val="2"/>
    <w:autoRedefine/>
    <w:semiHidden/>
    <w:unhideWhenUsed/>
    <w:qFormat/>
    <w:pPr>
      <w:widowControl/>
      <w:spacing w:beforeAutospacing="1" w:afterAutospacing="1"/>
      <w:jc w:val="left"/>
      <w:outlineLvl w:val="1"/>
    </w:pPr>
    <w:rPr>
      <w:rFonts w:ascii="宋体" w:eastAsia="宋体" w:hAnsi="宋体" w:cs="Times New Roman" w:hint="eastAsia"/>
      <w:b/>
      <w:bCs/>
      <w:kern w:val="0"/>
      <w:sz w:val="36"/>
      <w:szCs w:val="36"/>
    </w:rPr>
  </w:style>
  <w:style w:type="paragraph" w:styleId="Heading3">
    <w:name w:val="heading 3"/>
    <w:basedOn w:val="Normal"/>
    <w:next w:val="Normal"/>
    <w:link w:val="3"/>
    <w:autoRedefine/>
    <w:semiHidden/>
    <w:unhideWhenUsed/>
    <w:qFormat/>
    <w:pPr>
      <w:widowControl/>
      <w:spacing w:beforeAutospacing="1" w:afterAutospacing="1"/>
      <w:jc w:val="left"/>
      <w:outlineLvl w:val="2"/>
    </w:pPr>
    <w:rPr>
      <w:rFonts w:ascii="宋体" w:eastAsia="宋体" w:hAnsi="宋体" w:cs="Times New Roman" w:hint="eastAsia"/>
      <w:b/>
      <w:bCs/>
      <w:kern w:val="0"/>
      <w:sz w:val="27"/>
      <w:szCs w:val="27"/>
    </w:rPr>
  </w:style>
  <w:style w:type="paragraph" w:styleId="Heading4">
    <w:name w:val="heading 4"/>
    <w:basedOn w:val="Normal"/>
    <w:next w:val="Normal"/>
    <w:link w:val="4"/>
    <w:autoRedefine/>
    <w:semiHidden/>
    <w:unhideWhenUsed/>
    <w:qFormat/>
    <w:pPr>
      <w:widowControl/>
      <w:spacing w:beforeAutospacing="1" w:afterAutospacing="1"/>
      <w:jc w:val="left"/>
      <w:outlineLvl w:val="3"/>
    </w:pPr>
    <w:rPr>
      <w:rFonts w:ascii="宋体" w:eastAsia="宋体" w:hAnsi="宋体" w:cs="Times New Roman" w:hint="eastAsia"/>
      <w:b/>
      <w:bCs/>
      <w:kern w:val="0"/>
      <w:sz w:val="24"/>
      <w:szCs w:val="24"/>
    </w:rPr>
  </w:style>
  <w:style w:type="paragraph" w:styleId="Heading5">
    <w:name w:val="heading 5"/>
    <w:basedOn w:val="Normal"/>
    <w:next w:val="Normal"/>
    <w:link w:val="5"/>
    <w:autoRedefine/>
    <w:semiHidden/>
    <w:unhideWhenUsed/>
    <w:qFormat/>
    <w:pPr>
      <w:widowControl/>
      <w:spacing w:beforeAutospacing="1" w:afterAutospacing="1"/>
      <w:jc w:val="left"/>
      <w:outlineLvl w:val="4"/>
    </w:pPr>
    <w:rPr>
      <w:rFonts w:ascii="宋体" w:eastAsia="宋体" w:hAnsi="宋体" w:cs="Times New Roman" w:hint="eastAsia"/>
      <w:b/>
      <w:bCs/>
      <w:kern w:val="0"/>
      <w:sz w:val="20"/>
      <w:szCs w:val="20"/>
    </w:rPr>
  </w:style>
  <w:style w:type="paragraph" w:styleId="Heading6">
    <w:name w:val="heading 6"/>
    <w:basedOn w:val="Normal"/>
    <w:next w:val="Normal"/>
    <w:link w:val="6"/>
    <w:autoRedefine/>
    <w:semiHidden/>
    <w:unhideWhenUsed/>
    <w:qFormat/>
    <w:pPr>
      <w:widowControl/>
      <w:spacing w:beforeAutospacing="1" w:afterAutospacing="1"/>
      <w:jc w:val="left"/>
      <w:outlineLvl w:val="5"/>
    </w:pPr>
    <w:rPr>
      <w:rFonts w:ascii="宋体" w:eastAsia="宋体" w:hAnsi="宋体" w:cs="Times New Roman" w:hint="eastAsia"/>
      <w:b/>
      <w:bCs/>
      <w:kern w:val="0"/>
      <w:sz w:val="15"/>
      <w:szCs w:val="15"/>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link w:val="a0"/>
    <w:autoRedefine/>
    <w:qFormat/>
    <w:pPr>
      <w:widowControl/>
      <w:tabs>
        <w:tab w:val="center" w:pos="4153"/>
        <w:tab w:val="right" w:pos="8306"/>
      </w:tabs>
      <w:snapToGrid w:val="0"/>
      <w:jc w:val="left"/>
    </w:pPr>
    <w:rPr>
      <w:rFonts w:asciiTheme="minorEastAsia" w:hAnsiTheme="minorEastAsia" w:cs="Times New Roman"/>
      <w:kern w:val="0"/>
      <w:sz w:val="18"/>
      <w:szCs w:val="18"/>
    </w:rPr>
  </w:style>
  <w:style w:type="paragraph" w:styleId="Header">
    <w:name w:val="header"/>
    <w:basedOn w:val="Normal"/>
    <w:link w:val="a"/>
    <w:autoRedefine/>
    <w:qFormat/>
    <w:pPr>
      <w:widowControl/>
      <w:tabs>
        <w:tab w:val="center" w:pos="4153"/>
        <w:tab w:val="right" w:pos="8306"/>
      </w:tabs>
      <w:snapToGrid w:val="0"/>
      <w:jc w:val="center"/>
    </w:pPr>
    <w:rPr>
      <w:rFonts w:asciiTheme="minorEastAsia" w:hAnsiTheme="minorEastAsia" w:cs="Times New Roman"/>
      <w:kern w:val="0"/>
      <w:sz w:val="18"/>
      <w:szCs w:val="18"/>
    </w:rPr>
  </w:style>
  <w:style w:type="paragraph" w:styleId="HTMLPreformatted">
    <w:name w:val="HTML Preformatted"/>
    <w:basedOn w:val="Normal"/>
    <w:link w:val="HTML"/>
    <w:autoRedefine/>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NormalWeb">
    <w:name w:val="Normal (Web)"/>
    <w:basedOn w:val="Normal"/>
    <w:autoRedefine/>
    <w:qFormat/>
    <w:pPr>
      <w:widowControl/>
      <w:spacing w:beforeAutospacing="1" w:afterAutospacing="1"/>
      <w:jc w:val="left"/>
    </w:pPr>
    <w:rPr>
      <w:rFonts w:asciiTheme="minorEastAsia" w:hAnsiTheme="minorEastAsia" w:cs="Times New Roman"/>
      <w:kern w:val="0"/>
      <w:sz w:val="24"/>
      <w:szCs w:val="24"/>
    </w:rPr>
  </w:style>
  <w:style w:type="character" w:styleId="Hyperlink">
    <w:name w:val="Hyperlink"/>
    <w:basedOn w:val="DefaultParagraphFont"/>
    <w:autoRedefine/>
    <w:qFormat/>
    <w:rPr>
      <w:color w:val="0000FF"/>
      <w:u w:val="single"/>
    </w:rPr>
  </w:style>
  <w:style w:type="character" w:customStyle="1" w:styleId="1">
    <w:name w:val="标题 1 字符"/>
    <w:basedOn w:val="DefaultParagraphFont"/>
    <w:link w:val="Heading1"/>
    <w:autoRedefine/>
    <w:qFormat/>
    <w:rPr>
      <w:rFonts w:ascii="宋体" w:eastAsia="宋体" w:hAnsi="宋体" w:cs="Times New Roman"/>
      <w:b/>
      <w:bCs/>
      <w:kern w:val="44"/>
      <w:sz w:val="48"/>
      <w:szCs w:val="48"/>
    </w:rPr>
  </w:style>
  <w:style w:type="character" w:customStyle="1" w:styleId="2">
    <w:name w:val="标题 2 字符"/>
    <w:basedOn w:val="DefaultParagraphFont"/>
    <w:link w:val="Heading2"/>
    <w:autoRedefine/>
    <w:semiHidden/>
    <w:qFormat/>
    <w:rPr>
      <w:rFonts w:ascii="宋体" w:eastAsia="宋体" w:hAnsi="宋体" w:cs="Times New Roman"/>
      <w:b/>
      <w:bCs/>
      <w:kern w:val="0"/>
      <w:sz w:val="36"/>
      <w:szCs w:val="36"/>
    </w:rPr>
  </w:style>
  <w:style w:type="character" w:customStyle="1" w:styleId="3">
    <w:name w:val="标题 3 字符"/>
    <w:basedOn w:val="DefaultParagraphFont"/>
    <w:link w:val="Heading3"/>
    <w:autoRedefine/>
    <w:semiHidden/>
    <w:qFormat/>
    <w:rPr>
      <w:rFonts w:ascii="宋体" w:eastAsia="宋体" w:hAnsi="宋体" w:cs="Times New Roman"/>
      <w:b/>
      <w:bCs/>
      <w:kern w:val="0"/>
      <w:sz w:val="27"/>
      <w:szCs w:val="27"/>
    </w:rPr>
  </w:style>
  <w:style w:type="character" w:customStyle="1" w:styleId="4">
    <w:name w:val="标题 4 字符"/>
    <w:basedOn w:val="DefaultParagraphFont"/>
    <w:link w:val="Heading4"/>
    <w:autoRedefine/>
    <w:semiHidden/>
    <w:qFormat/>
    <w:rPr>
      <w:rFonts w:ascii="宋体" w:eastAsia="宋体" w:hAnsi="宋体" w:cs="Times New Roman"/>
      <w:b/>
      <w:bCs/>
      <w:kern w:val="0"/>
      <w:sz w:val="24"/>
      <w:szCs w:val="24"/>
    </w:rPr>
  </w:style>
  <w:style w:type="character" w:customStyle="1" w:styleId="5">
    <w:name w:val="标题 5 字符"/>
    <w:basedOn w:val="DefaultParagraphFont"/>
    <w:link w:val="Heading5"/>
    <w:autoRedefine/>
    <w:semiHidden/>
    <w:qFormat/>
    <w:rPr>
      <w:rFonts w:ascii="宋体" w:eastAsia="宋体" w:hAnsi="宋体" w:cs="Times New Roman"/>
      <w:b/>
      <w:bCs/>
      <w:kern w:val="0"/>
      <w:sz w:val="20"/>
      <w:szCs w:val="20"/>
    </w:rPr>
  </w:style>
  <w:style w:type="character" w:customStyle="1" w:styleId="6">
    <w:name w:val="标题 6 字符"/>
    <w:basedOn w:val="DefaultParagraphFont"/>
    <w:link w:val="Heading6"/>
    <w:autoRedefine/>
    <w:semiHidden/>
    <w:qFormat/>
    <w:rPr>
      <w:rFonts w:ascii="宋体" w:eastAsia="宋体" w:hAnsi="宋体" w:cs="Times New Roman"/>
      <w:b/>
      <w:bCs/>
      <w:kern w:val="0"/>
      <w:sz w:val="15"/>
      <w:szCs w:val="15"/>
    </w:rPr>
  </w:style>
  <w:style w:type="character" w:customStyle="1" w:styleId="HTML">
    <w:name w:val="HTML 预设格式 字符"/>
    <w:basedOn w:val="DefaultParagraphFont"/>
    <w:link w:val="HTMLPreformatted"/>
    <w:autoRedefine/>
    <w:qFormat/>
    <w:rPr>
      <w:rFonts w:ascii="宋体" w:eastAsia="宋体" w:hAnsi="宋体" w:cs="Times New Roman"/>
      <w:kern w:val="0"/>
      <w:sz w:val="24"/>
      <w:szCs w:val="24"/>
    </w:rPr>
  </w:style>
  <w:style w:type="character" w:customStyle="1" w:styleId="a">
    <w:name w:val="页眉 字符"/>
    <w:basedOn w:val="DefaultParagraphFont"/>
    <w:link w:val="Header"/>
    <w:autoRedefine/>
    <w:qFormat/>
    <w:rPr>
      <w:rFonts w:asciiTheme="minorEastAsia" w:hAnsiTheme="minorEastAsia" w:cs="Times New Roman"/>
      <w:kern w:val="0"/>
      <w:sz w:val="18"/>
      <w:szCs w:val="18"/>
    </w:rPr>
  </w:style>
  <w:style w:type="character" w:customStyle="1" w:styleId="a0">
    <w:name w:val="页脚 字符"/>
    <w:basedOn w:val="DefaultParagraphFont"/>
    <w:link w:val="Footer"/>
    <w:autoRedefine/>
    <w:qFormat/>
    <w:rPr>
      <w:rFonts w:asciiTheme="minorEastAsia" w:hAnsiTheme="minorEastAsia"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6813102613500603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2691</Words>
  <Characters>15340</Characters>
  <Application>Microsoft Office Word</Application>
  <DocSecurity>0</DocSecurity>
  <Lines>127</Lines>
  <Paragraphs>35</Paragraphs>
  <ScaleCrop>false</ScaleCrop>
  <Company/>
  <LinksUpToDate>false</LinksUpToDate>
  <CharactersWithSpaces>17996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江南博哥</cp:lastModifiedBy>
  <cp:revision>1</cp:revision>
  <dcterms:created xsi:type="dcterms:W3CDTF">2024-02-06T00:26:00Z</dcterms:created>
  <dcterms:modified xsi:type="dcterms:W3CDTF">2024-02-20T01:03:19Z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1F12DB5318D24C8787501F302C793B6C_13</vt:lpwstr>
  </property>
  <property fmtid="{D5CDD505-2E9C-101B-9397-08002B2CF9AE}" pid="3" name="KSOProductBuildVer">
    <vt:lpwstr>2052-12.1.0.16250</vt:lpwstr>
  </property>
</Properties>
</file>