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工业能效管理行业相关公司筹备报告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7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_Toc8755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7" w:history="1">
        <w:r>
          <w:rPr>
            <w:rFonts w:ascii="仿宋" w:eastAsia="仿宋" w:hAnsi="仿宋" w:cs="仿宋" w:hint="eastAsia"/>
            <w:lang w:eastAsia="zh-CN"/>
          </w:rPr>
          <w:t>一、工业能效管理项目概况</w:t>
        </w:r>
        <w:r>
          <w:tab/>
        </w:r>
        <w:r>
          <w:fldChar w:fldCharType="begin"/>
        </w:r>
        <w:r>
          <w:instrText xml:space="preserve"> PAGEREF _Toc11757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2" w:history="1">
        <w:r>
          <w:rPr>
            <w:rFonts w:ascii="仿宋" w:eastAsia="仿宋" w:hAnsi="仿宋" w:cs="仿宋" w:hint="eastAsia"/>
            <w:lang w:eastAsia="zh-CN"/>
          </w:rPr>
          <w:t>(二)、工业能效管理项目提出的理由</w:t>
        </w:r>
        <w:r>
          <w:tab/>
        </w:r>
        <w:r>
          <w:fldChar w:fldCharType="begin"/>
        </w:r>
        <w:r>
          <w:instrText xml:space="preserve"> PAGEREF _Toc12822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7" w:history="1">
        <w:r>
          <w:rPr>
            <w:rFonts w:ascii="仿宋" w:eastAsia="仿宋" w:hAnsi="仿宋" w:cs="仿宋" w:hint="eastAsia"/>
            <w:lang w:eastAsia="zh-CN"/>
          </w:rPr>
          <w:t>(三)、工业能效管理项目选址</w:t>
        </w:r>
        <w:r>
          <w:tab/>
        </w:r>
        <w:r>
          <w:fldChar w:fldCharType="begin"/>
        </w:r>
        <w:r>
          <w:instrText xml:space="preserve"> PAGEREF _Toc18687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(六)、工业能效管理项目投资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(七)、工业能效管理项目进度规划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(九)、工业能效管理项目综合评价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_Toc26891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_Toc8641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7" w:history="1">
        <w:r>
          <w:rPr>
            <w:rFonts w:ascii="仿宋" w:eastAsia="仿宋" w:hAnsi="仿宋" w:cs="仿宋" w:hint="eastAsia"/>
            <w:lang w:eastAsia="zh-CN"/>
          </w:rPr>
          <w:t>(七)、工业能效管理项目建设必要性分析</w:t>
        </w:r>
        <w:r>
          <w:tab/>
        </w:r>
        <w:r>
          <w:fldChar w:fldCharType="begin"/>
        </w:r>
        <w:r>
          <w:instrText xml:space="preserve"> PAGEREF _Toc16187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_Toc19216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_Toc9766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_Toc9833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6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_Toc22606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_Toc3480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_Toc4843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_Toc6887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(五)、工业能效管理项目总投资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_Toc13161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(一)、工业能效管理项目背景分析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(二)、工业能效管理项目建设必要性分析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_Toc25212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_Toc18198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(一)、工业能效管理项目进度安排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(二)、工业能效管理项目实施保障措施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_Toc6566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_Toc4507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_Toc31295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_Toc24084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(一)、社会责任工业能效管理项目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_Toc15235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_Toc14578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_Toc6371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_Toc25628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_Toc8164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7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57"/>
      <w:r>
        <w:rPr>
          <w:rFonts w:ascii="仿宋" w:eastAsia="仿宋" w:hAnsi="仿宋" w:cs="仿宋" w:hint="eastAsia"/>
          <w:sz w:val="28"/>
          <w:lang w:eastAsia="zh-CN"/>
        </w:rPr>
        <w:t>一、工业能效管理项目概况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822"/>
      <w:r>
        <w:rPr>
          <w:rFonts w:ascii="仿宋" w:eastAsia="仿宋" w:hAnsi="仿宋" w:cs="仿宋" w:hint="eastAsia"/>
          <w:sz w:val="28"/>
          <w:lang w:eastAsia="zh-CN"/>
        </w:rPr>
        <w:t>(二)、工业能效管理项目提出的理由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工业能效管理项目提出的理由可能包括以下几个方面：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市场需求：随着人们对生活品质的追求，对工业能效管理的需求也在不断增加。市场上对于高品质、符合个性化需求的工业能效管理需求量大，因此工业能效管理项目可以满足这一市场需求。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利润空间：工业能效管理行业的利润空间较大，通过生产和销售高品质的工业能效管理，可以获得可观的利润。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https://d.book118.com/168137011074006036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工业能效管理行业相关公司筹备报告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工业能效管理行业相关公司筹备报告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工业能效管理行业相关公司筹备报告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工业能效管理行业相关公司筹备报告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工业能效管理行业相关公司筹备报告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68137011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2024-02-08T19:09:00Z</dcterms:created>
  <dcterms:modified xsi:type="dcterms:W3CDTF">2024-02-08T19:10:21Z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715CC8FD1E87497599D8FA409D32DEB3_11</vt:lpwstr>
  </property>
  <property fmtid="{D5CDD505-2E9C-101B-9397-08002B2CF9AE}" pid="3" name="KSOProductBuildVer">
    <vt:lpwstr>2052-12.1.0.16250</vt:lpwstr>
  </property>
</Properties>
</file>