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574" w:rsidRPr="007D540A" w:rsidP="00E81574">
      <w:pPr>
        <w:spacing w:line="720" w:lineRule="auto"/>
        <w:ind w:firstLine="1440" w:firstLineChars="450"/>
        <w:rPr>
          <w:rFonts w:ascii="宋体" w:hAnsi="宋体" w:hint="eastAsia"/>
          <w:b/>
          <w:bCs/>
          <w:sz w:val="32"/>
        </w:rPr>
      </w:pPr>
      <w:r>
        <w:rPr>
          <w:rFonts w:ascii="宋体" w:hAnsi="宋体" w:hint="eastAsia"/>
          <w:b/>
          <w:bCs/>
          <w:sz w:val="32"/>
        </w:rPr>
        <w:t>班     级</w:t>
      </w:r>
      <w:r>
        <w:rPr>
          <w:rFonts w:ascii="宋体" w:hAnsi="宋体" w:hint="eastAsia"/>
          <w:b/>
          <w:bCs/>
          <w:sz w:val="32"/>
          <w:u w:val="single"/>
        </w:rPr>
        <w:t xml:space="preserve">       D营销122      </w:t>
      </w:r>
    </w:p>
    <w:p w:rsidR="00E81574" w:rsidRPr="00275314" w:rsidP="00E81574">
      <w:pPr>
        <w:spacing w:line="720" w:lineRule="auto"/>
        <w:rPr>
          <w:rFonts w:ascii="宋体" w:hAnsi="宋体" w:hint="eastAsia"/>
          <w:b/>
          <w:bCs/>
          <w:sz w:val="32"/>
          <w:u w:val="single"/>
        </w:rPr>
      </w:pPr>
      <w:r>
        <w:rPr>
          <w:rFonts w:ascii="宋体" w:hAnsi="宋体" w:hint="eastAsia"/>
          <w:b/>
          <w:bCs/>
          <w:sz w:val="32"/>
        </w:rPr>
        <w:t xml:space="preserve">        筹划完成日期</w:t>
      </w:r>
      <w:smartTag w:uri="urn:schemas-microsoft-com:office:smarttags" w:element="chsdate">
        <w:smartTagPr>
          <w:attr w:name="Day" w:val="26"/>
          <w:attr w:name="IsLunarDate" w:val="False"/>
          <w:attr w:name="IsROCDate" w:val="False"/>
          <w:attr w:name="Month" w:val="11"/>
          <w:attr w:name="Year" w:val="2015"/>
        </w:smartTagPr>
        <w:r>
          <w:rPr>
            <w:rFonts w:ascii="宋体" w:hAnsi="宋体" w:hint="eastAsia"/>
            <w:b/>
            <w:bCs/>
            <w:sz w:val="32"/>
            <w:u w:val="single"/>
          </w:rPr>
          <w:t>2015年11月26日</w:t>
        </w:r>
      </w:smartTag>
    </w:p>
    <w:p w:rsidR="00E81574" w:rsidRPr="00C342A0" w:rsidP="00E81574">
      <w:pPr>
        <w:snapToGrid w:val="0"/>
        <w:spacing w:before="312" w:beforeLines="100" w:after="312" w:afterLines="100" w:line="440" w:lineRule="exact"/>
        <w:jc w:val="center"/>
        <w:rPr>
          <w:rFonts w:ascii="宋体" w:hAnsi="宋体" w:cs="宋体" w:hint="eastAsia"/>
          <w:noProof/>
          <w:sz w:val="24"/>
        </w:rPr>
      </w:pPr>
      <w:r w:rsidRPr="00C342A0">
        <w:rPr>
          <w:rFonts w:ascii="宋体" w:hAnsi="宋体" w:hint="eastAsia"/>
          <w:b/>
          <w:sz w:val="24"/>
        </w:rPr>
        <w:t>本筹划方案适用于盐城亭湖地区，时间段为</w:t>
      </w:r>
      <w:smartTag w:uri="urn:schemas-microsoft-com:office:smarttags" w:element="chsdate">
        <w:smartTagPr>
          <w:attr w:name="Day" w:val="1"/>
          <w:attr w:name="IsLunarDate" w:val="False"/>
          <w:attr w:name="IsROCDate" w:val="False"/>
          <w:attr w:name="Month" w:val="12"/>
          <w:attr w:name="Year" w:val="2015"/>
        </w:smartTagPr>
        <w:r w:rsidRPr="00C342A0">
          <w:rPr>
            <w:rFonts w:ascii="宋体" w:hAnsi="宋体" w:hint="eastAsia"/>
            <w:b/>
            <w:sz w:val="24"/>
          </w:rPr>
          <w:t>2015年12月1日</w:t>
        </w:r>
      </w:smartTag>
      <w:r w:rsidRPr="00C342A0">
        <w:rPr>
          <w:rFonts w:ascii="宋体" w:hAnsi="宋体" w:hint="eastAsia"/>
          <w:b/>
          <w:sz w:val="24"/>
        </w:rPr>
        <w:t>至</w:t>
      </w:r>
      <w:smartTag w:uri="urn:schemas-microsoft-com:office:smarttags" w:element="chsdate">
        <w:smartTagPr>
          <w:attr w:name="Day" w:val="31"/>
          <w:attr w:name="IsLunarDate" w:val="False"/>
          <w:attr w:name="IsROCDate" w:val="False"/>
          <w:attr w:name="Month" w:val="12"/>
          <w:attr w:name="Year" w:val="2015"/>
        </w:smartTagPr>
        <w:r w:rsidRPr="00C342A0">
          <w:rPr>
            <w:rFonts w:ascii="宋体" w:hAnsi="宋体" w:hint="eastAsia"/>
            <w:b/>
            <w:sz w:val="24"/>
          </w:rPr>
          <w:t>2015年12月31日</w:t>
        </w:r>
      </w:smartTag>
      <w:r w:rsidRPr="00C342A0">
        <w:rPr>
          <w:rFonts w:ascii="宋体" w:hAnsi="宋体" w:hint="eastAsia"/>
          <w:b/>
          <w:sz w:val="24"/>
        </w:rPr>
        <w:fldChar w:fldCharType="begin"/>
      </w:r>
      <w:r w:rsidRPr="00C342A0">
        <w:rPr>
          <w:rFonts w:ascii="宋体" w:hAnsi="宋体" w:hint="eastAsia"/>
          <w:b/>
          <w:sz w:val="24"/>
        </w:rPr>
        <w:instrText xml:space="preserve">TOC \o "1-3" \h \u </w:instrText>
      </w:r>
      <w:r w:rsidRPr="00C342A0">
        <w:rPr>
          <w:rFonts w:ascii="宋体" w:hAnsi="宋体" w:hint="eastAsia"/>
          <w:b/>
          <w:sz w:val="24"/>
        </w:rPr>
        <w:fldChar w:fldCharType="separate"/>
      </w:r>
    </w:p>
    <w:p w:rsidR="00E81574" w:rsidRPr="00C342A0" w:rsidP="00E81574">
      <w:pPr>
        <w:pStyle w:val="TOC1"/>
        <w:tabs>
          <w:tab w:val="right" w:leader="dot" w:pos="8787"/>
        </w:tabs>
        <w:ind w:firstLine="3828" w:firstLineChars="1595"/>
        <w:rPr>
          <w:rFonts w:ascii="宋体" w:hAnsi="宋体" w:cs="宋体" w:hint="eastAsia"/>
          <w:noProof/>
          <w:sz w:val="24"/>
        </w:rPr>
      </w:pPr>
      <w:r w:rsidRPr="00C342A0">
        <w:rPr>
          <w:rFonts w:ascii="宋体" w:hAnsi="宋体" w:cs="宋体" w:hint="eastAsia"/>
          <w:bCs/>
          <w:noProof/>
          <w:sz w:val="24"/>
        </w:rPr>
        <w:t>目录</w:t>
      </w:r>
    </w:p>
    <w:p w:rsidR="00E81574" w:rsidRPr="00C342A0" w:rsidP="00E81574">
      <w:pPr>
        <w:pStyle w:val="TOC1"/>
        <w:tabs>
          <w:tab w:val="right" w:leader="dot" w:pos="8787"/>
        </w:tabs>
        <w:rPr>
          <w:rFonts w:ascii="宋体" w:hAnsi="宋体" w:cs="宋体" w:hint="eastAsia"/>
          <w:noProof/>
          <w:sz w:val="24"/>
        </w:rPr>
      </w:pPr>
      <w:hyperlink w:anchor="_Toc22360" w:history="1">
        <w:r w:rsidRPr="00C342A0">
          <w:rPr>
            <w:rFonts w:ascii="宋体" w:hAnsi="宋体" w:cs="宋体" w:hint="eastAsia"/>
            <w:noProof/>
            <w:sz w:val="24"/>
          </w:rPr>
          <w:t>一、活动目的</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_Toc22360 </w:instrText>
        </w:r>
        <w:r w:rsidRPr="00C342A0">
          <w:rPr>
            <w:rFonts w:ascii="宋体" w:hAnsi="宋体" w:cs="宋体" w:hint="eastAsia"/>
            <w:noProof/>
            <w:sz w:val="24"/>
          </w:rPr>
          <w:fldChar w:fldCharType="separate"/>
        </w:r>
        <w:r w:rsidRPr="00C342A0">
          <w:rPr>
            <w:rFonts w:ascii="宋体" w:hAnsi="宋体" w:cs="宋体"/>
            <w:noProof/>
            <w:sz w:val="24"/>
          </w:rPr>
          <w:t>1</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22426" w:history="1">
        <w:r w:rsidRPr="00C342A0">
          <w:rPr>
            <w:rFonts w:ascii="宋体" w:hAnsi="宋体" w:cs="宋体" w:hint="eastAsia"/>
            <w:noProof/>
            <w:sz w:val="24"/>
          </w:rPr>
          <w:t>二、活动主题</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_Toc22426 </w:instrText>
        </w:r>
        <w:r w:rsidRPr="00C342A0">
          <w:rPr>
            <w:rFonts w:ascii="宋体" w:hAnsi="宋体" w:cs="宋体" w:hint="eastAsia"/>
            <w:noProof/>
            <w:sz w:val="24"/>
          </w:rPr>
          <w:fldChar w:fldCharType="separate"/>
        </w:r>
        <w:r w:rsidRPr="00C342A0">
          <w:rPr>
            <w:rFonts w:ascii="宋体" w:hAnsi="宋体" w:cs="宋体"/>
            <w:noProof/>
            <w:sz w:val="24"/>
          </w:rPr>
          <w:t>1</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18473" w:history="1">
        <w:r w:rsidRPr="00C342A0">
          <w:rPr>
            <w:rFonts w:ascii="宋体" w:hAnsi="宋体" w:cs="宋体" w:hint="eastAsia"/>
            <w:noProof/>
            <w:sz w:val="24"/>
          </w:rPr>
          <w:t>三、活动时间</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_Toc18473 </w:instrText>
        </w:r>
        <w:r w:rsidRPr="00C342A0">
          <w:rPr>
            <w:rFonts w:ascii="宋体" w:hAnsi="宋体" w:cs="宋体" w:hint="eastAsia"/>
            <w:noProof/>
            <w:sz w:val="24"/>
          </w:rPr>
          <w:fldChar w:fldCharType="separate"/>
        </w:r>
        <w:r w:rsidRPr="00C342A0">
          <w:rPr>
            <w:rFonts w:ascii="宋体" w:hAnsi="宋体" w:cs="宋体"/>
            <w:noProof/>
            <w:sz w:val="24"/>
          </w:rPr>
          <w:t>1</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10605" w:history="1">
        <w:r w:rsidRPr="00C342A0">
          <w:rPr>
            <w:rFonts w:ascii="宋体" w:hAnsi="宋体" w:cs="宋体" w:hint="eastAsia"/>
            <w:noProof/>
            <w:sz w:val="24"/>
          </w:rPr>
          <w:t>四、活动对象</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_Toc10605 </w:instrText>
        </w:r>
        <w:r w:rsidRPr="00C342A0">
          <w:rPr>
            <w:rFonts w:ascii="宋体" w:hAnsi="宋体" w:cs="宋体" w:hint="eastAsia"/>
            <w:noProof/>
            <w:sz w:val="24"/>
          </w:rPr>
          <w:fldChar w:fldCharType="separate"/>
        </w:r>
        <w:r w:rsidRPr="00C342A0">
          <w:rPr>
            <w:rFonts w:ascii="宋体" w:hAnsi="宋体" w:cs="宋体"/>
            <w:noProof/>
            <w:sz w:val="24"/>
          </w:rPr>
          <w:t>1</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6142" w:history="1">
        <w:r w:rsidRPr="00C342A0">
          <w:rPr>
            <w:rFonts w:ascii="宋体" w:hAnsi="宋体" w:cs="宋体" w:hint="eastAsia"/>
            <w:noProof/>
            <w:sz w:val="24"/>
          </w:rPr>
          <w:t>五、活动地点</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_Toc6142 </w:instrText>
        </w:r>
        <w:r w:rsidRPr="00C342A0">
          <w:rPr>
            <w:rFonts w:ascii="宋体" w:hAnsi="宋体" w:cs="宋体" w:hint="eastAsia"/>
            <w:noProof/>
            <w:sz w:val="24"/>
          </w:rPr>
          <w:fldChar w:fldCharType="separate"/>
        </w:r>
        <w:r w:rsidRPr="00C342A0">
          <w:rPr>
            <w:rFonts w:ascii="宋体" w:hAnsi="宋体" w:cs="宋体"/>
            <w:noProof/>
            <w:sz w:val="24"/>
          </w:rPr>
          <w:t>1</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21411" w:history="1">
        <w:r w:rsidRPr="00C342A0">
          <w:rPr>
            <w:rFonts w:ascii="宋体" w:hAnsi="宋体" w:cs="宋体" w:hint="eastAsia"/>
            <w:noProof/>
            <w:sz w:val="24"/>
          </w:rPr>
          <w:t>六、企业背景分析</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_Toc21411 </w:instrText>
        </w:r>
        <w:r w:rsidRPr="00C342A0">
          <w:rPr>
            <w:rFonts w:ascii="宋体" w:hAnsi="宋体" w:cs="宋体" w:hint="eastAsia"/>
            <w:noProof/>
            <w:sz w:val="24"/>
          </w:rPr>
          <w:fldChar w:fldCharType="separate"/>
        </w:r>
        <w:r w:rsidRPr="00C342A0">
          <w:rPr>
            <w:rFonts w:ascii="宋体" w:hAnsi="宋体" w:cs="宋体"/>
            <w:noProof/>
            <w:sz w:val="24"/>
          </w:rPr>
          <w:t>1</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16962" w:history="1">
        <w:r w:rsidRPr="00C342A0">
          <w:rPr>
            <w:rFonts w:ascii="宋体" w:hAnsi="宋体" w:cs="宋体" w:hint="eastAsia"/>
            <w:noProof/>
            <w:sz w:val="24"/>
          </w:rPr>
          <w:t>七、营销环境分析</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_Toc16962 </w:instrText>
        </w:r>
        <w:r w:rsidRPr="00C342A0">
          <w:rPr>
            <w:rFonts w:ascii="宋体" w:hAnsi="宋体" w:cs="宋体" w:hint="eastAsia"/>
            <w:noProof/>
            <w:sz w:val="24"/>
          </w:rPr>
          <w:fldChar w:fldCharType="separate"/>
        </w:r>
        <w:r w:rsidRPr="00C342A0">
          <w:rPr>
            <w:rFonts w:ascii="宋体" w:hAnsi="宋体" w:cs="宋体"/>
            <w:noProof/>
            <w:sz w:val="24"/>
          </w:rPr>
          <w:t>2</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8610" w:history="1">
        <w:r w:rsidRPr="00C342A0">
          <w:rPr>
            <w:rFonts w:ascii="宋体" w:hAnsi="宋体" w:cs="宋体" w:hint="eastAsia"/>
            <w:noProof/>
            <w:sz w:val="24"/>
          </w:rPr>
          <w:t>八、康宝莱所处行业结构分析</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_Toc8610 </w:instrText>
        </w:r>
        <w:r w:rsidRPr="00C342A0">
          <w:rPr>
            <w:rFonts w:ascii="宋体" w:hAnsi="宋体" w:cs="宋体" w:hint="eastAsia"/>
            <w:noProof/>
            <w:sz w:val="24"/>
          </w:rPr>
          <w:fldChar w:fldCharType="separate"/>
        </w:r>
        <w:r w:rsidRPr="00C342A0">
          <w:rPr>
            <w:rFonts w:ascii="宋体" w:hAnsi="宋体" w:cs="宋体"/>
            <w:noProof/>
            <w:sz w:val="24"/>
          </w:rPr>
          <w:t>4</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23692" w:history="1">
        <w:r w:rsidRPr="00C342A0">
          <w:rPr>
            <w:rFonts w:ascii="宋体" w:hAnsi="宋体" w:cs="宋体" w:hint="eastAsia"/>
            <w:noProof/>
            <w:sz w:val="24"/>
          </w:rPr>
          <w:t>〔一〕现有企业间的竞争强度</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_Toc23692 </w:instrText>
        </w:r>
        <w:r w:rsidRPr="00C342A0">
          <w:rPr>
            <w:rFonts w:ascii="宋体" w:hAnsi="宋体" w:cs="宋体" w:hint="eastAsia"/>
            <w:noProof/>
            <w:sz w:val="24"/>
          </w:rPr>
          <w:fldChar w:fldCharType="separate"/>
        </w:r>
        <w:r w:rsidRPr="00C342A0">
          <w:rPr>
            <w:rFonts w:ascii="宋体" w:hAnsi="宋体" w:cs="宋体"/>
            <w:noProof/>
            <w:sz w:val="24"/>
          </w:rPr>
          <w:t>4</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20007" w:history="1">
        <w:r w:rsidRPr="00C342A0">
          <w:rPr>
            <w:rFonts w:ascii="宋体" w:hAnsi="宋体" w:cs="宋体" w:hint="eastAsia"/>
            <w:noProof/>
            <w:sz w:val="24"/>
          </w:rPr>
          <w:t>〔二〕潜在进入者威胁</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_Toc20007 </w:instrText>
        </w:r>
        <w:r w:rsidRPr="00C342A0">
          <w:rPr>
            <w:rFonts w:ascii="宋体" w:hAnsi="宋体" w:cs="宋体" w:hint="eastAsia"/>
            <w:noProof/>
            <w:sz w:val="24"/>
          </w:rPr>
          <w:fldChar w:fldCharType="separate"/>
        </w:r>
        <w:r w:rsidRPr="00C342A0">
          <w:rPr>
            <w:rFonts w:ascii="宋体" w:hAnsi="宋体" w:cs="宋体"/>
            <w:noProof/>
            <w:sz w:val="24"/>
          </w:rPr>
          <w:t>5</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31445" w:history="1">
        <w:r w:rsidRPr="00C342A0">
          <w:rPr>
            <w:rFonts w:ascii="宋体" w:hAnsi="宋体" w:cs="宋体" w:hint="eastAsia"/>
            <w:noProof/>
            <w:sz w:val="24"/>
          </w:rPr>
          <w:t>〔三〕原材料的种植、采购</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_Toc31445 </w:instrText>
        </w:r>
        <w:r w:rsidRPr="00C342A0">
          <w:rPr>
            <w:rFonts w:ascii="宋体" w:hAnsi="宋体" w:cs="宋体" w:hint="eastAsia"/>
            <w:noProof/>
            <w:sz w:val="24"/>
          </w:rPr>
          <w:fldChar w:fldCharType="separate"/>
        </w:r>
        <w:r w:rsidRPr="00C342A0">
          <w:rPr>
            <w:rFonts w:ascii="宋体" w:hAnsi="宋体" w:cs="宋体"/>
            <w:noProof/>
            <w:sz w:val="24"/>
          </w:rPr>
          <w:t>5</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5772" w:history="1">
        <w:r w:rsidRPr="00C342A0">
          <w:rPr>
            <w:rFonts w:ascii="宋体" w:hAnsi="宋体" w:cs="宋体" w:hint="eastAsia"/>
            <w:noProof/>
            <w:sz w:val="24"/>
          </w:rPr>
          <w:t>〔四〕购置者的忠诚度</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_Toc5772 </w:instrText>
        </w:r>
        <w:r w:rsidRPr="00C342A0">
          <w:rPr>
            <w:rFonts w:ascii="宋体" w:hAnsi="宋体" w:cs="宋体" w:hint="eastAsia"/>
            <w:noProof/>
            <w:sz w:val="24"/>
          </w:rPr>
          <w:fldChar w:fldCharType="separate"/>
        </w:r>
        <w:r w:rsidRPr="00C342A0">
          <w:rPr>
            <w:rFonts w:ascii="宋体" w:hAnsi="宋体" w:cs="宋体"/>
            <w:noProof/>
            <w:sz w:val="24"/>
          </w:rPr>
          <w:t>5</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8932" w:history="1">
        <w:r w:rsidRPr="00C342A0">
          <w:rPr>
            <w:rFonts w:ascii="宋体" w:hAnsi="宋体" w:cs="宋体" w:hint="eastAsia"/>
            <w:noProof/>
            <w:sz w:val="24"/>
          </w:rPr>
          <w:t>〔五〕替代产品的威胁</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_Toc8932 </w:instrText>
        </w:r>
        <w:r w:rsidRPr="00C342A0">
          <w:rPr>
            <w:rFonts w:ascii="宋体" w:hAnsi="宋体" w:cs="宋体" w:hint="eastAsia"/>
            <w:noProof/>
            <w:sz w:val="24"/>
          </w:rPr>
          <w:fldChar w:fldCharType="separate"/>
        </w:r>
        <w:r w:rsidRPr="00C342A0">
          <w:rPr>
            <w:rFonts w:ascii="宋体" w:hAnsi="宋体" w:cs="宋体"/>
            <w:noProof/>
            <w:sz w:val="24"/>
          </w:rPr>
          <w:t>5</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2075" w:history="1">
        <w:r w:rsidRPr="00C342A0">
          <w:rPr>
            <w:rFonts w:ascii="宋体" w:hAnsi="宋体" w:cs="宋体" w:hint="eastAsia"/>
            <w:noProof/>
            <w:sz w:val="24"/>
          </w:rPr>
          <w:t>九、市场时机与问题分析</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_Toc2075 </w:instrText>
        </w:r>
        <w:r w:rsidRPr="00C342A0">
          <w:rPr>
            <w:rFonts w:ascii="宋体" w:hAnsi="宋体" w:cs="宋体" w:hint="eastAsia"/>
            <w:noProof/>
            <w:sz w:val="24"/>
          </w:rPr>
          <w:fldChar w:fldCharType="separate"/>
        </w:r>
        <w:r w:rsidRPr="00C342A0">
          <w:rPr>
            <w:rFonts w:ascii="宋体" w:hAnsi="宋体" w:cs="宋体"/>
            <w:noProof/>
            <w:sz w:val="24"/>
          </w:rPr>
          <w:t>6</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10543" w:history="1">
        <w:r w:rsidRPr="00C342A0">
          <w:rPr>
            <w:rFonts w:ascii="宋体" w:hAnsi="宋体" w:cs="宋体" w:hint="eastAsia"/>
            <w:noProof/>
            <w:sz w:val="24"/>
          </w:rPr>
          <w:t>〔一〕市场时机</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_Toc10543 </w:instrText>
        </w:r>
        <w:r w:rsidRPr="00C342A0">
          <w:rPr>
            <w:rFonts w:ascii="宋体" w:hAnsi="宋体" w:cs="宋体" w:hint="eastAsia"/>
            <w:noProof/>
            <w:sz w:val="24"/>
          </w:rPr>
          <w:fldChar w:fldCharType="separate"/>
        </w:r>
        <w:r w:rsidRPr="00C342A0">
          <w:rPr>
            <w:rFonts w:ascii="宋体" w:hAnsi="宋体" w:cs="宋体"/>
            <w:noProof/>
            <w:sz w:val="24"/>
          </w:rPr>
          <w:t>6</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4800" w:history="1">
        <w:r w:rsidRPr="00C342A0">
          <w:rPr>
            <w:rFonts w:ascii="宋体" w:hAnsi="宋体" w:cs="宋体" w:hint="eastAsia"/>
            <w:bCs/>
            <w:noProof/>
            <w:sz w:val="24"/>
          </w:rPr>
          <w:t>1、亚健康人群逐步扩大</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_Toc4800 </w:instrText>
        </w:r>
        <w:r w:rsidRPr="00C342A0">
          <w:rPr>
            <w:rFonts w:ascii="宋体" w:hAnsi="宋体" w:cs="宋体" w:hint="eastAsia"/>
            <w:noProof/>
            <w:sz w:val="24"/>
          </w:rPr>
          <w:fldChar w:fldCharType="separate"/>
        </w:r>
        <w:r w:rsidRPr="00C342A0">
          <w:rPr>
            <w:rFonts w:ascii="宋体" w:hAnsi="宋体" w:cs="宋体"/>
            <w:noProof/>
            <w:sz w:val="24"/>
          </w:rPr>
          <w:t>6</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2772" w:history="1">
        <w:r w:rsidRPr="00C342A0">
          <w:rPr>
            <w:rFonts w:ascii="宋体" w:hAnsi="宋体" w:cs="宋体" w:hint="eastAsia"/>
            <w:bCs/>
            <w:noProof/>
            <w:sz w:val="24"/>
          </w:rPr>
          <w:t>2、肥胖问题日趋严重</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_Toc2772 </w:instrText>
        </w:r>
        <w:r w:rsidRPr="00C342A0">
          <w:rPr>
            <w:rFonts w:ascii="宋体" w:hAnsi="宋体" w:cs="宋体" w:hint="eastAsia"/>
            <w:noProof/>
            <w:sz w:val="24"/>
          </w:rPr>
          <w:fldChar w:fldCharType="separate"/>
        </w:r>
        <w:r w:rsidRPr="00C342A0">
          <w:rPr>
            <w:rFonts w:ascii="宋体" w:hAnsi="宋体" w:cs="宋体"/>
            <w:noProof/>
            <w:sz w:val="24"/>
          </w:rPr>
          <w:t>6</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29357" w:history="1">
        <w:r w:rsidRPr="00C342A0">
          <w:rPr>
            <w:rFonts w:ascii="宋体" w:hAnsi="宋体" w:cs="宋体" w:hint="eastAsia"/>
            <w:noProof/>
            <w:sz w:val="24"/>
          </w:rPr>
          <w:t>〔二〕问题</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_Toc29357 </w:instrText>
        </w:r>
        <w:r w:rsidRPr="00C342A0">
          <w:rPr>
            <w:rFonts w:ascii="宋体" w:hAnsi="宋体" w:cs="宋体" w:hint="eastAsia"/>
            <w:noProof/>
            <w:sz w:val="24"/>
          </w:rPr>
          <w:fldChar w:fldCharType="separate"/>
        </w:r>
        <w:r w:rsidRPr="00C342A0">
          <w:rPr>
            <w:rFonts w:ascii="宋体" w:hAnsi="宋体" w:cs="宋体"/>
            <w:noProof/>
            <w:sz w:val="24"/>
          </w:rPr>
          <w:t>7</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16275" w:history="1">
        <w:r w:rsidRPr="00C342A0">
          <w:rPr>
            <w:rFonts w:ascii="宋体" w:hAnsi="宋体" w:cs="宋体" w:hint="eastAsia"/>
            <w:noProof/>
            <w:sz w:val="24"/>
          </w:rPr>
          <w:t>1</w:t>
        </w:r>
        <w:r w:rsidRPr="00C342A0">
          <w:rPr>
            <w:rFonts w:ascii="宋体" w:hAnsi="宋体" w:cs="宋体" w:hint="eastAsia"/>
            <w:bCs/>
            <w:noProof/>
            <w:sz w:val="24"/>
          </w:rPr>
          <w:t>、 知名度不高</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_Toc16275 </w:instrText>
        </w:r>
        <w:r w:rsidRPr="00C342A0">
          <w:rPr>
            <w:rFonts w:ascii="宋体" w:hAnsi="宋体" w:cs="宋体" w:hint="eastAsia"/>
            <w:noProof/>
            <w:sz w:val="24"/>
          </w:rPr>
          <w:fldChar w:fldCharType="separate"/>
        </w:r>
        <w:r w:rsidRPr="00C342A0">
          <w:rPr>
            <w:rFonts w:ascii="宋体" w:hAnsi="宋体" w:cs="宋体"/>
            <w:noProof/>
            <w:sz w:val="24"/>
          </w:rPr>
          <w:t>7</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11649" w:history="1">
        <w:r w:rsidRPr="00C342A0">
          <w:rPr>
            <w:rFonts w:ascii="宋体" w:hAnsi="宋体" w:cs="宋体" w:hint="eastAsia"/>
            <w:noProof/>
            <w:sz w:val="24"/>
          </w:rPr>
          <w:t>2</w:t>
        </w:r>
        <w:r w:rsidRPr="00C342A0">
          <w:rPr>
            <w:rFonts w:ascii="宋体" w:hAnsi="宋体" w:cs="宋体" w:hint="eastAsia"/>
            <w:bCs/>
            <w:noProof/>
            <w:sz w:val="24"/>
          </w:rPr>
          <w:t>、 人们不愿意在保健品方面投入过多资金</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_Toc11649 </w:instrText>
        </w:r>
        <w:r w:rsidRPr="00C342A0">
          <w:rPr>
            <w:rFonts w:ascii="宋体" w:hAnsi="宋体" w:cs="宋体" w:hint="eastAsia"/>
            <w:noProof/>
            <w:sz w:val="24"/>
          </w:rPr>
          <w:fldChar w:fldCharType="separate"/>
        </w:r>
        <w:r w:rsidRPr="00C342A0">
          <w:rPr>
            <w:rFonts w:ascii="宋体" w:hAnsi="宋体" w:cs="宋体"/>
            <w:noProof/>
            <w:sz w:val="24"/>
          </w:rPr>
          <w:t>9</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4" w:history="1">
        <w:r w:rsidRPr="00C342A0">
          <w:rPr>
            <w:rFonts w:ascii="宋体" w:hAnsi="宋体" w:cs="宋体" w:hint="eastAsia"/>
            <w:noProof/>
            <w:sz w:val="24"/>
          </w:rPr>
          <w:t>3</w:t>
        </w:r>
        <w:r w:rsidRPr="00C342A0">
          <w:rPr>
            <w:rFonts w:ascii="宋体" w:hAnsi="宋体" w:cs="宋体" w:hint="eastAsia"/>
            <w:bCs/>
            <w:noProof/>
            <w:kern w:val="0"/>
            <w:sz w:val="24"/>
            <w:lang w:bidi="ar"/>
          </w:rPr>
          <w:t>、 同行业竞争十分剧烈</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_Toc4 </w:instrText>
        </w:r>
        <w:r w:rsidRPr="00C342A0">
          <w:rPr>
            <w:rFonts w:ascii="宋体" w:hAnsi="宋体" w:cs="宋体" w:hint="eastAsia"/>
            <w:noProof/>
            <w:sz w:val="24"/>
          </w:rPr>
          <w:fldChar w:fldCharType="separate"/>
        </w:r>
        <w:r w:rsidRPr="00C342A0">
          <w:rPr>
            <w:rFonts w:ascii="宋体" w:hAnsi="宋体" w:cs="宋体"/>
            <w:noProof/>
            <w:sz w:val="24"/>
          </w:rPr>
          <w:t>10</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9474" w:history="1">
        <w:r w:rsidRPr="00C342A0">
          <w:rPr>
            <w:rFonts w:ascii="宋体" w:hAnsi="宋体" w:cs="宋体" w:hint="eastAsia"/>
            <w:noProof/>
            <w:sz w:val="24"/>
          </w:rPr>
          <w:t>十、 筹划方案</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_Toc9474 </w:instrText>
        </w:r>
        <w:r w:rsidRPr="00C342A0">
          <w:rPr>
            <w:rFonts w:ascii="宋体" w:hAnsi="宋体" w:cs="宋体" w:hint="eastAsia"/>
            <w:noProof/>
            <w:sz w:val="24"/>
          </w:rPr>
          <w:fldChar w:fldCharType="separate"/>
        </w:r>
        <w:r w:rsidRPr="00C342A0">
          <w:rPr>
            <w:rFonts w:ascii="宋体" w:hAnsi="宋体" w:cs="宋体"/>
            <w:noProof/>
            <w:sz w:val="24"/>
          </w:rPr>
          <w:t>10</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19492" w:history="1">
        <w:r w:rsidRPr="00C342A0">
          <w:rPr>
            <w:rFonts w:ascii="宋体" w:hAnsi="宋体" w:cs="宋体" w:hint="eastAsia"/>
            <w:noProof/>
            <w:sz w:val="24"/>
          </w:rPr>
          <w:t>〔一〕活动主题</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_Toc19492 </w:instrText>
        </w:r>
        <w:r w:rsidRPr="00C342A0">
          <w:rPr>
            <w:rFonts w:ascii="宋体" w:hAnsi="宋体" w:cs="宋体" w:hint="eastAsia"/>
            <w:noProof/>
            <w:sz w:val="24"/>
          </w:rPr>
          <w:fldChar w:fldCharType="separate"/>
        </w:r>
        <w:r w:rsidRPr="00C342A0">
          <w:rPr>
            <w:rFonts w:ascii="宋体" w:hAnsi="宋体" w:cs="宋体"/>
            <w:noProof/>
            <w:sz w:val="24"/>
          </w:rPr>
          <w:t>10</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4446" w:history="1">
        <w:r w:rsidRPr="00C342A0">
          <w:rPr>
            <w:rFonts w:ascii="宋体" w:hAnsi="宋体" w:cs="宋体" w:hint="eastAsia"/>
            <w:noProof/>
            <w:sz w:val="24"/>
          </w:rPr>
          <w:t>〔二〕活动时间</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_Toc4446 </w:instrText>
        </w:r>
        <w:r w:rsidRPr="00C342A0">
          <w:rPr>
            <w:rFonts w:ascii="宋体" w:hAnsi="宋体" w:cs="宋体" w:hint="eastAsia"/>
            <w:noProof/>
            <w:sz w:val="24"/>
          </w:rPr>
          <w:fldChar w:fldCharType="separate"/>
        </w:r>
        <w:r w:rsidRPr="00C342A0">
          <w:rPr>
            <w:rFonts w:ascii="宋体" w:hAnsi="宋体" w:cs="宋体"/>
            <w:noProof/>
            <w:sz w:val="24"/>
          </w:rPr>
          <w:t>10</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23295" w:history="1">
        <w:r w:rsidRPr="00C342A0">
          <w:rPr>
            <w:rFonts w:ascii="宋体" w:hAnsi="宋体" w:cs="宋体" w:hint="eastAsia"/>
            <w:noProof/>
            <w:sz w:val="24"/>
          </w:rPr>
          <w:t>〔三〕活动地点</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_Toc23295 </w:instrText>
        </w:r>
        <w:r w:rsidRPr="00C342A0">
          <w:rPr>
            <w:rFonts w:ascii="宋体" w:hAnsi="宋体" w:cs="宋体" w:hint="eastAsia"/>
            <w:noProof/>
            <w:sz w:val="24"/>
          </w:rPr>
          <w:fldChar w:fldCharType="separate"/>
        </w:r>
        <w:r w:rsidRPr="00C342A0">
          <w:rPr>
            <w:rFonts w:ascii="宋体" w:hAnsi="宋体" w:cs="宋体"/>
            <w:noProof/>
            <w:sz w:val="24"/>
          </w:rPr>
          <w:t>10</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5794" w:history="1">
        <w:r w:rsidRPr="00C342A0">
          <w:rPr>
            <w:rFonts w:ascii="宋体" w:hAnsi="宋体" w:cs="宋体" w:hint="eastAsia"/>
            <w:noProof/>
            <w:sz w:val="24"/>
          </w:rPr>
          <w:t>〔四〕活动内容</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_Toc5794 </w:instrText>
        </w:r>
        <w:r w:rsidRPr="00C342A0">
          <w:rPr>
            <w:rFonts w:ascii="宋体" w:hAnsi="宋体" w:cs="宋体" w:hint="eastAsia"/>
            <w:noProof/>
            <w:sz w:val="24"/>
          </w:rPr>
          <w:fldChar w:fldCharType="separate"/>
        </w:r>
        <w:r w:rsidRPr="00C342A0">
          <w:rPr>
            <w:rFonts w:ascii="宋体" w:hAnsi="宋体" w:cs="宋体"/>
            <w:noProof/>
            <w:sz w:val="24"/>
          </w:rPr>
          <w:t>10</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11482" w:history="1">
        <w:r w:rsidRPr="00C342A0">
          <w:rPr>
            <w:rFonts w:ascii="宋体" w:hAnsi="宋体" w:cs="宋体" w:hint="eastAsia"/>
            <w:noProof/>
            <w:sz w:val="24"/>
          </w:rPr>
          <w:t>〔五〕活动步骤</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_Toc11482 </w:instrText>
        </w:r>
        <w:r w:rsidRPr="00C342A0">
          <w:rPr>
            <w:rFonts w:ascii="宋体" w:hAnsi="宋体" w:cs="宋体" w:hint="eastAsia"/>
            <w:noProof/>
            <w:sz w:val="24"/>
          </w:rPr>
          <w:fldChar w:fldCharType="separate"/>
        </w:r>
        <w:r w:rsidRPr="00C342A0">
          <w:rPr>
            <w:rFonts w:ascii="宋体" w:hAnsi="宋体" w:cs="宋体"/>
            <w:noProof/>
            <w:sz w:val="24"/>
          </w:rPr>
          <w:t>11</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5821" w:history="1">
        <w:r w:rsidRPr="00C342A0">
          <w:rPr>
            <w:rFonts w:ascii="宋体" w:hAnsi="宋体" w:cs="宋体" w:hint="eastAsia"/>
            <w:noProof/>
            <w:sz w:val="24"/>
          </w:rPr>
          <w:t>〔六〕延伸活动</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_Toc5821 </w:instrText>
        </w:r>
        <w:r w:rsidRPr="00C342A0">
          <w:rPr>
            <w:rFonts w:ascii="宋体" w:hAnsi="宋体" w:cs="宋体" w:hint="eastAsia"/>
            <w:noProof/>
            <w:sz w:val="24"/>
          </w:rPr>
          <w:fldChar w:fldCharType="separate"/>
        </w:r>
        <w:r w:rsidRPr="00C342A0">
          <w:rPr>
            <w:rFonts w:ascii="宋体" w:hAnsi="宋体" w:cs="宋体"/>
            <w:noProof/>
            <w:sz w:val="24"/>
          </w:rPr>
          <w:t>11</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31646" w:history="1">
        <w:r w:rsidRPr="00C342A0">
          <w:rPr>
            <w:rFonts w:ascii="宋体" w:hAnsi="宋体" w:cs="宋体" w:hint="eastAsia"/>
            <w:bCs/>
            <w:noProof/>
            <w:sz w:val="24"/>
          </w:rPr>
          <w:t>1、圣诞礼物康宝莱</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_Toc31646 </w:instrText>
        </w:r>
        <w:r w:rsidRPr="00C342A0">
          <w:rPr>
            <w:rFonts w:ascii="宋体" w:hAnsi="宋体" w:cs="宋体" w:hint="eastAsia"/>
            <w:noProof/>
            <w:sz w:val="24"/>
          </w:rPr>
          <w:fldChar w:fldCharType="separate"/>
        </w:r>
        <w:r w:rsidRPr="00C342A0">
          <w:rPr>
            <w:rFonts w:ascii="宋体" w:hAnsi="宋体" w:cs="宋体"/>
            <w:noProof/>
            <w:sz w:val="24"/>
          </w:rPr>
          <w:t>11</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11467" w:history="1">
        <w:r w:rsidRPr="00C342A0">
          <w:rPr>
            <w:rFonts w:ascii="宋体" w:hAnsi="宋体" w:cs="宋体" w:hint="eastAsia"/>
            <w:bCs/>
            <w:noProof/>
            <w:sz w:val="24"/>
          </w:rPr>
          <w:t>2、美好的一天，由康宝莱开始！</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_Toc11467 </w:instrText>
        </w:r>
        <w:r w:rsidRPr="00C342A0">
          <w:rPr>
            <w:rFonts w:ascii="宋体" w:hAnsi="宋体" w:cs="宋体" w:hint="eastAsia"/>
            <w:noProof/>
            <w:sz w:val="24"/>
          </w:rPr>
          <w:fldChar w:fldCharType="separate"/>
        </w:r>
        <w:r w:rsidRPr="00C342A0">
          <w:rPr>
            <w:rFonts w:ascii="宋体" w:hAnsi="宋体" w:cs="宋体"/>
            <w:noProof/>
            <w:sz w:val="24"/>
          </w:rPr>
          <w:t>12</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25479" w:history="1">
        <w:r w:rsidRPr="00C342A0">
          <w:rPr>
            <w:rFonts w:ascii="宋体" w:hAnsi="宋体" w:cs="宋体" w:hint="eastAsia"/>
            <w:bCs/>
            <w:noProof/>
            <w:sz w:val="24"/>
          </w:rPr>
          <w:t>3、直销更优惠！</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_Toc25479 </w:instrText>
        </w:r>
        <w:r w:rsidRPr="00C342A0">
          <w:rPr>
            <w:rFonts w:ascii="宋体" w:hAnsi="宋体" w:cs="宋体" w:hint="eastAsia"/>
            <w:noProof/>
            <w:sz w:val="24"/>
          </w:rPr>
          <w:fldChar w:fldCharType="separate"/>
        </w:r>
        <w:r w:rsidRPr="00C342A0">
          <w:rPr>
            <w:rFonts w:ascii="宋体" w:hAnsi="宋体" w:cs="宋体"/>
            <w:noProof/>
            <w:sz w:val="24"/>
          </w:rPr>
          <w:t>12</w:t>
        </w:r>
        <w:r w:rsidRPr="00C342A0">
          <w:rPr>
            <w:rFonts w:ascii="宋体" w:hAnsi="宋体" w:cs="宋体" w:hint="eastAsia"/>
            <w:noProof/>
            <w:sz w:val="24"/>
          </w:rPr>
          <w:fldChar w:fldCharType="end"/>
        </w:r>
      </w:hyperlink>
    </w:p>
    <w:p w:rsidR="00E81574" w:rsidRPr="00C342A0" w:rsidP="00E81574">
      <w:pPr>
        <w:pStyle w:val="TOC3"/>
        <w:tabs>
          <w:tab w:val="right" w:leader="dot" w:pos="8787"/>
        </w:tabs>
        <w:rPr>
          <w:rFonts w:ascii="宋体" w:hAnsi="宋体" w:cs="宋体" w:hint="eastAsia"/>
          <w:noProof/>
          <w:sz w:val="24"/>
        </w:rPr>
      </w:pPr>
      <w:hyperlink w:anchor="_Toc11881" w:history="1">
        <w:r w:rsidRPr="00C342A0">
          <w:rPr>
            <w:rFonts w:ascii="宋体" w:hAnsi="宋体" w:cs="宋体" w:hint="eastAsia"/>
            <w:bCs/>
            <w:noProof/>
            <w:sz w:val="24"/>
          </w:rPr>
          <w:t>4、当康宝莱遇上星巴克？！</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_Toc11881 </w:instrText>
        </w:r>
        <w:r w:rsidRPr="00C342A0">
          <w:rPr>
            <w:rFonts w:ascii="宋体" w:hAnsi="宋体" w:cs="宋体" w:hint="eastAsia"/>
            <w:noProof/>
            <w:sz w:val="24"/>
          </w:rPr>
          <w:fldChar w:fldCharType="separate"/>
        </w:r>
        <w:r w:rsidRPr="00C342A0">
          <w:rPr>
            <w:rFonts w:ascii="宋体" w:hAnsi="宋体" w:cs="宋体"/>
            <w:noProof/>
            <w:sz w:val="24"/>
          </w:rPr>
          <w:t>12</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1977" w:history="1">
        <w:r w:rsidRPr="00C342A0">
          <w:rPr>
            <w:rFonts w:ascii="宋体" w:hAnsi="宋体" w:cs="宋体" w:hint="eastAsia"/>
            <w:noProof/>
            <w:sz w:val="24"/>
          </w:rPr>
          <w:t>十一、广告宣传</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_Toc1977 </w:instrText>
        </w:r>
        <w:r w:rsidRPr="00C342A0">
          <w:rPr>
            <w:rFonts w:ascii="宋体" w:hAnsi="宋体" w:cs="宋体" w:hint="eastAsia"/>
            <w:noProof/>
            <w:sz w:val="24"/>
          </w:rPr>
          <w:fldChar w:fldCharType="separate"/>
        </w:r>
        <w:r w:rsidRPr="00C342A0">
          <w:rPr>
            <w:rFonts w:ascii="宋体" w:hAnsi="宋体" w:cs="宋体"/>
            <w:noProof/>
            <w:sz w:val="24"/>
          </w:rPr>
          <w:t>12</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10551" w:history="1">
        <w:r w:rsidRPr="00C342A0">
          <w:rPr>
            <w:rFonts w:ascii="宋体" w:hAnsi="宋体" w:cs="宋体" w:hint="eastAsia"/>
            <w:noProof/>
            <w:sz w:val="24"/>
          </w:rPr>
          <w:t>十三、筹划进度表</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_Toc10551 </w:instrText>
        </w:r>
        <w:r w:rsidRPr="00C342A0">
          <w:rPr>
            <w:rFonts w:ascii="宋体" w:hAnsi="宋体" w:cs="宋体" w:hint="eastAsia"/>
            <w:noProof/>
            <w:sz w:val="24"/>
          </w:rPr>
          <w:fldChar w:fldCharType="separate"/>
        </w:r>
        <w:r w:rsidRPr="00C342A0">
          <w:rPr>
            <w:rFonts w:ascii="宋体" w:hAnsi="宋体" w:cs="宋体"/>
            <w:noProof/>
            <w:sz w:val="24"/>
          </w:rPr>
          <w:t>16</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pPr>
      <w:hyperlink w:anchor="_Toc10406" w:history="1">
        <w:r w:rsidRPr="00C342A0">
          <w:rPr>
            <w:rFonts w:ascii="宋体" w:hAnsi="宋体" w:cs="宋体" w:hint="eastAsia"/>
            <w:noProof/>
            <w:sz w:val="24"/>
          </w:rPr>
          <w:t>十四、费用预算</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_Toc10406 </w:instrText>
        </w:r>
        <w:r w:rsidRPr="00C342A0">
          <w:rPr>
            <w:rFonts w:ascii="宋体" w:hAnsi="宋体" w:cs="宋体" w:hint="eastAsia"/>
            <w:noProof/>
            <w:sz w:val="24"/>
          </w:rPr>
          <w:fldChar w:fldCharType="separate"/>
        </w:r>
        <w:r w:rsidRPr="00C342A0">
          <w:rPr>
            <w:rFonts w:ascii="宋体" w:hAnsi="宋体" w:cs="宋体"/>
            <w:noProof/>
            <w:sz w:val="24"/>
          </w:rPr>
          <w:t>17</w:t>
        </w:r>
        <w:r w:rsidRPr="00C342A0">
          <w:rPr>
            <w:rFonts w:ascii="宋体" w:hAnsi="宋体" w:cs="宋体" w:hint="eastAsia"/>
            <w:noProof/>
            <w:sz w:val="24"/>
          </w:rPr>
          <w:fldChar w:fldCharType="end"/>
        </w:r>
      </w:hyperlink>
    </w:p>
    <w:p w:rsidR="00E81574" w:rsidRPr="00C342A0" w:rsidP="00E81574">
      <w:pPr>
        <w:pStyle w:val="TOC1"/>
        <w:tabs>
          <w:tab w:val="right" w:leader="dot" w:pos="8787"/>
        </w:tabs>
        <w:rPr>
          <w:rFonts w:ascii="宋体" w:hAnsi="宋体" w:cs="宋体" w:hint="eastAsia"/>
          <w:noProof/>
          <w:sz w:val="24"/>
        </w:rPr>
        <w:sectPr>
          <w:pgSz w:w="11906" w:h="16838"/>
          <w:pgMar w:top="1162" w:right="1270" w:bottom="1162" w:left="1230" w:header="851" w:footer="992" w:gutter="0"/>
          <w:pgNumType w:start="1"/>
          <w:cols w:space="720"/>
          <w:docGrid w:type="lines" w:linePitch="312"/>
        </w:sectPr>
      </w:pPr>
      <w:hyperlink w:anchor="_Toc22367" w:history="1">
        <w:r w:rsidRPr="00C342A0">
          <w:rPr>
            <w:rFonts w:ascii="宋体" w:hAnsi="宋体" w:cs="宋体" w:hint="eastAsia"/>
            <w:noProof/>
            <w:sz w:val="24"/>
          </w:rPr>
          <w:t>十五、方案调整</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_Toc22367 </w:instrText>
        </w:r>
        <w:r w:rsidRPr="00C342A0">
          <w:rPr>
            <w:rFonts w:ascii="宋体" w:hAnsi="宋体" w:cs="宋体" w:hint="eastAsia"/>
            <w:noProof/>
            <w:sz w:val="24"/>
          </w:rPr>
          <w:fldChar w:fldCharType="separate"/>
        </w:r>
        <w:r w:rsidRPr="00C342A0">
          <w:rPr>
            <w:rFonts w:ascii="宋体" w:hAnsi="宋体" w:cs="宋体"/>
            <w:noProof/>
            <w:sz w:val="24"/>
          </w:rPr>
          <w:t>18</w:t>
        </w:r>
        <w:r w:rsidRPr="00C342A0">
          <w:rPr>
            <w:rFonts w:ascii="宋体" w:hAnsi="宋体" w:cs="宋体" w:hint="eastAsia"/>
            <w:noProof/>
            <w:sz w:val="24"/>
          </w:rPr>
          <w:fldChar w:fldCharType="end"/>
        </w:r>
      </w:hyperlink>
    </w:p>
    <w:p w:rsidR="00E81574" w:rsidRPr="00C342A0" w:rsidP="00E81574">
      <w:pPr>
        <w:pStyle w:val="TOC2"/>
        <w:tabs>
          <w:tab w:val="right" w:leader="dot" w:pos="8787"/>
        </w:tabs>
        <w:rPr>
          <w:rFonts w:ascii="宋体" w:hAnsi="宋体" w:cs="宋体" w:hint="eastAsia"/>
          <w:noProof/>
          <w:sz w:val="24"/>
        </w:rPr>
      </w:pPr>
      <w:hyperlink w:anchor="_Toc14392" w:history="1">
        <w:r w:rsidRPr="00C342A0">
          <w:rPr>
            <w:rFonts w:ascii="宋体" w:hAnsi="宋体" w:cs="宋体" w:hint="eastAsia"/>
            <w:noProof/>
            <w:sz w:val="24"/>
          </w:rPr>
          <w:t>〔一〕防止系统崩溃</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_Toc14392 </w:instrText>
        </w:r>
        <w:r w:rsidRPr="00C342A0">
          <w:rPr>
            <w:rFonts w:ascii="宋体" w:hAnsi="宋体" w:cs="宋体" w:hint="eastAsia"/>
            <w:noProof/>
            <w:sz w:val="24"/>
          </w:rPr>
          <w:fldChar w:fldCharType="separate"/>
        </w:r>
        <w:r w:rsidRPr="00C342A0">
          <w:rPr>
            <w:rFonts w:ascii="宋体" w:hAnsi="宋体" w:cs="宋体"/>
            <w:noProof/>
            <w:sz w:val="24"/>
          </w:rPr>
          <w:t>18</w:t>
        </w:r>
        <w:r w:rsidRPr="00C342A0">
          <w:rPr>
            <w:rFonts w:ascii="宋体" w:hAnsi="宋体" w:cs="宋体" w:hint="eastAsia"/>
            <w:noProof/>
            <w:sz w:val="24"/>
          </w:rPr>
          <w:fldChar w:fldCharType="end"/>
        </w:r>
      </w:hyperlink>
    </w:p>
    <w:p w:rsidR="00E81574" w:rsidRPr="00C342A0" w:rsidP="00E81574">
      <w:pPr>
        <w:pStyle w:val="TOC2"/>
        <w:tabs>
          <w:tab w:val="right" w:leader="dot" w:pos="8787"/>
        </w:tabs>
        <w:spacing w:line="0" w:lineRule="atLeast"/>
        <w:rPr>
          <w:rFonts w:ascii="宋体" w:hAnsi="宋体" w:cs="宋体" w:hint="eastAsia"/>
          <w:noProof/>
          <w:sz w:val="24"/>
        </w:rPr>
      </w:pPr>
      <w:hyperlink w:anchor="_Toc27597" w:history="1">
        <w:r w:rsidRPr="00C342A0">
          <w:rPr>
            <w:rFonts w:ascii="宋体" w:hAnsi="宋体" w:cs="宋体" w:hint="eastAsia"/>
            <w:noProof/>
            <w:sz w:val="24"/>
          </w:rPr>
          <w:t>〔二〕合作对象的调整</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_Toc27597 </w:instrText>
        </w:r>
        <w:r w:rsidRPr="00C342A0">
          <w:rPr>
            <w:rFonts w:ascii="宋体" w:hAnsi="宋体" w:cs="宋体" w:hint="eastAsia"/>
            <w:noProof/>
            <w:sz w:val="24"/>
          </w:rPr>
          <w:fldChar w:fldCharType="separate"/>
        </w:r>
        <w:r w:rsidRPr="00C342A0">
          <w:rPr>
            <w:rFonts w:ascii="宋体" w:hAnsi="宋体" w:cs="宋体"/>
            <w:noProof/>
            <w:sz w:val="24"/>
          </w:rPr>
          <w:t>18</w:t>
        </w:r>
        <w:r w:rsidRPr="00C342A0">
          <w:rPr>
            <w:rFonts w:ascii="宋体" w:hAnsi="宋体" w:cs="宋体" w:hint="eastAsia"/>
            <w:noProof/>
            <w:sz w:val="24"/>
          </w:rPr>
          <w:fldChar w:fldCharType="end"/>
        </w:r>
      </w:hyperlink>
    </w:p>
    <w:p w:rsidR="00E81574" w:rsidRPr="00C342A0" w:rsidP="00E81574">
      <w:pPr>
        <w:pStyle w:val="TOC2"/>
        <w:tabs>
          <w:tab w:val="right" w:leader="dot" w:pos="8787"/>
        </w:tabs>
        <w:spacing w:line="0" w:lineRule="atLeast"/>
        <w:rPr>
          <w:rFonts w:ascii="宋体" w:hAnsi="宋体" w:cs="宋体" w:hint="eastAsia"/>
          <w:noProof/>
          <w:sz w:val="24"/>
        </w:rPr>
      </w:pPr>
      <w:hyperlink w:anchor="_Toc14113" w:history="1">
        <w:r w:rsidRPr="00C342A0">
          <w:rPr>
            <w:rFonts w:ascii="宋体" w:hAnsi="宋体" w:cs="宋体" w:hint="eastAsia"/>
            <w:noProof/>
            <w:sz w:val="24"/>
          </w:rPr>
          <w:t>〔三〕时刻注意学员平安</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_Toc14113 </w:instrText>
        </w:r>
        <w:r w:rsidRPr="00C342A0">
          <w:rPr>
            <w:rFonts w:ascii="宋体" w:hAnsi="宋体" w:cs="宋体" w:hint="eastAsia"/>
            <w:noProof/>
            <w:sz w:val="24"/>
          </w:rPr>
          <w:fldChar w:fldCharType="separate"/>
        </w:r>
        <w:r w:rsidRPr="00C342A0">
          <w:rPr>
            <w:rFonts w:ascii="宋体" w:hAnsi="宋体" w:cs="宋体"/>
            <w:noProof/>
            <w:sz w:val="24"/>
          </w:rPr>
          <w:t>18</w:t>
        </w:r>
        <w:r w:rsidRPr="00C342A0">
          <w:rPr>
            <w:rFonts w:ascii="宋体" w:hAnsi="宋体" w:cs="宋体" w:hint="eastAsia"/>
            <w:noProof/>
            <w:sz w:val="24"/>
          </w:rPr>
          <w:fldChar w:fldCharType="end"/>
        </w:r>
      </w:hyperlink>
    </w:p>
    <w:p w:rsidR="00E81574" w:rsidRPr="00C342A0" w:rsidP="00E81574">
      <w:pPr>
        <w:pStyle w:val="TOC2"/>
        <w:tabs>
          <w:tab w:val="right" w:leader="dot" w:pos="8787"/>
        </w:tabs>
        <w:spacing w:line="0" w:lineRule="atLeast"/>
        <w:ind w:left="0" w:leftChars="0"/>
        <w:rPr>
          <w:rFonts w:ascii="宋体" w:hAnsi="宋体" w:cs="宋体" w:hint="eastAsia"/>
          <w:noProof/>
          <w:sz w:val="24"/>
        </w:rPr>
      </w:pPr>
      <w:hyperlink w:anchor="_Toc10655" w:history="1">
        <w:r w:rsidRPr="00C342A0">
          <w:rPr>
            <w:rFonts w:ascii="宋体" w:hAnsi="宋体" w:cs="宋体" w:hint="eastAsia"/>
            <w:noProof/>
            <w:sz w:val="24"/>
          </w:rPr>
          <w:t>十六、总结</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_Toc10655 </w:instrText>
        </w:r>
        <w:r w:rsidRPr="00C342A0">
          <w:rPr>
            <w:rFonts w:ascii="宋体" w:hAnsi="宋体" w:cs="宋体" w:hint="eastAsia"/>
            <w:noProof/>
            <w:sz w:val="24"/>
          </w:rPr>
          <w:fldChar w:fldCharType="separate"/>
        </w:r>
        <w:r w:rsidRPr="00C342A0">
          <w:rPr>
            <w:rFonts w:ascii="宋体" w:hAnsi="宋体" w:cs="宋体"/>
            <w:noProof/>
            <w:sz w:val="24"/>
          </w:rPr>
          <w:t>19</w:t>
        </w:r>
        <w:r w:rsidRPr="00C342A0">
          <w:rPr>
            <w:rFonts w:ascii="宋体" w:hAnsi="宋体" w:cs="宋体" w:hint="eastAsia"/>
            <w:noProof/>
            <w:sz w:val="24"/>
          </w:rPr>
          <w:fldChar w:fldCharType="end"/>
        </w:r>
      </w:hyperlink>
    </w:p>
    <w:p w:rsidR="00E81574" w:rsidRPr="00C342A0" w:rsidP="00E81574">
      <w:pPr>
        <w:pStyle w:val="TOC2"/>
        <w:numPr>
          <w:ilvl w:val="0"/>
          <w:numId w:val="1"/>
        </w:numPr>
        <w:tabs>
          <w:tab w:val="right" w:leader="dot" w:pos="8787"/>
        </w:tabs>
        <w:spacing w:line="0" w:lineRule="atLeast"/>
        <w:ind w:left="0" w:leftChars="0"/>
        <w:rPr>
          <w:rFonts w:ascii="宋体" w:hAnsi="宋体" w:cs="宋体" w:hint="eastAsia"/>
          <w:noProof/>
          <w:kern w:val="0"/>
          <w:sz w:val="24"/>
          <w:shd w:val="clear" w:color="auto" w:fill="FFFFFF"/>
          <w:lang w:bidi="ar"/>
        </w:rPr>
      </w:pPr>
      <w:r w:rsidRPr="00C342A0">
        <w:rPr>
          <w:rFonts w:ascii="宋体" w:hAnsi="宋体" w:cs="宋体" w:hint="eastAsia"/>
          <w:noProof/>
          <w:sz w:val="24"/>
        </w:rPr>
        <w:fldChar w:fldCharType="begin"/>
      </w:r>
      <w:r w:rsidRPr="00C342A0">
        <w:rPr>
          <w:rFonts w:ascii="宋体" w:hAnsi="宋体" w:cs="宋体" w:hint="eastAsia"/>
          <w:noProof/>
          <w:sz w:val="24"/>
        </w:rPr>
        <w:instrText xml:space="preserve"> HYPERLINK \l _Toc166 </w:instrText>
      </w:r>
      <w:r w:rsidRPr="00C342A0">
        <w:rPr>
          <w:rFonts w:ascii="宋体" w:hAnsi="宋体" w:cs="宋体" w:hint="eastAsia"/>
          <w:noProof/>
          <w:sz w:val="24"/>
        </w:rPr>
        <w:fldChar w:fldCharType="separate"/>
      </w:r>
      <w:r w:rsidRPr="00C342A0">
        <w:rPr>
          <w:rFonts w:ascii="宋体" w:hAnsi="宋体" w:cs="宋体" w:hint="eastAsia"/>
          <w:noProof/>
          <w:kern w:val="0"/>
          <w:sz w:val="24"/>
          <w:shd w:val="clear" w:color="auto" w:fill="FFFFFF"/>
          <w:lang w:bidi="ar"/>
        </w:rPr>
        <w:t xml:space="preserve">附件 </w:t>
      </w:r>
      <w:r w:rsidRPr="00C342A0">
        <w:rPr>
          <w:rFonts w:ascii="宋体" w:hAnsi="宋体" w:cs="宋体" w:hint="eastAsia"/>
          <w:noProof/>
          <w:sz w:val="24"/>
        </w:rPr>
        <w:tab/>
        <w:t>20</w:t>
      </w:r>
    </w:p>
    <w:p w:rsidR="00E81574" w:rsidRPr="00C342A0" w:rsidP="00E81574">
      <w:pPr>
        <w:pStyle w:val="TOC2"/>
        <w:tabs>
          <w:tab w:val="right" w:leader="dot" w:pos="8787"/>
        </w:tabs>
        <w:spacing w:line="0" w:lineRule="atLeast"/>
        <w:ind w:left="0" w:leftChars="0"/>
        <w:rPr>
          <w:rFonts w:ascii="宋体" w:hAnsi="宋体" w:cs="宋体" w:hint="eastAsia"/>
          <w:noProof/>
          <w:sz w:val="24"/>
        </w:rPr>
      </w:pPr>
      <w:r w:rsidRPr="00C342A0">
        <w:rPr>
          <w:rFonts w:ascii="宋体" w:hAnsi="宋体" w:cs="宋体" w:hint="eastAsia"/>
          <w:noProof/>
          <w:kern w:val="0"/>
          <w:sz w:val="24"/>
          <w:shd w:val="clear" w:color="auto" w:fill="FFFFFF"/>
          <w:lang w:bidi="ar"/>
        </w:rPr>
        <w:t xml:space="preserve">      盐城康宝莱市场</w:t>
      </w:r>
      <w:r w:rsidRPr="00C342A0">
        <w:rPr>
          <w:rFonts w:ascii="宋体" w:hAnsi="宋体" w:cs="宋体" w:hint="eastAsia"/>
          <w:noProof/>
          <w:sz w:val="24"/>
        </w:rPr>
        <w:t>调查</w:t>
      </w:r>
      <w:r w:rsidRPr="00C342A0">
        <w:rPr>
          <w:rFonts w:ascii="宋体" w:hAnsi="宋体" w:cs="宋体" w:hint="eastAsia"/>
          <w:noProof/>
          <w:kern w:val="0"/>
          <w:sz w:val="24"/>
          <w:shd w:val="clear" w:color="auto" w:fill="FFFFFF"/>
          <w:lang w:bidi="ar"/>
        </w:rPr>
        <w:t>问卷</w:t>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_Toc166 </w:instrText>
      </w:r>
      <w:r w:rsidRPr="00C342A0">
        <w:rPr>
          <w:rFonts w:ascii="宋体" w:hAnsi="宋体" w:cs="宋体" w:hint="eastAsia"/>
          <w:noProof/>
          <w:sz w:val="24"/>
        </w:rPr>
        <w:fldChar w:fldCharType="separate"/>
      </w:r>
      <w:r w:rsidRPr="00C342A0">
        <w:rPr>
          <w:rFonts w:ascii="宋体" w:hAnsi="宋体" w:cs="宋体"/>
          <w:noProof/>
          <w:sz w:val="24"/>
        </w:rPr>
        <w:t>20</w:t>
      </w:r>
      <w:r w:rsidRPr="00C342A0">
        <w:rPr>
          <w:rFonts w:ascii="宋体" w:hAnsi="宋体" w:cs="宋体" w:hint="eastAsia"/>
          <w:noProof/>
          <w:sz w:val="24"/>
        </w:rPr>
        <w:fldChar w:fldCharType="end"/>
      </w:r>
      <w:r w:rsidRPr="00C342A0">
        <w:rPr>
          <w:rFonts w:ascii="宋体" w:hAnsi="宋体" w:cs="宋体" w:hint="eastAsia"/>
          <w:noProof/>
          <w:sz w:val="24"/>
        </w:rPr>
        <w:fldChar w:fldCharType="end"/>
      </w:r>
    </w:p>
    <w:p w:rsidR="00E81574" w:rsidRPr="00C342A0" w:rsidP="00E81574">
      <w:pPr>
        <w:pStyle w:val="TOC2"/>
        <w:tabs>
          <w:tab w:val="right" w:leader="dot" w:pos="8787"/>
        </w:tabs>
        <w:rPr>
          <w:rFonts w:ascii="宋体" w:hAnsi="宋体" w:cs="宋体" w:hint="eastAsia"/>
          <w:b/>
          <w:noProof/>
          <w:sz w:val="24"/>
        </w:rPr>
      </w:pPr>
      <w:hyperlink w:anchor="_Toc11326" w:history="1">
        <w:r w:rsidRPr="00C342A0">
          <w:rPr>
            <w:rFonts w:ascii="宋体" w:hAnsi="宋体" w:cs="宋体" w:hint="eastAsia"/>
            <w:noProof/>
            <w:sz w:val="24"/>
          </w:rPr>
          <w:t>营销筹划实习流程</w:t>
          <w:tab/>
        </w:r>
        <w:r w:rsidRPr="00C342A0">
          <w:rPr>
            <w:rFonts w:ascii="宋体" w:hAnsi="宋体" w:cs="宋体" w:hint="eastAsia"/>
            <w:noProof/>
            <w:sz w:val="24"/>
          </w:rPr>
          <w:fldChar w:fldCharType="begin"/>
        </w:r>
        <w:r w:rsidRPr="00C342A0">
          <w:rPr>
            <w:rFonts w:ascii="宋体" w:hAnsi="宋体" w:cs="宋体" w:hint="eastAsia"/>
            <w:noProof/>
            <w:sz w:val="24"/>
          </w:rPr>
          <w:instrText xml:space="preserve"> PAGEREF _Toc11326 </w:instrText>
        </w:r>
        <w:r w:rsidRPr="00C342A0">
          <w:rPr>
            <w:rFonts w:ascii="宋体" w:hAnsi="宋体" w:cs="宋体" w:hint="eastAsia"/>
            <w:noProof/>
            <w:sz w:val="24"/>
          </w:rPr>
          <w:fldChar w:fldCharType="separate"/>
        </w:r>
        <w:r w:rsidRPr="00C342A0">
          <w:rPr>
            <w:rFonts w:ascii="宋体" w:hAnsi="宋体" w:cs="宋体"/>
            <w:noProof/>
            <w:sz w:val="24"/>
          </w:rPr>
          <w:t>28</w:t>
        </w:r>
        <w:r w:rsidRPr="00C342A0">
          <w:rPr>
            <w:rFonts w:ascii="宋体" w:hAnsi="宋体" w:cs="宋体" w:hint="eastAsia"/>
            <w:noProof/>
            <w:sz w:val="24"/>
          </w:rPr>
          <w:fldChar w:fldCharType="end"/>
        </w:r>
      </w:hyperlink>
    </w:p>
    <w:p w:rsidR="00E81574" w:rsidP="00E81574">
      <w:pPr>
        <w:snapToGrid w:val="0"/>
        <w:spacing w:before="312" w:beforeLines="100" w:after="312" w:afterLines="100" w:line="440" w:lineRule="exact"/>
        <w:rPr>
          <w:rFonts w:ascii="黑体" w:eastAsia="黑体" w:hAnsi="黑体" w:hint="eastAsia"/>
          <w:sz w:val="28"/>
          <w:szCs w:val="28"/>
        </w:rPr>
        <w:sectPr>
          <w:type w:val="nextPage"/>
          <w:pgSz w:w="11906" w:h="16838"/>
          <w:pgMar w:top="1162" w:right="1270" w:bottom="1162" w:left="1230" w:header="851" w:footer="992" w:gutter="0"/>
          <w:pgNumType w:start="2"/>
          <w:cols w:space="720"/>
          <w:titlePg w:val="0"/>
          <w:docGrid w:type="lines" w:linePitch="312"/>
        </w:sectPr>
      </w:pPr>
      <w:r w:rsidRPr="00C342A0">
        <w:rPr>
          <w:rFonts w:ascii="宋体" w:hAnsi="宋体" w:cs="宋体" w:hint="eastAsia"/>
          <w:b/>
          <w:sz w:val="24"/>
        </w:rPr>
        <w:fldChar w:fldCharType="end"/>
      </w:r>
      <w:bookmarkStart w:id="0" w:name="_Toc436160413"/>
      <w:bookmarkStart w:id="1" w:name="_Toc436170379"/>
      <w:bookmarkStart w:id="2" w:name="_Toc23431"/>
      <w:bookmarkStart w:id="3" w:name="_Toc17664"/>
      <w:bookmarkStart w:id="4" w:name="_Toc25078"/>
      <w:bookmarkStart w:id="5" w:name="_Toc4336"/>
    </w:p>
    <w:p w:rsidR="00E81574" w:rsidP="00E81574">
      <w:pPr>
        <w:snapToGrid w:val="0"/>
        <w:spacing w:before="312" w:beforeLines="100" w:after="312" w:afterLines="100" w:line="440" w:lineRule="exact"/>
        <w:outlineLvl w:val="0"/>
        <w:rPr>
          <w:rFonts w:ascii="黑体" w:eastAsia="黑体" w:hAnsi="黑体" w:hint="eastAsia"/>
          <w:sz w:val="28"/>
          <w:szCs w:val="28"/>
        </w:rPr>
      </w:pPr>
      <w:bookmarkStart w:id="6" w:name="_Toc15231"/>
      <w:bookmarkStart w:id="7" w:name="_Toc28546"/>
      <w:bookmarkStart w:id="8" w:name="_Toc22360"/>
      <w:r>
        <w:rPr>
          <w:rFonts w:ascii="黑体" w:eastAsia="黑体" w:hAnsi="黑体" w:hint="eastAsia"/>
          <w:sz w:val="28"/>
          <w:szCs w:val="28"/>
        </w:rPr>
        <w:t>一、</w:t>
      </w:r>
      <w:bookmarkEnd w:id="0"/>
      <w:bookmarkEnd w:id="1"/>
      <w:bookmarkEnd w:id="2"/>
      <w:bookmarkEnd w:id="3"/>
      <w:bookmarkEnd w:id="4"/>
      <w:bookmarkEnd w:id="5"/>
      <w:r>
        <w:rPr>
          <w:rFonts w:ascii="黑体" w:eastAsia="黑体" w:hAnsi="黑体" w:hint="eastAsia"/>
          <w:sz w:val="28"/>
          <w:szCs w:val="28"/>
        </w:rPr>
        <w:t>活动目的</w:t>
      </w:r>
      <w:bookmarkEnd w:id="6"/>
      <w:bookmarkEnd w:id="7"/>
      <w:bookmarkEnd w:id="8"/>
    </w:p>
    <w:p w:rsidR="00E81574" w:rsidP="00E81574">
      <w:pPr>
        <w:snapToGrid w:val="0"/>
        <w:spacing w:line="440" w:lineRule="exact"/>
        <w:ind w:firstLine="480" w:firstLineChars="200"/>
        <w:rPr>
          <w:rFonts w:ascii="宋体" w:hAnsi="宋体" w:hint="eastAsia"/>
          <w:sz w:val="24"/>
        </w:rPr>
      </w:pPr>
      <w:r>
        <w:rPr>
          <w:rFonts w:ascii="宋体" w:hAnsi="宋体" w:hint="eastAsia"/>
          <w:sz w:val="24"/>
        </w:rPr>
        <w:t>目前盐城市场上的保健产品多如牛毛，想要成为盐城市场上人人皆知的品牌，还需要不断进行品牌的建设与市场的拓宽，介于圣诞节马上来临，我们决定为盐城亭湖区康宝莱公司写一份市场营销筹划，通过这次活动使康宝莱公司在盐城亭湖区增加知名度，增强消费者对康宝莱的兴趣与了解。</w:t>
      </w:r>
    </w:p>
    <w:p w:rsidR="00E81574" w:rsidP="00E81574">
      <w:pPr>
        <w:snapToGrid w:val="0"/>
        <w:spacing w:before="312" w:beforeLines="100" w:after="312" w:afterLines="100" w:line="440" w:lineRule="exact"/>
        <w:outlineLvl w:val="0"/>
        <w:rPr>
          <w:rFonts w:ascii="宋体" w:hAnsi="宋体" w:hint="eastAsia"/>
          <w:sz w:val="24"/>
        </w:rPr>
      </w:pPr>
      <w:bookmarkStart w:id="9" w:name="_Toc19322"/>
      <w:bookmarkStart w:id="10" w:name="_Toc1359"/>
      <w:bookmarkStart w:id="11" w:name="_Toc22426"/>
      <w:r>
        <w:rPr>
          <w:rFonts w:ascii="黑体" w:eastAsia="黑体" w:hAnsi="宋体" w:hint="eastAsia"/>
          <w:sz w:val="28"/>
          <w:szCs w:val="28"/>
        </w:rPr>
        <w:t>二、活动主题</w:t>
      </w:r>
      <w:r>
        <w:rPr>
          <w:rFonts w:ascii="宋体" w:hAnsi="宋体" w:hint="eastAsia"/>
          <w:sz w:val="24"/>
        </w:rPr>
        <w:t>：健康享</w:t>
      </w:r>
      <w:r>
        <w:rPr>
          <w:rFonts w:ascii="宋体" w:hAnsi="宋体" w:hint="eastAsia"/>
          <w:sz w:val="24"/>
        </w:rPr>
        <w:t>“</w:t>
      </w:r>
      <w:r>
        <w:rPr>
          <w:rFonts w:ascii="宋体" w:hAnsi="宋体" w:hint="eastAsia"/>
          <w:sz w:val="24"/>
        </w:rPr>
        <w:t>瘦〞</w:t>
      </w:r>
      <w:bookmarkEnd w:id="9"/>
      <w:bookmarkEnd w:id="10"/>
      <w:bookmarkEnd w:id="11"/>
    </w:p>
    <w:p w:rsidR="00E81574" w:rsidP="00E81574">
      <w:pPr>
        <w:snapToGrid w:val="0"/>
        <w:spacing w:before="312" w:beforeLines="100" w:after="312" w:afterLines="100" w:line="440" w:lineRule="exact"/>
        <w:outlineLvl w:val="0"/>
        <w:rPr>
          <w:rFonts w:ascii="黑体" w:eastAsia="黑体" w:hAnsi="黑体" w:hint="eastAsia"/>
          <w:sz w:val="28"/>
          <w:szCs w:val="28"/>
        </w:rPr>
      </w:pPr>
      <w:bookmarkStart w:id="12" w:name="_Toc436160414"/>
      <w:bookmarkStart w:id="13" w:name="_Toc436170380"/>
      <w:bookmarkStart w:id="14" w:name="_Toc17260"/>
      <w:bookmarkStart w:id="15" w:name="_Toc4333"/>
      <w:bookmarkStart w:id="16" w:name="_Toc24945"/>
      <w:bookmarkStart w:id="17" w:name="_Toc9097"/>
      <w:bookmarkStart w:id="18" w:name="_Toc15445"/>
      <w:bookmarkStart w:id="19" w:name="_Toc2014"/>
      <w:bookmarkStart w:id="20" w:name="_Toc18473"/>
      <w:r>
        <w:rPr>
          <w:rFonts w:ascii="黑体" w:eastAsia="黑体" w:hAnsi="黑体" w:hint="eastAsia"/>
          <w:sz w:val="28"/>
          <w:szCs w:val="28"/>
        </w:rPr>
        <w:t>三、活动时间</w:t>
      </w:r>
      <w:bookmarkEnd w:id="12"/>
      <w:bookmarkEnd w:id="13"/>
      <w:bookmarkEnd w:id="14"/>
      <w:bookmarkEnd w:id="15"/>
      <w:bookmarkEnd w:id="16"/>
      <w:bookmarkEnd w:id="17"/>
      <w:r>
        <w:rPr>
          <w:rFonts w:ascii="黑体" w:eastAsia="黑体" w:hAnsi="黑体" w:hint="eastAsia"/>
          <w:sz w:val="28"/>
          <w:szCs w:val="28"/>
        </w:rPr>
        <w:t>：</w:t>
      </w:r>
      <w:bookmarkStart w:id="21" w:name="_Toc436160415"/>
      <w:bookmarkStart w:id="22" w:name="_Toc436170381"/>
      <w:bookmarkStart w:id="23" w:name="_Toc14431"/>
      <w:bookmarkStart w:id="24" w:name="_Toc375"/>
      <w:bookmarkStart w:id="25" w:name="_Toc30764"/>
      <w:bookmarkStart w:id="26" w:name="_Toc11743"/>
      <w:bookmarkStart w:id="27" w:name="_Toc2830"/>
      <w:bookmarkEnd w:id="18"/>
      <w:bookmarkEnd w:id="19"/>
      <w:bookmarkEnd w:id="20"/>
    </w:p>
    <w:p w:rsidR="00E81574" w:rsidP="00E81574">
      <w:pPr>
        <w:snapToGrid w:val="0"/>
        <w:spacing w:before="312" w:beforeLines="100" w:after="312" w:afterLines="100" w:line="440" w:lineRule="exact"/>
        <w:outlineLvl w:val="0"/>
        <w:rPr>
          <w:rFonts w:ascii="黑体" w:eastAsia="黑体" w:hAnsi="黑体" w:hint="eastAsia"/>
          <w:sz w:val="28"/>
          <w:szCs w:val="28"/>
        </w:rPr>
      </w:pPr>
      <w:bookmarkStart w:id="28" w:name="_Toc19843"/>
      <w:bookmarkStart w:id="29" w:name="_Toc10605"/>
      <w:r>
        <w:rPr>
          <w:rFonts w:ascii="黑体" w:eastAsia="黑体" w:hAnsi="黑体" w:hint="eastAsia"/>
          <w:sz w:val="28"/>
          <w:szCs w:val="28"/>
        </w:rPr>
        <w:t>四、活动对象</w:t>
      </w:r>
      <w:bookmarkEnd w:id="21"/>
      <w:bookmarkEnd w:id="22"/>
      <w:bookmarkEnd w:id="23"/>
      <w:bookmarkEnd w:id="24"/>
      <w:bookmarkEnd w:id="25"/>
      <w:bookmarkEnd w:id="26"/>
      <w:bookmarkEnd w:id="27"/>
      <w:bookmarkEnd w:id="28"/>
      <w:bookmarkEnd w:id="29"/>
    </w:p>
    <w:p w:rsidR="00E81574" w:rsidP="00E81574">
      <w:pPr>
        <w:snapToGrid w:val="0"/>
        <w:spacing w:line="440" w:lineRule="exact"/>
        <w:ind w:firstLine="480" w:firstLineChars="200"/>
        <w:rPr>
          <w:rFonts w:ascii="宋体" w:hAnsi="宋体" w:hint="eastAsia"/>
          <w:sz w:val="24"/>
        </w:rPr>
      </w:pPr>
      <w:r>
        <w:rPr>
          <w:rFonts w:ascii="宋体" w:hAnsi="宋体" w:hint="eastAsia"/>
          <w:sz w:val="24"/>
        </w:rPr>
        <w:t>本次活动对象为盐城亭湖区因为肥胖或饮食不健康处于亚健康状况的人群。通过康宝莱奶昔摄入多种维生素改善身体亚健康状况，进而帮助调整体型，到达健康的状态，其宗旨是饮食+运动结合的方式为消费者培养良好的生活习惯，从根本上改变亚健康状态。我们以盐城亭湖区为活动地点，由于生活习惯不良导致亚健康渴望通过健康方便的饮食来调整现有状态的人均是康宝莱奶昔的销售对象。亚健康作为一种都市病，极大多数情况下是由于良好的生活条件导致不科学的生活习惯所引起的，这就决定了一大局部人有足够的购置力，在保健品市场这一块有巨大的潜在购置力与前景。</w:t>
      </w:r>
    </w:p>
    <w:p w:rsidR="00E81574" w:rsidP="00E81574">
      <w:pPr>
        <w:snapToGrid w:val="0"/>
        <w:spacing w:before="312" w:beforeLines="100" w:after="312" w:afterLines="100" w:line="440" w:lineRule="exact"/>
        <w:outlineLvl w:val="0"/>
        <w:rPr>
          <w:rFonts w:ascii="宋体" w:hAnsi="宋体" w:hint="eastAsia"/>
          <w:sz w:val="24"/>
        </w:rPr>
      </w:pPr>
      <w:bookmarkStart w:id="30" w:name="_Toc28665"/>
      <w:bookmarkStart w:id="31" w:name="_Toc2316"/>
      <w:bookmarkStart w:id="32" w:name="_Toc6142"/>
      <w:r>
        <w:rPr>
          <w:rFonts w:ascii="黑体" w:eastAsia="黑体" w:hAnsi="宋体" w:hint="eastAsia"/>
          <w:sz w:val="28"/>
          <w:szCs w:val="28"/>
        </w:rPr>
        <w:t>五、活动地点</w:t>
      </w:r>
      <w:r>
        <w:rPr>
          <w:rFonts w:ascii="宋体" w:hAnsi="宋体" w:hint="eastAsia"/>
          <w:sz w:val="24"/>
        </w:rPr>
        <w:t>：盐城亭湖区悦达泰和健身房、盐城星巴克咖啡馆、盐城宝龙广场</w:t>
      </w:r>
      <w:bookmarkEnd w:id="30"/>
      <w:bookmarkEnd w:id="31"/>
      <w:bookmarkEnd w:id="32"/>
    </w:p>
    <w:p w:rsidR="00E81574" w:rsidP="00E81574">
      <w:pPr>
        <w:snapToGrid w:val="0"/>
        <w:spacing w:before="312" w:beforeLines="100" w:after="312" w:afterLines="100" w:line="440" w:lineRule="exact"/>
        <w:outlineLvl w:val="0"/>
        <w:rPr>
          <w:rFonts w:ascii="黑体" w:eastAsia="黑体" w:hAnsi="黑体" w:hint="eastAsia"/>
          <w:sz w:val="28"/>
          <w:szCs w:val="28"/>
        </w:rPr>
      </w:pPr>
      <w:bookmarkStart w:id="33" w:name="_Toc436160416"/>
      <w:bookmarkStart w:id="34" w:name="_Toc436170382"/>
      <w:bookmarkStart w:id="35" w:name="_Toc10065"/>
      <w:bookmarkStart w:id="36" w:name="_Toc18712"/>
      <w:bookmarkStart w:id="37" w:name="_Toc20711"/>
      <w:bookmarkStart w:id="38" w:name="_Toc16555"/>
      <w:bookmarkStart w:id="39" w:name="_Toc28453"/>
      <w:bookmarkStart w:id="40" w:name="_Toc5044"/>
      <w:bookmarkStart w:id="41" w:name="_Toc21411"/>
      <w:r>
        <w:rPr>
          <w:rFonts w:ascii="黑体" w:eastAsia="黑体" w:hAnsi="黑体" w:hint="eastAsia"/>
          <w:sz w:val="28"/>
          <w:szCs w:val="28"/>
        </w:rPr>
        <w:t>六、企业背景分析</w:t>
      </w:r>
      <w:bookmarkEnd w:id="33"/>
      <w:bookmarkEnd w:id="34"/>
      <w:bookmarkEnd w:id="35"/>
      <w:bookmarkEnd w:id="36"/>
      <w:bookmarkEnd w:id="37"/>
      <w:bookmarkEnd w:id="38"/>
      <w:bookmarkEnd w:id="39"/>
      <w:bookmarkEnd w:id="40"/>
      <w:bookmarkEnd w:id="41"/>
    </w:p>
    <w:p w:rsidR="00E81574" w:rsidP="00E81574">
      <w:pPr>
        <w:snapToGrid w:val="0"/>
        <w:spacing w:line="440" w:lineRule="exact"/>
        <w:ind w:firstLine="480" w:firstLineChars="200"/>
        <w:outlineLvl w:val="1"/>
        <w:rPr>
          <w:rFonts w:ascii="宋体" w:hAnsi="宋体"/>
          <w:sz w:val="24"/>
        </w:rPr>
        <w:sectPr w:rsidSect="00E36937">
          <w:pgSz w:w="11906" w:h="16838"/>
          <w:pgMar w:top="1332" w:right="1191" w:bottom="1293" w:left="1191" w:header="851" w:footer="992" w:gutter="0"/>
          <w:pgNumType w:start="3"/>
          <w:cols w:space="425"/>
          <w:docGrid w:type="lines" w:linePitch="312"/>
        </w:sectPr>
      </w:pPr>
      <w:bookmarkStart w:id="42" w:name="_Toc27110"/>
      <w:bookmarkStart w:id="43" w:name="_Toc3927"/>
    </w:p>
    <w:p w:rsidR="00E81574" w:rsidP="00E81574">
      <w:pPr>
        <w:snapToGrid w:val="0"/>
        <w:spacing w:line="440" w:lineRule="exact"/>
        <w:ind w:firstLine="480" w:firstLineChars="200"/>
        <w:outlineLvl w:val="1"/>
        <w:rPr>
          <w:rFonts w:ascii="宋体" w:hAnsi="宋体"/>
          <w:sz w:val="24"/>
        </w:rPr>
      </w:pPr>
      <w:r>
        <w:rPr>
          <w:rFonts w:ascii="宋体" w:hAnsi="宋体"/>
          <w:sz w:val="24"/>
        </w:rPr>
        <w:t>康宝莱是一家全球领先的营养和体重管理公司，它已在全球90多个国家和地区设立分公司，产品销往世界各地。康宝莱公司成立于1980年，是纽约证券交易所上市公司，2023年零售额达54亿美元，全球雇员超过7,400名，赞助了超过250位世界级的运发动、运动队和赛事。康宝莱为全职或兼职的创业者提供创立直销事业的时机，他们有望靠此获得经济独立。康宝莱是中国和全球销量第一的营养代餐品牌。康宝莱代餐产品在中国的市场占有率高达91%，并已连续7年市场份额保持在80%以上，远远领先于其他品牌。康宝莱代餐产品在全球市场的份额也逐年上升，从2023年的32.7%上升到2023年的34.9%；另外，康宝莱体重管理类产品的市场占有率在2023年也稳步上升，在全球市场到达了22.3%，中国市场份额为14.4%。康宝莱为全球三大社会开展趋势——肥胖、人口老龄化、以及不饱和就业提供潜在的解决方案。</w:t>
      </w:r>
      <w:bookmarkEnd w:id="42"/>
      <w:bookmarkEnd w:id="43"/>
    </w:p>
    <w:p w:rsidR="00E81574" w:rsidP="00E81574">
      <w:pPr>
        <w:snapToGrid w:val="0"/>
        <w:spacing w:line="440" w:lineRule="exact"/>
        <w:ind w:firstLine="480" w:firstLineChars="200"/>
        <w:rPr>
          <w:rFonts w:ascii="宋体" w:hAnsi="宋体" w:hint="eastAsia"/>
          <w:sz w:val="24"/>
        </w:rPr>
      </w:pPr>
      <w:r>
        <w:rPr>
          <w:rFonts w:ascii="宋体" w:hAnsi="宋体" w:hint="eastAsia"/>
          <w:sz w:val="24"/>
        </w:rPr>
        <w:t>尽管如此，据我们调查可知，康宝莱在盐城市的销售状况不尽如人意，知名度也不及其他几个知名保健品牌，使用人数上也呈下降趋势。</w:t>
      </w:r>
    </w:p>
    <w:p w:rsidR="00E81574" w:rsidP="00E81574">
      <w:pPr>
        <w:spacing w:before="312" w:beforeLines="100" w:after="312" w:afterLines="100"/>
        <w:outlineLvl w:val="0"/>
        <w:rPr>
          <w:rFonts w:ascii="黑体" w:eastAsia="黑体" w:hAnsi="黑体" w:hint="eastAsia"/>
          <w:sz w:val="28"/>
          <w:szCs w:val="28"/>
        </w:rPr>
      </w:pPr>
      <w:bookmarkStart w:id="44" w:name="_Toc436160417"/>
      <w:bookmarkStart w:id="45" w:name="_Toc436170383"/>
      <w:bookmarkStart w:id="46" w:name="_Toc13831"/>
      <w:bookmarkStart w:id="47" w:name="_Toc9189"/>
      <w:bookmarkStart w:id="48" w:name="_Toc6820"/>
      <w:bookmarkStart w:id="49" w:name="_Toc19019"/>
      <w:bookmarkStart w:id="50" w:name="_Toc17482"/>
      <w:bookmarkStart w:id="51" w:name="_Toc21469"/>
      <w:bookmarkStart w:id="52" w:name="_Toc16962"/>
      <w:r>
        <w:rPr>
          <w:rFonts w:ascii="黑体" w:eastAsia="黑体" w:hAnsi="黑体" w:hint="eastAsia"/>
          <w:sz w:val="28"/>
          <w:szCs w:val="28"/>
        </w:rPr>
        <w:t>七、营销环境分析</w:t>
      </w:r>
      <w:bookmarkEnd w:id="44"/>
      <w:bookmarkEnd w:id="45"/>
      <w:bookmarkEnd w:id="46"/>
      <w:bookmarkEnd w:id="47"/>
      <w:bookmarkEnd w:id="48"/>
      <w:bookmarkEnd w:id="49"/>
      <w:bookmarkEnd w:id="50"/>
      <w:bookmarkEnd w:id="51"/>
      <w:bookmarkEnd w:id="52"/>
    </w:p>
    <w:p w:rsidR="00E81574" w:rsidP="00E81574">
      <w:pPr>
        <w:spacing w:before="156" w:beforeLines="50" w:after="156" w:afterLines="50"/>
        <w:rPr>
          <w:rFonts w:ascii="黑体" w:eastAsia="黑体" w:hAnsi="黑体" w:cs="黑体" w:hint="eastAsia"/>
          <w:bCs/>
          <w:sz w:val="24"/>
        </w:rPr>
      </w:pPr>
      <w:bookmarkStart w:id="53" w:name="_Toc436160419"/>
      <w:bookmarkStart w:id="54" w:name="_Toc436170385"/>
      <w:bookmarkStart w:id="55" w:name="_Toc8683"/>
      <w:bookmarkStart w:id="56" w:name="_Toc12392"/>
      <w:bookmarkStart w:id="57" w:name="_Toc10130"/>
      <w:bookmarkStart w:id="58" w:name="_Toc21686"/>
      <w:bookmarkStart w:id="59" w:name="_Toc30605"/>
      <w:bookmarkStart w:id="60" w:name="_Toc27443"/>
      <w:r>
        <w:rPr>
          <w:rFonts w:ascii="黑体" w:eastAsia="黑体" w:hAnsi="黑体" w:cs="黑体" w:hint="eastAsia"/>
          <w:bCs/>
          <w:sz w:val="24"/>
        </w:rPr>
        <w:t>〔一〕盐城经济环境</w:t>
      </w:r>
      <w:bookmarkEnd w:id="53"/>
      <w:bookmarkEnd w:id="54"/>
      <w:bookmarkEnd w:id="55"/>
      <w:bookmarkEnd w:id="56"/>
      <w:bookmarkEnd w:id="57"/>
      <w:bookmarkEnd w:id="58"/>
      <w:bookmarkEnd w:id="59"/>
      <w:bookmarkEnd w:id="60"/>
    </w:p>
    <w:p w:rsidR="00E81574" w:rsidP="00E81574">
      <w:pPr>
        <w:snapToGrid w:val="0"/>
        <w:spacing w:line="440" w:lineRule="exact"/>
        <w:ind w:firstLine="480" w:firstLineChars="200"/>
        <w:rPr>
          <w:rFonts w:ascii="宋体" w:hAnsi="宋体"/>
          <w:sz w:val="24"/>
        </w:rPr>
      </w:pPr>
      <w:r>
        <w:rPr>
          <w:rFonts w:ascii="宋体" w:hAnsi="宋体" w:hint="eastAsia"/>
          <w:sz w:val="24"/>
        </w:rPr>
        <w:t>1983年建市以来，经过30多年的开展，盐城市国民经济取得了长足的开展，经济总量不断增加，2023年全市现价人均GDP已达53115元，居全省第10位，与1983年相比，名义增长了117.3倍，实际增长也到达了34.3倍。按照2023年人民币对美元平均汇率6.22：1计算，盐城市人均GDP已达8539美元，与人均1万美元还有1461美元的差距，预计盐城市人均GDP可望在2023年突破1万美元。随着人均GDP的不断增长，盐城人民在衣食住行上也比以前花费更多。然而，在保健品上的花费却并没有什么大幅增长，可见人们虽然已具备一定的养生观念，但实际在这方面的付出却并不多。从而我们可以得知，盐城保健品行业有巨大的开展潜力。</w:t>
      </w:r>
    </w:p>
    <w:p w:rsidR="00E81574" w:rsidP="00E81574">
      <w:pPr>
        <w:spacing w:before="156" w:beforeLines="50" w:after="156" w:afterLines="50"/>
        <w:rPr>
          <w:rFonts w:ascii="黑体" w:eastAsia="黑体" w:hAnsi="黑体" w:cs="黑体" w:hint="eastAsia"/>
          <w:bCs/>
          <w:sz w:val="24"/>
        </w:rPr>
      </w:pPr>
      <w:bookmarkStart w:id="61" w:name="_Toc436160420"/>
      <w:bookmarkStart w:id="62" w:name="_Toc436170386"/>
      <w:bookmarkStart w:id="63" w:name="_Toc32250"/>
      <w:bookmarkStart w:id="64" w:name="_Toc971"/>
      <w:bookmarkStart w:id="65" w:name="_Toc18453"/>
      <w:bookmarkStart w:id="66" w:name="_Toc6418"/>
      <w:bookmarkStart w:id="67" w:name="_Toc1446"/>
      <w:bookmarkStart w:id="68" w:name="_Toc30001"/>
      <w:r>
        <w:rPr>
          <w:rFonts w:ascii="黑体" w:eastAsia="黑体" w:hAnsi="黑体" w:cs="黑体" w:hint="eastAsia"/>
          <w:bCs/>
          <w:sz w:val="24"/>
        </w:rPr>
        <w:t>〔二〕盐城社会环境</w:t>
      </w:r>
      <w:bookmarkEnd w:id="61"/>
      <w:bookmarkEnd w:id="62"/>
      <w:bookmarkEnd w:id="63"/>
      <w:bookmarkEnd w:id="64"/>
      <w:bookmarkEnd w:id="65"/>
      <w:bookmarkEnd w:id="66"/>
      <w:bookmarkEnd w:id="67"/>
      <w:bookmarkEnd w:id="68"/>
    </w:p>
    <w:p w:rsidR="00E81574" w:rsidP="00E81574">
      <w:pPr>
        <w:spacing w:line="440" w:lineRule="exact"/>
        <w:ind w:firstLine="480" w:firstLineChars="200"/>
        <w:rPr>
          <w:rFonts w:ascii="宋体" w:hAnsi="宋体" w:hint="eastAsia"/>
          <w:sz w:val="24"/>
        </w:rPr>
      </w:pPr>
      <w:r>
        <w:rPr>
          <w:rFonts w:ascii="宋体" w:hAnsi="宋体" w:hint="eastAsia"/>
          <w:sz w:val="24"/>
        </w:rPr>
        <w:t>随着我国教育水平和人口整体素质不断地提高，消费选择趋于理性化，鉴别和比拟能力也在逐步提高。通过公共媒体进行产品宣传，成为企业营销的一个主要手段。媒体的渗透越来越广泛，但作用有弱化的趋势。随着人们生活水平不断提高，健康成为现代社会的一大消费观念，人们在购置保健品方面的支出必将不断增加，社会对保健产品的需求也会越来越大，盐城人民也是如此，尤其是他们对绿色天然保健品的需求将成为消费的一个重要的增长点。</w:t>
      </w:r>
    </w:p>
    <w:p w:rsidR="00E81574" w:rsidP="00E81574">
      <w:pPr>
        <w:spacing w:before="156" w:beforeLines="50" w:after="156" w:afterLines="50"/>
        <w:rPr>
          <w:rFonts w:ascii="黑体" w:eastAsia="黑体" w:hAnsi="黑体" w:cs="黑体" w:hint="eastAsia"/>
          <w:bCs/>
          <w:sz w:val="24"/>
        </w:rPr>
      </w:pPr>
      <w:bookmarkStart w:id="69" w:name="_Toc436160421"/>
      <w:bookmarkStart w:id="70" w:name="_Toc436170387"/>
      <w:bookmarkStart w:id="71" w:name="_Toc8291"/>
      <w:bookmarkStart w:id="72" w:name="_Toc894"/>
      <w:bookmarkStart w:id="73" w:name="_Toc24870"/>
      <w:bookmarkStart w:id="74" w:name="_Toc22679"/>
      <w:bookmarkStart w:id="75" w:name="_Toc25572"/>
      <w:bookmarkStart w:id="76" w:name="_Toc8416"/>
      <w:r>
        <w:rPr>
          <w:rFonts w:ascii="黑体" w:eastAsia="黑体" w:hAnsi="黑体" w:cs="黑体" w:hint="eastAsia"/>
          <w:bCs/>
          <w:sz w:val="24"/>
        </w:rPr>
        <w:t>〔三〕科技环境</w:t>
      </w:r>
      <w:bookmarkEnd w:id="69"/>
      <w:bookmarkEnd w:id="70"/>
      <w:bookmarkEnd w:id="71"/>
      <w:bookmarkEnd w:id="72"/>
      <w:bookmarkEnd w:id="73"/>
      <w:bookmarkEnd w:id="74"/>
      <w:bookmarkEnd w:id="75"/>
      <w:bookmarkEnd w:id="76"/>
    </w:p>
    <w:p w:rsidR="00E81574" w:rsidP="00E81574">
      <w:pPr>
        <w:spacing w:line="440" w:lineRule="exact"/>
        <w:ind w:firstLine="480" w:firstLineChars="200"/>
        <w:rPr>
          <w:rFonts w:ascii="宋体" w:hAnsi="宋体" w:hint="eastAsia"/>
          <w:sz w:val="24"/>
        </w:rPr>
      </w:pPr>
      <w:r>
        <w:rPr>
          <w:rFonts w:ascii="宋体" w:hAnsi="宋体" w:hint="eastAsia"/>
          <w:sz w:val="24"/>
        </w:rPr>
        <w:t>所有从事保健品生产的企业都应该清醒地认识到，未来保健品竞争的核心必将是科技含量，加强科技投入迫在眉睫。特别是已经有一定经济实力的企业更要重视保健品的应用根底研究，努力提高新产品的科技含量和质量水平，使保健品企业向高新技术企业过渡，科技含量高的产品成为主流。</w:t>
      </w:r>
      <w:r>
        <w:rPr>
          <w:rFonts w:ascii="宋体" w:hAnsi="宋体"/>
          <w:sz w:val="24"/>
        </w:rPr>
        <w:t>2003</w:t>
      </w:r>
      <w:r>
        <w:rPr>
          <w:rFonts w:ascii="宋体" w:hAnsi="宋体" w:hint="eastAsia"/>
          <w:sz w:val="24"/>
        </w:rPr>
        <w:t>年康宝莱公司捐助设立了马克</w:t>
      </w:r>
      <w:r>
        <w:rPr>
          <w:rFonts w:ascii="宋体" w:hAnsi="宋体" w:hint="eastAsia"/>
          <w:sz w:val="24"/>
        </w:rPr>
        <w:t>•</w:t>
      </w:r>
      <w:r>
        <w:rPr>
          <w:rFonts w:ascii="宋体" w:hAnsi="宋体" w:hint="eastAsia"/>
          <w:sz w:val="24"/>
        </w:rPr>
        <w:t>休斯细胞及分子营养实验室，这个实验室将首次可以采用现代细胞及分子技术。而康宝莱的细胞营养技术是通过饱含有完整且均衡营养素的产品促使人体细胞得到全面均衡的营养，从而使人体更健康。</w:t>
      </w:r>
    </w:p>
    <w:p w:rsidR="00E81574" w:rsidP="00E81574">
      <w:pPr>
        <w:spacing w:before="156" w:beforeLines="50" w:after="156" w:afterLines="50"/>
        <w:rPr>
          <w:rFonts w:ascii="黑体" w:eastAsia="黑体" w:hAnsi="黑体" w:cs="黑体" w:hint="eastAsia"/>
          <w:bCs/>
          <w:sz w:val="24"/>
        </w:rPr>
      </w:pPr>
      <w:bookmarkStart w:id="77" w:name="_Toc436160422"/>
      <w:bookmarkStart w:id="78" w:name="_Toc436170388"/>
      <w:bookmarkStart w:id="79" w:name="_Toc26006"/>
      <w:bookmarkStart w:id="80" w:name="_Toc17794"/>
      <w:bookmarkStart w:id="81" w:name="_Toc13652"/>
      <w:bookmarkStart w:id="82" w:name="_Toc13549"/>
      <w:bookmarkStart w:id="83" w:name="_Toc28414"/>
      <w:bookmarkStart w:id="84" w:name="_Toc21453"/>
      <w:r>
        <w:rPr>
          <w:rFonts w:ascii="黑体" w:eastAsia="黑体" w:hAnsi="黑体" w:cs="黑体" w:hint="eastAsia"/>
          <w:bCs/>
          <w:sz w:val="24"/>
        </w:rPr>
        <w:t>〔四〕文化环境</w:t>
      </w:r>
      <w:bookmarkEnd w:id="77"/>
      <w:bookmarkEnd w:id="78"/>
      <w:bookmarkEnd w:id="79"/>
      <w:bookmarkEnd w:id="80"/>
      <w:bookmarkEnd w:id="81"/>
      <w:bookmarkEnd w:id="82"/>
      <w:bookmarkEnd w:id="83"/>
      <w:bookmarkEnd w:id="84"/>
    </w:p>
    <w:p w:rsidR="00E81574" w:rsidP="00E81574">
      <w:pPr>
        <w:spacing w:line="440" w:lineRule="exact"/>
        <w:ind w:firstLine="480" w:firstLineChars="200"/>
        <w:jc w:val="center"/>
        <w:rPr>
          <w:rFonts w:hint="eastAsia"/>
          <w:sz w:val="24"/>
        </w:rPr>
        <w:sectPr w:rsidSect="00E36937">
          <w:type w:val="nextPage"/>
          <w:pgSz w:w="11906" w:h="16838"/>
          <w:pgMar w:top="1332" w:right="1191" w:bottom="1293" w:left="1191" w:header="851" w:footer="992" w:gutter="0"/>
          <w:pgNumType w:start="4"/>
          <w:cols w:space="425"/>
          <w:titlePg w:val="0"/>
          <w:docGrid w:type="lines" w:linePitch="312"/>
        </w:sectPr>
      </w:pPr>
    </w:p>
    <w:p w:rsidR="00E81574" w:rsidP="00E81574">
      <w:pPr>
        <w:spacing w:line="440" w:lineRule="exact"/>
        <w:ind w:firstLine="480" w:firstLineChars="200"/>
        <w:jc w:val="center"/>
        <w:rPr>
          <w:rFonts w:hint="eastAsia"/>
          <w:sz w:val="24"/>
        </w:rPr>
      </w:pPr>
      <w:r>
        <w:rPr>
          <w:rFonts w:hint="eastAsia"/>
          <w:sz w:val="24"/>
        </w:rPr>
        <w:t>人们的生活方式影响了保健品的总需求量和需求结构，因此，保健品生产企业要及时认识到人们生活方式的变化及其规律，并主动迎合这一变化。在西方国家，消费者比拟易于接受瓶瓶罐罐的保健品，而对于传统文化浓郁的中国，中医药的理念根深蒂固，中国的消费者注重养生，乐于通过中药熬煮的方式来调理身体，中国的消费者比拟难以接受保健品的这些瓶瓶罐罐，因此康宝莱需要在这一方面转变消费者的观念。</w:t>
      </w:r>
    </w:p>
    <w:p w:rsidR="00E81574" w:rsidP="00E81574">
      <w:pPr>
        <w:spacing w:before="156" w:beforeLines="50" w:after="156" w:afterLines="50"/>
        <w:rPr>
          <w:rFonts w:ascii="黑体" w:eastAsia="黑体" w:hAnsi="黑体" w:cs="黑体" w:hint="eastAsia"/>
          <w:bCs/>
          <w:sz w:val="24"/>
        </w:rPr>
      </w:pPr>
      <w:bookmarkStart w:id="85" w:name="_Toc436160423"/>
      <w:bookmarkStart w:id="86" w:name="_Toc436170389"/>
      <w:bookmarkStart w:id="87" w:name="_Toc24613"/>
      <w:bookmarkStart w:id="88" w:name="_Toc28689"/>
      <w:bookmarkStart w:id="89" w:name="_Toc27925"/>
      <w:bookmarkStart w:id="90" w:name="_Toc19752"/>
      <w:bookmarkStart w:id="91" w:name="_Toc24034"/>
      <w:bookmarkStart w:id="92" w:name="_Toc8268"/>
      <w:r>
        <w:rPr>
          <w:rFonts w:ascii="黑体" w:eastAsia="黑体" w:hAnsi="黑体" w:cs="黑体" w:hint="eastAsia"/>
          <w:bCs/>
          <w:sz w:val="24"/>
        </w:rPr>
        <w:t>〔五〕法律环境</w:t>
      </w:r>
      <w:bookmarkEnd w:id="85"/>
      <w:bookmarkEnd w:id="86"/>
      <w:bookmarkEnd w:id="87"/>
      <w:bookmarkEnd w:id="88"/>
      <w:bookmarkEnd w:id="89"/>
      <w:bookmarkEnd w:id="90"/>
      <w:bookmarkEnd w:id="91"/>
      <w:bookmarkEnd w:id="92"/>
    </w:p>
    <w:p w:rsidR="00E81574" w:rsidP="00E81574">
      <w:pPr>
        <w:spacing w:line="440" w:lineRule="exact"/>
        <w:ind w:firstLine="480" w:firstLineChars="200"/>
        <w:rPr>
          <w:rFonts w:ascii="宋体" w:hAnsi="宋体" w:hint="eastAsia"/>
          <w:sz w:val="24"/>
        </w:rPr>
      </w:pPr>
      <w:r>
        <w:rPr>
          <w:rFonts w:ascii="宋体" w:hAnsi="宋体" w:hint="eastAsia"/>
          <w:sz w:val="24"/>
        </w:rPr>
        <w:t>在对膳食补充剂成效的宣传和说明方面，国外的法律法规非常严格，同时国内对保健品的管理也日趋标准。在这样的条件下，如何推广保健产品，是一个不容无视的课题。由于人们对食品平安的关注、市场竞争的剧烈以及与国际接轨的需要，保健品企业面临一个不断健全的法制环境。目前食品企业除了要遵守一般企业的通用法律，如《产品质量法》，《不正当竞争法》，《广告法》，《商标法》等以外，还必须遵守《食品卫生法》和保健品行业标准；这些法律及标准的实施与制定既是对保健品企业的强制性要求，给无视产品质量的保健品生产企业带来了严峻挑战，同时也为注重绿色环保、重视产品质量的中小企业的开展提供了很多时机，也必将促进整个保健品行业更标准有序开展。</w:t>
      </w:r>
    </w:p>
    <w:p w:rsidR="00E81574" w:rsidP="00E81574">
      <w:pPr>
        <w:spacing w:before="156" w:beforeLines="50" w:after="156" w:afterLines="50"/>
        <w:rPr>
          <w:rFonts w:ascii="黑体" w:eastAsia="黑体" w:hAnsi="黑体" w:cs="黑体" w:hint="eastAsia"/>
          <w:bCs/>
          <w:sz w:val="24"/>
        </w:rPr>
      </w:pPr>
      <w:bookmarkStart w:id="93" w:name="_Toc436160424"/>
      <w:bookmarkStart w:id="94" w:name="_Toc436170390"/>
      <w:bookmarkStart w:id="95" w:name="_Toc25518"/>
      <w:bookmarkStart w:id="96" w:name="_Toc17089"/>
      <w:bookmarkStart w:id="97" w:name="_Toc12707"/>
      <w:bookmarkStart w:id="98" w:name="_Toc17140"/>
      <w:bookmarkStart w:id="99" w:name="_Toc7056"/>
      <w:bookmarkStart w:id="100" w:name="_Toc13671"/>
      <w:r>
        <w:rPr>
          <w:rFonts w:ascii="黑体" w:eastAsia="黑体" w:hAnsi="黑体" w:cs="黑体" w:hint="eastAsia"/>
          <w:bCs/>
          <w:sz w:val="24"/>
        </w:rPr>
        <w:t>〔六〕盐城人口环境</w:t>
      </w:r>
      <w:bookmarkEnd w:id="93"/>
      <w:bookmarkEnd w:id="94"/>
      <w:bookmarkEnd w:id="95"/>
      <w:bookmarkEnd w:id="96"/>
      <w:bookmarkEnd w:id="97"/>
      <w:bookmarkEnd w:id="98"/>
      <w:bookmarkEnd w:id="99"/>
      <w:bookmarkEnd w:id="100"/>
    </w:p>
    <w:p w:rsidR="00E81574" w:rsidP="00E81574">
      <w:pPr>
        <w:spacing w:line="440" w:lineRule="exact"/>
        <w:ind w:firstLine="480" w:firstLineChars="200"/>
        <w:rPr>
          <w:rFonts w:ascii="宋体" w:hAnsi="宋体" w:hint="eastAsia"/>
          <w:sz w:val="24"/>
        </w:rPr>
      </w:pPr>
      <w:r>
        <w:rPr>
          <w:rFonts w:ascii="宋体" w:hAnsi="宋体" w:hint="eastAsia"/>
          <w:sz w:val="24"/>
        </w:rPr>
        <w:t>第六次全国人口普查数据显示：</w:t>
      </w:r>
      <w:smartTag w:uri="urn:schemas-microsoft-com:office:smarttags" w:element="chsdate">
        <w:smartTagPr>
          <w:attr w:name="Day" w:val="1"/>
          <w:attr w:name="IsLunarDate" w:val="False"/>
          <w:attr w:name="IsROCDate" w:val="False"/>
          <w:attr w:name="Month" w:val="11"/>
          <w:attr w:name="Year" w:val="2010"/>
        </w:smartTagPr>
        <w:r>
          <w:rPr>
            <w:rFonts w:ascii="宋体" w:hAnsi="宋体" w:hint="eastAsia"/>
            <w:sz w:val="24"/>
          </w:rPr>
          <w:t>2010年11月1日</w:t>
        </w:r>
      </w:smartTag>
      <w:r>
        <w:rPr>
          <w:rFonts w:ascii="宋体" w:hAnsi="宋体" w:hint="eastAsia"/>
          <w:sz w:val="24"/>
        </w:rPr>
        <w:t>零时盐城户籍人口〔含户口待定人口〕为8203728人，其中，盐城年龄分布比例如下：0～14岁人口占14.35%；15～64岁人口占73.68%；65岁及以上人口为占11.97%。其实从2023年初，国家计生部门就在研究允许夫妻一方是独生子女的家庭生二胎问题，2023年，</w:t>
      </w:r>
      <w:r>
        <w:rPr>
          <w:rFonts w:ascii="宋体" w:hAnsi="宋体" w:hint="eastAsia"/>
          <w:sz w:val="24"/>
        </w:rPr>
        <w:t>“</w:t>
      </w:r>
      <w:r>
        <w:rPr>
          <w:rFonts w:ascii="宋体" w:hAnsi="宋体" w:hint="eastAsia"/>
          <w:sz w:val="24"/>
        </w:rPr>
        <w:t>准生二胎〞政策已经全面落实。</w:t>
      </w:r>
    </w:p>
    <w:p w:rsidR="00E81574" w:rsidP="00E81574">
      <w:pPr>
        <w:spacing w:line="440" w:lineRule="exact"/>
        <w:ind w:firstLine="480" w:firstLineChars="200"/>
        <w:rPr>
          <w:rFonts w:ascii="宋体" w:hAnsi="宋体" w:hint="eastAsia"/>
          <w:sz w:val="24"/>
        </w:rPr>
      </w:pPr>
      <w:r>
        <w:rPr>
          <w:rFonts w:ascii="宋体" w:hAnsi="宋体" w:hint="eastAsia"/>
          <w:sz w:val="24"/>
        </w:rPr>
        <w:t>老年人需要强身健体，相比而言，我们处于一个压力山大的社会，生活上的压力、家庭的压力、工作的压力使我们踹不过气来，身体多多少少处于亚健康状态，如何让身体处于健康水平，是我们要解决的问题。</w:t>
      </w:r>
    </w:p>
    <w:p w:rsidR="00E81574" w:rsidP="00E81574">
      <w:pPr>
        <w:spacing w:line="440" w:lineRule="exact"/>
        <w:ind w:firstLine="3120" w:firstLineChars="1300"/>
        <w:rPr>
          <w:rFonts w:ascii="宋体" w:hAnsi="宋体" w:hint="eastAsia"/>
          <w:sz w:val="24"/>
        </w:rPr>
      </w:pPr>
      <w:r>
        <w:rPr>
          <w:rFonts w:ascii="宋体" w:hAnsi="宋体" w:hint="eastAsia"/>
          <w:sz w:val="24"/>
        </w:rPr>
        <w:t xml:space="preserve"> 保健品功能分类图</w:t>
      </w:r>
    </w:p>
    <w:p w:rsidR="00E81574" w:rsidP="00E81574">
      <w:pPr>
        <w:widowControl/>
        <w:spacing w:line="440" w:lineRule="exact"/>
        <w:ind w:firstLine="480" w:firstLineChars="200"/>
        <w:jc w:val="left"/>
        <w:rPr>
          <w:rFonts w:ascii="宋体" w:hAnsi="宋体" w:cs="宋体" w:hint="eastAsia"/>
          <w:kern w:val="0"/>
          <w:sz w:val="24"/>
        </w:rPr>
      </w:pPr>
      <w:r>
        <w:rPr>
          <w:rFonts w:ascii="宋体" w:hAnsi="宋体" w:cs="宋体" w:hint="eastAsia"/>
          <w:kern w:val="0"/>
          <w:sz w:val="24"/>
        </w:rPr>
        <w:t>从此表中可以看出，除了增强免疫力，缓解体力疲劳，降血脂等主要保健功能占了63%，还有37%其他功能的可成长空间。康宝莱主打健康减肥，迎合时代潮流，未来可开展潜力十分巨大。</w:t>
      </w:r>
    </w:p>
    <w:p w:rsidR="00E81574" w:rsidP="00E81574">
      <w:pPr>
        <w:spacing w:before="312" w:beforeLines="100" w:after="312" w:afterLines="100"/>
        <w:outlineLvl w:val="0"/>
        <w:rPr>
          <w:rFonts w:ascii="黑体" w:eastAsia="黑体" w:hint="eastAsia"/>
          <w:sz w:val="28"/>
          <w:szCs w:val="28"/>
        </w:rPr>
      </w:pPr>
      <w:bookmarkStart w:id="101" w:name="_Toc436160425"/>
      <w:bookmarkStart w:id="102" w:name="_Toc436170391"/>
      <w:bookmarkStart w:id="103" w:name="_Toc19041"/>
      <w:bookmarkStart w:id="104" w:name="_Toc9991"/>
      <w:bookmarkStart w:id="105" w:name="_Toc18039"/>
      <w:bookmarkStart w:id="106" w:name="_Toc5002"/>
      <w:bookmarkStart w:id="107" w:name="_Toc21159"/>
      <w:bookmarkStart w:id="108" w:name="_Toc18173"/>
      <w:bookmarkStart w:id="109" w:name="_Toc8610"/>
      <w:r>
        <w:rPr>
          <w:rFonts w:ascii="黑体" w:eastAsia="黑体" w:hint="eastAsia"/>
          <w:sz w:val="28"/>
          <w:szCs w:val="28"/>
        </w:rPr>
        <w:t>八、</w:t>
      </w:r>
      <w:bookmarkEnd w:id="101"/>
      <w:bookmarkEnd w:id="102"/>
      <w:bookmarkEnd w:id="103"/>
      <w:bookmarkEnd w:id="104"/>
      <w:bookmarkEnd w:id="105"/>
      <w:bookmarkEnd w:id="106"/>
      <w:r>
        <w:rPr>
          <w:rFonts w:ascii="黑体" w:eastAsia="黑体" w:hint="eastAsia"/>
          <w:sz w:val="28"/>
          <w:szCs w:val="28"/>
        </w:rPr>
        <w:t>康宝莱所处行业结构分析</w:t>
      </w:r>
      <w:bookmarkEnd w:id="107"/>
      <w:bookmarkEnd w:id="108"/>
      <w:bookmarkEnd w:id="109"/>
    </w:p>
    <w:p w:rsidR="00E81574" w:rsidP="00E81574">
      <w:pPr>
        <w:spacing w:before="156" w:beforeLines="50" w:after="156" w:afterLines="50"/>
        <w:outlineLvl w:val="1"/>
        <w:rPr>
          <w:rFonts w:ascii="黑体" w:eastAsia="黑体" w:hAnsi="黑体" w:cs="黑体" w:hint="eastAsia"/>
          <w:sz w:val="24"/>
        </w:rPr>
      </w:pPr>
      <w:bookmarkStart w:id="110" w:name="_Toc28526"/>
      <w:bookmarkStart w:id="111" w:name="_Toc7545"/>
      <w:bookmarkStart w:id="112" w:name="_Toc23692"/>
      <w:r>
        <w:rPr>
          <w:rFonts w:ascii="黑体" w:eastAsia="黑体" w:hAnsi="黑体" w:cs="黑体" w:hint="eastAsia"/>
          <w:sz w:val="24"/>
        </w:rPr>
        <w:t>〔一〕现有企业间的竞争强度</w:t>
      </w:r>
      <w:bookmarkEnd w:id="110"/>
      <w:bookmarkEnd w:id="111"/>
      <w:bookmarkEnd w:id="112"/>
    </w:p>
    <w:p w:rsidR="00E81574" w:rsidP="00E81574">
      <w:pPr>
        <w:spacing w:line="440" w:lineRule="exact"/>
        <w:ind w:firstLine="480" w:firstLineChars="200"/>
        <w:outlineLvl w:val="1"/>
        <w:rPr>
          <w:rFonts w:hint="eastAsia"/>
          <w:sz w:val="24"/>
        </w:rPr>
        <w:sectPr w:rsidSect="00E36937">
          <w:type w:val="nextPage"/>
          <w:pgSz w:w="11906" w:h="16838"/>
          <w:pgMar w:top="1332" w:right="1191" w:bottom="1293" w:left="1191" w:header="851" w:footer="992" w:gutter="0"/>
          <w:pgNumType w:start="5"/>
          <w:cols w:space="425"/>
          <w:titlePg w:val="0"/>
          <w:docGrid w:type="lines" w:linePitch="312"/>
        </w:sectPr>
      </w:pPr>
      <w:bookmarkStart w:id="113" w:name="_Toc23464"/>
      <w:bookmarkStart w:id="114" w:name="_Toc16000"/>
      <w:bookmarkStart w:id="115" w:name="_Toc12532"/>
      <w:bookmarkStart w:id="116" w:name="_Toc7262"/>
      <w:r>
        <w:rPr>
          <w:rFonts w:hint="eastAsia"/>
          <w:sz w:val="24"/>
        </w:rPr>
        <w:t>企业间的竞争就是一个行业内部企业的直接对抗，在大多数行业内，各企业都是相互依存的，对于每一个企业的竞争行动，其他竞争者都会预期到它对自己的影响，从而采取相应的对策。</w:t>
      </w:r>
      <w:bookmarkEnd w:id="113"/>
      <w:bookmarkEnd w:id="114"/>
      <w:bookmarkEnd w:id="115"/>
      <w:bookmarkEnd w:id="116"/>
    </w:p>
    <w:p w:rsidR="00E81574" w:rsidP="00E81574">
      <w:pPr>
        <w:spacing w:before="156" w:beforeLines="50" w:after="156" w:afterLines="50"/>
        <w:outlineLvl w:val="1"/>
        <w:rPr>
          <w:rFonts w:hint="eastAsia"/>
          <w:sz w:val="24"/>
        </w:rPr>
      </w:pPr>
      <w:bookmarkStart w:id="117" w:name="_Toc30008"/>
      <w:bookmarkStart w:id="118" w:name="_Toc23396"/>
      <w:bookmarkStart w:id="119" w:name="_Toc12137"/>
      <w:bookmarkStart w:id="120" w:name="_Toc22572"/>
      <w:r>
        <w:rPr>
          <w:rFonts w:hint="eastAsia"/>
          <w:sz w:val="24"/>
        </w:rPr>
        <w:t>保健养生品行业竞争状况表</w:t>
      </w:r>
      <w:bookmarkEnd w:id="117"/>
      <w:bookmarkEnd w:id="118"/>
      <w:bookmarkEnd w:id="119"/>
      <w:bookmarkEnd w:id="120"/>
    </w:p>
    <w:tbl>
      <w:tblPr>
        <w:tblStyle w:val="TableGrid0"/>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86"/>
        <w:gridCol w:w="1286"/>
        <w:gridCol w:w="1286"/>
        <w:gridCol w:w="1286"/>
        <w:gridCol w:w="1286"/>
        <w:gridCol w:w="1286"/>
        <w:gridCol w:w="1287"/>
      </w:tblGrid>
      <w:tr w:rsidTr="00DC7F3E">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21" w:name="_Toc23551"/>
            <w:bookmarkStart w:id="122" w:name="_Toc31867"/>
            <w:bookmarkStart w:id="123" w:name="_Toc9582"/>
            <w:bookmarkStart w:id="124" w:name="_Toc3107"/>
            <w:r>
              <w:rPr>
                <w:rFonts w:ascii="宋体" w:eastAsia="宋体" w:hAnsi="宋体" w:cs="宋体" w:hint="eastAsia"/>
                <w:kern w:val="2"/>
                <w:sz w:val="24"/>
                <w:szCs w:val="24"/>
                <w:lang w:val="en-US" w:eastAsia="zh-CN" w:bidi="ar-SA"/>
              </w:rPr>
              <w:t>品牌</w:t>
            </w:r>
            <w:bookmarkEnd w:id="121"/>
            <w:bookmarkEnd w:id="122"/>
            <w:bookmarkEnd w:id="123"/>
            <w:bookmarkEnd w:id="124"/>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25" w:name="_Toc25270"/>
            <w:bookmarkStart w:id="126" w:name="_Toc2787"/>
            <w:bookmarkStart w:id="127" w:name="_Toc11169"/>
            <w:bookmarkStart w:id="128" w:name="_Toc28294"/>
            <w:r>
              <w:rPr>
                <w:rFonts w:ascii="宋体" w:eastAsia="宋体" w:hAnsi="宋体" w:cs="宋体" w:hint="eastAsia"/>
                <w:kern w:val="2"/>
                <w:sz w:val="24"/>
                <w:szCs w:val="24"/>
                <w:lang w:val="en-US" w:eastAsia="zh-CN" w:bidi="ar-SA"/>
              </w:rPr>
              <w:t>2023年业绩〔亿元〕</w:t>
            </w:r>
            <w:bookmarkEnd w:id="125"/>
            <w:bookmarkEnd w:id="126"/>
            <w:bookmarkEnd w:id="127"/>
            <w:bookmarkEnd w:id="128"/>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29" w:name="_Toc23837"/>
            <w:bookmarkStart w:id="130" w:name="_Toc16344"/>
            <w:bookmarkStart w:id="131" w:name="_Toc22332"/>
            <w:bookmarkStart w:id="132" w:name="_Toc28466"/>
            <w:r>
              <w:rPr>
                <w:rFonts w:ascii="宋体" w:eastAsia="宋体" w:hAnsi="宋体" w:cs="宋体" w:hint="eastAsia"/>
                <w:kern w:val="2"/>
                <w:sz w:val="24"/>
                <w:szCs w:val="24"/>
                <w:lang w:val="en-US" w:eastAsia="zh-CN" w:bidi="ar-SA"/>
              </w:rPr>
              <w:t>2023年业绩〔亿元〕</w:t>
            </w:r>
            <w:bookmarkEnd w:id="129"/>
            <w:bookmarkEnd w:id="130"/>
            <w:bookmarkEnd w:id="131"/>
            <w:bookmarkEnd w:id="132"/>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33" w:name="_Toc17205"/>
            <w:bookmarkStart w:id="134" w:name="_Toc23743"/>
            <w:bookmarkStart w:id="135" w:name="_Toc29660"/>
            <w:bookmarkStart w:id="136" w:name="_Toc19871"/>
            <w:r>
              <w:rPr>
                <w:rFonts w:ascii="宋体" w:eastAsia="宋体" w:hAnsi="宋体" w:cs="宋体" w:hint="eastAsia"/>
                <w:kern w:val="2"/>
                <w:sz w:val="24"/>
                <w:szCs w:val="24"/>
                <w:lang w:val="en-US" w:eastAsia="zh-CN" w:bidi="ar-SA"/>
              </w:rPr>
              <w:t>营销模式</w:t>
            </w:r>
            <w:bookmarkEnd w:id="133"/>
            <w:bookmarkEnd w:id="134"/>
            <w:bookmarkEnd w:id="135"/>
            <w:bookmarkEnd w:id="136"/>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37" w:name="_Toc20019"/>
            <w:bookmarkStart w:id="138" w:name="_Toc12330"/>
            <w:bookmarkStart w:id="139" w:name="_Toc6375"/>
            <w:bookmarkStart w:id="140" w:name="_Toc18744"/>
            <w:r>
              <w:rPr>
                <w:rFonts w:ascii="宋体" w:eastAsia="宋体" w:hAnsi="宋体" w:cs="宋体" w:hint="eastAsia"/>
                <w:kern w:val="2"/>
                <w:sz w:val="24"/>
                <w:szCs w:val="24"/>
                <w:lang w:val="en-US" w:eastAsia="zh-CN" w:bidi="ar-SA"/>
              </w:rPr>
              <w:t>市场规模</w:t>
            </w:r>
            <w:bookmarkEnd w:id="137"/>
            <w:bookmarkEnd w:id="138"/>
            <w:bookmarkEnd w:id="139"/>
            <w:bookmarkEnd w:id="140"/>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41" w:name="_Toc32212"/>
            <w:bookmarkStart w:id="142" w:name="_Toc29954"/>
            <w:bookmarkStart w:id="143" w:name="_Toc6832"/>
            <w:bookmarkStart w:id="144" w:name="_Toc10559"/>
            <w:r>
              <w:rPr>
                <w:rFonts w:ascii="宋体" w:eastAsia="宋体" w:hAnsi="宋体" w:cs="宋体" w:hint="eastAsia"/>
                <w:kern w:val="2"/>
                <w:sz w:val="24"/>
                <w:szCs w:val="24"/>
                <w:lang w:val="en-US" w:eastAsia="zh-CN" w:bidi="ar-SA"/>
              </w:rPr>
              <w:t>市场定位</w:t>
            </w:r>
            <w:bookmarkEnd w:id="141"/>
            <w:bookmarkEnd w:id="142"/>
            <w:bookmarkEnd w:id="143"/>
            <w:bookmarkEnd w:id="144"/>
          </w:p>
        </w:tc>
        <w:tc>
          <w:tcPr>
            <w:tcW w:w="1287"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45" w:name="_Toc9171"/>
            <w:bookmarkStart w:id="146" w:name="_Toc11420"/>
            <w:bookmarkStart w:id="147" w:name="_Toc23942"/>
            <w:bookmarkStart w:id="148" w:name="_Toc2659"/>
            <w:r>
              <w:rPr>
                <w:rFonts w:ascii="宋体" w:eastAsia="宋体" w:hAnsi="宋体" w:cs="宋体" w:hint="eastAsia"/>
                <w:kern w:val="2"/>
                <w:sz w:val="24"/>
                <w:szCs w:val="24"/>
                <w:lang w:val="en-US" w:eastAsia="zh-CN" w:bidi="ar-SA"/>
              </w:rPr>
              <w:t>获批产品</w:t>
            </w:r>
            <w:bookmarkEnd w:id="145"/>
            <w:bookmarkEnd w:id="146"/>
            <w:bookmarkEnd w:id="147"/>
            <w:bookmarkEnd w:id="148"/>
          </w:p>
        </w:tc>
      </w:tr>
      <w:tr w:rsidTr="00DC7F3E">
        <w:tblPrEx>
          <w:tblW w:w="0" w:type="auto"/>
          <w:tblInd w:w="0" w:type="dxa"/>
          <w:tblLayout w:type="fixed"/>
          <w:tblCellMar>
            <w:top w:w="0" w:type="dxa"/>
            <w:left w:w="108" w:type="dxa"/>
            <w:bottom w:w="0" w:type="dxa"/>
            <w:right w:w="108" w:type="dxa"/>
          </w:tblCellMar>
          <w:tblLook w:val="0000"/>
        </w:tblPrEx>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49" w:name="_Toc24351"/>
            <w:bookmarkStart w:id="150" w:name="_Toc26905"/>
            <w:bookmarkStart w:id="151" w:name="_Toc11167"/>
            <w:bookmarkStart w:id="152" w:name="_Toc13886"/>
            <w:r>
              <w:rPr>
                <w:rFonts w:ascii="宋体" w:eastAsia="宋体" w:hAnsi="宋体" w:cs="宋体" w:hint="eastAsia"/>
                <w:kern w:val="2"/>
                <w:sz w:val="24"/>
                <w:szCs w:val="24"/>
                <w:lang w:val="en-US" w:eastAsia="zh-CN" w:bidi="ar-SA"/>
              </w:rPr>
              <w:t>安利</w:t>
            </w:r>
            <w:bookmarkEnd w:id="149"/>
            <w:bookmarkEnd w:id="150"/>
            <w:bookmarkEnd w:id="151"/>
            <w:bookmarkEnd w:id="152"/>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53" w:name="_Toc401"/>
            <w:bookmarkStart w:id="154" w:name="_Toc26801"/>
            <w:bookmarkStart w:id="155" w:name="_Toc28663"/>
            <w:bookmarkStart w:id="156" w:name="_Toc3076"/>
            <w:r>
              <w:rPr>
                <w:rFonts w:ascii="宋体" w:eastAsia="宋体" w:hAnsi="宋体" w:cs="宋体" w:hint="eastAsia"/>
                <w:kern w:val="2"/>
                <w:sz w:val="24"/>
                <w:szCs w:val="24"/>
                <w:lang w:val="en-US" w:eastAsia="zh-CN" w:bidi="ar-SA"/>
              </w:rPr>
              <w:t>267</w:t>
            </w:r>
            <w:bookmarkEnd w:id="153"/>
            <w:bookmarkEnd w:id="154"/>
            <w:bookmarkEnd w:id="155"/>
            <w:bookmarkEnd w:id="156"/>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57" w:name="_Toc18607"/>
            <w:bookmarkStart w:id="158" w:name="_Toc28140"/>
            <w:bookmarkStart w:id="159" w:name="_Toc32694"/>
            <w:bookmarkStart w:id="160" w:name="_Toc26907"/>
            <w:r>
              <w:rPr>
                <w:rFonts w:ascii="宋体" w:eastAsia="宋体" w:hAnsi="宋体" w:cs="宋体" w:hint="eastAsia"/>
                <w:kern w:val="2"/>
                <w:sz w:val="24"/>
                <w:szCs w:val="24"/>
                <w:lang w:val="en-US" w:eastAsia="zh-CN" w:bidi="ar-SA"/>
              </w:rPr>
              <w:t>270</w:t>
            </w:r>
            <w:bookmarkEnd w:id="157"/>
            <w:bookmarkEnd w:id="158"/>
            <w:bookmarkEnd w:id="159"/>
            <w:bookmarkEnd w:id="160"/>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61" w:name="_Toc9641"/>
            <w:bookmarkStart w:id="162" w:name="_Toc10403"/>
            <w:bookmarkStart w:id="163" w:name="_Toc16400"/>
            <w:bookmarkStart w:id="164" w:name="_Toc14157"/>
            <w:r>
              <w:rPr>
                <w:rFonts w:ascii="宋体" w:eastAsia="宋体" w:hAnsi="宋体" w:cs="宋体" w:hint="eastAsia"/>
                <w:kern w:val="2"/>
                <w:sz w:val="24"/>
                <w:szCs w:val="24"/>
                <w:lang w:val="en-US" w:eastAsia="zh-CN" w:bidi="ar-SA"/>
              </w:rPr>
              <w:t>直销</w:t>
            </w:r>
            <w:bookmarkEnd w:id="161"/>
            <w:bookmarkEnd w:id="162"/>
            <w:bookmarkEnd w:id="163"/>
            <w:bookmarkEnd w:id="164"/>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65" w:name="_Toc32427"/>
            <w:bookmarkStart w:id="166" w:name="_Toc22007"/>
            <w:bookmarkStart w:id="167" w:name="_Toc24176"/>
            <w:bookmarkStart w:id="168" w:name="_Toc23108"/>
            <w:r>
              <w:rPr>
                <w:rFonts w:ascii="宋体" w:eastAsia="宋体" w:hAnsi="宋体" w:cs="宋体" w:hint="eastAsia"/>
                <w:kern w:val="2"/>
                <w:sz w:val="24"/>
                <w:szCs w:val="24"/>
                <w:lang w:val="en-US" w:eastAsia="zh-CN" w:bidi="ar-SA"/>
              </w:rPr>
              <w:t>290余家直营店</w:t>
            </w:r>
            <w:bookmarkEnd w:id="165"/>
            <w:bookmarkEnd w:id="166"/>
            <w:bookmarkEnd w:id="167"/>
            <w:bookmarkEnd w:id="168"/>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69" w:name="_Toc20226"/>
            <w:bookmarkStart w:id="170" w:name="_Toc16254"/>
            <w:bookmarkStart w:id="171" w:name="_Toc6774"/>
            <w:bookmarkStart w:id="172" w:name="_Toc20203"/>
            <w:r>
              <w:rPr>
                <w:rFonts w:ascii="宋体" w:eastAsia="宋体" w:hAnsi="宋体" w:cs="宋体" w:hint="eastAsia"/>
                <w:kern w:val="2"/>
                <w:sz w:val="24"/>
                <w:szCs w:val="24"/>
                <w:lang w:val="en-US" w:eastAsia="zh-CN" w:bidi="ar-SA"/>
              </w:rPr>
              <w:t>日用保健</w:t>
            </w:r>
            <w:bookmarkEnd w:id="169"/>
            <w:bookmarkEnd w:id="170"/>
            <w:bookmarkEnd w:id="171"/>
            <w:bookmarkEnd w:id="172"/>
          </w:p>
        </w:tc>
        <w:tc>
          <w:tcPr>
            <w:tcW w:w="1287"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73" w:name="_Toc2648"/>
            <w:bookmarkStart w:id="174" w:name="_Toc20626"/>
            <w:bookmarkStart w:id="175" w:name="_Toc16550"/>
            <w:bookmarkStart w:id="176" w:name="_Toc1473"/>
            <w:r>
              <w:rPr>
                <w:rFonts w:ascii="宋体" w:eastAsia="宋体" w:hAnsi="宋体" w:cs="宋体" w:hint="eastAsia"/>
                <w:kern w:val="2"/>
                <w:sz w:val="24"/>
                <w:szCs w:val="24"/>
                <w:lang w:val="en-US" w:eastAsia="zh-CN" w:bidi="ar-SA"/>
              </w:rPr>
              <w:t>5类319种</w:t>
            </w:r>
            <w:bookmarkEnd w:id="173"/>
            <w:bookmarkEnd w:id="174"/>
            <w:bookmarkEnd w:id="175"/>
            <w:bookmarkEnd w:id="176"/>
          </w:p>
        </w:tc>
      </w:tr>
      <w:tr w:rsidTr="00DC7F3E">
        <w:tblPrEx>
          <w:tblW w:w="0" w:type="auto"/>
          <w:tblInd w:w="0" w:type="dxa"/>
          <w:tblLayout w:type="fixed"/>
          <w:tblCellMar>
            <w:top w:w="0" w:type="dxa"/>
            <w:left w:w="108" w:type="dxa"/>
            <w:bottom w:w="0" w:type="dxa"/>
            <w:right w:w="108" w:type="dxa"/>
          </w:tblCellMar>
          <w:tblLook w:val="0000"/>
        </w:tblPrEx>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77" w:name="_Toc22522"/>
            <w:bookmarkStart w:id="178" w:name="_Toc3536"/>
            <w:bookmarkStart w:id="179" w:name="_Toc8251"/>
            <w:bookmarkStart w:id="180" w:name="_Toc23183"/>
            <w:r>
              <w:rPr>
                <w:rFonts w:ascii="宋体" w:eastAsia="宋体" w:hAnsi="宋体" w:cs="宋体" w:hint="eastAsia"/>
                <w:kern w:val="2"/>
                <w:sz w:val="24"/>
                <w:szCs w:val="24"/>
                <w:lang w:val="en-US" w:eastAsia="zh-CN" w:bidi="ar-SA"/>
              </w:rPr>
              <w:t>完美</w:t>
            </w:r>
            <w:bookmarkEnd w:id="177"/>
            <w:bookmarkEnd w:id="178"/>
            <w:bookmarkEnd w:id="179"/>
            <w:bookmarkEnd w:id="180"/>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81" w:name="_Toc8727"/>
            <w:bookmarkStart w:id="182" w:name="_Toc14425"/>
            <w:bookmarkStart w:id="183" w:name="_Toc10301"/>
            <w:bookmarkStart w:id="184" w:name="_Toc2339"/>
            <w:r>
              <w:rPr>
                <w:rFonts w:ascii="宋体" w:eastAsia="宋体" w:hAnsi="宋体" w:cs="宋体" w:hint="eastAsia"/>
                <w:kern w:val="2"/>
                <w:sz w:val="24"/>
                <w:szCs w:val="24"/>
                <w:lang w:val="en-US" w:eastAsia="zh-CN" w:bidi="ar-SA"/>
              </w:rPr>
              <w:t>118</w:t>
            </w:r>
            <w:bookmarkEnd w:id="181"/>
            <w:bookmarkEnd w:id="182"/>
            <w:bookmarkEnd w:id="183"/>
            <w:bookmarkEnd w:id="184"/>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85" w:name="_Toc21729"/>
            <w:bookmarkStart w:id="186" w:name="_Toc14048"/>
            <w:bookmarkStart w:id="187" w:name="_Toc1129"/>
            <w:bookmarkStart w:id="188" w:name="_Toc27555"/>
            <w:r>
              <w:rPr>
                <w:rFonts w:ascii="宋体" w:eastAsia="宋体" w:hAnsi="宋体" w:cs="宋体" w:hint="eastAsia"/>
                <w:kern w:val="2"/>
                <w:sz w:val="24"/>
                <w:szCs w:val="24"/>
                <w:lang w:val="en-US" w:eastAsia="zh-CN" w:bidi="ar-SA"/>
              </w:rPr>
              <w:t>135</w:t>
            </w:r>
            <w:bookmarkEnd w:id="185"/>
            <w:bookmarkEnd w:id="186"/>
            <w:bookmarkEnd w:id="187"/>
            <w:bookmarkEnd w:id="188"/>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89" w:name="_Toc19087"/>
            <w:bookmarkStart w:id="190" w:name="_Toc4628"/>
            <w:bookmarkStart w:id="191" w:name="_Toc6653"/>
            <w:bookmarkStart w:id="192" w:name="_Toc23002"/>
            <w:r>
              <w:rPr>
                <w:rFonts w:ascii="宋体" w:eastAsia="宋体" w:hAnsi="宋体" w:cs="宋体" w:hint="eastAsia"/>
                <w:kern w:val="2"/>
                <w:sz w:val="24"/>
                <w:szCs w:val="24"/>
                <w:lang w:val="en-US" w:eastAsia="zh-CN" w:bidi="ar-SA"/>
              </w:rPr>
              <w:t>直销</w:t>
            </w:r>
            <w:bookmarkEnd w:id="189"/>
            <w:bookmarkEnd w:id="190"/>
            <w:bookmarkEnd w:id="191"/>
            <w:bookmarkEnd w:id="192"/>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93" w:name="_Toc15124"/>
            <w:bookmarkStart w:id="194" w:name="_Toc18576"/>
            <w:bookmarkStart w:id="195" w:name="_Toc1764"/>
            <w:bookmarkStart w:id="196" w:name="_Toc27838"/>
            <w:r>
              <w:rPr>
                <w:rFonts w:ascii="宋体" w:eastAsia="宋体" w:hAnsi="宋体" w:cs="宋体" w:hint="eastAsia"/>
                <w:kern w:val="2"/>
                <w:sz w:val="24"/>
                <w:szCs w:val="24"/>
                <w:lang w:val="en-US" w:eastAsia="zh-CN" w:bidi="ar-SA"/>
              </w:rPr>
              <w:t>33家分支机构、7家办事处、7000余家效劳网点和授权专卖店</w:t>
            </w:r>
            <w:bookmarkEnd w:id="193"/>
            <w:bookmarkEnd w:id="194"/>
            <w:bookmarkEnd w:id="195"/>
            <w:bookmarkEnd w:id="196"/>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197" w:name="_Toc16841"/>
            <w:bookmarkStart w:id="198" w:name="_Toc10117"/>
            <w:bookmarkStart w:id="199" w:name="_Toc29564"/>
            <w:bookmarkStart w:id="200" w:name="_Toc32619"/>
            <w:r>
              <w:rPr>
                <w:rFonts w:ascii="宋体" w:eastAsia="宋体" w:hAnsi="宋体" w:cs="宋体" w:hint="eastAsia"/>
                <w:kern w:val="2"/>
                <w:sz w:val="24"/>
                <w:szCs w:val="24"/>
                <w:lang w:val="en-US" w:eastAsia="zh-CN" w:bidi="ar-SA"/>
              </w:rPr>
              <w:t>保健日用</w:t>
            </w:r>
            <w:bookmarkEnd w:id="197"/>
            <w:bookmarkEnd w:id="198"/>
            <w:bookmarkEnd w:id="199"/>
            <w:bookmarkEnd w:id="200"/>
          </w:p>
        </w:tc>
        <w:tc>
          <w:tcPr>
            <w:tcW w:w="1287"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01" w:name="_Toc32269"/>
            <w:bookmarkStart w:id="202" w:name="_Toc13141"/>
            <w:bookmarkStart w:id="203" w:name="_Toc8000"/>
            <w:bookmarkStart w:id="204" w:name="_Toc31118"/>
            <w:r>
              <w:rPr>
                <w:rFonts w:ascii="宋体" w:eastAsia="宋体" w:hAnsi="宋体" w:cs="宋体" w:hint="eastAsia"/>
                <w:kern w:val="2"/>
                <w:sz w:val="24"/>
                <w:szCs w:val="24"/>
                <w:lang w:val="en-US" w:eastAsia="zh-CN" w:bidi="ar-SA"/>
              </w:rPr>
              <w:t>2类71种</w:t>
            </w:r>
            <w:bookmarkEnd w:id="201"/>
            <w:bookmarkEnd w:id="202"/>
            <w:bookmarkEnd w:id="203"/>
            <w:bookmarkEnd w:id="204"/>
          </w:p>
        </w:tc>
      </w:tr>
      <w:tr w:rsidTr="00DC7F3E">
        <w:tblPrEx>
          <w:tblW w:w="0" w:type="auto"/>
          <w:tblInd w:w="0" w:type="dxa"/>
          <w:tblLayout w:type="fixed"/>
          <w:tblCellMar>
            <w:top w:w="0" w:type="dxa"/>
            <w:left w:w="108" w:type="dxa"/>
            <w:bottom w:w="0" w:type="dxa"/>
            <w:right w:w="108" w:type="dxa"/>
          </w:tblCellMar>
          <w:tblLook w:val="0000"/>
        </w:tblPrEx>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05" w:name="_Toc3209"/>
            <w:bookmarkStart w:id="206" w:name="_Toc17931"/>
            <w:bookmarkStart w:id="207" w:name="_Toc25855"/>
            <w:bookmarkStart w:id="208" w:name="_Toc30741"/>
            <w:r>
              <w:rPr>
                <w:rFonts w:ascii="宋体" w:eastAsia="宋体" w:hAnsi="宋体" w:cs="宋体" w:hint="eastAsia"/>
                <w:kern w:val="2"/>
                <w:sz w:val="24"/>
                <w:szCs w:val="24"/>
                <w:lang w:val="en-US" w:eastAsia="zh-CN" w:bidi="ar-SA"/>
              </w:rPr>
              <w:t>无限极</w:t>
            </w:r>
            <w:bookmarkEnd w:id="205"/>
            <w:bookmarkEnd w:id="206"/>
            <w:bookmarkEnd w:id="207"/>
            <w:bookmarkEnd w:id="208"/>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09" w:name="_Toc14828"/>
            <w:bookmarkStart w:id="210" w:name="_Toc6889"/>
            <w:bookmarkStart w:id="211" w:name="_Toc8074"/>
            <w:bookmarkStart w:id="212" w:name="_Toc25580"/>
            <w:r>
              <w:rPr>
                <w:rFonts w:ascii="宋体" w:eastAsia="宋体" w:hAnsi="宋体" w:cs="宋体" w:hint="eastAsia"/>
                <w:kern w:val="2"/>
                <w:sz w:val="24"/>
                <w:szCs w:val="24"/>
                <w:lang w:val="en-US" w:eastAsia="zh-CN" w:bidi="ar-SA"/>
              </w:rPr>
              <w:t>85</w:t>
            </w:r>
            <w:bookmarkEnd w:id="209"/>
            <w:bookmarkEnd w:id="210"/>
            <w:bookmarkEnd w:id="211"/>
            <w:bookmarkEnd w:id="212"/>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13" w:name="_Toc32563"/>
            <w:bookmarkStart w:id="214" w:name="_Toc9980"/>
            <w:bookmarkStart w:id="215" w:name="_Toc22463"/>
            <w:bookmarkStart w:id="216" w:name="_Toc26183"/>
            <w:r>
              <w:rPr>
                <w:rFonts w:ascii="宋体" w:eastAsia="宋体" w:hAnsi="宋体" w:cs="宋体" w:hint="eastAsia"/>
                <w:kern w:val="2"/>
                <w:sz w:val="24"/>
                <w:szCs w:val="24"/>
                <w:lang w:val="en-US" w:eastAsia="zh-CN" w:bidi="ar-SA"/>
              </w:rPr>
              <w:t>105</w:t>
            </w:r>
            <w:bookmarkEnd w:id="213"/>
            <w:bookmarkEnd w:id="214"/>
            <w:bookmarkEnd w:id="215"/>
            <w:bookmarkEnd w:id="216"/>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17" w:name="_Toc32573"/>
            <w:bookmarkStart w:id="218" w:name="_Toc3498"/>
            <w:bookmarkStart w:id="219" w:name="_Toc5651"/>
            <w:bookmarkStart w:id="220" w:name="_Toc12655"/>
            <w:r>
              <w:rPr>
                <w:rFonts w:ascii="宋体" w:eastAsia="宋体" w:hAnsi="宋体" w:cs="宋体" w:hint="eastAsia"/>
                <w:kern w:val="2"/>
                <w:sz w:val="24"/>
                <w:szCs w:val="24"/>
                <w:lang w:val="en-US" w:eastAsia="zh-CN" w:bidi="ar-SA"/>
              </w:rPr>
              <w:t>直销</w:t>
            </w:r>
            <w:bookmarkEnd w:id="217"/>
            <w:bookmarkEnd w:id="218"/>
            <w:bookmarkEnd w:id="219"/>
            <w:bookmarkEnd w:id="220"/>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21" w:name="_Toc9968"/>
            <w:bookmarkStart w:id="222" w:name="_Toc30749"/>
            <w:bookmarkStart w:id="223" w:name="_Toc2802"/>
            <w:bookmarkStart w:id="224" w:name="_Toc22016"/>
            <w:r>
              <w:rPr>
                <w:rFonts w:ascii="宋体" w:eastAsia="宋体" w:hAnsi="宋体" w:cs="宋体" w:hint="eastAsia"/>
                <w:kern w:val="2"/>
                <w:sz w:val="24"/>
                <w:szCs w:val="24"/>
                <w:lang w:val="en-US" w:eastAsia="zh-CN" w:bidi="ar-SA"/>
              </w:rPr>
              <w:t>36家分公司，28家效劳中心，4000多家专卖店</w:t>
            </w:r>
            <w:bookmarkEnd w:id="221"/>
            <w:bookmarkEnd w:id="222"/>
            <w:bookmarkEnd w:id="223"/>
            <w:bookmarkEnd w:id="224"/>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25" w:name="_Toc12816"/>
            <w:bookmarkStart w:id="226" w:name="_Toc24508"/>
            <w:bookmarkStart w:id="227" w:name="_Toc11955"/>
            <w:bookmarkStart w:id="228" w:name="_Toc8223"/>
            <w:r>
              <w:rPr>
                <w:rFonts w:ascii="宋体" w:eastAsia="宋体" w:hAnsi="宋体" w:cs="宋体" w:hint="eastAsia"/>
                <w:kern w:val="2"/>
                <w:sz w:val="24"/>
                <w:szCs w:val="24"/>
                <w:lang w:val="en-US" w:eastAsia="zh-CN" w:bidi="ar-SA"/>
              </w:rPr>
              <w:t>中草药健康产品</w:t>
            </w:r>
            <w:bookmarkEnd w:id="225"/>
            <w:bookmarkEnd w:id="226"/>
            <w:bookmarkEnd w:id="227"/>
            <w:bookmarkEnd w:id="228"/>
          </w:p>
        </w:tc>
        <w:tc>
          <w:tcPr>
            <w:tcW w:w="1287"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29" w:name="_Toc23801"/>
            <w:bookmarkStart w:id="230" w:name="_Toc27820"/>
            <w:bookmarkStart w:id="231" w:name="_Toc18056"/>
            <w:bookmarkStart w:id="232" w:name="_Toc20657"/>
            <w:r>
              <w:rPr>
                <w:rFonts w:ascii="宋体" w:eastAsia="宋体" w:hAnsi="宋体" w:cs="宋体" w:hint="eastAsia"/>
                <w:kern w:val="2"/>
                <w:sz w:val="24"/>
                <w:szCs w:val="24"/>
                <w:lang w:val="en-US" w:eastAsia="zh-CN" w:bidi="ar-SA"/>
              </w:rPr>
              <w:t>4类82种</w:t>
            </w:r>
            <w:bookmarkEnd w:id="229"/>
            <w:bookmarkEnd w:id="230"/>
            <w:bookmarkEnd w:id="231"/>
            <w:bookmarkEnd w:id="232"/>
          </w:p>
        </w:tc>
      </w:tr>
      <w:tr w:rsidTr="00DC7F3E">
        <w:tblPrEx>
          <w:tblW w:w="0" w:type="auto"/>
          <w:tblInd w:w="0" w:type="dxa"/>
          <w:tblLayout w:type="fixed"/>
          <w:tblCellMar>
            <w:top w:w="0" w:type="dxa"/>
            <w:left w:w="108" w:type="dxa"/>
            <w:bottom w:w="0" w:type="dxa"/>
            <w:right w:w="108" w:type="dxa"/>
          </w:tblCellMar>
          <w:tblLook w:val="0000"/>
        </w:tblPrEx>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33" w:name="_Toc16020"/>
            <w:bookmarkStart w:id="234" w:name="_Toc4196"/>
            <w:bookmarkStart w:id="235" w:name="_Toc5931"/>
            <w:bookmarkStart w:id="236" w:name="_Toc3042"/>
            <w:r>
              <w:rPr>
                <w:rFonts w:ascii="宋体" w:eastAsia="宋体" w:hAnsi="宋体" w:cs="宋体" w:hint="eastAsia"/>
                <w:kern w:val="2"/>
                <w:sz w:val="24"/>
                <w:szCs w:val="24"/>
                <w:lang w:val="en-US" w:eastAsia="zh-CN" w:bidi="ar-SA"/>
              </w:rPr>
              <w:t>康宝莱</w:t>
            </w:r>
            <w:bookmarkEnd w:id="233"/>
            <w:bookmarkEnd w:id="234"/>
            <w:bookmarkEnd w:id="235"/>
            <w:bookmarkEnd w:id="236"/>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37" w:name="_Toc23852"/>
            <w:bookmarkStart w:id="238" w:name="_Toc17359"/>
            <w:bookmarkStart w:id="239" w:name="_Toc14473"/>
            <w:bookmarkStart w:id="240" w:name="_Toc6082"/>
            <w:bookmarkEnd w:id="237"/>
            <w:bookmarkEnd w:id="238"/>
            <w:bookmarkEnd w:id="239"/>
            <w:bookmarkEnd w:id="240"/>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41" w:name="_Toc14300"/>
            <w:bookmarkStart w:id="242" w:name="_Toc4935"/>
            <w:bookmarkStart w:id="243" w:name="_Toc18315"/>
            <w:bookmarkStart w:id="244" w:name="_Toc19706"/>
            <w:r>
              <w:rPr>
                <w:rFonts w:ascii="宋体" w:eastAsia="宋体" w:hAnsi="宋体" w:cs="宋体" w:hint="eastAsia"/>
                <w:kern w:val="2"/>
                <w:sz w:val="24"/>
                <w:szCs w:val="24"/>
                <w:lang w:val="en-US" w:eastAsia="zh-CN" w:bidi="ar-SA"/>
              </w:rPr>
              <w:t>25</w:t>
            </w:r>
            <w:bookmarkEnd w:id="241"/>
            <w:bookmarkEnd w:id="242"/>
            <w:bookmarkEnd w:id="243"/>
            <w:bookmarkEnd w:id="244"/>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45" w:name="_Toc16982"/>
            <w:bookmarkStart w:id="246" w:name="_Toc22375"/>
            <w:bookmarkStart w:id="247" w:name="_Toc31327"/>
            <w:bookmarkStart w:id="248" w:name="_Toc12090"/>
            <w:r>
              <w:rPr>
                <w:rFonts w:ascii="宋体" w:eastAsia="宋体" w:hAnsi="宋体" w:cs="宋体" w:hint="eastAsia"/>
                <w:kern w:val="2"/>
                <w:sz w:val="24"/>
                <w:szCs w:val="24"/>
                <w:lang w:val="en-US" w:eastAsia="zh-CN" w:bidi="ar-SA"/>
              </w:rPr>
              <w:t>直销</w:t>
            </w:r>
            <w:bookmarkEnd w:id="245"/>
            <w:bookmarkEnd w:id="246"/>
            <w:bookmarkEnd w:id="247"/>
            <w:bookmarkEnd w:id="248"/>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49" w:name="_Toc22902"/>
            <w:bookmarkStart w:id="250" w:name="_Toc25695"/>
            <w:bookmarkStart w:id="251" w:name="_Toc22212"/>
            <w:bookmarkStart w:id="252" w:name="_Toc7541"/>
            <w:r>
              <w:rPr>
                <w:rFonts w:ascii="宋体" w:eastAsia="宋体" w:hAnsi="宋体" w:cs="宋体" w:hint="eastAsia"/>
                <w:kern w:val="2"/>
                <w:sz w:val="24"/>
                <w:szCs w:val="24"/>
                <w:lang w:val="en-US" w:eastAsia="zh-CN" w:bidi="ar-SA"/>
              </w:rPr>
              <w:t>销售普及世界80多个国家</w:t>
            </w:r>
            <w:bookmarkEnd w:id="249"/>
            <w:bookmarkEnd w:id="250"/>
            <w:bookmarkEnd w:id="251"/>
            <w:bookmarkEnd w:id="252"/>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53" w:name="_Toc7649"/>
            <w:bookmarkStart w:id="254" w:name="_Toc7835"/>
            <w:bookmarkStart w:id="255" w:name="_Toc26019"/>
            <w:bookmarkStart w:id="256" w:name="_Toc963"/>
            <w:r>
              <w:rPr>
                <w:rFonts w:ascii="宋体" w:eastAsia="宋体" w:hAnsi="宋体" w:cs="宋体" w:hint="eastAsia"/>
                <w:kern w:val="2"/>
                <w:sz w:val="24"/>
                <w:szCs w:val="24"/>
                <w:lang w:val="en-US" w:eastAsia="zh-CN" w:bidi="ar-SA"/>
              </w:rPr>
              <w:t>保健品</w:t>
            </w:r>
            <w:bookmarkEnd w:id="253"/>
            <w:bookmarkEnd w:id="254"/>
            <w:bookmarkEnd w:id="255"/>
            <w:bookmarkEnd w:id="256"/>
          </w:p>
        </w:tc>
        <w:tc>
          <w:tcPr>
            <w:tcW w:w="1287"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57" w:name="_Toc27377"/>
            <w:bookmarkStart w:id="258" w:name="_Toc17645"/>
            <w:bookmarkStart w:id="259" w:name="_Toc1231"/>
            <w:bookmarkStart w:id="260" w:name="_Toc11789"/>
            <w:r>
              <w:rPr>
                <w:rFonts w:ascii="宋体" w:eastAsia="宋体" w:hAnsi="宋体" w:cs="宋体" w:hint="eastAsia"/>
                <w:kern w:val="2"/>
                <w:sz w:val="24"/>
                <w:szCs w:val="24"/>
                <w:lang w:val="en-US" w:eastAsia="zh-CN" w:bidi="ar-SA"/>
              </w:rPr>
              <w:t>2类23种</w:t>
            </w:r>
            <w:bookmarkEnd w:id="257"/>
            <w:bookmarkEnd w:id="258"/>
            <w:bookmarkEnd w:id="259"/>
            <w:bookmarkEnd w:id="260"/>
          </w:p>
        </w:tc>
      </w:tr>
      <w:tr w:rsidTr="00DC7F3E">
        <w:tblPrEx>
          <w:tblW w:w="0" w:type="auto"/>
          <w:tblInd w:w="0" w:type="dxa"/>
          <w:tblLayout w:type="fixed"/>
          <w:tblCellMar>
            <w:top w:w="0" w:type="dxa"/>
            <w:left w:w="108" w:type="dxa"/>
            <w:bottom w:w="0" w:type="dxa"/>
            <w:right w:w="108" w:type="dxa"/>
          </w:tblCellMar>
          <w:tblLook w:val="0000"/>
        </w:tblPrEx>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61" w:name="_Toc19900"/>
            <w:bookmarkStart w:id="262" w:name="_Toc10644"/>
            <w:bookmarkStart w:id="263" w:name="_Toc23587"/>
            <w:bookmarkStart w:id="264" w:name="_Toc1790"/>
            <w:r>
              <w:rPr>
                <w:rFonts w:ascii="宋体" w:eastAsia="宋体" w:hAnsi="宋体" w:cs="宋体" w:hint="eastAsia"/>
                <w:kern w:val="2"/>
                <w:sz w:val="24"/>
                <w:szCs w:val="24"/>
                <w:lang w:val="en-US" w:eastAsia="zh-CN" w:bidi="ar-SA"/>
              </w:rPr>
              <w:t>三生</w:t>
            </w:r>
            <w:bookmarkEnd w:id="261"/>
            <w:bookmarkEnd w:id="262"/>
            <w:bookmarkEnd w:id="263"/>
            <w:bookmarkEnd w:id="264"/>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65" w:name="_Toc15513"/>
            <w:bookmarkStart w:id="266" w:name="_Toc12469"/>
            <w:bookmarkStart w:id="267" w:name="_Toc12049"/>
            <w:bookmarkStart w:id="268" w:name="_Toc26217"/>
            <w:r>
              <w:rPr>
                <w:rFonts w:ascii="宋体" w:eastAsia="宋体" w:hAnsi="宋体" w:cs="宋体" w:hint="eastAsia"/>
                <w:kern w:val="2"/>
                <w:sz w:val="24"/>
                <w:szCs w:val="24"/>
                <w:lang w:val="en-US" w:eastAsia="zh-CN" w:bidi="ar-SA"/>
              </w:rPr>
              <w:t>25</w:t>
            </w:r>
            <w:bookmarkEnd w:id="265"/>
            <w:bookmarkEnd w:id="266"/>
            <w:bookmarkEnd w:id="267"/>
            <w:bookmarkEnd w:id="268"/>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69" w:name="_Toc2744"/>
            <w:bookmarkStart w:id="270" w:name="_Toc2115"/>
            <w:bookmarkStart w:id="271" w:name="_Toc1334"/>
            <w:bookmarkStart w:id="272" w:name="_Toc29791"/>
            <w:r>
              <w:rPr>
                <w:rFonts w:ascii="宋体" w:eastAsia="宋体" w:hAnsi="宋体" w:cs="宋体" w:hint="eastAsia"/>
                <w:kern w:val="2"/>
                <w:sz w:val="24"/>
                <w:szCs w:val="24"/>
                <w:lang w:val="en-US" w:eastAsia="zh-CN" w:bidi="ar-SA"/>
              </w:rPr>
              <w:t>24</w:t>
            </w:r>
            <w:bookmarkEnd w:id="269"/>
            <w:bookmarkEnd w:id="270"/>
            <w:bookmarkEnd w:id="271"/>
            <w:bookmarkEnd w:id="272"/>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73" w:name="_Toc28387"/>
            <w:bookmarkStart w:id="274" w:name="_Toc22074"/>
            <w:bookmarkStart w:id="275" w:name="_Toc18665"/>
            <w:bookmarkStart w:id="276" w:name="_Toc17675"/>
            <w:r>
              <w:rPr>
                <w:rFonts w:ascii="宋体" w:eastAsia="宋体" w:hAnsi="宋体" w:cs="宋体" w:hint="eastAsia"/>
                <w:kern w:val="2"/>
                <w:sz w:val="24"/>
                <w:szCs w:val="24"/>
                <w:lang w:val="en-US" w:eastAsia="zh-CN" w:bidi="ar-SA"/>
              </w:rPr>
              <w:t>直销</w:t>
            </w:r>
            <w:bookmarkEnd w:id="273"/>
            <w:bookmarkEnd w:id="274"/>
            <w:bookmarkEnd w:id="275"/>
            <w:bookmarkEnd w:id="276"/>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77" w:name="_Toc15034"/>
            <w:bookmarkStart w:id="278" w:name="_Toc23589"/>
            <w:bookmarkStart w:id="279" w:name="_Toc21150"/>
            <w:bookmarkStart w:id="280" w:name="_Toc9679"/>
            <w:r>
              <w:rPr>
                <w:rFonts w:ascii="宋体" w:eastAsia="宋体" w:hAnsi="宋体" w:cs="宋体" w:hint="eastAsia"/>
                <w:kern w:val="2"/>
                <w:sz w:val="24"/>
                <w:szCs w:val="24"/>
                <w:lang w:val="en-US" w:eastAsia="zh-CN" w:bidi="ar-SA"/>
              </w:rPr>
              <w:t>32家省级分公司</w:t>
            </w:r>
            <w:bookmarkEnd w:id="277"/>
            <w:bookmarkEnd w:id="278"/>
            <w:bookmarkEnd w:id="279"/>
            <w:bookmarkEnd w:id="280"/>
          </w:p>
        </w:tc>
        <w:tc>
          <w:tcPr>
            <w:tcW w:w="1286"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81" w:name="_Toc607"/>
            <w:bookmarkStart w:id="282" w:name="_Toc29153"/>
            <w:bookmarkStart w:id="283" w:name="_Toc385"/>
            <w:bookmarkStart w:id="284" w:name="_Toc990"/>
            <w:r>
              <w:rPr>
                <w:rFonts w:ascii="宋体" w:eastAsia="宋体" w:hAnsi="宋体" w:cs="宋体" w:hint="eastAsia"/>
                <w:kern w:val="2"/>
                <w:sz w:val="24"/>
                <w:szCs w:val="24"/>
                <w:lang w:val="en-US" w:eastAsia="zh-CN" w:bidi="ar-SA"/>
              </w:rPr>
              <w:t>养生保健、护理、家居、化装品</w:t>
            </w:r>
            <w:bookmarkEnd w:id="281"/>
            <w:bookmarkEnd w:id="282"/>
            <w:bookmarkEnd w:id="283"/>
            <w:bookmarkEnd w:id="284"/>
          </w:p>
        </w:tc>
        <w:tc>
          <w:tcPr>
            <w:tcW w:w="1287" w:type="dxa"/>
          </w:tcPr>
          <w:p w:rsidR="00E81574" w:rsidP="00DC7F3E">
            <w:pPr>
              <w:widowControl w:val="0"/>
              <w:spacing w:before="156" w:beforeLines="50" w:after="156" w:afterLines="50"/>
              <w:jc w:val="center"/>
              <w:outlineLvl w:val="1"/>
              <w:rPr>
                <w:rFonts w:ascii="宋体" w:eastAsia="宋体" w:hAnsi="宋体" w:cs="宋体" w:hint="eastAsia"/>
                <w:sz w:val="24"/>
                <w:lang w:val="en-US" w:eastAsia="zh-CN" w:bidi="ar-SA"/>
              </w:rPr>
            </w:pPr>
            <w:bookmarkStart w:id="285" w:name="_Toc11619"/>
            <w:bookmarkStart w:id="286" w:name="_Toc5476"/>
            <w:bookmarkStart w:id="287" w:name="_Toc29061"/>
            <w:bookmarkStart w:id="288" w:name="_Toc16011"/>
            <w:r>
              <w:rPr>
                <w:rFonts w:ascii="宋体" w:eastAsia="宋体" w:hAnsi="宋体" w:cs="宋体" w:hint="eastAsia"/>
                <w:kern w:val="2"/>
                <w:sz w:val="24"/>
                <w:szCs w:val="24"/>
                <w:lang w:val="en-US" w:eastAsia="zh-CN" w:bidi="ar-SA"/>
              </w:rPr>
              <w:t>2类52种</w:t>
            </w:r>
            <w:bookmarkEnd w:id="285"/>
            <w:bookmarkEnd w:id="286"/>
            <w:bookmarkEnd w:id="287"/>
            <w:bookmarkEnd w:id="288"/>
          </w:p>
        </w:tc>
      </w:tr>
    </w:tbl>
    <w:p w:rsidR="00E81574" w:rsidP="00E81574">
      <w:pPr>
        <w:numPr>
          <w:ilvl w:val="0"/>
          <w:numId w:val="2"/>
        </w:numPr>
        <w:spacing w:before="156" w:beforeLines="50" w:after="156" w:afterLines="50"/>
        <w:outlineLvl w:val="1"/>
        <w:rPr>
          <w:rFonts w:ascii="黑体" w:eastAsia="黑体" w:hAnsi="黑体" w:cs="黑体" w:hint="eastAsia"/>
          <w:sz w:val="24"/>
        </w:rPr>
      </w:pPr>
      <w:bookmarkStart w:id="289" w:name="_Toc23602"/>
      <w:bookmarkStart w:id="290" w:name="_Toc11042"/>
      <w:bookmarkStart w:id="291" w:name="_Toc20007"/>
      <w:r>
        <w:rPr>
          <w:rFonts w:ascii="黑体" w:eastAsia="黑体" w:hAnsi="黑体" w:cs="黑体" w:hint="eastAsia"/>
          <w:sz w:val="24"/>
        </w:rPr>
        <w:t>潜在进入者威胁</w:t>
      </w:r>
      <w:bookmarkEnd w:id="289"/>
      <w:bookmarkEnd w:id="290"/>
      <w:bookmarkEnd w:id="291"/>
    </w:p>
    <w:p w:rsidR="00E81574" w:rsidP="00E81574">
      <w:pPr>
        <w:spacing w:line="440" w:lineRule="exact"/>
        <w:ind w:firstLine="480" w:firstLineChars="200"/>
        <w:outlineLvl w:val="1"/>
        <w:rPr>
          <w:rFonts w:hint="eastAsia"/>
          <w:sz w:val="24"/>
        </w:rPr>
      </w:pPr>
      <w:bookmarkStart w:id="292" w:name="_Toc24355"/>
      <w:bookmarkStart w:id="293" w:name="_Toc7625"/>
      <w:bookmarkStart w:id="294" w:name="_Toc18781"/>
      <w:bookmarkStart w:id="295" w:name="_Toc26076"/>
      <w:r>
        <w:rPr>
          <w:rFonts w:hint="eastAsia"/>
          <w:sz w:val="24"/>
        </w:rPr>
        <w:t>对于一个产业来说，潜在进入者威胁的大小取决于进入壁垒和现有企业反响得强度。对于保健品产业来说，由于其本钱低、利润高，使得很多企业都投身于保健养生行业，从而导致保健品行业的竞争对手越来越多，竞争压力越来越大。</w:t>
      </w:r>
      <w:bookmarkEnd w:id="292"/>
      <w:bookmarkEnd w:id="293"/>
      <w:bookmarkEnd w:id="294"/>
      <w:bookmarkEnd w:id="295"/>
    </w:p>
    <w:p w:rsidR="00E81574" w:rsidP="00E81574">
      <w:pPr>
        <w:spacing w:before="156" w:beforeLines="50" w:after="156" w:afterLines="50"/>
        <w:outlineLvl w:val="1"/>
        <w:rPr>
          <w:rFonts w:ascii="黑体" w:eastAsia="黑体" w:hAnsi="黑体" w:cs="黑体" w:hint="eastAsia"/>
          <w:sz w:val="24"/>
        </w:rPr>
      </w:pPr>
      <w:bookmarkStart w:id="296" w:name="_Toc2915"/>
      <w:bookmarkStart w:id="297" w:name="_Toc19493"/>
      <w:bookmarkStart w:id="298" w:name="_Toc31445"/>
      <w:r>
        <w:rPr>
          <w:rFonts w:ascii="黑体" w:eastAsia="黑体" w:hAnsi="黑体" w:cs="黑体" w:hint="eastAsia"/>
          <w:sz w:val="24"/>
        </w:rPr>
        <w:t>〔三〕原材料的种植、采购</w:t>
      </w:r>
      <w:bookmarkEnd w:id="296"/>
      <w:bookmarkEnd w:id="297"/>
      <w:bookmarkEnd w:id="298"/>
    </w:p>
    <w:p w:rsidR="00E81574" w:rsidP="00E81574">
      <w:pPr>
        <w:spacing w:line="440" w:lineRule="exact"/>
        <w:ind w:firstLine="480" w:firstLineChars="200"/>
        <w:outlineLvl w:val="1"/>
        <w:rPr>
          <w:rFonts w:hint="eastAsia"/>
          <w:sz w:val="24"/>
        </w:rPr>
      </w:pPr>
      <w:bookmarkStart w:id="299" w:name="_Toc32219"/>
      <w:bookmarkStart w:id="300" w:name="_Toc2126"/>
      <w:bookmarkStart w:id="301" w:name="_Toc12379"/>
      <w:bookmarkStart w:id="302" w:name="_Toc22675"/>
      <w:r>
        <w:rPr>
          <w:rFonts w:hint="eastAsia"/>
          <w:sz w:val="24"/>
        </w:rPr>
        <w:t>养生保健品重视的是纯天然、大自然的结晶，故而那些原料的出处非常的重要，但是我国拥有这些原料基地的企业少，使得原料的供给和选择存在被动性。</w:t>
      </w:r>
      <w:bookmarkEnd w:id="299"/>
      <w:bookmarkEnd w:id="300"/>
      <w:bookmarkEnd w:id="301"/>
      <w:bookmarkEnd w:id="302"/>
    </w:p>
    <w:p w:rsidR="00E81574" w:rsidP="00E81574">
      <w:pPr>
        <w:spacing w:before="156" w:beforeLines="50" w:after="156" w:afterLines="50"/>
        <w:outlineLvl w:val="1"/>
        <w:rPr>
          <w:rFonts w:ascii="黑体" w:eastAsia="黑体" w:hAnsi="黑体" w:cs="黑体" w:hint="eastAsia"/>
          <w:sz w:val="24"/>
        </w:rPr>
      </w:pPr>
      <w:bookmarkStart w:id="303" w:name="_Toc15740"/>
      <w:bookmarkStart w:id="304" w:name="_Toc12169"/>
      <w:bookmarkStart w:id="305" w:name="_Toc5772"/>
      <w:r>
        <w:rPr>
          <w:rFonts w:ascii="黑体" w:eastAsia="黑体" w:hAnsi="黑体" w:cs="黑体" w:hint="eastAsia"/>
          <w:sz w:val="24"/>
        </w:rPr>
        <w:t>〔四〕购置者的忠诚度</w:t>
      </w:r>
      <w:bookmarkEnd w:id="303"/>
      <w:bookmarkEnd w:id="304"/>
      <w:bookmarkEnd w:id="305"/>
    </w:p>
    <w:p w:rsidR="00E81574" w:rsidP="00E81574">
      <w:pPr>
        <w:spacing w:line="440" w:lineRule="exact"/>
        <w:ind w:firstLine="480" w:firstLineChars="200"/>
        <w:outlineLvl w:val="1"/>
        <w:rPr>
          <w:rFonts w:hint="eastAsia"/>
          <w:sz w:val="24"/>
        </w:rPr>
        <w:sectPr w:rsidSect="00E36937">
          <w:type w:val="nextPage"/>
          <w:pgSz w:w="11906" w:h="16838"/>
          <w:pgMar w:top="1332" w:right="1191" w:bottom="1293" w:left="1191" w:header="851" w:footer="992" w:gutter="0"/>
          <w:pgNumType w:start="6"/>
          <w:cols w:space="425"/>
          <w:titlePg w:val="0"/>
          <w:docGrid w:type="lines" w:linePitch="312"/>
        </w:sectPr>
      </w:pPr>
      <w:bookmarkStart w:id="306" w:name="_Toc877"/>
      <w:bookmarkStart w:id="307" w:name="_Toc21090"/>
      <w:bookmarkStart w:id="308" w:name="_Toc15681"/>
      <w:bookmarkStart w:id="309" w:name="_Toc3959"/>
    </w:p>
    <w:p w:rsidR="00E81574" w:rsidP="00E81574">
      <w:pPr>
        <w:spacing w:line="440" w:lineRule="exact"/>
        <w:ind w:firstLine="480" w:firstLineChars="200"/>
        <w:outlineLvl w:val="1"/>
        <w:rPr>
          <w:rFonts w:hint="eastAsia"/>
          <w:sz w:val="24"/>
        </w:rPr>
      </w:pPr>
      <w:r>
        <w:rPr>
          <w:rFonts w:hint="eastAsia"/>
          <w:sz w:val="24"/>
        </w:rPr>
        <w:t>保健品种类日益增多，而且生产企业更是年年增多，消费者可挑选的余地大大增加，买方市场的形成造成消费者变得喜新厌旧，再加上保健品行业丑闻一再被揭露，使得购置者在购置时越来越理智，对于某一品牌的某一保健品产生永久忠诚度是比拟难的。</w:t>
      </w:r>
      <w:bookmarkEnd w:id="306"/>
      <w:bookmarkEnd w:id="307"/>
      <w:bookmarkEnd w:id="308"/>
      <w:bookmarkEnd w:id="309"/>
    </w:p>
    <w:p w:rsidR="00E81574" w:rsidP="00E81574">
      <w:pPr>
        <w:spacing w:before="156" w:beforeLines="50" w:after="156" w:afterLines="50"/>
        <w:outlineLvl w:val="1"/>
        <w:rPr>
          <w:rFonts w:ascii="黑体" w:eastAsia="黑体" w:hAnsi="黑体" w:cs="黑体" w:hint="eastAsia"/>
          <w:sz w:val="24"/>
        </w:rPr>
      </w:pPr>
      <w:bookmarkStart w:id="310" w:name="_Toc1361"/>
      <w:bookmarkStart w:id="311" w:name="_Toc23849"/>
      <w:bookmarkStart w:id="312" w:name="_Toc8932"/>
      <w:r>
        <w:rPr>
          <w:rFonts w:ascii="黑体" w:eastAsia="黑体" w:hAnsi="黑体" w:cs="黑体" w:hint="eastAsia"/>
          <w:sz w:val="24"/>
        </w:rPr>
        <w:t>〔五〕替代产品的威胁</w:t>
      </w:r>
      <w:bookmarkEnd w:id="310"/>
      <w:bookmarkEnd w:id="311"/>
      <w:bookmarkEnd w:id="312"/>
    </w:p>
    <w:p w:rsidR="00E81574" w:rsidP="00E81574">
      <w:pPr>
        <w:spacing w:line="440" w:lineRule="exact"/>
        <w:outlineLvl w:val="1"/>
        <w:rPr>
          <w:rFonts w:hint="eastAsia"/>
          <w:sz w:val="24"/>
        </w:rPr>
      </w:pPr>
      <w:bookmarkStart w:id="313" w:name="_Toc7660"/>
      <w:bookmarkStart w:id="314" w:name="_Toc27667"/>
      <w:bookmarkStart w:id="315" w:name="_Toc26778"/>
      <w:bookmarkStart w:id="316" w:name="_Toc27137"/>
      <w:r>
        <w:rPr>
          <w:rFonts w:hint="eastAsia"/>
          <w:sz w:val="24"/>
        </w:rPr>
        <w:t>保健养生产品注重的主要是靠药物调节而作用于身体机能，但是运动调节却更能长期有效的调节自身体质，使得药物保健养生产品越来越多的被运动养生保健产品替代。</w:t>
      </w:r>
      <w:bookmarkEnd w:id="313"/>
      <w:bookmarkEnd w:id="314"/>
      <w:bookmarkEnd w:id="315"/>
      <w:bookmarkEnd w:id="316"/>
    </w:p>
    <w:p w:rsidR="00E81574" w:rsidP="00E81574">
      <w:pPr>
        <w:spacing w:line="440" w:lineRule="exact"/>
        <w:outlineLvl w:val="1"/>
        <w:rPr>
          <w:rFonts w:hint="eastAsia"/>
          <w:sz w:val="24"/>
        </w:rPr>
      </w:pPr>
      <w:bookmarkStart w:id="317" w:name="_Toc27888"/>
      <w:bookmarkStart w:id="318" w:name="_Toc22025"/>
      <w:bookmarkStart w:id="319" w:name="_Toc26979"/>
      <w:bookmarkStart w:id="320" w:name="_Toc23724"/>
      <w:r>
        <w:rPr>
          <w:rFonts w:hint="eastAsia"/>
          <w:sz w:val="24"/>
        </w:rPr>
        <w:t>上述分析结果说明，针对整个保健品行业来说，现在拥有的企业的巨大竞争压力、潜在进入者的威胁、消费者在购置时的理智选择性、替代产品的进入以及我国现在保健养生产品行业的竞争强度和压力很大，这也是我们康宝莱这一主营保健品行业所存在的行业结构特点。</w:t>
      </w:r>
      <w:bookmarkEnd w:id="317"/>
      <w:bookmarkEnd w:id="318"/>
      <w:bookmarkEnd w:id="319"/>
      <w:bookmarkEnd w:id="320"/>
    </w:p>
    <w:p w:rsidR="00E81574" w:rsidP="00E81574">
      <w:pPr>
        <w:spacing w:before="312" w:beforeLines="100" w:after="312" w:afterLines="100"/>
        <w:outlineLvl w:val="0"/>
        <w:rPr>
          <w:rFonts w:ascii="黑体" w:eastAsia="黑体" w:hAnsi="黑体" w:hint="eastAsia"/>
          <w:sz w:val="28"/>
          <w:szCs w:val="28"/>
        </w:rPr>
      </w:pPr>
      <w:bookmarkStart w:id="321" w:name="_Toc436160426"/>
      <w:bookmarkStart w:id="322" w:name="_Toc436170392"/>
      <w:bookmarkStart w:id="323" w:name="_Toc7334"/>
      <w:bookmarkStart w:id="324" w:name="_Toc31792"/>
      <w:bookmarkStart w:id="325" w:name="_Toc22348"/>
      <w:bookmarkStart w:id="326" w:name="_Toc26424"/>
      <w:bookmarkStart w:id="327" w:name="_Toc6743"/>
      <w:bookmarkStart w:id="328" w:name="_Toc9913"/>
      <w:bookmarkStart w:id="329" w:name="_Toc2075"/>
      <w:r>
        <w:rPr>
          <w:rFonts w:ascii="黑体" w:eastAsia="黑体" w:hAnsi="黑体" w:hint="eastAsia"/>
          <w:sz w:val="28"/>
          <w:szCs w:val="28"/>
        </w:rPr>
        <w:t>九、市场时机与问题分析</w:t>
      </w:r>
      <w:bookmarkEnd w:id="321"/>
      <w:bookmarkEnd w:id="322"/>
      <w:bookmarkEnd w:id="323"/>
      <w:bookmarkEnd w:id="324"/>
      <w:bookmarkEnd w:id="325"/>
      <w:bookmarkEnd w:id="326"/>
      <w:bookmarkEnd w:id="327"/>
      <w:bookmarkEnd w:id="328"/>
      <w:bookmarkEnd w:id="329"/>
    </w:p>
    <w:p w:rsidR="00E81574" w:rsidP="00E81574">
      <w:pPr>
        <w:spacing w:before="156" w:beforeLines="50" w:after="156" w:afterLines="50" w:line="440" w:lineRule="exact"/>
        <w:outlineLvl w:val="1"/>
        <w:rPr>
          <w:rFonts w:ascii="黑体" w:eastAsia="黑体" w:hAnsi="黑体" w:cs="黑体" w:hint="eastAsia"/>
          <w:sz w:val="24"/>
        </w:rPr>
      </w:pPr>
      <w:bookmarkStart w:id="330" w:name="_Toc563"/>
      <w:bookmarkStart w:id="331" w:name="_Toc25810"/>
      <w:bookmarkStart w:id="332" w:name="_Toc31052"/>
      <w:bookmarkStart w:id="333" w:name="_Toc22105"/>
      <w:bookmarkStart w:id="334" w:name="_Toc21500"/>
      <w:bookmarkStart w:id="335" w:name="_Toc20708"/>
      <w:bookmarkStart w:id="336" w:name="_Toc10543"/>
      <w:r>
        <w:rPr>
          <w:rFonts w:ascii="黑体" w:eastAsia="黑体" w:hAnsi="黑体" w:cs="黑体" w:hint="eastAsia"/>
          <w:sz w:val="24"/>
        </w:rPr>
        <w:t>〔一〕市场时机</w:t>
      </w:r>
      <w:bookmarkEnd w:id="330"/>
      <w:bookmarkEnd w:id="331"/>
      <w:bookmarkEnd w:id="332"/>
      <w:bookmarkEnd w:id="333"/>
      <w:bookmarkEnd w:id="334"/>
      <w:bookmarkEnd w:id="335"/>
      <w:bookmarkEnd w:id="336"/>
    </w:p>
    <w:p w:rsidR="00E81574" w:rsidP="00E81574">
      <w:pPr>
        <w:spacing w:before="156" w:beforeLines="50" w:line="440" w:lineRule="exact"/>
        <w:ind w:firstLine="480" w:firstLineChars="200"/>
        <w:outlineLvl w:val="2"/>
        <w:rPr>
          <w:rFonts w:ascii="宋体" w:hAnsi="宋体" w:hint="eastAsia"/>
          <w:b/>
          <w:bCs/>
          <w:sz w:val="24"/>
        </w:rPr>
      </w:pPr>
      <w:bookmarkStart w:id="337" w:name="_Toc765"/>
      <w:bookmarkStart w:id="338" w:name="_Toc31688"/>
      <w:bookmarkStart w:id="339" w:name="_Toc16601"/>
      <w:bookmarkStart w:id="340" w:name="_Toc23260"/>
      <w:bookmarkStart w:id="341" w:name="_Toc28148"/>
      <w:bookmarkStart w:id="342" w:name="_Toc26078"/>
      <w:bookmarkStart w:id="343" w:name="_Toc4800"/>
      <w:r>
        <w:rPr>
          <w:rFonts w:ascii="宋体" w:hAnsi="宋体" w:hint="eastAsia"/>
          <w:b/>
          <w:bCs/>
          <w:sz w:val="24"/>
        </w:rPr>
        <w:t>1、亚健康人群逐步扩大</w:t>
      </w:r>
      <w:bookmarkEnd w:id="337"/>
      <w:bookmarkEnd w:id="338"/>
      <w:bookmarkEnd w:id="339"/>
      <w:bookmarkEnd w:id="340"/>
      <w:bookmarkEnd w:id="341"/>
      <w:bookmarkEnd w:id="342"/>
      <w:bookmarkEnd w:id="343"/>
    </w:p>
    <w:p w:rsidR="00E81574" w:rsidP="00E81574">
      <w:pPr>
        <w:spacing w:line="440" w:lineRule="exact"/>
        <w:ind w:firstLine="480" w:firstLineChars="200"/>
        <w:rPr>
          <w:rFonts w:ascii="宋体" w:hAnsi="宋体" w:hint="eastAsia"/>
          <w:sz w:val="24"/>
        </w:rPr>
      </w:pPr>
      <w:r>
        <w:rPr>
          <w:rFonts w:ascii="宋体" w:hAnsi="宋体" w:hint="eastAsia"/>
          <w:sz w:val="24"/>
        </w:rPr>
        <w:t>由中</w:t>
      </w:r>
      <w:smartTag w:uri="urn:schemas-microsoft-com:office:smarttags" w:element="PersonName">
        <w:smartTagPr>
          <w:attr w:name="ProductID" w:val="国"/>
        </w:smartTagPr>
        <w:r>
          <w:rPr>
            <w:rFonts w:ascii="宋体" w:hAnsi="宋体" w:hint="eastAsia"/>
            <w:sz w:val="24"/>
          </w:rPr>
          <w:t>国</w:t>
        </w:r>
      </w:smartTag>
      <w:r>
        <w:rPr>
          <w:rFonts w:ascii="宋体" w:hAnsi="宋体" w:hint="eastAsia"/>
          <w:sz w:val="24"/>
        </w:rPr>
        <w:t>医师协会、中国医院协会等机构发布的《中国城市白领健康白皮书》显示，约七成员工处于</w:t>
      </w:r>
      <w:r>
        <w:rPr>
          <w:rFonts w:ascii="宋体" w:hAnsi="宋体" w:hint="eastAsia"/>
          <w:sz w:val="24"/>
        </w:rPr>
        <w:t>“</w:t>
      </w:r>
      <w:r>
        <w:rPr>
          <w:rFonts w:ascii="宋体" w:hAnsi="宋体" w:hint="eastAsia"/>
          <w:sz w:val="24"/>
        </w:rPr>
        <w:t>亚健康〞，《中国城市居民健康白皮书》在对18~80岁年龄组的体检数据调查分析中发现，35岁至65岁人群是亚健康大军。</w:t>
      </w:r>
    </w:p>
    <w:p w:rsidR="00E81574" w:rsidP="00E81574">
      <w:pPr>
        <w:spacing w:line="440" w:lineRule="exact"/>
        <w:rPr>
          <w:rFonts w:ascii="宋体" w:hAnsi="宋体" w:hint="eastAsia"/>
          <w:sz w:val="24"/>
        </w:rPr>
      </w:pPr>
      <w:r>
        <w:rPr>
          <w:rFonts w:ascii="宋体" w:hAnsi="宋体" w:hint="eastAsia"/>
          <w:sz w:val="24"/>
        </w:rPr>
        <w:t xml:space="preserve">                            人群健康状况构成图</w:t>
      </w:r>
    </w:p>
    <w:p w:rsidR="00E81574" w:rsidP="00E81574">
      <w:pPr>
        <w:spacing w:before="156" w:beforeLines="50" w:line="440" w:lineRule="exact"/>
        <w:ind w:firstLine="480" w:firstLineChars="200"/>
        <w:outlineLvl w:val="2"/>
        <w:rPr>
          <w:rFonts w:ascii="宋体" w:hAnsi="宋体" w:cs="宋体" w:hint="eastAsia"/>
          <w:b/>
          <w:bCs/>
          <w:sz w:val="24"/>
        </w:rPr>
      </w:pPr>
      <w:bookmarkStart w:id="344" w:name="_Toc2682"/>
      <w:bookmarkStart w:id="345" w:name="_Toc20740"/>
      <w:bookmarkStart w:id="346" w:name="_Toc7864"/>
      <w:bookmarkStart w:id="347" w:name="_Toc13899"/>
      <w:bookmarkStart w:id="348" w:name="_Toc26118"/>
      <w:bookmarkStart w:id="349" w:name="_Toc29679"/>
      <w:bookmarkStart w:id="350" w:name="_Toc2772"/>
      <w:r>
        <w:rPr>
          <w:rFonts w:ascii="宋体" w:hAnsi="宋体" w:cs="宋体" w:hint="eastAsia"/>
          <w:b/>
          <w:bCs/>
          <w:sz w:val="24"/>
        </w:rPr>
        <w:t>2、肥胖问题日趋严重</w:t>
      </w:r>
      <w:bookmarkEnd w:id="344"/>
      <w:bookmarkEnd w:id="345"/>
      <w:bookmarkEnd w:id="346"/>
      <w:bookmarkEnd w:id="347"/>
      <w:bookmarkEnd w:id="348"/>
      <w:bookmarkEnd w:id="349"/>
      <w:bookmarkEnd w:id="350"/>
    </w:p>
    <w:p w:rsidR="00E81574" w:rsidP="00E81574">
      <w:pPr>
        <w:spacing w:line="440" w:lineRule="exact"/>
        <w:ind w:firstLine="480" w:firstLineChars="200"/>
        <w:rPr>
          <w:rFonts w:ascii="宋体" w:hAnsi="宋体" w:hint="eastAsia"/>
          <w:sz w:val="24"/>
        </w:rPr>
      </w:pPr>
      <w:r>
        <w:rPr>
          <w:rFonts w:ascii="宋体" w:hAnsi="宋体" w:hint="eastAsia"/>
          <w:sz w:val="24"/>
        </w:rPr>
        <w:t>调查发现，超重和肥胖，血脂异常和脂肪肝等问题呈明显上升状态，并且肥胖人群日趋年轻化。</w:t>
      </w:r>
    </w:p>
    <w:p w:rsidR="00E81574" w:rsidP="00E81574">
      <w:pPr>
        <w:spacing w:line="440" w:lineRule="exact"/>
        <w:ind w:firstLine="480" w:firstLineChars="200"/>
        <w:jc w:val="center"/>
        <w:rPr>
          <w:rFonts w:ascii="宋体" w:hAnsi="宋体" w:hint="eastAsia"/>
          <w:sz w:val="24"/>
        </w:rPr>
      </w:pPr>
      <w:r>
        <w:rPr>
          <w:rFonts w:ascii="宋体" w:hAnsi="宋体" w:hint="eastAsia"/>
          <w:sz w:val="24"/>
        </w:rPr>
        <w:t>体型调查图</w:t>
      </w:r>
    </w:p>
    <w:p w:rsidR="00E81574" w:rsidP="00E81574">
      <w:pPr>
        <w:spacing w:line="440" w:lineRule="exact"/>
        <w:rPr>
          <w:rFonts w:ascii="宋体" w:hAnsi="宋体" w:hint="eastAsia"/>
          <w:sz w:val="24"/>
        </w:rPr>
      </w:pPr>
      <w:r>
        <w:rPr>
          <w:rFonts w:ascii="宋体" w:hAnsi="宋体" w:hint="eastAsia"/>
          <w:sz w:val="24"/>
        </w:rPr>
        <w:t xml:space="preserve">    从回收的问卷可以看出，在盐城亭湖区内调查的50人中，偏胖的已达36%，可见，肥胖问题已经刻不容缓。康宝莱主要产品为康宝莱奶昔，是一款健康减肥保健品，通过食用康宝莱奶昔，帮助人们从亚健康状况恢复过来，让身体逐步健康，从而起到辅助减肥，到达健康减肥的效果。</w:t>
      </w:r>
    </w:p>
    <w:p w:rsidR="00E81574" w:rsidP="00E81574">
      <w:pPr>
        <w:spacing w:line="440" w:lineRule="exact"/>
        <w:ind w:firstLine="480" w:firstLineChars="200"/>
        <w:rPr>
          <w:rFonts w:ascii="宋体" w:hAnsi="宋体" w:hint="eastAsia"/>
          <w:sz w:val="24"/>
        </w:rPr>
        <w:sectPr w:rsidSect="00E36937">
          <w:type w:val="nextPage"/>
          <w:pgSz w:w="11906" w:h="16838"/>
          <w:pgMar w:top="1332" w:right="1191" w:bottom="1293" w:left="1191" w:header="851" w:footer="992" w:gutter="0"/>
          <w:pgNumType w:start="7"/>
          <w:cols w:space="425"/>
          <w:titlePg w:val="0"/>
          <w:docGrid w:type="lines" w:linePitch="312"/>
        </w:sectPr>
      </w:pPr>
      <w:r>
        <w:rPr>
          <w:rFonts w:ascii="宋体" w:hAnsi="宋体" w:hint="eastAsia"/>
          <w:sz w:val="24"/>
        </w:rPr>
        <w:t>综上可知，康宝莱作为一个保健品企业根据这两个开展趋势，大力推进了保健品在中国市场上的销售。而康宝莱奶昔作为一个减肥辅助产品在推出之前发现在日益忙碌的现代社会，人们为了防止肥胖，懂得需要膳食合理并且管住嘴迈开腿，但真正能过做到这一点的人并不多，理由往往是没时间，没精力。逐渐的，人们越来越渴望有一种轻便快捷又相对平安的方式能让自己重回健康，或者是重回美丽与英俊。康宝莱这一产品的主要特点在于只通过单纯的改变饮食便能逐渐的到达最终的目标，过程既不会损害自己的健康，也不会有过多的痛苦。</w:t>
      </w:r>
    </w:p>
    <w:p w:rsidR="00E81574" w:rsidP="00E81574">
      <w:pPr>
        <w:spacing w:before="156" w:beforeLines="50" w:after="156" w:afterLines="50"/>
        <w:outlineLvl w:val="1"/>
        <w:rPr>
          <w:rFonts w:ascii="黑体" w:eastAsia="黑体" w:hAnsi="黑体" w:cs="黑体" w:hint="eastAsia"/>
          <w:b/>
          <w:bCs/>
          <w:sz w:val="24"/>
        </w:rPr>
      </w:pPr>
      <w:bookmarkStart w:id="351" w:name="_Toc15333"/>
      <w:bookmarkStart w:id="352" w:name="_Toc7400"/>
      <w:bookmarkStart w:id="353" w:name="_Toc28661"/>
      <w:bookmarkStart w:id="354" w:name="_Toc3333"/>
      <w:bookmarkStart w:id="355" w:name="_Toc7118"/>
      <w:bookmarkStart w:id="356" w:name="_Toc3184"/>
      <w:bookmarkStart w:id="357" w:name="_Toc29357"/>
      <w:r>
        <w:rPr>
          <w:rFonts w:ascii="黑体" w:eastAsia="黑体" w:hAnsi="黑体" w:cs="黑体" w:hint="eastAsia"/>
          <w:sz w:val="24"/>
        </w:rPr>
        <w:t>〔二〕问题</w:t>
      </w:r>
      <w:bookmarkEnd w:id="351"/>
      <w:bookmarkEnd w:id="352"/>
      <w:bookmarkEnd w:id="353"/>
      <w:bookmarkEnd w:id="354"/>
      <w:bookmarkEnd w:id="355"/>
      <w:bookmarkEnd w:id="356"/>
      <w:bookmarkEnd w:id="357"/>
    </w:p>
    <w:p w:rsidR="00E81574" w:rsidP="00E81574">
      <w:pPr>
        <w:widowControl/>
        <w:numPr>
          <w:ilvl w:val="0"/>
          <w:numId w:val="7"/>
        </w:numPr>
        <w:spacing w:before="156" w:beforeLines="50" w:line="440" w:lineRule="exact"/>
        <w:ind w:firstLine="480" w:firstLineChars="200"/>
        <w:jc w:val="left"/>
        <w:outlineLvl w:val="2"/>
        <w:rPr>
          <w:rFonts w:ascii="宋体" w:hAnsi="宋体" w:cs="宋体" w:hint="eastAsia"/>
          <w:b/>
          <w:bCs/>
          <w:sz w:val="24"/>
        </w:rPr>
      </w:pPr>
      <w:bookmarkStart w:id="358" w:name="_Toc24498"/>
      <w:bookmarkStart w:id="359" w:name="_Toc18599"/>
      <w:bookmarkStart w:id="360" w:name="_Toc25186"/>
      <w:bookmarkStart w:id="361" w:name="_Toc8690"/>
      <w:bookmarkStart w:id="362" w:name="_Toc4266"/>
      <w:bookmarkStart w:id="363" w:name="_Toc15807"/>
      <w:bookmarkStart w:id="364" w:name="_Toc16275"/>
      <w:r>
        <w:rPr>
          <w:rFonts w:ascii="宋体" w:hAnsi="宋体" w:cs="宋体" w:hint="eastAsia"/>
          <w:b/>
          <w:bCs/>
          <w:sz w:val="24"/>
        </w:rPr>
        <w:t>知名度不高</w:t>
      </w:r>
      <w:bookmarkEnd w:id="358"/>
      <w:bookmarkEnd w:id="359"/>
      <w:bookmarkEnd w:id="360"/>
      <w:bookmarkEnd w:id="361"/>
      <w:bookmarkEnd w:id="362"/>
      <w:bookmarkEnd w:id="363"/>
      <w:bookmarkEnd w:id="364"/>
    </w:p>
    <w:p w:rsidR="00E81574" w:rsidP="00E81574">
      <w:pPr>
        <w:widowControl/>
        <w:spacing w:before="156" w:beforeLines="50" w:line="440" w:lineRule="exact"/>
        <w:ind w:left="420" w:leftChars="200"/>
        <w:rPr>
          <w:rFonts w:ascii="宋体" w:hAnsi="宋体" w:cs="宋体" w:hint="eastAsia"/>
          <w:sz w:val="24"/>
        </w:rPr>
      </w:pPr>
      <w:r>
        <w:rPr>
          <w:rFonts w:ascii="宋体" w:hAnsi="宋体" w:cs="宋体" w:hint="eastAsia"/>
          <w:sz w:val="24"/>
        </w:rPr>
        <w:t xml:space="preserve">                康宝莱奶昔知名度及知晓途径表</w:t>
      </w:r>
    </w:p>
    <w:p w:rsidR="00E81574" w:rsidP="00E81574">
      <w:pPr>
        <w:widowControl/>
        <w:spacing w:line="440" w:lineRule="exact"/>
        <w:ind w:firstLine="480" w:firstLineChars="200"/>
        <w:jc w:val="left"/>
        <w:rPr>
          <w:rFonts w:ascii="宋体" w:hAnsi="宋体" w:cs="宋体"/>
          <w:kern w:val="0"/>
          <w:sz w:val="24"/>
          <w:lang w:bidi="ar"/>
        </w:rPr>
      </w:pPr>
      <w:r>
        <w:rPr>
          <w:rFonts w:ascii="宋体" w:hAnsi="宋体" w:cs="宋体" w:hint="eastAsia"/>
          <w:sz w:val="24"/>
        </w:rPr>
        <w:t>从回收回来的问卷可知，50个被调查者中，有接近一半的人没有听过康宝莱奶昔，赤裸裸的显露出康宝莱奶昔知名度低下的问题。</w:t>
      </w:r>
    </w:p>
    <w:p w:rsidR="00E81574" w:rsidP="00E81574">
      <w:pPr>
        <w:widowControl/>
        <w:ind w:firstLine="480" w:firstLineChars="200"/>
        <w:jc w:val="left"/>
        <w:rPr>
          <w:rFonts w:ascii="宋体" w:hAnsi="宋体" w:cs="宋体" w:hint="eastAsia"/>
          <w:kern w:val="0"/>
          <w:sz w:val="24"/>
          <w:lang w:bidi="ar"/>
        </w:rPr>
      </w:pPr>
      <w:r>
        <w:rPr>
          <w:rFonts w:ascii="宋体" w:hAnsi="宋体" w:cs="宋体" w:hint="eastAsia"/>
          <w:kern w:val="0"/>
          <w:sz w:val="24"/>
          <w:lang w:bidi="ar"/>
        </w:rPr>
        <w:t xml:space="preserve">  康宝莱奶昔购置状况调查表</w:t>
      </w:r>
    </w:p>
    <w:p w:rsidR="00E81574" w:rsidP="00E81574">
      <w:pPr>
        <w:spacing w:line="440" w:lineRule="exact"/>
        <w:rPr>
          <w:rFonts w:ascii="宋体" w:hAnsi="宋体" w:hint="eastAsia"/>
          <w:sz w:val="24"/>
        </w:rPr>
      </w:pPr>
      <w:r>
        <w:rPr>
          <w:rFonts w:ascii="宋体" w:hAnsi="宋体" w:hint="eastAsia"/>
          <w:sz w:val="24"/>
        </w:rPr>
        <w:t xml:space="preserve">    当然，在知名度不高的前提下，购置过康宝莱奶昔的人就更少了。如图，50人中有78%都没有购置过康莱，所以我认为，</w:t>
      </w:r>
      <w:r>
        <w:rPr>
          <w:rFonts w:hint="eastAsia"/>
          <w:sz w:val="24"/>
        </w:rPr>
        <w:t>要想提高康宝莱的销售额，必须首先提高其知名度。</w:t>
      </w:r>
    </w:p>
    <w:p w:rsidR="00E81574" w:rsidP="00E81574">
      <w:pPr>
        <w:numPr>
          <w:ilvl w:val="0"/>
          <w:numId w:val="4"/>
        </w:numPr>
        <w:spacing w:before="156" w:beforeLines="50" w:line="440" w:lineRule="exact"/>
        <w:outlineLvl w:val="2"/>
        <w:rPr>
          <w:rFonts w:ascii="宋体" w:hAnsi="宋体" w:hint="eastAsia"/>
          <w:b/>
          <w:bCs/>
          <w:sz w:val="24"/>
        </w:rPr>
      </w:pPr>
      <w:bookmarkStart w:id="365" w:name="_Toc23820"/>
      <w:bookmarkStart w:id="366" w:name="_Toc152"/>
      <w:bookmarkStart w:id="367" w:name="_Toc9379"/>
      <w:bookmarkStart w:id="368" w:name="_Toc23374"/>
      <w:bookmarkStart w:id="369" w:name="_Toc24296"/>
      <w:bookmarkStart w:id="370" w:name="_Toc12422"/>
      <w:bookmarkStart w:id="371" w:name="_Toc11649"/>
      <w:r>
        <w:rPr>
          <w:rFonts w:ascii="宋体" w:hAnsi="宋体" w:hint="eastAsia"/>
          <w:b/>
          <w:bCs/>
          <w:sz w:val="24"/>
        </w:rPr>
        <w:t>人们不愿意在保健品方面投入过多资金</w:t>
      </w:r>
      <w:bookmarkEnd w:id="365"/>
      <w:bookmarkEnd w:id="366"/>
      <w:bookmarkEnd w:id="367"/>
      <w:bookmarkEnd w:id="368"/>
      <w:bookmarkEnd w:id="369"/>
      <w:bookmarkEnd w:id="370"/>
      <w:bookmarkEnd w:id="371"/>
    </w:p>
    <w:p w:rsidR="00E81574" w:rsidP="00E81574">
      <w:pPr>
        <w:spacing w:line="440" w:lineRule="exact"/>
        <w:rPr>
          <w:rFonts w:ascii="宋体" w:hAnsi="宋体" w:hint="eastAsia"/>
          <w:sz w:val="24"/>
        </w:rPr>
      </w:pPr>
      <w:r>
        <w:rPr>
          <w:rFonts w:ascii="宋体" w:hAnsi="宋体" w:hint="eastAsia"/>
          <w:sz w:val="24"/>
        </w:rPr>
        <w:t xml:space="preserve">                               家庭月收入调查表</w:t>
      </w:r>
    </w:p>
    <w:p w:rsidR="00E81574" w:rsidP="00E81574">
      <w:pPr>
        <w:spacing w:line="440" w:lineRule="exact"/>
        <w:ind w:firstLine="480" w:firstLineChars="200"/>
        <w:rPr>
          <w:rFonts w:ascii="宋体" w:hAnsi="宋体" w:hint="eastAsia"/>
          <w:sz w:val="24"/>
        </w:rPr>
      </w:pPr>
      <w:r>
        <w:rPr>
          <w:rFonts w:ascii="宋体" w:hAnsi="宋体" w:hint="eastAsia"/>
          <w:sz w:val="24"/>
        </w:rPr>
        <w:t>根据问卷调查，可知，盐城亭湖区人民平均月家庭收入有30%处于3000~6000元，有34%处于6000~10000元,大局部家庭属于这两个区间。</w:t>
      </w:r>
    </w:p>
    <w:p w:rsidR="00E81574" w:rsidP="00E81574">
      <w:pPr>
        <w:spacing w:line="440" w:lineRule="exact"/>
        <w:ind w:firstLine="480" w:firstLineChars="200"/>
        <w:rPr>
          <w:rFonts w:ascii="宋体" w:hAnsi="宋体" w:hint="eastAsia"/>
          <w:sz w:val="24"/>
        </w:rPr>
      </w:pPr>
      <w:r>
        <w:rPr>
          <w:rFonts w:ascii="宋体" w:hAnsi="宋体" w:hint="eastAsia"/>
          <w:sz w:val="24"/>
        </w:rPr>
        <w:t xml:space="preserve">                    家庭投入保健品金额支出表</w:t>
      </w:r>
    </w:p>
    <w:p w:rsidR="00E81574" w:rsidP="00E81574">
      <w:pPr>
        <w:widowControl/>
        <w:spacing w:line="440" w:lineRule="exact"/>
        <w:ind w:firstLine="480"/>
        <w:jc w:val="left"/>
        <w:rPr>
          <w:rFonts w:ascii="宋体" w:hAnsi="宋体" w:cs="宋体" w:hint="eastAsia"/>
          <w:kern w:val="0"/>
          <w:sz w:val="24"/>
          <w:lang w:bidi="ar"/>
        </w:rPr>
      </w:pPr>
      <w:r>
        <w:rPr>
          <w:rFonts w:ascii="宋体" w:hAnsi="宋体" w:cs="宋体" w:hint="eastAsia"/>
          <w:kern w:val="0"/>
          <w:sz w:val="24"/>
          <w:lang w:bidi="ar"/>
        </w:rPr>
        <w:t>即使家庭月平均收入并不低，从上图中我们可以得知，有44%的家庭每月花在保健品方面的支出在200元以下，其中极有可能许多家庭每月保健品花费为0，虽然人们已经有了一定的养生观念，但依然有许多家庭只是停留在初具观念而已，行动依旧没有跟上。</w:t>
      </w:r>
    </w:p>
    <w:p w:rsidR="00E81574" w:rsidP="00E81574">
      <w:pPr>
        <w:widowControl/>
        <w:numPr>
          <w:ilvl w:val="0"/>
          <w:numId w:val="4"/>
        </w:numPr>
        <w:spacing w:before="156" w:beforeLines="50" w:line="440" w:lineRule="exact"/>
        <w:jc w:val="left"/>
        <w:outlineLvl w:val="2"/>
        <w:rPr>
          <w:rFonts w:ascii="宋体" w:hAnsi="宋体" w:cs="宋体" w:hint="eastAsia"/>
          <w:b/>
          <w:bCs/>
          <w:kern w:val="0"/>
          <w:sz w:val="24"/>
          <w:lang w:bidi="ar"/>
        </w:rPr>
      </w:pPr>
      <w:bookmarkStart w:id="372" w:name="_Toc24429"/>
      <w:bookmarkStart w:id="373" w:name="_Toc7814"/>
      <w:bookmarkStart w:id="374" w:name="_Toc4"/>
      <w:r>
        <w:rPr>
          <w:rFonts w:ascii="宋体" w:hAnsi="宋体" w:cs="宋体" w:hint="eastAsia"/>
          <w:b/>
          <w:bCs/>
          <w:kern w:val="0"/>
          <w:sz w:val="24"/>
          <w:lang w:bidi="ar"/>
        </w:rPr>
        <w:t>同行业竞争十分剧烈</w:t>
      </w:r>
      <w:bookmarkEnd w:id="372"/>
      <w:bookmarkEnd w:id="373"/>
      <w:bookmarkEnd w:id="374"/>
    </w:p>
    <w:p w:rsidR="00E81574" w:rsidP="00E81574">
      <w:pPr>
        <w:spacing w:line="440" w:lineRule="exact"/>
        <w:ind w:firstLine="360" w:firstLineChars="150"/>
        <w:rPr>
          <w:rFonts w:ascii="宋体" w:hAnsi="宋体" w:hint="eastAsia"/>
          <w:sz w:val="24"/>
        </w:rPr>
      </w:pPr>
      <w:r>
        <w:rPr>
          <w:rFonts w:ascii="宋体" w:hAnsi="宋体" w:hint="eastAsia"/>
          <w:sz w:val="24"/>
        </w:rPr>
        <w:t>随着人民物质生活水平的提高，平时吃的也好了，体重超标的人也越来越多，健康减肥保健品的需求也逐步提高，减肥品牌如雨后春笋般崛起，为了抢占市场份额，行业内各企业加大宣传力度，凸显出竞争品牌没有的特点，以此到达自身品牌的知名度，由此不单盐城亭湖区，整个减肥保健品行业竞争越来越剧烈。</w:t>
      </w:r>
    </w:p>
    <w:p w:rsidR="00E81574" w:rsidP="00E81574">
      <w:pPr>
        <w:spacing w:line="440" w:lineRule="exact"/>
        <w:rPr>
          <w:rFonts w:ascii="宋体" w:hAnsi="宋体" w:hint="eastAsia"/>
          <w:sz w:val="24"/>
        </w:rPr>
      </w:pPr>
      <w:r>
        <w:rPr>
          <w:rFonts w:ascii="宋体" w:hAnsi="宋体" w:hint="eastAsia"/>
          <w:sz w:val="24"/>
        </w:rPr>
        <w:t xml:space="preserve">                        盐城亭湖区康宝莱知名度调查图</w:t>
      </w:r>
    </w:p>
    <w:p w:rsidR="00E81574" w:rsidP="00E81574">
      <w:pPr>
        <w:widowControl/>
        <w:spacing w:line="440" w:lineRule="exact"/>
        <w:ind w:firstLine="480" w:firstLineChars="200"/>
        <w:jc w:val="left"/>
        <w:rPr>
          <w:rFonts w:ascii="宋体" w:hAnsi="宋体" w:hint="eastAsia"/>
          <w:sz w:val="24"/>
        </w:rPr>
      </w:pPr>
      <w:r>
        <w:rPr>
          <w:rFonts w:ascii="宋体" w:hAnsi="宋体" w:cs="宋体" w:hint="eastAsia"/>
          <w:sz w:val="24"/>
        </w:rPr>
        <w:t>从回收的50份问卷可以看出，在盐城亭湖区，安利、汤臣倍健、养生堂的知名度普遍高过康美莱，50人中，只有25人听过康美莱。这也从侧面反映出康美莱的竞争对手知名度均高过其本身，市场竞争十分剧烈。</w:t>
      </w:r>
    </w:p>
    <w:p w:rsidR="00E81574" w:rsidP="00E81574">
      <w:pPr>
        <w:numPr>
          <w:ilvl w:val="0"/>
          <w:numId w:val="5"/>
        </w:numPr>
        <w:tabs>
          <w:tab w:val="left" w:pos="292"/>
          <w:tab w:val="left" w:pos="720"/>
        </w:tabs>
        <w:spacing w:before="312" w:beforeLines="100" w:after="312" w:afterLines="100"/>
        <w:outlineLvl w:val="0"/>
        <w:rPr>
          <w:rFonts w:ascii="黑体" w:eastAsia="黑体" w:hAnsi="黑体" w:hint="eastAsia"/>
          <w:sz w:val="28"/>
          <w:szCs w:val="28"/>
        </w:rPr>
      </w:pPr>
      <w:bookmarkStart w:id="375" w:name="_Toc12651"/>
      <w:bookmarkStart w:id="376" w:name="_Toc4555"/>
      <w:bookmarkStart w:id="377" w:name="_Toc28803"/>
      <w:bookmarkStart w:id="378" w:name="_Toc5033"/>
      <w:bookmarkStart w:id="379" w:name="_Toc1810"/>
      <w:bookmarkStart w:id="380" w:name="_Toc12857"/>
      <w:bookmarkStart w:id="381" w:name="_Toc9474"/>
      <w:r>
        <w:rPr>
          <w:rFonts w:ascii="黑体" w:eastAsia="黑体" w:hAnsi="黑体" w:hint="eastAsia"/>
          <w:sz w:val="28"/>
          <w:szCs w:val="28"/>
        </w:rPr>
        <w:t>筹划方案</w:t>
      </w:r>
      <w:bookmarkEnd w:id="375"/>
      <w:bookmarkEnd w:id="376"/>
      <w:bookmarkEnd w:id="377"/>
      <w:bookmarkEnd w:id="378"/>
      <w:bookmarkEnd w:id="379"/>
      <w:bookmarkEnd w:id="380"/>
      <w:bookmarkEnd w:id="381"/>
    </w:p>
    <w:p w:rsidR="00E81574" w:rsidP="00E81574">
      <w:pPr>
        <w:tabs>
          <w:tab w:val="left" w:pos="292"/>
        </w:tabs>
        <w:spacing w:before="156" w:beforeLines="50" w:after="156" w:afterLines="50" w:line="440" w:lineRule="exact"/>
        <w:outlineLvl w:val="1"/>
        <w:rPr>
          <w:rFonts w:ascii="黑体" w:eastAsia="黑体" w:hAnsi="黑体" w:cs="黑体" w:hint="eastAsia"/>
          <w:sz w:val="24"/>
        </w:rPr>
      </w:pPr>
      <w:bookmarkStart w:id="382" w:name="_Toc5042"/>
      <w:bookmarkStart w:id="383" w:name="_Toc3064"/>
      <w:bookmarkStart w:id="384" w:name="_Toc19492"/>
      <w:r>
        <w:rPr>
          <w:rFonts w:ascii="黑体" w:eastAsia="黑体" w:hAnsi="黑体" w:cs="黑体" w:hint="eastAsia"/>
          <w:sz w:val="24"/>
        </w:rPr>
        <w:t>〔一〕活动主题：健康享</w:t>
      </w:r>
      <w:r>
        <w:rPr>
          <w:rFonts w:ascii="黑体" w:eastAsia="黑体" w:hAnsi="黑体" w:cs="黑体" w:hint="eastAsia"/>
          <w:sz w:val="24"/>
        </w:rPr>
        <w:t>“</w:t>
      </w:r>
      <w:r>
        <w:rPr>
          <w:rFonts w:ascii="黑体" w:eastAsia="黑体" w:hAnsi="黑体" w:cs="黑体" w:hint="eastAsia"/>
          <w:sz w:val="24"/>
        </w:rPr>
        <w:t>瘦〞</w:t>
      </w:r>
      <w:bookmarkEnd w:id="382"/>
      <w:bookmarkEnd w:id="383"/>
      <w:bookmarkEnd w:id="384"/>
    </w:p>
    <w:p w:rsidR="00E81574" w:rsidP="00E81574">
      <w:pPr>
        <w:tabs>
          <w:tab w:val="left" w:pos="292"/>
        </w:tabs>
        <w:spacing w:before="156" w:beforeLines="50" w:after="156" w:afterLines="50" w:line="440" w:lineRule="exact"/>
        <w:outlineLvl w:val="1"/>
        <w:rPr>
          <w:rFonts w:ascii="黑体" w:eastAsia="黑体" w:hAnsi="黑体" w:cs="黑体" w:hint="eastAsia"/>
          <w:sz w:val="24"/>
        </w:rPr>
        <w:sectPr w:rsidSect="00E36937">
          <w:type w:val="nextPage"/>
          <w:pgSz w:w="11906" w:h="16838"/>
          <w:pgMar w:top="1332" w:right="1191" w:bottom="1293" w:left="1191" w:header="851" w:footer="992" w:gutter="0"/>
          <w:pgNumType w:start="8"/>
          <w:cols w:space="425"/>
          <w:titlePg w:val="0"/>
          <w:docGrid w:type="lines" w:linePitch="312"/>
        </w:sectPr>
      </w:pPr>
      <w:bookmarkStart w:id="385" w:name="_Toc9623"/>
      <w:bookmarkStart w:id="386" w:name="_Toc30307"/>
      <w:bookmarkStart w:id="387" w:name="_Toc4446"/>
      <w:r>
        <w:rPr>
          <w:rFonts w:ascii="黑体" w:eastAsia="黑体" w:hAnsi="黑体" w:cs="黑体" w:hint="eastAsia"/>
          <w:sz w:val="24"/>
        </w:rPr>
        <w:t>〔二〕活动时间：</w:t>
      </w:r>
      <w:smartTag w:uri="urn:schemas-microsoft-com:office:smarttags" w:element="chsdate">
        <w:smartTagPr>
          <w:attr w:name="Day" w:val="1"/>
          <w:attr w:name="IsLunarDate" w:val="False"/>
          <w:attr w:name="IsROCDate" w:val="False"/>
          <w:attr w:name="Month" w:val="12"/>
          <w:attr w:name="Year" w:val="2015"/>
        </w:smartTagPr>
        <w:r>
          <w:rPr>
            <w:rFonts w:ascii="黑体" w:eastAsia="黑体" w:hAnsi="黑体" w:cs="黑体" w:hint="eastAsia"/>
            <w:sz w:val="24"/>
          </w:rPr>
          <w:t>2015年12月1日</w:t>
        </w:r>
      </w:smartTag>
      <w:r>
        <w:rPr>
          <w:rFonts w:ascii="黑体" w:eastAsia="黑体" w:hAnsi="黑体" w:cs="黑体" w:hint="eastAsia"/>
          <w:sz w:val="24"/>
        </w:rPr>
        <w:t>至</w:t>
      </w:r>
      <w:smartTag w:uri="urn:schemas-microsoft-com:office:smarttags" w:element="chsdate">
        <w:smartTagPr>
          <w:attr w:name="Day" w:val="31"/>
          <w:attr w:name="IsLunarDate" w:val="False"/>
          <w:attr w:name="IsROCDate" w:val="False"/>
          <w:attr w:name="Month" w:val="12"/>
          <w:attr w:name="Year" w:val="2015"/>
        </w:smartTagPr>
        <w:r>
          <w:rPr>
            <w:rFonts w:ascii="黑体" w:eastAsia="黑体" w:hAnsi="黑体" w:cs="黑体" w:hint="eastAsia"/>
            <w:sz w:val="24"/>
          </w:rPr>
          <w:t>2015年12月31日</w:t>
        </w:r>
      </w:smartTag>
      <w:bookmarkEnd w:id="385"/>
      <w:bookmarkEnd w:id="386"/>
      <w:bookmarkEnd w:id="387"/>
    </w:p>
    <w:p w:rsidR="00E81574" w:rsidP="00E81574">
      <w:pPr>
        <w:tabs>
          <w:tab w:val="left" w:pos="292"/>
        </w:tabs>
        <w:spacing w:before="156" w:beforeLines="50" w:after="156" w:afterLines="50" w:line="440" w:lineRule="exact"/>
        <w:ind w:firstLine="120" w:firstLineChars="50"/>
        <w:outlineLvl w:val="1"/>
        <w:rPr>
          <w:rFonts w:ascii="黑体" w:eastAsia="黑体" w:hAnsi="黑体" w:cs="黑体" w:hint="eastAsia"/>
          <w:sz w:val="24"/>
        </w:rPr>
      </w:pPr>
      <w:bookmarkStart w:id="388" w:name="_Toc16709"/>
      <w:bookmarkStart w:id="389" w:name="_Toc28057"/>
      <w:bookmarkStart w:id="390" w:name="_Toc23295"/>
      <w:r>
        <w:rPr>
          <w:rFonts w:ascii="黑体" w:eastAsia="黑体" w:hAnsi="黑体" w:cs="黑体" w:hint="eastAsia"/>
          <w:sz w:val="24"/>
        </w:rPr>
        <w:t>〔三〕活动地点：盐城亭湖区悦达泰和健身房、盐城亭湖区星巴克咖啡馆、盐城</w:t>
      </w:r>
      <w:bookmarkEnd w:id="388"/>
      <w:bookmarkEnd w:id="389"/>
      <w:bookmarkEnd w:id="390"/>
    </w:p>
    <w:p w:rsidR="00E81574" w:rsidP="00E81574">
      <w:pPr>
        <w:spacing w:before="156" w:beforeLines="50" w:after="156" w:afterLines="50" w:line="440" w:lineRule="exact"/>
        <w:outlineLvl w:val="1"/>
        <w:rPr>
          <w:rFonts w:ascii="黑体" w:eastAsia="黑体" w:hAnsi="黑体" w:cs="黑体" w:hint="eastAsia"/>
          <w:sz w:val="24"/>
        </w:rPr>
      </w:pPr>
      <w:bookmarkStart w:id="391" w:name="_Toc20501"/>
      <w:bookmarkStart w:id="392" w:name="_Toc19526"/>
      <w:bookmarkStart w:id="393" w:name="_Toc5794"/>
      <w:r>
        <w:rPr>
          <w:rFonts w:ascii="黑体" w:eastAsia="黑体" w:hAnsi="黑体" w:cs="黑体" w:hint="eastAsia"/>
          <w:sz w:val="24"/>
        </w:rPr>
        <w:t>〔四〕活动内容</w:t>
      </w:r>
      <w:bookmarkEnd w:id="391"/>
      <w:bookmarkEnd w:id="392"/>
      <w:bookmarkEnd w:id="393"/>
    </w:p>
    <w:p w:rsidR="00E81574" w:rsidP="00E81574">
      <w:pPr>
        <w:spacing w:line="440" w:lineRule="exact"/>
        <w:ind w:firstLine="480" w:firstLineChars="200"/>
        <w:rPr>
          <w:rFonts w:ascii="宋体" w:hAnsi="宋体" w:hint="eastAsia"/>
          <w:sz w:val="24"/>
        </w:rPr>
      </w:pPr>
      <w:r>
        <w:rPr>
          <w:rFonts w:ascii="宋体" w:hAnsi="宋体" w:cs="宋体" w:hint="eastAsia"/>
          <w:sz w:val="24"/>
        </w:rPr>
        <w:t>围绕圣诞节，</w:t>
      </w:r>
      <w:r>
        <w:rPr>
          <w:rFonts w:ascii="宋体" w:hAnsi="宋体" w:hint="eastAsia"/>
          <w:sz w:val="24"/>
        </w:rPr>
        <w:t>将整个12月作为活动时间段，通过与盐城知名健身房悦达泰和取得合作，通过一个月的时间，在以健身为主，以食用康宝莱奶昔为辅的封闭式训练的情况下，让报名者实现身形上的蜕变并且设置奖项。〔以直播的形式进行播放一个月内的减肥过程，以投票形式赢取奖品〕</w:t>
      </w:r>
    </w:p>
    <w:p w:rsidR="00E81574" w:rsidP="00E81574">
      <w:pPr>
        <w:spacing w:before="156" w:beforeLines="50" w:after="156" w:afterLines="50" w:line="440" w:lineRule="exact"/>
        <w:outlineLvl w:val="1"/>
        <w:rPr>
          <w:rFonts w:ascii="黑体" w:eastAsia="黑体" w:hAnsi="黑体" w:cs="黑体" w:hint="eastAsia"/>
          <w:sz w:val="24"/>
        </w:rPr>
      </w:pPr>
      <w:bookmarkStart w:id="394" w:name="_Toc15434"/>
      <w:bookmarkStart w:id="395" w:name="_Toc27717"/>
      <w:bookmarkStart w:id="396" w:name="_Toc11482"/>
      <w:r>
        <w:rPr>
          <w:rFonts w:ascii="黑体" w:eastAsia="黑体" w:hAnsi="黑体" w:cs="黑体" w:hint="eastAsia"/>
          <w:sz w:val="24"/>
        </w:rPr>
        <w:t>〔五〕活动步骤</w:t>
      </w:r>
      <w:bookmarkEnd w:id="394"/>
      <w:bookmarkEnd w:id="395"/>
      <w:bookmarkEnd w:id="396"/>
    </w:p>
    <w:p w:rsidR="00E81574" w:rsidP="00E81574">
      <w:pPr>
        <w:spacing w:line="440" w:lineRule="exact"/>
        <w:rPr>
          <w:rFonts w:ascii="宋体" w:hAnsi="宋体" w:hint="eastAsia"/>
          <w:sz w:val="24"/>
        </w:rPr>
      </w:pPr>
      <w:r>
        <w:rPr>
          <w:rFonts w:ascii="宋体" w:hAnsi="宋体" w:hint="eastAsia"/>
          <w:sz w:val="24"/>
        </w:rPr>
        <w:t>1、将盐城亭湖区康宝莱奶昔将和悦达泰和合作消息通过推送#盐城身边事#发布，创立新浪微博盐城康宝莱健康享</w:t>
      </w:r>
      <w:r>
        <w:rPr>
          <w:rFonts w:ascii="宋体" w:hAnsi="宋体" w:hint="eastAsia"/>
          <w:sz w:val="24"/>
        </w:rPr>
        <w:t>“</w:t>
      </w:r>
      <w:r>
        <w:rPr>
          <w:rFonts w:ascii="宋体" w:hAnsi="宋体" w:hint="eastAsia"/>
          <w:sz w:val="24"/>
        </w:rPr>
        <w:t>瘦〞ID、盐城康宝莱健康享</w:t>
      </w:r>
      <w:r>
        <w:rPr>
          <w:rFonts w:ascii="宋体" w:hAnsi="宋体" w:hint="eastAsia"/>
          <w:sz w:val="24"/>
        </w:rPr>
        <w:t>“</w:t>
      </w:r>
      <w:r>
        <w:rPr>
          <w:rFonts w:ascii="宋体" w:hAnsi="宋体" w:hint="eastAsia"/>
          <w:sz w:val="24"/>
        </w:rPr>
        <w:t>瘦〞吧。在盐城各大高校贴吧亭湖区相关贴吧内发布活动内容与报名联系方式，在海华广场、宝龙广场散发传单说明此次活动举办及报名的方式，吸引群众关注此次活动，并鼓励报名。</w:t>
      </w:r>
    </w:p>
    <w:p w:rsidR="00E81574" w:rsidP="00E81574">
      <w:pPr>
        <w:numPr>
          <w:ilvl w:val="0"/>
          <w:numId w:val="3"/>
        </w:numPr>
        <w:spacing w:line="440" w:lineRule="exact"/>
        <w:rPr>
          <w:rFonts w:ascii="宋体" w:hAnsi="宋体" w:hint="eastAsia"/>
          <w:sz w:val="24"/>
        </w:rPr>
      </w:pPr>
      <w:r>
        <w:rPr>
          <w:rFonts w:ascii="宋体" w:hAnsi="宋体" w:hint="eastAsia"/>
          <w:sz w:val="24"/>
        </w:rPr>
        <w:t>在报名者中，精心选取10名由于肥胖影响生活，或者已经影响健康的选手，可以通过运动饮食方式改善的报名者以   联系的方式告知他们已经顺利进入此次特别训练营，但此次活动需缴纳报名费，每人1000元。</w:t>
      </w:r>
    </w:p>
    <w:p w:rsidR="00E81574" w:rsidP="00E81574">
      <w:pPr>
        <w:numPr>
          <w:ilvl w:val="0"/>
          <w:numId w:val="3"/>
        </w:numPr>
        <w:spacing w:line="440" w:lineRule="exact"/>
        <w:rPr>
          <w:rFonts w:ascii="宋体" w:hAnsi="宋体" w:hint="eastAsia"/>
          <w:sz w:val="24"/>
        </w:rPr>
      </w:pPr>
      <w:r>
        <w:rPr>
          <w:rFonts w:ascii="宋体" w:hAnsi="宋体" w:hint="eastAsia"/>
          <w:sz w:val="24"/>
        </w:rPr>
        <w:t>10名选手被统一安排入住盐城迎宾馆，宾馆提供多人间住宿，他们将面临长达一个月的封闭式训练。悦达泰和健身会所会安排两名资历丰富的教练，在一个月的时间内对他们进行科学的训练。在此期间，康宝莱奶昔将以早晚饭的形式提供给消费者，在悦达泰和的休息室内摆放康宝莱奶昔，免费提供给本健身会所的所有会员饮用。并摆放康宝莱宣传单在桌面上，进而间接的与悦达泰和建立长期的合作关系。</w:t>
      </w:r>
    </w:p>
    <w:p w:rsidR="00E81574" w:rsidP="00E81574">
      <w:pPr>
        <w:numPr>
          <w:ilvl w:val="0"/>
          <w:numId w:val="3"/>
        </w:numPr>
        <w:spacing w:line="440" w:lineRule="exact"/>
        <w:rPr>
          <w:rFonts w:ascii="宋体" w:hAnsi="宋体" w:hint="eastAsia"/>
          <w:sz w:val="24"/>
        </w:rPr>
      </w:pPr>
      <w:r>
        <w:rPr>
          <w:rFonts w:ascii="宋体" w:hAnsi="宋体" w:hint="eastAsia"/>
          <w:sz w:val="24"/>
        </w:rPr>
        <w:t>在这一个月内，每天晚上这些选手都能通过公布的YY视频账号，与大家见面交流，分享心得，训练片段也会被放在YY上，同时，在YY上也会有一个投票通道，观众可以从12月1号开始投票，到12月31号统计得票数，得票前3名的幸运儿，将免去此次报名费用。</w:t>
      </w:r>
    </w:p>
    <w:p w:rsidR="00E81574" w:rsidP="00E81574">
      <w:pPr>
        <w:numPr>
          <w:ilvl w:val="0"/>
          <w:numId w:val="3"/>
        </w:numPr>
        <w:spacing w:line="440" w:lineRule="exact"/>
        <w:rPr>
          <w:rFonts w:ascii="宋体" w:hAnsi="宋体" w:hint="eastAsia"/>
          <w:sz w:val="24"/>
        </w:rPr>
      </w:pPr>
      <w:r>
        <w:rPr>
          <w:rFonts w:ascii="宋体" w:hAnsi="宋体" w:hint="eastAsia"/>
          <w:sz w:val="24"/>
        </w:rPr>
        <w:t>在3名幸运儿中，票数最高者，除了能免去此次报名费用，还能获得</w:t>
      </w:r>
      <w:r>
        <w:rPr>
          <w:rFonts w:ascii="宋体" w:hAnsi="宋体" w:hint="eastAsia"/>
          <w:sz w:val="24"/>
        </w:rPr>
        <w:t>“</w:t>
      </w:r>
      <w:r>
        <w:rPr>
          <w:rFonts w:ascii="宋体" w:hAnsi="宋体" w:hint="eastAsia"/>
          <w:sz w:val="24"/>
        </w:rPr>
        <w:t>健康之星〞的称号，</w:t>
      </w:r>
      <w:r>
        <w:rPr>
          <w:rFonts w:ascii="宋体" w:hAnsi="宋体" w:hint="eastAsia"/>
          <w:sz w:val="24"/>
        </w:rPr>
        <w:t>“</w:t>
      </w:r>
      <w:r>
        <w:rPr>
          <w:rFonts w:ascii="宋体" w:hAnsi="宋体" w:hint="eastAsia"/>
          <w:sz w:val="24"/>
        </w:rPr>
        <w:t>健康之星〞将获得由康宝莱奶昔提供的2000元奖金。</w:t>
      </w:r>
    </w:p>
    <w:p w:rsidR="00E81574" w:rsidP="00E81574">
      <w:pPr>
        <w:numPr>
          <w:ilvl w:val="0"/>
          <w:numId w:val="3"/>
        </w:numPr>
        <w:spacing w:line="440" w:lineRule="exact"/>
        <w:rPr>
          <w:rFonts w:ascii="宋体" w:hAnsi="宋体" w:hint="eastAsia"/>
          <w:sz w:val="24"/>
        </w:rPr>
      </w:pPr>
      <w:smartTag w:uri="urn:schemas-microsoft-com:office:smarttags" w:element="chsdate">
        <w:smartTagPr>
          <w:attr w:name="Day" w:val="1"/>
          <w:attr w:name="IsLunarDate" w:val="False"/>
          <w:attr w:name="IsROCDate" w:val="False"/>
          <w:attr w:name="Month" w:val="1"/>
          <w:attr w:name="Year" w:val="2015"/>
        </w:smartTagPr>
        <w:r>
          <w:rPr>
            <w:rFonts w:ascii="宋体" w:hAnsi="宋体" w:hint="eastAsia"/>
            <w:sz w:val="24"/>
          </w:rPr>
          <w:t>1月1日</w:t>
        </w:r>
      </w:smartTag>
      <w:r>
        <w:rPr>
          <w:rFonts w:ascii="宋体" w:hAnsi="宋体" w:hint="eastAsia"/>
          <w:sz w:val="24"/>
        </w:rPr>
        <w:t>晚上七点，我们将在宝龙广场室内举行</w:t>
      </w:r>
      <w:r>
        <w:rPr>
          <w:rFonts w:ascii="宋体" w:hAnsi="宋体" w:hint="eastAsia"/>
          <w:sz w:val="24"/>
        </w:rPr>
        <w:t>“</w:t>
      </w:r>
      <w:r>
        <w:rPr>
          <w:rFonts w:ascii="宋体" w:hAnsi="宋体" w:hint="eastAsia"/>
          <w:sz w:val="24"/>
        </w:rPr>
        <w:t>健康之星〞的颁奖仪式，邀请康宝莱盐城负责人与本次活发动工，直营店店主以及所有选手参与本次颁奖。</w:t>
      </w:r>
    </w:p>
    <w:p w:rsidR="00E81574" w:rsidP="00E81574">
      <w:pPr>
        <w:spacing w:before="156" w:beforeLines="50" w:after="156" w:afterLines="50" w:line="440" w:lineRule="exact"/>
        <w:outlineLvl w:val="1"/>
        <w:rPr>
          <w:rFonts w:ascii="黑体" w:eastAsia="黑体" w:hAnsi="黑体" w:cs="黑体" w:hint="eastAsia"/>
          <w:sz w:val="24"/>
        </w:rPr>
      </w:pPr>
      <w:bookmarkStart w:id="397" w:name="_Toc13107"/>
      <w:bookmarkStart w:id="398" w:name="_Toc32097"/>
      <w:bookmarkStart w:id="399" w:name="_Toc5821"/>
      <w:r>
        <w:rPr>
          <w:rFonts w:ascii="黑体" w:eastAsia="黑体" w:hAnsi="黑体" w:cs="黑体" w:hint="eastAsia"/>
          <w:sz w:val="24"/>
        </w:rPr>
        <w:t>〔六〕延伸活动</w:t>
      </w:r>
      <w:bookmarkEnd w:id="397"/>
      <w:bookmarkEnd w:id="398"/>
      <w:bookmarkEnd w:id="399"/>
    </w:p>
    <w:p w:rsidR="00E81574" w:rsidP="00E81574">
      <w:pPr>
        <w:spacing w:before="156" w:beforeLines="50" w:line="440" w:lineRule="exact"/>
        <w:outlineLvl w:val="2"/>
        <w:rPr>
          <w:rFonts w:ascii="宋体" w:hAnsi="宋体" w:cs="宋体" w:hint="eastAsia"/>
          <w:b/>
          <w:bCs/>
          <w:sz w:val="24"/>
        </w:rPr>
      </w:pPr>
      <w:bookmarkStart w:id="400" w:name="_Toc19343"/>
      <w:bookmarkStart w:id="401" w:name="_Toc18227"/>
      <w:bookmarkStart w:id="402" w:name="_Toc31646"/>
      <w:r>
        <w:rPr>
          <w:rFonts w:ascii="宋体" w:hAnsi="宋体" w:cs="宋体" w:hint="eastAsia"/>
          <w:b/>
          <w:bCs/>
          <w:sz w:val="24"/>
        </w:rPr>
        <w:t>1、圣诞礼物康宝莱</w:t>
      </w:r>
      <w:bookmarkEnd w:id="400"/>
      <w:bookmarkEnd w:id="401"/>
      <w:bookmarkEnd w:id="402"/>
    </w:p>
    <w:p w:rsidR="00E81574" w:rsidP="00E81574">
      <w:pPr>
        <w:spacing w:line="440" w:lineRule="exact"/>
        <w:ind w:firstLine="360" w:firstLineChars="150"/>
        <w:rPr>
          <w:rFonts w:ascii="宋体" w:hAnsi="宋体" w:hint="eastAsia"/>
          <w:sz w:val="24"/>
        </w:rPr>
        <w:sectPr w:rsidSect="00E36937">
          <w:type w:val="nextPage"/>
          <w:pgSz w:w="11906" w:h="16838"/>
          <w:pgMar w:top="1332" w:right="1191" w:bottom="1293" w:left="1191" w:header="851" w:footer="992" w:gutter="0"/>
          <w:pgNumType w:start="9"/>
          <w:cols w:space="425"/>
          <w:titlePg w:val="0"/>
          <w:docGrid w:type="lines" w:linePitch="312"/>
        </w:sectPr>
      </w:pPr>
      <w:r>
        <w:rPr>
          <w:rFonts w:ascii="宋体" w:hAnsi="宋体" w:hint="eastAsia"/>
          <w:sz w:val="24"/>
        </w:rPr>
        <w:t>通过网上参与训练营的交流与投票通过抽奖的方式每5天选择一名幸运儿体验一星期的奶昔减肥体验。分享心得在康宝莱官网上，从</w:t>
      </w:r>
      <w:smartTag w:uri="urn:schemas-microsoft-com:office:smarttags" w:element="chsdate">
        <w:smartTagPr>
          <w:attr w:name="Day" w:val="1"/>
          <w:attr w:name="IsLunarDate" w:val="False"/>
          <w:attr w:name="IsROCDate" w:val="False"/>
          <w:attr w:name="Month" w:val="12"/>
          <w:attr w:name="Year" w:val="2015"/>
        </w:smartTagPr>
        <w:r>
          <w:rPr>
            <w:rFonts w:ascii="宋体" w:hAnsi="宋体" w:hint="eastAsia"/>
            <w:sz w:val="24"/>
          </w:rPr>
          <w:t>12月1日起</w:t>
        </w:r>
      </w:smartTag>
    </w:p>
    <w:p w:rsidR="00E81574" w:rsidP="00E81574">
      <w:pPr>
        <w:spacing w:line="440" w:lineRule="exact"/>
        <w:ind w:firstLine="360" w:firstLineChars="150"/>
        <w:rPr>
          <w:rFonts w:ascii="宋体" w:hAnsi="宋体" w:hint="eastAsia"/>
          <w:sz w:val="24"/>
        </w:rPr>
      </w:pPr>
      <w:r>
        <w:rPr>
          <w:rFonts w:ascii="宋体" w:hAnsi="宋体" w:hint="eastAsia"/>
          <w:sz w:val="24"/>
        </w:rPr>
        <w:t>至31日一共送出6份幸运奖，每天2份星巴克圣诞奶昔杯电子换购券，每张换购券价值20元，活动结束后在宝龙广场进行颁奖。</w:t>
      </w:r>
    </w:p>
    <w:p w:rsidR="00E81574" w:rsidP="00E81574">
      <w:pPr>
        <w:spacing w:before="156" w:beforeLines="50" w:line="440" w:lineRule="exact"/>
        <w:outlineLvl w:val="2"/>
        <w:rPr>
          <w:rFonts w:ascii="宋体" w:hAnsi="宋体" w:cs="宋体" w:hint="eastAsia"/>
          <w:b/>
          <w:bCs/>
          <w:sz w:val="24"/>
        </w:rPr>
      </w:pPr>
      <w:bookmarkStart w:id="403" w:name="_Toc15396"/>
      <w:bookmarkStart w:id="404" w:name="_Toc16641"/>
      <w:bookmarkStart w:id="405" w:name="_Toc11467"/>
      <w:r>
        <w:rPr>
          <w:rFonts w:ascii="宋体" w:hAnsi="宋体" w:cs="宋体" w:hint="eastAsia"/>
          <w:b/>
          <w:bCs/>
          <w:sz w:val="24"/>
        </w:rPr>
        <w:t>2、美好的一天，由康宝莱开始！</w:t>
      </w:r>
      <w:bookmarkEnd w:id="403"/>
      <w:bookmarkEnd w:id="404"/>
      <w:bookmarkEnd w:id="405"/>
    </w:p>
    <w:p w:rsidR="00E81574" w:rsidP="00E81574">
      <w:pPr>
        <w:spacing w:line="440" w:lineRule="exact"/>
        <w:ind w:firstLine="480" w:firstLineChars="200"/>
        <w:rPr>
          <w:rFonts w:ascii="宋体" w:hAnsi="宋体" w:hint="eastAsia"/>
          <w:sz w:val="24"/>
        </w:rPr>
      </w:pPr>
      <w:r>
        <w:rPr>
          <w:rFonts w:ascii="宋体" w:hAnsi="宋体" w:hint="eastAsia"/>
          <w:sz w:val="24"/>
        </w:rPr>
        <w:t>我们和酒店方进行合作，把奶昔传单放进房间内，以赠送早餐的形式给所有入住者享用。凡在12月内入住本宾馆住户均享受早餐康宝莱健康免费奶昔一杯。</w:t>
      </w:r>
    </w:p>
    <w:p w:rsidR="00E81574" w:rsidP="00E81574">
      <w:pPr>
        <w:tabs>
          <w:tab w:val="left" w:pos="292"/>
        </w:tabs>
        <w:spacing w:before="156" w:beforeLines="50" w:line="440" w:lineRule="exact"/>
        <w:outlineLvl w:val="2"/>
        <w:rPr>
          <w:rFonts w:ascii="宋体" w:hAnsi="宋体" w:hint="eastAsia"/>
          <w:b/>
          <w:bCs/>
          <w:sz w:val="24"/>
        </w:rPr>
      </w:pPr>
      <w:bookmarkStart w:id="406" w:name="_Toc27290"/>
      <w:bookmarkStart w:id="407" w:name="_Toc8635"/>
      <w:bookmarkStart w:id="408" w:name="_Toc25479"/>
      <w:bookmarkStart w:id="409" w:name="_Toc1823"/>
      <w:bookmarkStart w:id="410" w:name="_Toc18080"/>
      <w:bookmarkStart w:id="411" w:name="_Toc32332"/>
      <w:bookmarkStart w:id="412" w:name="_Toc9451"/>
      <w:r>
        <w:rPr>
          <w:rFonts w:ascii="宋体" w:hAnsi="宋体" w:hint="eastAsia"/>
          <w:b/>
          <w:bCs/>
          <w:sz w:val="24"/>
        </w:rPr>
        <w:t>3、直销更优惠！</w:t>
      </w:r>
      <w:bookmarkEnd w:id="406"/>
      <w:bookmarkEnd w:id="407"/>
      <w:bookmarkEnd w:id="408"/>
    </w:p>
    <w:p w:rsidR="00E81574" w:rsidP="00E81574">
      <w:pPr>
        <w:tabs>
          <w:tab w:val="left" w:pos="292"/>
        </w:tabs>
        <w:spacing w:line="440" w:lineRule="exact"/>
        <w:ind w:firstLine="480" w:firstLineChars="200"/>
        <w:outlineLvl w:val="0"/>
        <w:rPr>
          <w:rFonts w:ascii="黑体" w:eastAsia="黑体" w:hAnsi="黑体" w:hint="eastAsia"/>
          <w:sz w:val="24"/>
        </w:rPr>
      </w:pPr>
      <w:bookmarkStart w:id="413" w:name="_Toc5901"/>
      <w:bookmarkStart w:id="414" w:name="_Toc22866"/>
      <w:bookmarkStart w:id="415" w:name="_Toc32647"/>
      <w:bookmarkStart w:id="416" w:name="_Toc25464"/>
      <w:r>
        <w:rPr>
          <w:rFonts w:ascii="宋体" w:hAnsi="宋体" w:hint="eastAsia"/>
          <w:sz w:val="24"/>
        </w:rPr>
        <w:t>在</w:t>
      </w:r>
      <w:smartTag w:uri="urn:schemas-microsoft-com:office:smarttags" w:element="chsdate">
        <w:smartTagPr>
          <w:attr w:name="Day" w:val="10"/>
          <w:attr w:name="IsLunarDate" w:val="False"/>
          <w:attr w:name="IsROCDate" w:val="False"/>
          <w:attr w:name="Month" w:val="12"/>
          <w:attr w:name="Year" w:val="2015"/>
        </w:smartTagPr>
        <w:r>
          <w:rPr>
            <w:rFonts w:ascii="宋体" w:hAnsi="宋体" w:hint="eastAsia"/>
            <w:sz w:val="24"/>
          </w:rPr>
          <w:t>12月10日起</w:t>
        </w:r>
      </w:smartTag>
      <w:r>
        <w:rPr>
          <w:rFonts w:ascii="宋体" w:hAnsi="宋体" w:hint="eastAsia"/>
          <w:sz w:val="24"/>
        </w:rPr>
        <w:t>至</w:t>
      </w:r>
      <w:smartTag w:uri="urn:schemas-microsoft-com:office:smarttags" w:element="chsdate">
        <w:smartTagPr>
          <w:attr w:name="Day" w:val="25"/>
          <w:attr w:name="IsLunarDate" w:val="False"/>
          <w:attr w:name="IsROCDate" w:val="False"/>
          <w:attr w:name="Month" w:val="12"/>
          <w:attr w:name="Year" w:val="2015"/>
        </w:smartTagPr>
        <w:r>
          <w:rPr>
            <w:rFonts w:ascii="宋体" w:hAnsi="宋体" w:hint="eastAsia"/>
            <w:sz w:val="24"/>
          </w:rPr>
          <w:t>12月25日</w:t>
        </w:r>
      </w:smartTag>
      <w:r>
        <w:rPr>
          <w:rFonts w:ascii="宋体" w:hAnsi="宋体" w:hint="eastAsia"/>
          <w:sz w:val="24"/>
        </w:rPr>
        <w:t>期间但凡在盐城直营店订购一疗程康宝莱奶昔系类的均免费提前体验价值399的奶昔减肥一星期免费体验并且免费进行身体根底检查与方案制定，通过微信平台获取信息到店咨询订购均可享受此体验。</w:t>
      </w:r>
      <w:bookmarkEnd w:id="409"/>
      <w:bookmarkEnd w:id="410"/>
      <w:bookmarkEnd w:id="411"/>
      <w:bookmarkEnd w:id="412"/>
      <w:bookmarkEnd w:id="413"/>
      <w:bookmarkEnd w:id="414"/>
      <w:bookmarkEnd w:id="415"/>
      <w:bookmarkEnd w:id="416"/>
    </w:p>
    <w:p w:rsidR="00E81574" w:rsidP="00E81574">
      <w:pPr>
        <w:spacing w:before="156" w:beforeLines="50" w:line="440" w:lineRule="exact"/>
        <w:outlineLvl w:val="2"/>
        <w:rPr>
          <w:rFonts w:ascii="宋体" w:hAnsi="宋体" w:hint="eastAsia"/>
          <w:b/>
          <w:bCs/>
          <w:sz w:val="24"/>
        </w:rPr>
      </w:pPr>
      <w:bookmarkStart w:id="417" w:name="_Toc226"/>
      <w:bookmarkStart w:id="418" w:name="_Toc6313"/>
      <w:bookmarkStart w:id="419" w:name="_Toc11881"/>
      <w:r>
        <w:rPr>
          <w:rFonts w:ascii="宋体" w:hAnsi="宋体" w:hint="eastAsia"/>
          <w:b/>
          <w:bCs/>
          <w:sz w:val="24"/>
        </w:rPr>
        <w:t>4、当康宝莱遇上星巴克？！</w:t>
      </w:r>
      <w:bookmarkEnd w:id="417"/>
      <w:bookmarkEnd w:id="418"/>
      <w:bookmarkEnd w:id="419"/>
    </w:p>
    <w:p w:rsidR="00E81574" w:rsidP="00E81574">
      <w:pPr>
        <w:spacing w:line="440" w:lineRule="exact"/>
        <w:ind w:firstLine="480" w:firstLineChars="200"/>
        <w:rPr>
          <w:rFonts w:ascii="宋体" w:hAnsi="宋体" w:hint="eastAsia"/>
          <w:sz w:val="24"/>
        </w:rPr>
      </w:pPr>
      <w:r>
        <w:rPr>
          <w:rFonts w:ascii="宋体" w:hAnsi="宋体" w:hint="eastAsia"/>
          <w:sz w:val="24"/>
        </w:rPr>
        <w:t>与星巴克合作推出圣诞特别奶昔杯，使年轻一群的消费者尽可能多的接触到康宝莱,更加重视健康的生活，时时刻刻都能健康随行，管理好身材的同时也能够提高知名度摆脱亚健康，在此期间特价推出的此款也应作为重点推荐，亦可通过换购券进行换购，也可以以20元的价格直接进行购置。</w:t>
      </w:r>
    </w:p>
    <w:p w:rsidR="00E81574" w:rsidP="00E81574">
      <w:pPr>
        <w:spacing w:before="312" w:beforeLines="100" w:after="312" w:afterLines="100"/>
        <w:outlineLvl w:val="0"/>
        <w:rPr>
          <w:rFonts w:ascii="黑体" w:eastAsia="黑体" w:hAnsi="黑体" w:hint="eastAsia"/>
          <w:sz w:val="28"/>
          <w:szCs w:val="28"/>
        </w:rPr>
      </w:pPr>
      <w:bookmarkStart w:id="420" w:name="_Toc29498"/>
      <w:bookmarkStart w:id="421" w:name="_Toc20914"/>
      <w:bookmarkStart w:id="422" w:name="_Toc28558"/>
      <w:bookmarkStart w:id="423" w:name="_Toc6304"/>
      <w:bookmarkStart w:id="424" w:name="_Toc29128"/>
      <w:bookmarkStart w:id="425" w:name="_Toc3580"/>
      <w:bookmarkStart w:id="426" w:name="_Toc1977"/>
      <w:r>
        <w:rPr>
          <w:rFonts w:ascii="黑体" w:eastAsia="黑体" w:hAnsi="黑体" w:hint="eastAsia"/>
          <w:sz w:val="28"/>
          <w:szCs w:val="28"/>
        </w:rPr>
        <w:t>十一、</w:t>
      </w:r>
      <w:bookmarkEnd w:id="420"/>
      <w:bookmarkEnd w:id="421"/>
      <w:bookmarkEnd w:id="422"/>
      <w:bookmarkEnd w:id="423"/>
      <w:r>
        <w:rPr>
          <w:rFonts w:ascii="黑体" w:eastAsia="黑体" w:hAnsi="黑体" w:hint="eastAsia"/>
          <w:sz w:val="28"/>
          <w:szCs w:val="28"/>
        </w:rPr>
        <w:t>广告宣传</w:t>
      </w:r>
      <w:bookmarkEnd w:id="424"/>
      <w:bookmarkEnd w:id="425"/>
      <w:bookmarkEnd w:id="426"/>
    </w:p>
    <w:p w:rsidR="00E81574" w:rsidP="00E81574">
      <w:pPr>
        <w:spacing w:before="156" w:beforeLines="50" w:after="156" w:afterLines="50" w:line="440" w:lineRule="exact"/>
        <w:outlineLvl w:val="1"/>
        <w:rPr>
          <w:rFonts w:ascii="黑体" w:eastAsia="黑体" w:hAnsi="黑体" w:cs="黑体" w:hint="eastAsia"/>
          <w:sz w:val="24"/>
        </w:rPr>
      </w:pPr>
      <w:bookmarkStart w:id="427" w:name="_Toc24597"/>
      <w:bookmarkStart w:id="428" w:name="_Toc8941"/>
      <w:bookmarkStart w:id="429" w:name="_Toc15884"/>
      <w:r>
        <w:rPr>
          <w:rFonts w:ascii="黑体" w:eastAsia="黑体" w:hAnsi="黑体" w:cs="黑体" w:hint="eastAsia"/>
          <w:sz w:val="24"/>
        </w:rPr>
        <w:t>〔一〕网络媒介</w:t>
      </w:r>
      <w:bookmarkEnd w:id="427"/>
      <w:bookmarkEnd w:id="428"/>
      <w:bookmarkEnd w:id="429"/>
    </w:p>
    <w:p w:rsidR="00E81574" w:rsidP="00E81574">
      <w:pPr>
        <w:spacing w:line="440" w:lineRule="exact"/>
        <w:rPr>
          <w:rFonts w:ascii="宋体" w:hAnsi="宋体" w:hint="eastAsia"/>
          <w:sz w:val="24"/>
        </w:rPr>
      </w:pPr>
      <w:r>
        <w:rPr>
          <w:rFonts w:ascii="宋体" w:hAnsi="宋体" w:hint="eastAsia"/>
          <w:sz w:val="24"/>
        </w:rPr>
        <w:t>1、在本次活动正式开始前半个月即</w:t>
      </w:r>
      <w:smartTag w:uri="urn:schemas-microsoft-com:office:smarttags" w:element="chsdate">
        <w:smartTagPr>
          <w:attr w:name="Day" w:val="15"/>
          <w:attr w:name="IsLunarDate" w:val="False"/>
          <w:attr w:name="IsROCDate" w:val="False"/>
          <w:attr w:name="Month" w:val="11"/>
          <w:attr w:name="Year" w:val="2015"/>
        </w:smartTagPr>
        <w:r>
          <w:rPr>
            <w:rFonts w:ascii="宋体" w:hAnsi="宋体" w:hint="eastAsia"/>
            <w:sz w:val="24"/>
          </w:rPr>
          <w:t>11月15日</w:t>
        </w:r>
      </w:smartTag>
      <w:r>
        <w:rPr>
          <w:rFonts w:ascii="宋体" w:hAnsi="宋体" w:hint="eastAsia"/>
          <w:sz w:val="24"/>
        </w:rPr>
        <w:t>起至31日由盐城康宝莱负责人安排专人在百度贴吧与新浪微博注册名为</w:t>
      </w:r>
      <w:r>
        <w:rPr>
          <w:rFonts w:ascii="宋体" w:hAnsi="宋体" w:hint="eastAsia"/>
          <w:sz w:val="24"/>
        </w:rPr>
        <w:t>“</w:t>
      </w:r>
      <w:r>
        <w:rPr>
          <w:rFonts w:ascii="宋体" w:hAnsi="宋体" w:hint="eastAsia"/>
          <w:sz w:val="24"/>
        </w:rPr>
        <w:t>健康享瘦〞的两个账号。</w:t>
      </w:r>
    </w:p>
    <w:p w:rsidR="00E81574" w:rsidP="00E81574">
      <w:pPr>
        <w:spacing w:line="440" w:lineRule="exact"/>
        <w:rPr>
          <w:rFonts w:ascii="宋体" w:hAnsi="宋体" w:hint="eastAsia"/>
          <w:sz w:val="24"/>
        </w:rPr>
      </w:pPr>
      <w:r>
        <w:rPr>
          <w:rFonts w:ascii="宋体" w:hAnsi="宋体" w:hint="eastAsia"/>
          <w:sz w:val="24"/>
        </w:rPr>
        <w:t>2、通过盐城播报与盐城人不知道的盐城事儿两个微博媒体对康宝莱本次健康享</w:t>
      </w:r>
      <w:r>
        <w:rPr>
          <w:rFonts w:ascii="宋体" w:hAnsi="宋体" w:hint="eastAsia"/>
          <w:sz w:val="24"/>
        </w:rPr>
        <w:t>“</w:t>
      </w:r>
      <w:r>
        <w:rPr>
          <w:rFonts w:ascii="宋体" w:hAnsi="宋体" w:hint="eastAsia"/>
          <w:sz w:val="24"/>
        </w:rPr>
        <w:t>瘦〞这个活动的内容和报名方式进行转发，同时在盐城范围内进行具体的宣传，在盐城高校与亭湖区内的主题吧发布本次活动的具体内容和报名方式。</w:t>
      </w:r>
    </w:p>
    <w:p w:rsidR="00E81574" w:rsidP="00E81574">
      <w:pPr>
        <w:spacing w:line="440" w:lineRule="exact"/>
        <w:rPr>
          <w:rFonts w:ascii="宋体" w:hAnsi="宋体" w:hint="eastAsia"/>
          <w:sz w:val="24"/>
        </w:rPr>
      </w:pPr>
      <w:r>
        <w:rPr>
          <w:rFonts w:ascii="宋体" w:hAnsi="宋体" w:hint="eastAsia"/>
          <w:sz w:val="24"/>
        </w:rPr>
        <w:t>3、</w:t>
      </w:r>
      <w:smartTag w:uri="urn:schemas-microsoft-com:office:smarttags" w:element="chsdate">
        <w:smartTagPr>
          <w:attr w:name="Day" w:val="1"/>
          <w:attr w:name="IsLunarDate" w:val="False"/>
          <w:attr w:name="IsROCDate" w:val="False"/>
          <w:attr w:name="Month" w:val="12"/>
          <w:attr w:name="Year" w:val="2015"/>
        </w:smartTagPr>
        <w:r>
          <w:rPr>
            <w:rFonts w:ascii="宋体" w:hAnsi="宋体" w:hint="eastAsia"/>
            <w:sz w:val="24"/>
          </w:rPr>
          <w:t>12月1日</w:t>
        </w:r>
      </w:smartTag>
      <w:r>
        <w:rPr>
          <w:rFonts w:ascii="宋体" w:hAnsi="宋体" w:hint="eastAsia"/>
          <w:sz w:val="24"/>
        </w:rPr>
        <w:t>至</w:t>
      </w:r>
      <w:smartTag w:uri="urn:schemas-microsoft-com:office:smarttags" w:element="chsdate">
        <w:smartTagPr>
          <w:attr w:name="Day" w:val="31"/>
          <w:attr w:name="IsLunarDate" w:val="False"/>
          <w:attr w:name="IsROCDate" w:val="False"/>
          <w:attr w:name="Month" w:val="12"/>
          <w:attr w:name="Year" w:val="2015"/>
        </w:smartTagPr>
        <w:r>
          <w:rPr>
            <w:rFonts w:ascii="宋体" w:hAnsi="宋体" w:hint="eastAsia"/>
            <w:sz w:val="24"/>
          </w:rPr>
          <w:t>12月31日</w:t>
        </w:r>
      </w:smartTag>
      <w:r>
        <w:rPr>
          <w:rFonts w:ascii="宋体" w:hAnsi="宋体" w:hint="eastAsia"/>
          <w:sz w:val="24"/>
        </w:rPr>
        <w:t>发布yy直播公众号，具体直播的时间与投票渠道侧重于投票抽奖的内容并且通过两个微博号转发与百度贴吧的同步进行并且通过这两个渠道发布获奖名单，将活动结束后的宣传视频传到官方微博与贴吧，并且制作出纸质宣传册。</w:t>
      </w:r>
    </w:p>
    <w:p w:rsidR="00E81574" w:rsidP="00E81574">
      <w:pPr>
        <w:spacing w:before="156" w:beforeLines="50" w:after="156" w:afterLines="50" w:line="440" w:lineRule="exact"/>
        <w:outlineLvl w:val="1"/>
        <w:rPr>
          <w:rFonts w:ascii="黑体" w:eastAsia="黑体" w:hAnsi="黑体" w:cs="黑体" w:hint="eastAsia"/>
          <w:sz w:val="24"/>
        </w:rPr>
      </w:pPr>
      <w:bookmarkStart w:id="430" w:name="_Toc11680"/>
      <w:bookmarkStart w:id="431" w:name="_Toc6281"/>
      <w:bookmarkStart w:id="432" w:name="_Toc16955"/>
      <w:r>
        <w:rPr>
          <w:rFonts w:ascii="黑体" w:eastAsia="黑体" w:hAnsi="黑体" w:cs="黑体" w:hint="eastAsia"/>
          <w:sz w:val="24"/>
        </w:rPr>
        <w:t>〔二〕纸质媒介</w:t>
      </w:r>
      <w:bookmarkEnd w:id="430"/>
      <w:bookmarkEnd w:id="431"/>
      <w:bookmarkEnd w:id="432"/>
    </w:p>
    <w:p w:rsidR="00E81574" w:rsidP="00E81574">
      <w:pPr>
        <w:spacing w:line="440" w:lineRule="exact"/>
        <w:rPr>
          <w:rFonts w:ascii="宋体" w:hAnsi="宋体" w:hint="eastAsia"/>
          <w:sz w:val="24"/>
        </w:rPr>
      </w:pPr>
      <w:r>
        <w:rPr>
          <w:rFonts w:ascii="宋体" w:hAnsi="宋体" w:hint="eastAsia"/>
          <w:sz w:val="24"/>
        </w:rPr>
        <w:t>1、</w:t>
      </w:r>
      <w:smartTag w:uri="urn:schemas-microsoft-com:office:smarttags" w:element="chsdate">
        <w:smartTagPr>
          <w:attr w:name="Day" w:val="25"/>
          <w:attr w:name="IsLunarDate" w:val="False"/>
          <w:attr w:name="IsROCDate" w:val="False"/>
          <w:attr w:name="Month" w:val="11"/>
          <w:attr w:name="Year" w:val="2015"/>
        </w:smartTagPr>
        <w:r>
          <w:rPr>
            <w:rFonts w:ascii="宋体" w:hAnsi="宋体" w:hint="eastAsia"/>
            <w:sz w:val="24"/>
          </w:rPr>
          <w:t>11月25日</w:t>
        </w:r>
      </w:smartTag>
      <w:r>
        <w:rPr>
          <w:rFonts w:ascii="宋体" w:hAnsi="宋体" w:hint="eastAsia"/>
          <w:sz w:val="24"/>
        </w:rPr>
        <w:t>至</w:t>
      </w:r>
      <w:smartTag w:uri="urn:schemas-microsoft-com:office:smarttags" w:element="chsdate">
        <w:smartTagPr>
          <w:attr w:name="Day" w:val="30"/>
          <w:attr w:name="IsLunarDate" w:val="False"/>
          <w:attr w:name="IsROCDate" w:val="False"/>
          <w:attr w:name="Month" w:val="11"/>
          <w:attr w:name="Year" w:val="2015"/>
        </w:smartTagPr>
        <w:r>
          <w:rPr>
            <w:rFonts w:ascii="宋体" w:hAnsi="宋体" w:hint="eastAsia"/>
            <w:sz w:val="24"/>
          </w:rPr>
          <w:t>11月30日</w:t>
        </w:r>
      </w:smartTag>
      <w:r>
        <w:rPr>
          <w:rFonts w:ascii="宋体" w:hAnsi="宋体" w:hint="eastAsia"/>
          <w:sz w:val="24"/>
        </w:rPr>
        <w:t xml:space="preserve">在盐城工学院、盐城师范学院新老校区以盐城各大高校、盐城海华广场、盐城宝龙广场进行连续三天的传单派发。传单内容为本次活动开始前的内容和报名方式，其次是活动之后参与的渠道投票方式以及获得具体的奖品兑换方式。 </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https://d.book118.com/168143137065006034</w:t>
        </w:r>
      </w:hyperlink>
    </w:p>
    <w:p w:rsidR="00E81574" w:rsidP="00E81574">
      <w:pPr>
        <w:spacing w:line="440" w:lineRule="exact"/>
        <w:rPr>
          <w:rFonts w:ascii="宋体" w:hAnsi="宋体" w:hint="eastAsia"/>
          <w:sz w:val="24"/>
        </w:rPr>
      </w:pPr>
    </w:p>
    <w:sectPr w:rsidSect="00E36937">
      <w:type w:val="nextPage"/>
      <w:pgSz w:w="11906" w:h="16838"/>
      <w:pgMar w:top="1332" w:right="1191" w:bottom="1293" w:left="1191"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创艺简魏碑">
    <w:altName w:val="黑体"/>
    <w:panose1 w:val="00000000000000000000"/>
    <w:charset w:val="86"/>
    <w:family w:val="auto"/>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等线 Light">
    <w:altName w:val="宋体"/>
    <w:panose1 w:val="00000000000000000000"/>
    <w:charset w:val="86"/>
    <w:family w:val="roman"/>
    <w:notTrueType/>
    <w:pitch w:val="default"/>
    <w:sig w:usb0="00000000" w:usb1="00000000" w:usb2="00000000" w:usb3="00000000" w:csb0="00040000" w:csb1="00000000"/>
  </w:font>
  <w:font w:name="DengXian">
    <w:altName w:val="等线"/>
    <w:panose1 w:val="02010600030101010101"/>
    <w:charset w:val="86"/>
    <w:family w:val="modern"/>
    <w:pitch w:val="fixed"/>
    <w:sig w:usb0="00000001" w:usb1="080E0000" w:usb2="00000010" w:usb3="00000000" w:csb0="00040000"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13C21"/>
    <w:multiLevelType w:val="singleLevel"/>
    <w:tmpl w:val="565706AC"/>
    <w:lvl w:ilvl="0">
      <w:start w:val="1"/>
      <w:numFmt w:val="decimal"/>
      <w:suff w:val="nothing"/>
      <w:lvlText w:val="%1、"/>
      <w:lvlJc w:val="left"/>
    </w:lvl>
  </w:abstractNum>
  <w:abstractNum w:abstractNumId="1">
    <w:nsid w:val="5656A7C5"/>
    <w:multiLevelType w:val="singleLevel"/>
    <w:tmpl w:val="5656A7C5"/>
    <w:lvl w:ilvl="0">
      <w:start w:val="6"/>
      <w:numFmt w:val="decimal"/>
      <w:suff w:val="nothing"/>
      <w:lvlText w:val="%1."/>
      <w:lvlJc w:val="left"/>
    </w:lvl>
  </w:abstractNum>
  <w:abstractNum w:abstractNumId="2">
    <w:nsid w:val="5656DB02"/>
    <w:multiLevelType w:val="singleLevel"/>
    <w:tmpl w:val="5656DB02"/>
    <w:lvl w:ilvl="0">
      <w:start w:val="2"/>
      <w:numFmt w:val="decimal"/>
      <w:suff w:val="nothing"/>
      <w:lvlText w:val="%1、"/>
      <w:lvlJc w:val="left"/>
    </w:lvl>
  </w:abstractNum>
  <w:abstractNum w:abstractNumId="3">
    <w:nsid w:val="565706AC"/>
    <w:multiLevelType w:val="singleLevel"/>
    <w:tmpl w:val="565706AC"/>
    <w:lvl w:ilvl="0">
      <w:start w:val="1"/>
      <w:numFmt w:val="decimal"/>
      <w:suff w:val="nothing"/>
      <w:lvlText w:val="%1、"/>
      <w:lvlJc w:val="left"/>
    </w:lvl>
  </w:abstractNum>
  <w:abstractNum w:abstractNumId="4">
    <w:nsid w:val="56602814"/>
    <w:multiLevelType w:val="singleLevel"/>
    <w:tmpl w:val="56602814"/>
    <w:lvl w:ilvl="0">
      <w:start w:val="2"/>
      <w:numFmt w:val="chineseCounting"/>
      <w:suff w:val="nothing"/>
      <w:lvlText w:val="（%1）"/>
      <w:lvlJc w:val="left"/>
    </w:lvl>
  </w:abstractNum>
  <w:abstractNum w:abstractNumId="5">
    <w:nsid w:val="5660F4C1"/>
    <w:multiLevelType w:val="singleLevel"/>
    <w:tmpl w:val="5660F4C1"/>
    <w:lvl w:ilvl="0">
      <w:start w:val="17"/>
      <w:numFmt w:val="chineseCounting"/>
      <w:suff w:val="nothing"/>
      <w:lvlText w:val="%1、"/>
      <w:lvlJc w:val="left"/>
    </w:lvl>
  </w:abstractNum>
  <w:abstractNum w:abstractNumId="6">
    <w:nsid w:val="6D325666"/>
    <w:multiLevelType w:val="multilevel"/>
    <w:tmpl w:val="6D325666"/>
    <w:lvl w:ilvl="0">
      <w:start w:val="10"/>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5"/>
  </w:num>
  <w:num w:numId="2">
    <w:abstractNumId w:val="4"/>
  </w:num>
  <w:num w:numId="3">
    <w:abstractNumId w:val="3"/>
  </w:num>
  <w:num w:numId="4">
    <w:abstractNumId w:val="2"/>
  </w:num>
  <w:num w:numId="5">
    <w:abstractNumId w:val="6"/>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275314"/>
    <w:rsid w:val="003D200F"/>
    <w:rsid w:val="003D3D47"/>
    <w:rsid w:val="003E4F64"/>
    <w:rsid w:val="00477307"/>
    <w:rsid w:val="00574F34"/>
    <w:rsid w:val="005B63FF"/>
    <w:rsid w:val="0074715F"/>
    <w:rsid w:val="007C30A4"/>
    <w:rsid w:val="007D540A"/>
    <w:rsid w:val="00832717"/>
    <w:rsid w:val="008E516C"/>
    <w:rsid w:val="0094403C"/>
    <w:rsid w:val="009478EF"/>
    <w:rsid w:val="00A33107"/>
    <w:rsid w:val="00A747B6"/>
    <w:rsid w:val="00B6389D"/>
    <w:rsid w:val="00B81822"/>
    <w:rsid w:val="00BA4FD4"/>
    <w:rsid w:val="00C342A0"/>
    <w:rsid w:val="00C5425F"/>
    <w:rsid w:val="00CD4AEE"/>
    <w:rsid w:val="00D6641F"/>
    <w:rsid w:val="00DC7F3E"/>
    <w:rsid w:val="00E36937"/>
    <w:rsid w:val="00E81574"/>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a"/>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a0"/>
    <w:rsid w:val="0094403C"/>
    <w:pPr>
      <w:tabs>
        <w:tab w:val="center" w:pos="4153"/>
        <w:tab w:val="right" w:pos="8306"/>
      </w:tabs>
      <w:snapToGrid w:val="0"/>
      <w:jc w:val="left"/>
    </w:pPr>
    <w:rPr>
      <w:sz w:val="18"/>
      <w:szCs w:val="18"/>
    </w:rPr>
  </w:style>
  <w:style w:type="character" w:customStyle="1" w:styleId="a">
    <w:name w:val="页眉 字符"/>
    <w:link w:val="Header"/>
    <w:semiHidden/>
    <w:locked/>
    <w:rsid w:val="008E516C"/>
    <w:rPr>
      <w:rFonts w:eastAsia="宋体"/>
      <w:kern w:val="2"/>
      <w:sz w:val="18"/>
      <w:szCs w:val="18"/>
      <w:lang w:val="en-US" w:eastAsia="zh-CN" w:bidi="ar-SA"/>
    </w:rPr>
  </w:style>
  <w:style w:type="character" w:customStyle="1" w:styleId="a0">
    <w:name w:val="页脚 字符"/>
    <w:link w:val="Footer"/>
    <w:semiHidden/>
    <w:locked/>
    <w:rsid w:val="008E516C"/>
    <w:rPr>
      <w:rFonts w:eastAsia="宋体"/>
      <w:kern w:val="2"/>
      <w:sz w:val="18"/>
      <w:szCs w:val="18"/>
      <w:lang w:val="en-US" w:eastAsia="zh-CN" w:bidi="ar-SA"/>
    </w:rPr>
  </w:style>
  <w:style w:type="character" w:customStyle="1" w:styleId="qtypetip1">
    <w:name w:val="qtypetip1"/>
    <w:basedOn w:val="DefaultParagraphFont"/>
    <w:qFormat/>
    <w:rsid w:val="00E81574"/>
    <w:rPr>
      <w:color w:val="0066FF"/>
      <w:sz w:val="21"/>
      <w:szCs w:val="21"/>
    </w:rPr>
  </w:style>
  <w:style w:type="paragraph" w:styleId="TOC2">
    <w:name w:val="toc 2"/>
    <w:basedOn w:val="Normal"/>
    <w:next w:val="Normal"/>
    <w:rsid w:val="00E81574"/>
    <w:pPr>
      <w:ind w:left="420" w:leftChars="200"/>
    </w:pPr>
  </w:style>
  <w:style w:type="paragraph" w:styleId="TOC1">
    <w:name w:val="toc 1"/>
    <w:basedOn w:val="Normal"/>
    <w:next w:val="Normal"/>
    <w:rsid w:val="00E81574"/>
  </w:style>
  <w:style w:type="paragraph" w:styleId="TOC3">
    <w:name w:val="toc 3"/>
    <w:basedOn w:val="Normal"/>
    <w:next w:val="Normal"/>
    <w:rsid w:val="00E81574"/>
    <w:pPr>
      <w:ind w:left="840" w:leftChars="400"/>
    </w:pPr>
  </w:style>
  <w:style w:type="paragraph" w:styleId="NormalWeb">
    <w:name w:val="Normal (Web)"/>
    <w:basedOn w:val="Normal"/>
    <w:rsid w:val="00E81574"/>
    <w:pPr>
      <w:widowControl/>
      <w:jc w:val="left"/>
    </w:pPr>
    <w:rPr>
      <w:rFonts w:ascii="宋体" w:hAnsi="宋体" w:cs="宋体"/>
      <w:kern w:val="0"/>
      <w:sz w:val="24"/>
    </w:rPr>
  </w:style>
  <w:style w:type="table" w:styleId="TableGrid">
    <w:name w:val="Table Grid"/>
    <w:basedOn w:val="TableNormal"/>
    <w:rsid w:val="00E8157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rsid w:val="00E8157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6814313706500603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49842F4-76B4-4815-B9FA-168EB7585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3322</Words>
  <Characters>18937</Characters>
  <Application>Microsoft Office Word</Application>
  <DocSecurity>0</DocSecurity>
  <Lines>157</Lines>
  <Paragraphs>44</Paragraphs>
  <ScaleCrop>false</ScaleCrop>
  <Company>Sky123.Org</Company>
  <LinksUpToDate>false</LinksUpToDate>
  <CharactersWithSpaces>22215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2021-10-29T22:59:00Z</dcterms:created>
  <dcterms:modified xsi:type="dcterms:W3CDTF">2021-10-29T22:59:00Z</dcterms:modified>
</cp:coreProperties>
</file>