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jc w:val="center"/>
        <w:rPr>
          <w:rFonts w:hint="eastAsia"/>
          <w:b/>
          <w:sz w:val="44"/>
          <w:szCs w:val="44"/>
        </w:rPr>
      </w:pPr>
      <w:bookmarkStart w:id="0" w:name="_GoBack"/>
      <w:bookmarkEnd w:id="0"/>
    </w:p>
    <w:p>
      <w:pPr>
        <w:pStyle w:val="Normal0"/>
        <w:jc w:val="center"/>
        <w:rPr>
          <w:rFonts w:hint="eastAsia"/>
          <w:b/>
          <w:sz w:val="44"/>
          <w:szCs w:val="44"/>
        </w:rPr>
      </w:pPr>
    </w:p>
    <w:p>
      <w:pPr>
        <w:pStyle w:val="Normal0"/>
        <w:jc w:val="center"/>
        <w:rPr>
          <w:rFonts w:hint="eastAsia"/>
          <w:b/>
          <w:sz w:val="44"/>
          <w:szCs w:val="44"/>
        </w:rPr>
      </w:pPr>
    </w:p>
    <w:p>
      <w:pPr>
        <w:pStyle w:val="Normal0"/>
        <w:jc w:val="center"/>
        <w:rPr>
          <w:rFonts w:hint="eastAsia"/>
          <w:b/>
          <w:sz w:val="44"/>
          <w:szCs w:val="44"/>
        </w:rPr>
      </w:pPr>
    </w:p>
    <w:p>
      <w:pPr>
        <w:pStyle w:val="Normal0"/>
        <w:jc w:val="center"/>
        <w:rPr>
          <w:rFonts w:hint="eastAsia"/>
          <w:b/>
          <w:sz w:val="44"/>
          <w:szCs w:val="44"/>
        </w:rPr>
      </w:pPr>
    </w:p>
    <w:p>
      <w:pPr>
        <w:pStyle w:val="Normal0"/>
        <w:jc w:val="center"/>
        <w:rPr>
          <w:rFonts w:hint="eastAsia"/>
          <w:b/>
          <w:sz w:val="44"/>
          <w:szCs w:val="44"/>
        </w:rPr>
      </w:pPr>
    </w:p>
    <w:p>
      <w:pPr>
        <w:pStyle w:val="Normal0"/>
        <w:jc w:val="center"/>
        <w:rPr>
          <w:rFonts w:hint="eastAsia"/>
          <w:b/>
          <w:sz w:val="84"/>
          <w:szCs w:val="84"/>
        </w:rPr>
      </w:pPr>
      <w:r>
        <w:rPr>
          <w:rFonts w:hint="eastAsia"/>
          <w:b/>
          <w:sz w:val="84"/>
          <w:szCs w:val="84"/>
        </w:rPr>
        <w:t>莱蒙都会</w:t>
      </w:r>
    </w:p>
    <w:p>
      <w:pPr>
        <w:pStyle w:val="Normal0"/>
        <w:jc w:val="center"/>
        <w:rPr>
          <w:rFonts w:hint="eastAsia"/>
          <w:b/>
          <w:sz w:val="30"/>
          <w:szCs w:val="30"/>
        </w:rPr>
      </w:pPr>
      <w:r>
        <w:rPr>
          <w:rFonts w:hint="eastAsia"/>
          <w:b/>
          <w:sz w:val="30"/>
          <w:szCs w:val="30"/>
        </w:rPr>
        <w:t>整合推广报告</w:t>
      </w: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sz w:val="32"/>
          <w:szCs w:val="32"/>
        </w:rPr>
        <w:sectPr>
          <w:headerReference w:type="default" r:id="rId5"/>
          <w:footerReference w:type="default" r:id="rId6"/>
          <w:pgSz w:w="11906" w:h="16838"/>
          <w:pgMar w:top="1440" w:right="1797" w:bottom="1440" w:left="1797" w:header="851" w:footer="992" w:gutter="0"/>
          <w:cols w:num="1" w:space="425"/>
          <w:docGrid w:type="lines" w:linePitch="290" w:charSpace="0"/>
        </w:sectPr>
      </w:pPr>
    </w:p>
    <w:p>
      <w:pPr>
        <w:pStyle w:val="Normal0"/>
        <w:rPr>
          <w:rFonts w:hint="eastAsia"/>
          <w:sz w:val="32"/>
          <w:szCs w:val="32"/>
        </w:rPr>
      </w:pPr>
    </w:p>
    <w:p>
      <w:pPr>
        <w:pStyle w:val="Normal0"/>
        <w:rPr>
          <w:rFonts w:hint="eastAsia"/>
          <w:sz w:val="32"/>
          <w:szCs w:val="32"/>
        </w:rPr>
      </w:pPr>
    </w:p>
    <w:p>
      <w:pPr>
        <w:pStyle w:val="Normal0"/>
        <w:jc w:val="center"/>
        <w:rPr>
          <w:rFonts w:hint="eastAsia"/>
          <w:b/>
          <w:sz w:val="32"/>
          <w:szCs w:val="32"/>
        </w:rPr>
      </w:pPr>
      <w:r>
        <w:rPr>
          <w:rFonts w:hint="eastAsia"/>
          <w:b/>
          <w:sz w:val="32"/>
          <w:szCs w:val="32"/>
        </w:rPr>
        <w:t>前  言</w:t>
      </w:r>
    </w:p>
    <w:p>
      <w:pPr>
        <w:pStyle w:val="Normal0"/>
        <w:jc w:val="center"/>
        <w:rPr>
          <w:rFonts w:hint="eastAsia"/>
          <w:sz w:val="28"/>
          <w:szCs w:val="28"/>
        </w:rPr>
      </w:pPr>
    </w:p>
    <w:p>
      <w:pPr>
        <w:pStyle w:val="Normal0"/>
        <w:ind w:firstLine="435"/>
        <w:rPr>
          <w:rFonts w:hint="eastAsia"/>
          <w:sz w:val="24"/>
        </w:rPr>
      </w:pPr>
      <w:r>
        <w:rPr>
          <w:rFonts w:hint="eastAsia"/>
          <w:sz w:val="24"/>
        </w:rPr>
        <w:t>莱蒙都会，国际商业中国街区，在2005年第四季，将开始全面的销售与招商活动。</w:t>
      </w:r>
    </w:p>
    <w:p>
      <w:pPr>
        <w:pStyle w:val="Normal0"/>
        <w:ind w:firstLine="435"/>
        <w:rPr>
          <w:rFonts w:hint="eastAsia"/>
          <w:sz w:val="24"/>
        </w:rPr>
      </w:pPr>
      <w:r>
        <w:rPr>
          <w:rFonts w:hint="eastAsia"/>
          <w:sz w:val="24"/>
        </w:rPr>
        <w:t>站在长三角的高度，莱蒙都会需要全面树立</w:t>
      </w:r>
      <w:r>
        <w:rPr>
          <w:rFonts w:hint="eastAsia"/>
          <w:sz w:val="24"/>
          <w:lang w:eastAsia="zh-CN"/>
        </w:rPr>
        <w:t>相关项目</w:t>
      </w:r>
      <w:r>
        <w:rPr>
          <w:rFonts w:hint="eastAsia"/>
          <w:sz w:val="24"/>
        </w:rPr>
        <w:t>的高端形象，形成强大的传播背景，支撑即将开展的销售与招商；站在常州的角度，莱蒙都会如何进一步与常州建立紧密联系，并寻找切实有效的销售招商目标人群。这些，都是建立在科学有效的推广基础上的。</w:t>
      </w:r>
    </w:p>
    <w:p>
      <w:pPr>
        <w:pStyle w:val="Normal0"/>
        <w:ind w:firstLine="435"/>
        <w:rPr>
          <w:rFonts w:hint="eastAsia"/>
          <w:sz w:val="24"/>
        </w:rPr>
      </w:pPr>
      <w:r>
        <w:rPr>
          <w:rFonts w:hint="eastAsia"/>
          <w:sz w:val="24"/>
        </w:rPr>
        <w:t>从“世界之旅”到“未来商业时代”再到“中国经验”，莱蒙都会的主题概念，已经正式确立。在概念之下，莱蒙都会的系统优势，如何在不同的时间，不同的区域，不同的媒体下，做高效的传播，将高空概念与产品介绍一一落到实处，是传播需要解决的问题。</w:t>
      </w:r>
    </w:p>
    <w:p>
      <w:pPr>
        <w:pStyle w:val="Normal0"/>
        <w:ind w:firstLine="435"/>
        <w:rPr>
          <w:rFonts w:hint="eastAsia"/>
          <w:sz w:val="24"/>
        </w:rPr>
      </w:pPr>
      <w:r>
        <w:rPr>
          <w:rFonts w:hint="eastAsia"/>
          <w:sz w:val="24"/>
        </w:rPr>
        <w:t>本案旨在梳理</w:t>
      </w:r>
      <w:r>
        <w:rPr>
          <w:rFonts w:hint="eastAsia"/>
          <w:sz w:val="24"/>
          <w:lang w:eastAsia="zh-CN"/>
        </w:rPr>
        <w:t>相关项目</w:t>
      </w:r>
      <w:r>
        <w:rPr>
          <w:rFonts w:hint="eastAsia"/>
          <w:sz w:val="24"/>
        </w:rPr>
        <w:t>传播的各种参数，将广告推广做系统性的安排，并撰写切实可行的推广</w:t>
      </w:r>
      <w:r>
        <w:rPr>
          <w:rFonts w:hint="eastAsia"/>
          <w:sz w:val="24"/>
          <w:lang w:eastAsia="zh-CN"/>
        </w:rPr>
        <w:t>相关计划</w:t>
      </w:r>
      <w:r>
        <w:rPr>
          <w:rFonts w:hint="eastAsia"/>
          <w:sz w:val="24"/>
        </w:rPr>
        <w:t>，以融合莱蒙都会在未来的每一次推广。</w:t>
      </w:r>
    </w:p>
    <w:p>
      <w:pPr>
        <w:pStyle w:val="Normal0"/>
        <w:ind w:firstLine="435"/>
        <w:rPr>
          <w:rFonts w:hint="eastAsia"/>
          <w:sz w:val="28"/>
          <w:szCs w:val="28"/>
        </w:rPr>
      </w:pPr>
    </w:p>
    <w:p>
      <w:pPr>
        <w:pStyle w:val="Normal0"/>
        <w:ind w:firstLine="435"/>
        <w:rPr>
          <w:rFonts w:hint="eastAsia"/>
          <w:sz w:val="28"/>
          <w:szCs w:val="28"/>
        </w:rPr>
      </w:pPr>
    </w:p>
    <w:p>
      <w:pPr>
        <w:pStyle w:val="Normal0"/>
        <w:ind w:firstLine="435"/>
        <w:rPr>
          <w:rFonts w:hint="eastAsia"/>
          <w:sz w:val="28"/>
          <w:szCs w:val="28"/>
        </w:rPr>
      </w:pPr>
    </w:p>
    <w:p>
      <w:pPr>
        <w:pStyle w:val="Normal0"/>
        <w:ind w:firstLine="435"/>
        <w:rPr>
          <w:rFonts w:hint="eastAsia"/>
          <w:sz w:val="28"/>
          <w:szCs w:val="28"/>
        </w:rPr>
      </w:pPr>
    </w:p>
    <w:p>
      <w:pPr>
        <w:pStyle w:val="Normal0"/>
        <w:ind w:firstLine="435"/>
        <w:rPr>
          <w:rFonts w:hint="eastAsia"/>
          <w:sz w:val="28"/>
          <w:szCs w:val="28"/>
        </w:rPr>
      </w:pPr>
    </w:p>
    <w:p>
      <w:pPr>
        <w:pStyle w:val="Normal0"/>
        <w:ind w:firstLine="435"/>
        <w:rPr>
          <w:rFonts w:hint="eastAsia"/>
          <w:sz w:val="28"/>
          <w:szCs w:val="28"/>
        </w:rPr>
      </w:pPr>
    </w:p>
    <w:p>
      <w:pPr>
        <w:pStyle w:val="Normal0"/>
        <w:rPr>
          <w:rFonts w:hint="eastAsia"/>
          <w:sz w:val="28"/>
          <w:szCs w:val="28"/>
        </w:rPr>
        <w:sectPr>
          <w:headerReference w:type="default" r:id="rId7"/>
          <w:footerReference w:type="default" r:id="rId8"/>
          <w:type w:val="nextPage"/>
          <w:pgSz w:w="11906" w:h="16838"/>
          <w:pgMar w:top="1440" w:right="1797" w:bottom="1440" w:left="1797" w:header="851" w:footer="992" w:gutter="0"/>
          <w:pgNumType w:start="2"/>
          <w:cols w:num="1" w:space="425"/>
          <w:titlePg w:val="0"/>
          <w:docGrid w:type="lines" w:linePitch="290" w:charSpace="0"/>
        </w:sectPr>
      </w:pPr>
    </w:p>
    <w:p>
      <w:pPr>
        <w:pStyle w:val="Normal0"/>
        <w:rPr>
          <w:rFonts w:hint="eastAsia"/>
          <w:sz w:val="28"/>
          <w:szCs w:val="28"/>
        </w:rPr>
      </w:pPr>
    </w:p>
    <w:p>
      <w:pPr>
        <w:pStyle w:val="Normal0"/>
        <w:rPr>
          <w:rFonts w:hint="eastAsia"/>
          <w:sz w:val="28"/>
          <w:szCs w:val="28"/>
        </w:rPr>
      </w:pPr>
    </w:p>
    <w:p>
      <w:pPr>
        <w:pStyle w:val="Normal0"/>
        <w:jc w:val="center"/>
        <w:rPr>
          <w:rFonts w:hint="eastAsia"/>
          <w:b/>
          <w:sz w:val="44"/>
          <w:szCs w:val="44"/>
        </w:rPr>
      </w:pPr>
      <w:r>
        <w:rPr>
          <w:rFonts w:hint="eastAsia"/>
          <w:b/>
          <w:sz w:val="44"/>
          <w:szCs w:val="44"/>
        </w:rPr>
        <w:t>目  录</w:t>
      </w:r>
    </w:p>
    <w:p>
      <w:pPr>
        <w:pStyle w:val="Normal0"/>
        <w:jc w:val="center"/>
        <w:rPr>
          <w:rFonts w:hint="eastAsia"/>
          <w:b/>
          <w:sz w:val="44"/>
          <w:szCs w:val="44"/>
        </w:rPr>
      </w:pPr>
    </w:p>
    <w:p>
      <w:pPr>
        <w:pStyle w:val="Normal0"/>
        <w:outlineLvl w:val="0"/>
        <w:rPr>
          <w:rFonts w:hint="eastAsia"/>
          <w:b/>
          <w:sz w:val="28"/>
          <w:szCs w:val="28"/>
        </w:rPr>
      </w:pPr>
      <w:r>
        <w:rPr>
          <w:rFonts w:hint="eastAsia"/>
          <w:b/>
          <w:sz w:val="28"/>
          <w:szCs w:val="28"/>
        </w:rPr>
        <w:t>一、推广背景--------------------------------------------------------4</w:t>
      </w:r>
    </w:p>
    <w:p>
      <w:pPr>
        <w:pStyle w:val="Normal0"/>
        <w:rPr>
          <w:rFonts w:hint="eastAsia"/>
          <w:sz w:val="24"/>
        </w:rPr>
      </w:pPr>
      <w:r>
        <w:rPr>
          <w:rFonts w:hint="eastAsia"/>
          <w:sz w:val="24"/>
        </w:rPr>
        <w:t>（一）</w:t>
      </w:r>
      <w:r>
        <w:rPr>
          <w:rFonts w:hint="eastAsia"/>
          <w:sz w:val="24"/>
          <w:lang w:eastAsia="zh-CN"/>
        </w:rPr>
        <w:t>相关项目</w:t>
      </w:r>
      <w:r>
        <w:rPr>
          <w:rFonts w:hint="eastAsia"/>
          <w:sz w:val="24"/>
        </w:rPr>
        <w:t>总结分析  （二）目标人群分析</w:t>
      </w:r>
    </w:p>
    <w:p>
      <w:pPr>
        <w:pStyle w:val="Normal0"/>
        <w:rPr>
          <w:rFonts w:hint="eastAsia"/>
          <w:sz w:val="24"/>
        </w:rPr>
      </w:pPr>
    </w:p>
    <w:p>
      <w:pPr>
        <w:pStyle w:val="Normal0"/>
        <w:rPr>
          <w:rFonts w:hint="eastAsia"/>
          <w:b/>
          <w:sz w:val="28"/>
          <w:szCs w:val="28"/>
        </w:rPr>
      </w:pPr>
      <w:r>
        <w:rPr>
          <w:rFonts w:hint="eastAsia"/>
          <w:b/>
          <w:sz w:val="28"/>
          <w:szCs w:val="28"/>
        </w:rPr>
        <w:t>二、推广概念--------------------------------------------------------14</w:t>
      </w:r>
    </w:p>
    <w:p>
      <w:pPr>
        <w:pStyle w:val="Normal0"/>
        <w:rPr>
          <w:rFonts w:hint="eastAsia"/>
          <w:sz w:val="24"/>
        </w:rPr>
      </w:pPr>
      <w:r>
        <w:rPr>
          <w:rFonts w:hint="eastAsia"/>
          <w:sz w:val="24"/>
        </w:rPr>
        <w:t>（一）推广概念总结  （二）推广概念使用</w:t>
      </w:r>
    </w:p>
    <w:p>
      <w:pPr>
        <w:pStyle w:val="Normal0"/>
        <w:rPr>
          <w:rFonts w:hint="eastAsia"/>
          <w:sz w:val="24"/>
        </w:rPr>
      </w:pPr>
    </w:p>
    <w:p>
      <w:pPr>
        <w:pStyle w:val="Normal0"/>
        <w:rPr>
          <w:rFonts w:hint="eastAsia"/>
          <w:b/>
          <w:sz w:val="28"/>
          <w:szCs w:val="28"/>
        </w:rPr>
      </w:pPr>
      <w:r>
        <w:rPr>
          <w:rFonts w:hint="eastAsia"/>
          <w:b/>
          <w:sz w:val="28"/>
          <w:szCs w:val="28"/>
        </w:rPr>
        <w:t>三、推广阶段--------------------------------------------------------23</w:t>
      </w:r>
    </w:p>
    <w:p>
      <w:pPr>
        <w:pStyle w:val="Normal0"/>
        <w:rPr>
          <w:rFonts w:hint="eastAsia"/>
          <w:sz w:val="24"/>
        </w:rPr>
      </w:pPr>
      <w:r>
        <w:rPr>
          <w:rFonts w:hint="eastAsia"/>
          <w:sz w:val="24"/>
        </w:rPr>
        <w:t>（一）工程进度      （二）销售进度</w:t>
      </w:r>
    </w:p>
    <w:p>
      <w:pPr>
        <w:pStyle w:val="Normal0"/>
        <w:rPr>
          <w:rFonts w:hint="eastAsia"/>
          <w:sz w:val="24"/>
        </w:rPr>
      </w:pPr>
      <w:r>
        <w:rPr>
          <w:rFonts w:hint="eastAsia"/>
          <w:sz w:val="24"/>
        </w:rPr>
        <w:t>（三）招商进度      （四）推广阶段</w:t>
      </w:r>
    </w:p>
    <w:p>
      <w:pPr>
        <w:pStyle w:val="Normal0"/>
        <w:rPr>
          <w:rFonts w:hint="eastAsia"/>
          <w:sz w:val="24"/>
        </w:rPr>
      </w:pPr>
    </w:p>
    <w:p>
      <w:pPr>
        <w:pStyle w:val="Normal0"/>
        <w:rPr>
          <w:rFonts w:hint="eastAsia"/>
          <w:b/>
          <w:sz w:val="28"/>
          <w:szCs w:val="28"/>
        </w:rPr>
      </w:pPr>
      <w:r>
        <w:rPr>
          <w:rFonts w:hint="eastAsia"/>
          <w:b/>
          <w:sz w:val="28"/>
          <w:szCs w:val="28"/>
        </w:rPr>
        <w:t>四、推广策略--------------------------------------------------------28</w:t>
      </w:r>
    </w:p>
    <w:p>
      <w:pPr>
        <w:pStyle w:val="Normal0"/>
        <w:rPr>
          <w:rFonts w:hint="eastAsia"/>
          <w:sz w:val="24"/>
        </w:rPr>
      </w:pPr>
      <w:r>
        <w:rPr>
          <w:rFonts w:hint="eastAsia"/>
          <w:sz w:val="24"/>
        </w:rPr>
        <w:t>（一）整合推广策略   （二）区域推广策略</w:t>
      </w:r>
    </w:p>
    <w:p>
      <w:pPr>
        <w:pStyle w:val="Normal0"/>
        <w:ind w:firstLine="480" w:firstLineChars="200"/>
        <w:rPr>
          <w:rFonts w:hint="eastAsia"/>
          <w:sz w:val="24"/>
        </w:rPr>
      </w:pPr>
    </w:p>
    <w:p>
      <w:pPr>
        <w:pStyle w:val="Normal0"/>
        <w:rPr>
          <w:rFonts w:hint="eastAsia"/>
          <w:b/>
          <w:sz w:val="28"/>
          <w:szCs w:val="28"/>
        </w:rPr>
      </w:pPr>
      <w:r>
        <w:rPr>
          <w:rFonts w:hint="eastAsia"/>
          <w:b/>
          <w:sz w:val="28"/>
          <w:szCs w:val="28"/>
        </w:rPr>
        <w:t>五、媒介组合--------------------------------------------------------34</w:t>
      </w:r>
    </w:p>
    <w:p>
      <w:pPr>
        <w:pStyle w:val="Normal0"/>
        <w:rPr>
          <w:rFonts w:hint="eastAsia"/>
          <w:sz w:val="24"/>
        </w:rPr>
      </w:pPr>
      <w:r>
        <w:rPr>
          <w:rFonts w:hint="eastAsia"/>
          <w:sz w:val="24"/>
        </w:rPr>
        <w:t>（一）媒介组合策略   （二）媒介选择及费用</w:t>
      </w:r>
    </w:p>
    <w:p>
      <w:pPr>
        <w:pStyle w:val="Normal0"/>
        <w:rPr>
          <w:rFonts w:hint="eastAsia"/>
          <w:sz w:val="24"/>
        </w:rPr>
      </w:pPr>
    </w:p>
    <w:p>
      <w:pPr>
        <w:pStyle w:val="Normal0"/>
        <w:rPr>
          <w:rFonts w:hint="eastAsia"/>
          <w:b/>
          <w:sz w:val="28"/>
          <w:szCs w:val="28"/>
        </w:rPr>
      </w:pPr>
      <w:r>
        <w:rPr>
          <w:rFonts w:hint="eastAsia"/>
          <w:b/>
          <w:sz w:val="28"/>
          <w:szCs w:val="28"/>
        </w:rPr>
        <w:t>六、整合推广</w:t>
      </w:r>
      <w:r>
        <w:rPr>
          <w:rFonts w:hint="eastAsia"/>
          <w:b/>
          <w:sz w:val="28"/>
          <w:szCs w:val="28"/>
          <w:lang w:eastAsia="zh-CN"/>
        </w:rPr>
        <w:t>相关计划</w:t>
      </w:r>
      <w:r>
        <w:rPr>
          <w:rFonts w:hint="eastAsia"/>
          <w:b/>
          <w:sz w:val="28"/>
          <w:szCs w:val="28"/>
        </w:rPr>
        <w:t>--------------------------------------------------45</w:t>
      </w:r>
    </w:p>
    <w:p>
      <w:pPr>
        <w:pStyle w:val="Normal0"/>
        <w:rPr>
          <w:rFonts w:hint="eastAsia"/>
          <w:sz w:val="24"/>
        </w:rPr>
      </w:pPr>
      <w:r>
        <w:rPr>
          <w:rFonts w:hint="eastAsia"/>
          <w:sz w:val="24"/>
        </w:rPr>
        <w:t>（一）阶段推广</w:t>
      </w:r>
      <w:r>
        <w:rPr>
          <w:rFonts w:hint="eastAsia"/>
          <w:sz w:val="24"/>
          <w:lang w:eastAsia="zh-CN"/>
        </w:rPr>
        <w:t>相关计划</w:t>
      </w:r>
      <w:r>
        <w:rPr>
          <w:rFonts w:hint="eastAsia"/>
          <w:sz w:val="24"/>
        </w:rPr>
        <w:t xml:space="preserve">    （二）销售配合推广</w:t>
      </w:r>
    </w:p>
    <w:p>
      <w:pPr>
        <w:pStyle w:val="Normal0"/>
        <w:rPr>
          <w:rFonts w:hint="eastAsia"/>
          <w:sz w:val="24"/>
        </w:rPr>
      </w:pPr>
      <w:r>
        <w:rPr>
          <w:rFonts w:hint="eastAsia"/>
          <w:sz w:val="24"/>
        </w:rPr>
        <w:t>（三）招商配合推广</w:t>
      </w:r>
    </w:p>
    <w:p>
      <w:pPr>
        <w:pStyle w:val="Normal0"/>
        <w:rPr>
          <w:rFonts w:hint="eastAsia"/>
          <w:sz w:val="24"/>
        </w:rPr>
      </w:pPr>
    </w:p>
    <w:p>
      <w:pPr>
        <w:pStyle w:val="Normal0"/>
        <w:rPr>
          <w:rFonts w:hint="eastAsia"/>
          <w:b/>
          <w:sz w:val="28"/>
          <w:szCs w:val="28"/>
        </w:rPr>
      </w:pPr>
      <w:r>
        <w:rPr>
          <w:rFonts w:hint="eastAsia"/>
          <w:b/>
          <w:sz w:val="28"/>
          <w:szCs w:val="28"/>
        </w:rPr>
        <w:t>七、备注与附件-----------------------------------------------------65</w:t>
      </w:r>
    </w:p>
    <w:p>
      <w:pPr>
        <w:pStyle w:val="Normal0"/>
        <w:rPr>
          <w:rFonts w:hint="eastAsia"/>
          <w:b/>
          <w:sz w:val="28"/>
          <w:szCs w:val="28"/>
        </w:rPr>
        <w:sectPr>
          <w:headerReference w:type="default" r:id="rId9"/>
          <w:footerReference w:type="default" r:id="rId10"/>
          <w:type w:val="nextPage"/>
          <w:pgSz w:w="11906" w:h="16838"/>
          <w:pgMar w:top="1440" w:right="1797" w:bottom="1440" w:left="1797" w:header="851" w:footer="992" w:gutter="0"/>
          <w:pgNumType w:start="3"/>
          <w:cols w:num="1" w:space="425"/>
          <w:titlePg w:val="0"/>
          <w:docGrid w:type="lines" w:linePitch="290" w:charSpace="0"/>
        </w:sectPr>
      </w:pPr>
    </w:p>
    <w:p>
      <w:pPr>
        <w:pStyle w:val="Normal0"/>
        <w:rPr>
          <w:rFonts w:hint="eastAsia"/>
          <w:b/>
          <w:sz w:val="28"/>
          <w:szCs w:val="28"/>
        </w:rPr>
      </w:pPr>
    </w:p>
    <w:p>
      <w:pPr>
        <w:pStyle w:val="Normal0"/>
        <w:rPr>
          <w:rFonts w:hint="eastAsia"/>
          <w:b/>
          <w:sz w:val="28"/>
          <w:szCs w:val="28"/>
        </w:rPr>
      </w:pPr>
    </w:p>
    <w:p>
      <w:pPr>
        <w:pStyle w:val="Normal0"/>
        <w:rPr>
          <w:rFonts w:hint="eastAsia"/>
          <w:b/>
          <w:sz w:val="28"/>
          <w:szCs w:val="28"/>
        </w:rPr>
      </w:pPr>
    </w:p>
    <w:p>
      <w:pPr>
        <w:pStyle w:val="Normal0"/>
        <w:numPr>
          <w:ilvl w:val="0"/>
          <w:numId w:val="1"/>
        </w:numPr>
        <w:rPr>
          <w:rFonts w:ascii="华文中宋" w:eastAsia="华文中宋" w:hAnsi="华文中宋" w:hint="eastAsia"/>
          <w:b/>
          <w:sz w:val="32"/>
          <w:szCs w:val="32"/>
        </w:rPr>
      </w:pPr>
      <w:r>
        <w:rPr>
          <w:rFonts w:ascii="华文中宋" w:eastAsia="华文中宋" w:hAnsi="华文中宋" w:hint="eastAsia"/>
          <w:b/>
          <w:sz w:val="32"/>
          <w:szCs w:val="32"/>
        </w:rPr>
        <w:t>推广背景：</w:t>
      </w:r>
    </w:p>
    <w:p>
      <w:pPr>
        <w:pStyle w:val="Normal0"/>
        <w:ind w:left="420"/>
        <w:rPr>
          <w:rFonts w:hint="eastAsia"/>
          <w:sz w:val="24"/>
        </w:rPr>
      </w:pPr>
      <w:r>
        <w:rPr>
          <w:rFonts w:hint="eastAsia"/>
          <w:sz w:val="24"/>
          <w:lang w:eastAsia="zh-CN"/>
        </w:rPr>
        <w:t>相关项目</w:t>
      </w:r>
      <w:r>
        <w:rPr>
          <w:rFonts w:hint="eastAsia"/>
          <w:sz w:val="24"/>
        </w:rPr>
        <w:t>推广，建立在以下的背景下开展：我们说的是什么</w:t>
      </w:r>
      <w:r>
        <w:rPr>
          <w:rFonts w:hint="eastAsia"/>
          <w:sz w:val="24"/>
          <w:lang w:eastAsia="zh-CN"/>
        </w:rPr>
        <w:t>相关项目</w:t>
      </w:r>
      <w:r>
        <w:rPr>
          <w:rFonts w:hint="eastAsia"/>
          <w:sz w:val="24"/>
        </w:rPr>
        <w:t>？我们说给谁</w:t>
      </w:r>
    </w:p>
    <w:p>
      <w:pPr>
        <w:pStyle w:val="Normal0"/>
        <w:rPr>
          <w:rFonts w:hint="eastAsia"/>
          <w:sz w:val="24"/>
        </w:rPr>
      </w:pPr>
      <w:r>
        <w:rPr>
          <w:rFonts w:hint="eastAsia"/>
          <w:sz w:val="24"/>
        </w:rPr>
        <w:t>听？在推广</w:t>
      </w:r>
      <w:r>
        <w:rPr>
          <w:rFonts w:hint="eastAsia"/>
          <w:sz w:val="24"/>
          <w:lang w:eastAsia="zh-CN"/>
        </w:rPr>
        <w:t>相关计划</w:t>
      </w:r>
      <w:r>
        <w:rPr>
          <w:rFonts w:hint="eastAsia"/>
          <w:sz w:val="24"/>
        </w:rPr>
        <w:t>开始之前，我们对</w:t>
      </w:r>
      <w:r>
        <w:rPr>
          <w:rFonts w:hint="eastAsia"/>
          <w:sz w:val="24"/>
          <w:lang w:eastAsia="zh-CN"/>
        </w:rPr>
        <w:t>相关项目</w:t>
      </w:r>
      <w:r>
        <w:rPr>
          <w:rFonts w:hint="eastAsia"/>
          <w:sz w:val="24"/>
        </w:rPr>
        <w:t>的相关参数做整体回顾，对</w:t>
      </w:r>
      <w:r>
        <w:rPr>
          <w:rFonts w:hint="eastAsia"/>
          <w:sz w:val="24"/>
          <w:lang w:eastAsia="zh-CN"/>
        </w:rPr>
        <w:t>相关项目</w:t>
      </w:r>
      <w:r>
        <w:rPr>
          <w:rFonts w:hint="eastAsia"/>
          <w:sz w:val="24"/>
        </w:rPr>
        <w:t>的目标人群做一个界定和简单分析。</w:t>
      </w:r>
    </w:p>
    <w:p>
      <w:pPr>
        <w:pStyle w:val="Normal0"/>
        <w:rPr>
          <w:rFonts w:hint="eastAsia"/>
          <w:sz w:val="24"/>
        </w:rPr>
      </w:pPr>
    </w:p>
    <w:p>
      <w:pPr>
        <w:pStyle w:val="Normal0"/>
        <w:numPr>
          <w:ilvl w:val="0"/>
          <w:numId w:val="2"/>
        </w:numPr>
        <w:rPr>
          <w:rFonts w:ascii="华文中宋" w:eastAsia="华文中宋" w:hAnsi="华文中宋" w:hint="eastAsia"/>
          <w:b/>
          <w:sz w:val="28"/>
          <w:szCs w:val="28"/>
        </w:rPr>
      </w:pPr>
      <w:r>
        <w:rPr>
          <w:rFonts w:ascii="华文中宋" w:eastAsia="华文中宋" w:hAnsi="华文中宋" w:hint="eastAsia"/>
          <w:b/>
          <w:sz w:val="28"/>
          <w:szCs w:val="28"/>
          <w:lang w:eastAsia="zh-CN"/>
        </w:rPr>
        <w:t>相关项目</w:t>
      </w:r>
      <w:r>
        <w:rPr>
          <w:rFonts w:ascii="华文中宋" w:eastAsia="华文中宋" w:hAnsi="华文中宋" w:hint="eastAsia"/>
          <w:b/>
          <w:sz w:val="28"/>
          <w:szCs w:val="28"/>
        </w:rPr>
        <w:t>总结分析</w:t>
      </w:r>
    </w:p>
    <w:p>
      <w:pPr>
        <w:pStyle w:val="Normal0"/>
        <w:ind w:firstLine="480" w:firstLineChars="200"/>
        <w:rPr>
          <w:rFonts w:hint="eastAsia"/>
          <w:sz w:val="24"/>
        </w:rPr>
      </w:pPr>
      <w:r>
        <w:rPr>
          <w:rFonts w:hint="eastAsia"/>
          <w:sz w:val="24"/>
        </w:rPr>
        <w:t>莱蒙都会是什么？这是我们传播的主体，这里对</w:t>
      </w:r>
      <w:r>
        <w:rPr>
          <w:rFonts w:hint="eastAsia"/>
          <w:sz w:val="24"/>
          <w:lang w:eastAsia="zh-CN"/>
        </w:rPr>
        <w:t>相关项目</w:t>
      </w:r>
      <w:r>
        <w:rPr>
          <w:rFonts w:hint="eastAsia"/>
          <w:sz w:val="24"/>
        </w:rPr>
        <w:t>整体指标以及</w:t>
      </w:r>
      <w:r>
        <w:rPr>
          <w:rFonts w:hint="eastAsia"/>
          <w:sz w:val="24"/>
          <w:lang w:eastAsia="zh-CN"/>
        </w:rPr>
        <w:t>相关项目</w:t>
      </w:r>
      <w:r>
        <w:rPr>
          <w:rFonts w:hint="eastAsia"/>
          <w:sz w:val="24"/>
        </w:rPr>
        <w:t>亮点做一个回顾，并对</w:t>
      </w:r>
      <w:r>
        <w:rPr>
          <w:rFonts w:hint="eastAsia"/>
          <w:sz w:val="24"/>
          <w:lang w:eastAsia="zh-CN"/>
        </w:rPr>
        <w:t>相关项目</w:t>
      </w:r>
      <w:r>
        <w:rPr>
          <w:rFonts w:hint="eastAsia"/>
          <w:sz w:val="24"/>
        </w:rPr>
        <w:t>前景进行展望。</w:t>
      </w:r>
    </w:p>
    <w:p>
      <w:pPr>
        <w:pStyle w:val="Normal0"/>
        <w:numPr>
          <w:ilvl w:val="0"/>
          <w:numId w:val="3"/>
        </w:numPr>
        <w:rPr>
          <w:rFonts w:ascii="华文中宋" w:eastAsia="华文中宋" w:hAnsi="华文中宋" w:hint="eastAsia"/>
          <w:b/>
          <w:sz w:val="28"/>
          <w:szCs w:val="28"/>
        </w:rPr>
      </w:pPr>
      <w:r>
        <w:rPr>
          <w:rFonts w:ascii="华文中宋" w:eastAsia="华文中宋" w:hAnsi="华文中宋" w:hint="eastAsia"/>
          <w:b/>
          <w:sz w:val="28"/>
          <w:szCs w:val="28"/>
          <w:lang w:eastAsia="zh-CN"/>
        </w:rPr>
        <w:t>相关项目</w:t>
      </w:r>
      <w:r>
        <w:rPr>
          <w:rFonts w:ascii="华文中宋" w:eastAsia="华文中宋" w:hAnsi="华文中宋" w:hint="eastAsia"/>
          <w:b/>
          <w:sz w:val="28"/>
          <w:szCs w:val="28"/>
        </w:rPr>
        <w:t>整体回顾</w:t>
      </w:r>
    </w:p>
    <w:p>
      <w:pPr>
        <w:pStyle w:val="Normal0"/>
        <w:numPr>
          <w:ilvl w:val="0"/>
          <w:numId w:val="4"/>
        </w:numPr>
        <w:rPr>
          <w:rFonts w:hint="eastAsia"/>
          <w:b/>
          <w:sz w:val="24"/>
        </w:rPr>
      </w:pPr>
      <w:r>
        <w:rPr>
          <w:rFonts w:hint="eastAsia"/>
          <w:b/>
          <w:sz w:val="24"/>
        </w:rPr>
        <w:t>城市</w:t>
      </w:r>
    </w:p>
    <w:p>
      <w:pPr>
        <w:pStyle w:val="Normal0"/>
        <w:numPr>
          <w:ilvl w:val="1"/>
          <w:numId w:val="4"/>
        </w:numPr>
        <w:rPr>
          <w:rFonts w:hint="eastAsia"/>
          <w:color w:val="000000"/>
          <w:sz w:val="24"/>
        </w:rPr>
        <w:sectPr>
          <w:headerReference w:type="default" r:id="rId11"/>
          <w:footerReference w:type="default" r:id="rId12"/>
          <w:type w:val="nextPage"/>
          <w:pgSz w:w="11906" w:h="16838"/>
          <w:pgMar w:top="1440" w:right="1797" w:bottom="1440" w:left="1797" w:header="851" w:footer="992" w:gutter="0"/>
          <w:pgNumType w:start="4"/>
          <w:cols w:num="1" w:space="425"/>
          <w:titlePg w:val="0"/>
          <w:docGrid w:type="lines" w:linePitch="290" w:charSpace="0"/>
        </w:sectPr>
      </w:pPr>
      <w:r>
        <w:rPr>
          <w:rFonts w:hint="eastAsia"/>
          <w:b/>
          <w:sz w:val="24"/>
        </w:rPr>
        <w:t>长三角</w:t>
      </w:r>
      <w:r>
        <w:rPr>
          <w:rFonts w:hint="eastAsia"/>
          <w:sz w:val="24"/>
        </w:rPr>
        <w:t>，中国经济发展最活跃的区域，以上海、南京、杭州为核心，覆盖江浙两省，共由</w:t>
      </w:r>
      <w:r>
        <w:rPr>
          <w:sz w:val="24"/>
        </w:rPr>
        <w:t>上海、南京、苏州、扬州、泰州、无锡、镇江、常州、南通、杭州、绍兴、嘉兴、台州、舟山、宁波、湖州</w:t>
      </w:r>
      <w:r>
        <w:rPr>
          <w:rFonts w:hint="eastAsia"/>
          <w:sz w:val="24"/>
        </w:rPr>
        <w:t>等16个城市组成，面积10万平方公里，人口超过7240万。长三角城市群已经在世界五大都市群（美国东北部沿岸都市群、北美五大湖都市群、欧洲西北部都市群、英国伦敦都市群、日本太平洋沿岸都市群）之外，形成第六大都市群。</w:t>
      </w:r>
    </w:p>
    <w:p>
      <w:pPr>
        <w:pStyle w:val="Normal0"/>
        <w:numPr>
          <w:ilvl w:val="0"/>
          <w:numId w:val="0"/>
        </w:numPr>
        <w:ind w:left="2115"/>
        <w:rPr>
          <w:rFonts w:hint="eastAsia"/>
          <w:color w:val="000000"/>
          <w:sz w:val="24"/>
        </w:rPr>
      </w:pPr>
      <w:r>
        <w:rPr>
          <w:rFonts w:hint="eastAsia"/>
          <w:color w:val="000000"/>
          <w:sz w:val="24"/>
        </w:rPr>
        <w:t>去年长三角16城市实现GDP28774.81亿元，占全国的21.08%。其中大部分城市的GDP增速均高于03年水平，16城市同比增长15%，高于全国5.5个百分点。去年长三角城镇居民人均消费性支出为9589元，大大高出全国平均水平。世界500强企业已有400家入驻长三角，长三角在中国的经济地位日渐提升，成为具有世界竞争力的城市群落。</w:t>
      </w:r>
    </w:p>
    <w:p>
      <w:pPr>
        <w:pStyle w:val="Normal0"/>
        <w:numPr>
          <w:ilvl w:val="1"/>
          <w:numId w:val="4"/>
        </w:numPr>
        <w:rPr>
          <w:sz w:val="24"/>
        </w:rPr>
        <w:sectPr>
          <w:headerReference w:type="default" r:id="rId13"/>
          <w:footerReference w:type="default" r:id="rId14"/>
          <w:type w:val="nextPage"/>
          <w:pgSz w:w="11906" w:h="16838"/>
          <w:pgMar w:top="1440" w:right="1797" w:bottom="1440" w:left="1797" w:header="851" w:footer="992" w:gutter="0"/>
          <w:pgNumType w:start="5"/>
          <w:cols w:num="1" w:space="425"/>
          <w:titlePg w:val="0"/>
          <w:docGrid w:type="lines" w:linePitch="290" w:charSpace="0"/>
        </w:sectPr>
      </w:pPr>
      <w:r>
        <w:rPr>
          <w:rFonts w:hint="eastAsia"/>
          <w:b/>
          <w:sz w:val="24"/>
        </w:rPr>
        <w:t>常州</w:t>
      </w:r>
      <w:r>
        <w:rPr>
          <w:rFonts w:hint="eastAsia"/>
          <w:sz w:val="24"/>
        </w:rPr>
        <w:t>，长三角最具潜力的城市，为04年《福布斯》中国最佳商业城市排名12位。</w:t>
      </w:r>
      <w:r>
        <w:rPr>
          <w:rFonts w:ascii="Verdana" w:hAnsi="Verdana"/>
          <w:color w:val="000000"/>
          <w:sz w:val="24"/>
        </w:rPr>
        <w:t>常州现辖金坛、溧阳两个县级市和武进、新北、天宁、钟楼、戚墅堰五个行政区，全市总面积</w:t>
      </w:r>
      <w:r>
        <w:rPr>
          <w:color w:val="000000"/>
          <w:sz w:val="24"/>
        </w:rPr>
        <w:t>4375</w:t>
      </w:r>
      <w:r>
        <w:rPr>
          <w:rFonts w:hAnsi="Verdana"/>
          <w:color w:val="000000"/>
          <w:sz w:val="24"/>
        </w:rPr>
        <w:t>平方公里，全市总人口</w:t>
      </w:r>
      <w:r>
        <w:rPr>
          <w:color w:val="000000"/>
          <w:sz w:val="24"/>
        </w:rPr>
        <w:t>348.9</w:t>
      </w:r>
      <w:r>
        <w:rPr>
          <w:rFonts w:hAnsi="Verdana"/>
          <w:color w:val="000000"/>
          <w:sz w:val="24"/>
        </w:rPr>
        <w:t>万人，与上海、南京两大都市等距相望，与苏州、无锡联袂成片，构成了苏锡常都市圈。常州有着十分优越的区位条件和便捷的水陆空交通条件，市区北临长江，南濒太湖，沪宁铁路、沪宁高速公路、</w:t>
      </w:r>
      <w:r>
        <w:rPr>
          <w:color w:val="000000"/>
          <w:sz w:val="24"/>
        </w:rPr>
        <w:t>312</w:t>
      </w:r>
      <w:r>
        <w:rPr>
          <w:rFonts w:hAnsi="Verdana"/>
          <w:color w:val="000000"/>
          <w:sz w:val="24"/>
        </w:rPr>
        <w:t>国道、京杭大运河穿境而过；全市水网纵横交织，连江通海；长江常州港作为国家一类开放口岸，年货物吞吐量超过百万吨；民航常州站有通达北京、广州、大连、厦门、深圳、海口、西安等国内</w:t>
      </w:r>
      <w:r>
        <w:rPr>
          <w:color w:val="000000"/>
          <w:sz w:val="24"/>
        </w:rPr>
        <w:t>20</w:t>
      </w:r>
      <w:r>
        <w:rPr>
          <w:rFonts w:hAnsi="Verdana"/>
          <w:color w:val="000000"/>
          <w:sz w:val="24"/>
        </w:rPr>
        <w:t>多个大中城市的航线。常州经济发达，是</w:t>
      </w:r>
      <w:r>
        <w:rPr>
          <w:color w:val="000000"/>
          <w:sz w:val="24"/>
        </w:rPr>
        <w:t>“</w:t>
      </w:r>
      <w:r>
        <w:rPr>
          <w:rFonts w:hAnsi="Verdana"/>
          <w:color w:val="000000"/>
          <w:sz w:val="24"/>
        </w:rPr>
        <w:t>中国城市综合实力</w:t>
      </w:r>
      <w:r>
        <w:rPr>
          <w:color w:val="000000"/>
          <w:sz w:val="24"/>
        </w:rPr>
        <w:t>50</w:t>
      </w:r>
      <w:r>
        <w:rPr>
          <w:rFonts w:hAnsi="Verdana"/>
          <w:color w:val="000000"/>
          <w:sz w:val="24"/>
        </w:rPr>
        <w:t>强</w:t>
      </w:r>
      <w:r>
        <w:rPr>
          <w:color w:val="000000"/>
          <w:sz w:val="24"/>
        </w:rPr>
        <w:t>”</w:t>
      </w:r>
      <w:r>
        <w:rPr>
          <w:rFonts w:hAnsi="Verdana"/>
          <w:color w:val="000000"/>
          <w:sz w:val="24"/>
        </w:rPr>
        <w:t>和</w:t>
      </w:r>
      <w:r>
        <w:rPr>
          <w:color w:val="000000"/>
          <w:sz w:val="24"/>
        </w:rPr>
        <w:t>“</w:t>
      </w:r>
      <w:r>
        <w:rPr>
          <w:rFonts w:hAnsi="Verdana"/>
          <w:color w:val="000000"/>
          <w:sz w:val="24"/>
        </w:rPr>
        <w:t>中国城市投资环境</w:t>
      </w:r>
      <w:r>
        <w:rPr>
          <w:color w:val="000000"/>
          <w:sz w:val="24"/>
        </w:rPr>
        <w:t>40</w:t>
      </w:r>
      <w:r>
        <w:rPr>
          <w:rFonts w:hAnsi="Verdana"/>
          <w:color w:val="000000"/>
          <w:sz w:val="24"/>
        </w:rPr>
        <w:t>优</w:t>
      </w:r>
      <w:r>
        <w:rPr>
          <w:color w:val="000000"/>
          <w:sz w:val="24"/>
        </w:rPr>
        <w:t>”</w:t>
      </w:r>
      <w:r>
        <w:rPr>
          <w:rFonts w:hAnsi="Verdana"/>
          <w:color w:val="000000"/>
          <w:sz w:val="24"/>
        </w:rPr>
        <w:t>城市之一，并被确定为国家第一批可持续发展和全国环模试点城市。</w:t>
      </w:r>
      <w:r>
        <w:rPr>
          <w:color w:val="000000"/>
          <w:sz w:val="24"/>
        </w:rPr>
        <w:t>04</w:t>
      </w:r>
      <w:r>
        <w:rPr>
          <w:rFonts w:hAnsi="Verdana"/>
          <w:color w:val="000000"/>
          <w:sz w:val="24"/>
        </w:rPr>
        <w:t>年全市地区生产总值达到</w:t>
      </w:r>
      <w:r>
        <w:rPr>
          <w:color w:val="000000"/>
          <w:sz w:val="24"/>
        </w:rPr>
        <w:t>1100</w:t>
      </w:r>
      <w:r>
        <w:rPr>
          <w:rFonts w:hAnsi="Verdana"/>
          <w:color w:val="000000"/>
          <w:sz w:val="24"/>
        </w:rPr>
        <w:t>亿元左右，人均</w:t>
      </w:r>
      <w:r>
        <w:rPr>
          <w:color w:val="000000"/>
          <w:sz w:val="24"/>
        </w:rPr>
        <w:t>GDP</w:t>
      </w:r>
      <w:r>
        <w:rPr>
          <w:rFonts w:hAnsi="Verdana"/>
          <w:color w:val="000000"/>
          <w:sz w:val="24"/>
        </w:rPr>
        <w:t>超过</w:t>
      </w:r>
      <w:r>
        <w:rPr>
          <w:color w:val="000000"/>
          <w:sz w:val="24"/>
        </w:rPr>
        <w:t>3800</w:t>
      </w:r>
      <w:r>
        <w:rPr>
          <w:rFonts w:hAnsi="Verdana"/>
          <w:color w:val="000000"/>
          <w:sz w:val="24"/>
        </w:rPr>
        <w:t>美元，全社会固定资产投资</w:t>
      </w:r>
      <w:r>
        <w:rPr>
          <w:color w:val="000000"/>
          <w:sz w:val="24"/>
        </w:rPr>
        <w:t>580</w:t>
      </w:r>
      <w:r>
        <w:rPr>
          <w:rFonts w:hAnsi="Verdana"/>
          <w:color w:val="000000"/>
          <w:sz w:val="24"/>
        </w:rPr>
        <w:t>亿元以上</w:t>
      </w:r>
      <w:r>
        <w:rPr>
          <w:rFonts w:hAnsi="Verdana" w:hint="eastAsia"/>
          <w:color w:val="000000"/>
          <w:sz w:val="24"/>
        </w:rPr>
        <w:t>，</w:t>
      </w:r>
      <w:r>
        <w:rPr>
          <w:rFonts w:hAnsi="Verdana"/>
          <w:color w:val="000000"/>
          <w:sz w:val="24"/>
        </w:rPr>
        <w:t>高新技术产业产值占全部工业的比重达到</w:t>
      </w:r>
      <w:r>
        <w:rPr>
          <w:color w:val="000000"/>
          <w:sz w:val="24"/>
        </w:rPr>
        <w:t>28%</w:t>
      </w:r>
      <w:r>
        <w:rPr>
          <w:rFonts w:hAnsi="Verdana"/>
          <w:color w:val="000000"/>
          <w:sz w:val="24"/>
        </w:rPr>
        <w:t>左右</w:t>
      </w:r>
      <w:r>
        <w:rPr>
          <w:rFonts w:hAnsi="Verdana" w:hint="eastAsia"/>
          <w:color w:val="000000"/>
          <w:sz w:val="24"/>
        </w:rPr>
        <w:t>，</w:t>
      </w:r>
      <w:r>
        <w:rPr>
          <w:rFonts w:hAnsi="Verdana"/>
          <w:color w:val="000000"/>
          <w:sz w:val="24"/>
        </w:rPr>
        <w:t>全社会消费品零售总额增长</w:t>
      </w:r>
      <w:r>
        <w:rPr>
          <w:color w:val="000000"/>
          <w:sz w:val="24"/>
        </w:rPr>
        <w:t>15.5%</w:t>
      </w:r>
      <w:r>
        <w:rPr>
          <w:rFonts w:hAnsi="Verdana"/>
          <w:color w:val="000000"/>
          <w:sz w:val="24"/>
        </w:rPr>
        <w:t>，接待国内外游客</w:t>
      </w:r>
      <w:r>
        <w:rPr>
          <w:color w:val="000000"/>
          <w:sz w:val="24"/>
        </w:rPr>
        <w:t>1000</w:t>
      </w:r>
      <w:r>
        <w:rPr>
          <w:rFonts w:hAnsi="Verdana"/>
          <w:color w:val="000000"/>
          <w:sz w:val="24"/>
        </w:rPr>
        <w:t>万人次。常州招商引资成绩卓越，到目前</w:t>
      </w:r>
      <w:r>
        <w:rPr>
          <w:rFonts w:hAnsi="宋体"/>
          <w:color w:val="000000"/>
          <w:sz w:val="24"/>
        </w:rPr>
        <w:t>在常州投资的国家和地区已达</w:t>
      </w:r>
    </w:p>
    <w:p>
      <w:pPr>
        <w:pStyle w:val="Normal0"/>
        <w:numPr>
          <w:ilvl w:val="0"/>
          <w:numId w:val="0"/>
        </w:numPr>
        <w:ind w:left="2115"/>
        <w:rPr>
          <w:sz w:val="24"/>
        </w:rPr>
      </w:pPr>
      <w:r>
        <w:rPr>
          <w:color w:val="000000"/>
          <w:sz w:val="24"/>
        </w:rPr>
        <w:t>73</w:t>
      </w:r>
      <w:r>
        <w:rPr>
          <w:rFonts w:hAnsi="宋体"/>
          <w:color w:val="000000"/>
          <w:sz w:val="24"/>
        </w:rPr>
        <w:t>个，如美国通用电气公司（</w:t>
      </w:r>
      <w:r>
        <w:rPr>
          <w:color w:val="000000"/>
          <w:sz w:val="24"/>
        </w:rPr>
        <w:t>GE</w:t>
      </w:r>
      <w:r>
        <w:rPr>
          <w:rFonts w:hAnsi="宋体"/>
          <w:color w:val="000000"/>
          <w:sz w:val="24"/>
        </w:rPr>
        <w:t>）、亚什兰、梅特勒托利多公司、德国</w:t>
      </w:r>
      <w:r>
        <w:rPr>
          <w:color w:val="000000"/>
          <w:sz w:val="24"/>
        </w:rPr>
        <w:t>F&amp;G</w:t>
      </w:r>
      <w:r>
        <w:rPr>
          <w:rFonts w:hAnsi="宋体"/>
          <w:color w:val="000000"/>
          <w:sz w:val="24"/>
        </w:rPr>
        <w:t>公司、卡尔迈耶公司、曼内斯曼力士乐公司、法国法力诺公司、英国海浦沃尔斯公司、日本东芝、小松、普利司通、富士通、丸红、三井、韩国现代、意大利雷迪斯、台湾光阳等</w:t>
      </w:r>
      <w:r>
        <w:rPr>
          <w:color w:val="000000"/>
          <w:sz w:val="24"/>
        </w:rPr>
        <w:t>50</w:t>
      </w:r>
      <w:r>
        <w:rPr>
          <w:rFonts w:hAnsi="宋体"/>
          <w:color w:val="000000"/>
          <w:sz w:val="24"/>
        </w:rPr>
        <w:t>多家跨国公司已在常投资落户</w:t>
      </w:r>
      <w:r>
        <w:rPr>
          <w:rFonts w:hAnsi="宋体" w:hint="eastAsia"/>
          <w:color w:val="000000"/>
          <w:sz w:val="24"/>
        </w:rPr>
        <w:t>。</w:t>
      </w:r>
    </w:p>
    <w:p>
      <w:pPr>
        <w:pStyle w:val="Normal0"/>
        <w:numPr>
          <w:ilvl w:val="0"/>
          <w:numId w:val="4"/>
        </w:numPr>
        <w:rPr>
          <w:rFonts w:hint="eastAsia"/>
          <w:b/>
          <w:sz w:val="24"/>
        </w:rPr>
      </w:pPr>
      <w:r>
        <w:rPr>
          <w:rFonts w:hint="eastAsia"/>
          <w:b/>
          <w:sz w:val="24"/>
          <w:lang w:eastAsia="zh-CN"/>
        </w:rPr>
        <w:t>相关项目</w:t>
      </w:r>
    </w:p>
    <w:p>
      <w:pPr>
        <w:pStyle w:val="Normal0"/>
        <w:numPr>
          <w:ilvl w:val="0"/>
          <w:numId w:val="5"/>
        </w:numPr>
        <w:rPr>
          <w:rFonts w:hint="eastAsia"/>
          <w:sz w:val="24"/>
        </w:rPr>
      </w:pPr>
      <w:r>
        <w:rPr>
          <w:rFonts w:hint="eastAsia"/>
          <w:b/>
          <w:sz w:val="24"/>
        </w:rPr>
        <w:t>地段：</w:t>
      </w:r>
      <w:r>
        <w:rPr>
          <w:rFonts w:hint="eastAsia"/>
          <w:sz w:val="24"/>
        </w:rPr>
        <w:t>莱蒙都会地处常州市中心，北靠延陵路、东临南大街、南为西瀛里、西至早科坊，是常州自古以来的核心商业圈。</w:t>
      </w:r>
    </w:p>
    <w:p>
      <w:pPr>
        <w:pStyle w:val="Normal0"/>
        <w:numPr>
          <w:ilvl w:val="0"/>
          <w:numId w:val="5"/>
        </w:numPr>
        <w:rPr>
          <w:rFonts w:hint="eastAsia"/>
          <w:b/>
          <w:sz w:val="24"/>
        </w:rPr>
      </w:pPr>
      <w:r>
        <w:rPr>
          <w:rFonts w:hint="eastAsia"/>
          <w:b/>
          <w:sz w:val="24"/>
        </w:rPr>
        <w:t>交通：</w:t>
      </w:r>
      <w:r>
        <w:rPr>
          <w:rFonts w:hint="eastAsia"/>
          <w:sz w:val="24"/>
        </w:rPr>
        <w:t>莱蒙都会周边拥有多条城市主干道，公交车、出租车、私家车能快捷方便的到达</w:t>
      </w:r>
      <w:r>
        <w:rPr>
          <w:rFonts w:hint="eastAsia"/>
          <w:sz w:val="24"/>
          <w:lang w:eastAsia="zh-CN"/>
        </w:rPr>
        <w:t>相关项目</w:t>
      </w:r>
      <w:r>
        <w:rPr>
          <w:rFonts w:hint="eastAsia"/>
          <w:sz w:val="24"/>
        </w:rPr>
        <w:t>。</w:t>
      </w:r>
    </w:p>
    <w:p>
      <w:pPr>
        <w:pStyle w:val="Normal0"/>
        <w:numPr>
          <w:ilvl w:val="0"/>
          <w:numId w:val="5"/>
        </w:numPr>
        <w:rPr>
          <w:rFonts w:hint="eastAsia"/>
          <w:sz w:val="24"/>
        </w:rPr>
      </w:pPr>
      <w:r>
        <w:rPr>
          <w:rFonts w:hint="eastAsia"/>
          <w:b/>
          <w:sz w:val="24"/>
        </w:rPr>
        <w:t>文化：</w:t>
      </w:r>
      <w:r>
        <w:rPr>
          <w:rFonts w:hint="eastAsia"/>
          <w:sz w:val="24"/>
        </w:rPr>
        <w:t>西瀛里南大街为常州自古商业繁衍之地，拥有悠久的历史与商业文明沉淀，古运河与明城墙更是点睛之笔，将</w:t>
      </w:r>
      <w:r>
        <w:rPr>
          <w:rFonts w:hint="eastAsia"/>
          <w:sz w:val="24"/>
          <w:lang w:eastAsia="zh-CN"/>
        </w:rPr>
        <w:t>相关项目</w:t>
      </w:r>
      <w:r>
        <w:rPr>
          <w:rFonts w:hint="eastAsia"/>
          <w:sz w:val="24"/>
        </w:rPr>
        <w:t>文化底蕴展露无遗。</w:t>
      </w:r>
    </w:p>
    <w:p>
      <w:pPr>
        <w:pStyle w:val="Normal0"/>
        <w:numPr>
          <w:ilvl w:val="0"/>
          <w:numId w:val="5"/>
        </w:numPr>
        <w:rPr>
          <w:rFonts w:hint="eastAsia"/>
          <w:b/>
          <w:sz w:val="24"/>
        </w:rPr>
      </w:pPr>
      <w:r>
        <w:rPr>
          <w:rFonts w:hint="eastAsia"/>
          <w:b/>
          <w:sz w:val="24"/>
        </w:rPr>
        <w:t>规模：</w:t>
      </w:r>
      <w:r>
        <w:rPr>
          <w:rFonts w:hint="eastAsia"/>
          <w:sz w:val="24"/>
        </w:rPr>
        <w:t>58万方的超大规模。</w:t>
      </w:r>
    </w:p>
    <w:p>
      <w:pPr>
        <w:pStyle w:val="Normal0"/>
        <w:numPr>
          <w:ilvl w:val="0"/>
          <w:numId w:val="5"/>
        </w:numPr>
        <w:rPr>
          <w:rFonts w:hint="eastAsia"/>
          <w:sz w:val="24"/>
        </w:rPr>
      </w:pPr>
      <w:r>
        <w:rPr>
          <w:rFonts w:hint="eastAsia"/>
          <w:b/>
          <w:sz w:val="24"/>
        </w:rPr>
        <w:t>规划：</w:t>
      </w:r>
      <w:r>
        <w:rPr>
          <w:rFonts w:hint="eastAsia"/>
          <w:sz w:val="24"/>
        </w:rPr>
        <w:t>规划三大功能区域，为商业区域、商住区域、商务区域，内部交通前瞻规划，立体人流循环系统。</w:t>
      </w:r>
    </w:p>
    <w:p>
      <w:pPr>
        <w:pStyle w:val="Normal0"/>
        <w:numPr>
          <w:ilvl w:val="0"/>
          <w:numId w:val="5"/>
        </w:numPr>
        <w:rPr>
          <w:rFonts w:hint="eastAsia"/>
          <w:sz w:val="24"/>
        </w:rPr>
      </w:pPr>
      <w:r>
        <w:rPr>
          <w:rFonts w:hint="eastAsia"/>
          <w:b/>
          <w:sz w:val="24"/>
        </w:rPr>
        <w:t>模式：</w:t>
      </w:r>
      <w:r>
        <w:rPr>
          <w:rFonts w:hint="eastAsia"/>
          <w:sz w:val="24"/>
        </w:rPr>
        <w:t>Street Mall模式，将街道与Mall融合。</w:t>
      </w:r>
    </w:p>
    <w:p>
      <w:pPr>
        <w:pStyle w:val="Normal0"/>
        <w:numPr>
          <w:ilvl w:val="0"/>
          <w:numId w:val="5"/>
        </w:numPr>
        <w:rPr>
          <w:rFonts w:hint="eastAsia"/>
          <w:b/>
          <w:sz w:val="24"/>
        </w:rPr>
      </w:pPr>
      <w:r>
        <w:rPr>
          <w:rFonts w:hint="eastAsia"/>
          <w:b/>
          <w:sz w:val="24"/>
        </w:rPr>
        <w:t>建筑：</w:t>
      </w:r>
      <w:r>
        <w:rPr>
          <w:rFonts w:hint="eastAsia"/>
          <w:sz w:val="24"/>
        </w:rPr>
        <w:t>以街区形态、做商业建筑规划，立面简洁、功能明确。</w:t>
      </w:r>
    </w:p>
    <w:p>
      <w:pPr>
        <w:pStyle w:val="Normal0"/>
        <w:numPr>
          <w:ilvl w:val="0"/>
          <w:numId w:val="5"/>
        </w:numPr>
        <w:rPr>
          <w:rFonts w:hint="eastAsia"/>
          <w:b/>
          <w:sz w:val="24"/>
        </w:rPr>
      </w:pPr>
      <w:r>
        <w:rPr>
          <w:rFonts w:hint="eastAsia"/>
          <w:b/>
          <w:sz w:val="24"/>
        </w:rPr>
        <w:t>景观：</w:t>
      </w:r>
      <w:r>
        <w:rPr>
          <w:rFonts w:hint="eastAsia"/>
          <w:sz w:val="24"/>
        </w:rPr>
        <w:t>特色街景、小品、主题装饰、参与性景观设计。</w:t>
      </w:r>
    </w:p>
    <w:p>
      <w:pPr>
        <w:pStyle w:val="Normal0"/>
        <w:numPr>
          <w:ilvl w:val="0"/>
          <w:numId w:val="5"/>
        </w:numPr>
        <w:rPr>
          <w:rFonts w:hint="eastAsia"/>
          <w:sz w:val="24"/>
        </w:rPr>
      </w:pPr>
      <w:r>
        <w:rPr>
          <w:rFonts w:hint="eastAsia"/>
          <w:b/>
          <w:sz w:val="24"/>
        </w:rPr>
        <w:t>业态：</w:t>
      </w:r>
      <w:r>
        <w:rPr>
          <w:rFonts w:hint="eastAsia"/>
          <w:sz w:val="24"/>
        </w:rPr>
        <w:t>全业态安排，大众百货、精品购物、主题餐饮娱乐三大部分，引入长三角稀缺业态。</w:t>
      </w:r>
    </w:p>
    <w:p>
      <w:pPr>
        <w:pStyle w:val="Normal0"/>
        <w:numPr>
          <w:ilvl w:val="0"/>
          <w:numId w:val="5"/>
        </w:numPr>
        <w:rPr>
          <w:rFonts w:hint="eastAsia"/>
          <w:sz w:val="24"/>
        </w:rPr>
        <w:sectPr>
          <w:headerReference w:type="default" r:id="rId15"/>
          <w:footerReference w:type="default" r:id="rId16"/>
          <w:type w:val="nextPage"/>
          <w:pgSz w:w="11906" w:h="16838"/>
          <w:pgMar w:top="1440" w:right="1797" w:bottom="1440" w:left="1797" w:header="851" w:footer="992" w:gutter="0"/>
          <w:pgNumType w:start="6"/>
          <w:cols w:num="1" w:space="425"/>
          <w:titlePg w:val="0"/>
          <w:docGrid w:type="lines" w:linePitch="290" w:charSpace="0"/>
        </w:sectPr>
      </w:pPr>
      <w:r>
        <w:rPr>
          <w:rFonts w:hint="eastAsia"/>
          <w:b/>
          <w:sz w:val="24"/>
        </w:rPr>
        <w:t>品牌：</w:t>
      </w:r>
      <w:r>
        <w:rPr>
          <w:rFonts w:hint="eastAsia"/>
          <w:sz w:val="24"/>
        </w:rPr>
        <w:t>已有沃尔玛、时代华纳、美国速8酒店、新华书店、常百等品牌有明确意向。</w:t>
      </w:r>
    </w:p>
    <w:p>
      <w:pPr>
        <w:pStyle w:val="Normal0"/>
        <w:numPr>
          <w:ilvl w:val="0"/>
          <w:numId w:val="5"/>
        </w:numPr>
        <w:rPr>
          <w:rFonts w:hint="eastAsia"/>
          <w:sz w:val="24"/>
        </w:rPr>
      </w:pPr>
      <w:r>
        <w:rPr>
          <w:rFonts w:hint="eastAsia"/>
          <w:b/>
          <w:sz w:val="24"/>
        </w:rPr>
        <w:t>功能：</w:t>
      </w:r>
      <w:r>
        <w:rPr>
          <w:rFonts w:hint="eastAsia"/>
          <w:sz w:val="24"/>
        </w:rPr>
        <w:t>一站式街区，具有购物、娱乐、餐饮、休闲、康体、旅游、商务、会展、居住、文化等十大功能。</w:t>
      </w:r>
    </w:p>
    <w:p>
      <w:pPr>
        <w:pStyle w:val="Normal0"/>
        <w:numPr>
          <w:ilvl w:val="0"/>
          <w:numId w:val="5"/>
        </w:numPr>
        <w:rPr>
          <w:rFonts w:hint="eastAsia"/>
          <w:sz w:val="24"/>
        </w:rPr>
      </w:pPr>
      <w:r>
        <w:rPr>
          <w:rFonts w:hint="eastAsia"/>
          <w:b/>
          <w:sz w:val="24"/>
        </w:rPr>
        <w:t>辐射：</w:t>
      </w:r>
      <w:r>
        <w:rPr>
          <w:rFonts w:hint="eastAsia"/>
          <w:sz w:val="24"/>
        </w:rPr>
        <w:t>辐射常州及周边半小时生活圈400多万人口，辐射长三角2小时经济圈的商务旅游人群。</w:t>
      </w:r>
    </w:p>
    <w:p>
      <w:pPr>
        <w:pStyle w:val="Normal0"/>
        <w:numPr>
          <w:ilvl w:val="0"/>
          <w:numId w:val="5"/>
        </w:numPr>
        <w:rPr>
          <w:rFonts w:hint="eastAsia"/>
          <w:sz w:val="24"/>
        </w:rPr>
      </w:pPr>
      <w:r>
        <w:rPr>
          <w:rFonts w:hint="eastAsia"/>
          <w:b/>
          <w:sz w:val="24"/>
        </w:rPr>
        <w:t>投资：</w:t>
      </w:r>
      <w:r>
        <w:rPr>
          <w:rFonts w:hint="eastAsia"/>
          <w:sz w:val="24"/>
        </w:rPr>
        <w:t>莱蒙都会预计整体投入为20亿元人民币。</w:t>
      </w:r>
    </w:p>
    <w:p>
      <w:pPr>
        <w:pStyle w:val="Normal0"/>
        <w:ind w:left="1766"/>
        <w:rPr>
          <w:rFonts w:hint="eastAsia"/>
          <w:b/>
          <w:sz w:val="24"/>
        </w:rPr>
      </w:pPr>
    </w:p>
    <w:p>
      <w:pPr>
        <w:pStyle w:val="Normal0"/>
        <w:numPr>
          <w:ilvl w:val="0"/>
          <w:numId w:val="4"/>
        </w:numPr>
        <w:rPr>
          <w:rFonts w:hint="eastAsia"/>
          <w:b/>
          <w:sz w:val="24"/>
        </w:rPr>
      </w:pPr>
      <w:r>
        <w:rPr>
          <w:rFonts w:hint="eastAsia"/>
          <w:b/>
          <w:sz w:val="24"/>
        </w:rPr>
        <w:t>运营</w:t>
      </w:r>
    </w:p>
    <w:p>
      <w:pPr>
        <w:pStyle w:val="Normal0"/>
        <w:numPr>
          <w:ilvl w:val="0"/>
          <w:numId w:val="5"/>
        </w:numPr>
        <w:rPr>
          <w:rFonts w:hint="eastAsia"/>
          <w:sz w:val="24"/>
        </w:rPr>
      </w:pPr>
      <w:r>
        <w:rPr>
          <w:rFonts w:hint="eastAsia"/>
          <w:b/>
          <w:sz w:val="24"/>
        </w:rPr>
        <w:t>自主持有：</w:t>
      </w:r>
      <w:r>
        <w:rPr>
          <w:rFonts w:hint="eastAsia"/>
          <w:sz w:val="24"/>
        </w:rPr>
        <w:t>莱蒙都会自主持有80％的商铺产权，以招商租赁为主，将销售作为配合。</w:t>
      </w:r>
    </w:p>
    <w:p>
      <w:pPr>
        <w:pStyle w:val="Normal0"/>
        <w:numPr>
          <w:ilvl w:val="0"/>
          <w:numId w:val="5"/>
        </w:numPr>
        <w:rPr>
          <w:rFonts w:hint="eastAsia"/>
          <w:sz w:val="24"/>
        </w:rPr>
      </w:pPr>
      <w:r>
        <w:rPr>
          <w:rFonts w:hint="eastAsia"/>
          <w:b/>
          <w:sz w:val="24"/>
        </w:rPr>
        <w:t>招商先行：</w:t>
      </w:r>
      <w:r>
        <w:rPr>
          <w:rFonts w:hint="eastAsia"/>
          <w:sz w:val="24"/>
        </w:rPr>
        <w:t>莱蒙都会招商先行，先做商业规划，在做地产运作，</w:t>
      </w:r>
      <w:r>
        <w:rPr>
          <w:rFonts w:hint="eastAsia"/>
          <w:sz w:val="24"/>
          <w:lang w:eastAsia="zh-CN"/>
        </w:rPr>
        <w:t>相关项目</w:t>
      </w:r>
      <w:r>
        <w:rPr>
          <w:rFonts w:hint="eastAsia"/>
          <w:sz w:val="24"/>
        </w:rPr>
        <w:t>的建筑规划都与主力商家进行深度沟通后确定，确保</w:t>
      </w:r>
      <w:r>
        <w:rPr>
          <w:rFonts w:hint="eastAsia"/>
          <w:sz w:val="24"/>
          <w:lang w:eastAsia="zh-CN"/>
        </w:rPr>
        <w:t>相关项目</w:t>
      </w:r>
      <w:r>
        <w:rPr>
          <w:rFonts w:hint="eastAsia"/>
          <w:sz w:val="24"/>
        </w:rPr>
        <w:t>的后期经营顺利开展。</w:t>
      </w:r>
    </w:p>
    <w:p>
      <w:pPr>
        <w:pStyle w:val="Normal0"/>
        <w:numPr>
          <w:ilvl w:val="0"/>
          <w:numId w:val="5"/>
        </w:numPr>
        <w:rPr>
          <w:rFonts w:hint="eastAsia"/>
          <w:sz w:val="24"/>
        </w:rPr>
      </w:pPr>
      <w:r>
        <w:rPr>
          <w:rFonts w:hint="eastAsia"/>
          <w:b/>
          <w:sz w:val="24"/>
        </w:rPr>
        <w:t>基金运作：</w:t>
      </w:r>
      <w:r>
        <w:rPr>
          <w:rFonts w:hint="eastAsia"/>
          <w:sz w:val="24"/>
        </w:rPr>
        <w:t>莱蒙都会引入最新资金运营模式，融合国际基金为</w:t>
      </w:r>
      <w:r>
        <w:rPr>
          <w:rFonts w:hint="eastAsia"/>
          <w:sz w:val="24"/>
          <w:lang w:eastAsia="zh-CN"/>
        </w:rPr>
        <w:t>相关项目</w:t>
      </w:r>
      <w:r>
        <w:rPr>
          <w:rFonts w:hint="eastAsia"/>
          <w:sz w:val="24"/>
        </w:rPr>
        <w:t>支撑，摈弃自持资金与银行借贷，长远运作有充分的保障。</w:t>
      </w:r>
    </w:p>
    <w:p>
      <w:pPr>
        <w:pStyle w:val="Normal0"/>
        <w:rPr>
          <w:rFonts w:hint="eastAsia"/>
          <w:sz w:val="24"/>
        </w:rPr>
      </w:pPr>
    </w:p>
    <w:p>
      <w:pPr>
        <w:pStyle w:val="Normal0"/>
        <w:numPr>
          <w:ilvl w:val="0"/>
          <w:numId w:val="3"/>
        </w:numPr>
        <w:rPr>
          <w:rFonts w:ascii="华文中宋" w:eastAsia="华文中宋" w:hAnsi="华文中宋" w:hint="eastAsia"/>
          <w:b/>
          <w:sz w:val="28"/>
          <w:szCs w:val="28"/>
        </w:rPr>
      </w:pPr>
      <w:r>
        <w:rPr>
          <w:rFonts w:ascii="华文中宋" w:eastAsia="华文中宋" w:hAnsi="华文中宋" w:hint="eastAsia"/>
          <w:b/>
          <w:sz w:val="28"/>
          <w:szCs w:val="28"/>
          <w:lang w:eastAsia="zh-CN"/>
        </w:rPr>
        <w:t>相关项目</w:t>
      </w:r>
      <w:r>
        <w:rPr>
          <w:rFonts w:ascii="华文中宋" w:eastAsia="华文中宋" w:hAnsi="华文中宋" w:hint="eastAsia"/>
          <w:b/>
          <w:sz w:val="28"/>
          <w:szCs w:val="28"/>
        </w:rPr>
        <w:t>亮点回顾</w:t>
      </w:r>
    </w:p>
    <w:p>
      <w:pPr>
        <w:pStyle w:val="Normal0"/>
        <w:ind w:left="1275"/>
        <w:rPr>
          <w:bCs/>
          <w:sz w:val="24"/>
        </w:rPr>
      </w:pPr>
      <w:r>
        <w:rPr>
          <w:rFonts w:hint="eastAsia"/>
          <w:sz w:val="24"/>
        </w:rPr>
        <w:t>1）</w:t>
      </w:r>
      <w:r>
        <w:rPr>
          <w:rFonts w:hint="eastAsia"/>
          <w:b/>
          <w:bCs/>
          <w:sz w:val="24"/>
        </w:rPr>
        <w:t>常州城市</w:t>
      </w:r>
      <w:r>
        <w:rPr>
          <w:bCs/>
          <w:sz w:val="24"/>
        </w:rPr>
        <w:t>——</w:t>
      </w:r>
      <w:r>
        <w:rPr>
          <w:rFonts w:hint="eastAsia"/>
          <w:bCs/>
          <w:sz w:val="24"/>
        </w:rPr>
        <w:t>长三角活力城市，苏南中心</w:t>
      </w:r>
    </w:p>
    <w:p>
      <w:pPr>
        <w:pStyle w:val="Normal0"/>
        <w:ind w:left="1275"/>
        <w:rPr>
          <w:rFonts w:hint="eastAsia"/>
          <w:b/>
          <w:sz w:val="24"/>
        </w:rPr>
      </w:pPr>
      <w:r>
        <w:rPr>
          <w:rFonts w:hint="eastAsia"/>
          <w:b/>
          <w:sz w:val="24"/>
        </w:rPr>
        <w:t>2）</w:t>
      </w:r>
      <w:r>
        <w:rPr>
          <w:rFonts w:hint="eastAsia"/>
          <w:b/>
          <w:sz w:val="24"/>
          <w:lang w:eastAsia="zh-CN"/>
        </w:rPr>
        <w:t>相关项目</w:t>
      </w:r>
      <w:r>
        <w:rPr>
          <w:rFonts w:hint="eastAsia"/>
          <w:b/>
          <w:sz w:val="24"/>
        </w:rPr>
        <w:t>地段</w:t>
      </w:r>
      <w:r>
        <w:rPr>
          <w:sz w:val="24"/>
        </w:rPr>
        <w:t>——</w:t>
      </w:r>
      <w:r>
        <w:rPr>
          <w:rFonts w:hint="eastAsia"/>
          <w:sz w:val="24"/>
        </w:rPr>
        <w:t>常州商业正中心</w:t>
      </w:r>
    </w:p>
    <w:p>
      <w:pPr>
        <w:pStyle w:val="Normal0"/>
        <w:ind w:left="1275"/>
        <w:rPr>
          <w:rFonts w:hint="eastAsia"/>
          <w:b/>
          <w:sz w:val="24"/>
        </w:rPr>
      </w:pPr>
      <w:r>
        <w:rPr>
          <w:rFonts w:hint="eastAsia"/>
          <w:b/>
          <w:sz w:val="24"/>
        </w:rPr>
        <w:t>3）</w:t>
      </w:r>
      <w:r>
        <w:rPr>
          <w:rFonts w:hint="eastAsia"/>
          <w:b/>
          <w:sz w:val="24"/>
          <w:lang w:eastAsia="zh-CN"/>
        </w:rPr>
        <w:t>相关项目</w:t>
      </w:r>
      <w:r>
        <w:rPr>
          <w:rFonts w:hint="eastAsia"/>
          <w:b/>
          <w:sz w:val="24"/>
        </w:rPr>
        <w:t>规模</w:t>
      </w:r>
      <w:r>
        <w:rPr>
          <w:sz w:val="24"/>
        </w:rPr>
        <w:t>——</w:t>
      </w:r>
      <w:r>
        <w:rPr>
          <w:rFonts w:hint="eastAsia"/>
          <w:sz w:val="24"/>
        </w:rPr>
        <w:t>50万方超大体量</w:t>
      </w:r>
    </w:p>
    <w:p>
      <w:pPr>
        <w:pStyle w:val="Normal0"/>
        <w:ind w:left="1275"/>
        <w:rPr>
          <w:rFonts w:hint="eastAsia"/>
          <w:b/>
          <w:sz w:val="24"/>
        </w:rPr>
      </w:pPr>
      <w:r>
        <w:rPr>
          <w:rFonts w:hint="eastAsia"/>
          <w:b/>
          <w:sz w:val="24"/>
        </w:rPr>
        <w:t>4）文化沉淀</w:t>
      </w:r>
      <w:r>
        <w:rPr>
          <w:sz w:val="24"/>
        </w:rPr>
        <w:t>——</w:t>
      </w:r>
      <w:r>
        <w:rPr>
          <w:rFonts w:hint="eastAsia"/>
          <w:sz w:val="24"/>
        </w:rPr>
        <w:t>西瀛里南大街自古繁华</w:t>
      </w:r>
    </w:p>
    <w:p>
      <w:pPr>
        <w:pStyle w:val="Normal0"/>
        <w:ind w:left="1275"/>
        <w:rPr>
          <w:rFonts w:hint="eastAsia"/>
          <w:b/>
          <w:sz w:val="24"/>
        </w:rPr>
      </w:pPr>
      <w:r>
        <w:rPr>
          <w:rFonts w:hint="eastAsia"/>
          <w:b/>
          <w:sz w:val="24"/>
        </w:rPr>
        <w:t>5）政府支持</w:t>
      </w:r>
      <w:r>
        <w:rPr>
          <w:sz w:val="24"/>
        </w:rPr>
        <w:t>——</w:t>
      </w:r>
      <w:r>
        <w:rPr>
          <w:rFonts w:hint="eastAsia"/>
          <w:sz w:val="24"/>
        </w:rPr>
        <w:t>常州政府重点</w:t>
      </w:r>
      <w:r>
        <w:rPr>
          <w:rFonts w:hint="eastAsia"/>
          <w:sz w:val="24"/>
          <w:lang w:eastAsia="zh-CN"/>
        </w:rPr>
        <w:t>相关项目</w:t>
      </w:r>
    </w:p>
    <w:p>
      <w:pPr>
        <w:pStyle w:val="Normal0"/>
        <w:ind w:left="1275"/>
        <w:rPr>
          <w:rFonts w:hint="eastAsia"/>
          <w:b/>
          <w:sz w:val="24"/>
        </w:rPr>
      </w:pPr>
      <w:r>
        <w:rPr>
          <w:rFonts w:hint="eastAsia"/>
          <w:b/>
          <w:sz w:val="24"/>
        </w:rPr>
        <w:t>6）商业模式</w:t>
      </w:r>
      <w:r>
        <w:rPr>
          <w:sz w:val="24"/>
        </w:rPr>
        <w:t>——</w:t>
      </w:r>
      <w:r>
        <w:rPr>
          <w:rFonts w:hint="eastAsia"/>
          <w:sz w:val="24"/>
        </w:rPr>
        <w:t>街＋MALL</w:t>
      </w:r>
    </w:p>
    <w:p>
      <w:pPr>
        <w:pStyle w:val="Normal0"/>
        <w:ind w:left="1275"/>
        <w:rPr>
          <w:rFonts w:hint="eastAsia"/>
          <w:b/>
          <w:sz w:val="24"/>
        </w:rPr>
        <w:sectPr>
          <w:headerReference w:type="default" r:id="rId17"/>
          <w:footerReference w:type="default" r:id="rId18"/>
          <w:type w:val="nextPage"/>
          <w:pgSz w:w="11906" w:h="16838"/>
          <w:pgMar w:top="1440" w:right="1797" w:bottom="1440" w:left="1797" w:header="851" w:footer="992" w:gutter="0"/>
          <w:pgNumType w:start="7"/>
          <w:cols w:num="1" w:space="425"/>
          <w:titlePg w:val="0"/>
          <w:docGrid w:type="lines" w:linePitch="290" w:charSpace="0"/>
        </w:sectPr>
      </w:pPr>
      <w:r>
        <w:rPr>
          <w:rFonts w:hint="eastAsia"/>
          <w:b/>
          <w:sz w:val="24"/>
        </w:rPr>
        <w:t>7）经营模式</w:t>
      </w:r>
      <w:r>
        <w:rPr>
          <w:sz w:val="24"/>
        </w:rPr>
        <w:t>——</w:t>
      </w:r>
      <w:r>
        <w:rPr>
          <w:rFonts w:hint="eastAsia"/>
          <w:sz w:val="24"/>
        </w:rPr>
        <w:t>国际先进的经营模式</w:t>
      </w:r>
    </w:p>
    <w:p>
      <w:pPr>
        <w:pStyle w:val="Normal0"/>
        <w:ind w:left="1275"/>
        <w:rPr>
          <w:rFonts w:hint="eastAsia"/>
          <w:b/>
          <w:sz w:val="24"/>
        </w:rPr>
      </w:pPr>
      <w:r>
        <w:rPr>
          <w:rFonts w:hint="eastAsia"/>
          <w:b/>
          <w:sz w:val="24"/>
        </w:rPr>
        <w:t>8）自主持有</w:t>
      </w:r>
      <w:r>
        <w:rPr>
          <w:sz w:val="24"/>
        </w:rPr>
        <w:t>——</w:t>
      </w:r>
      <w:r>
        <w:rPr>
          <w:rFonts w:hint="eastAsia"/>
          <w:sz w:val="24"/>
        </w:rPr>
        <w:t>80%以上的自持物业</w:t>
      </w:r>
    </w:p>
    <w:p>
      <w:pPr>
        <w:pStyle w:val="Normal0"/>
        <w:ind w:left="1275"/>
        <w:rPr>
          <w:rFonts w:hint="eastAsia"/>
          <w:b/>
          <w:sz w:val="24"/>
        </w:rPr>
      </w:pPr>
      <w:r>
        <w:rPr>
          <w:rFonts w:hint="eastAsia"/>
          <w:b/>
          <w:sz w:val="24"/>
        </w:rPr>
        <w:t>9）业态规划</w:t>
      </w:r>
      <w:r>
        <w:rPr>
          <w:sz w:val="24"/>
        </w:rPr>
        <w:t>——</w:t>
      </w:r>
      <w:r>
        <w:rPr>
          <w:rFonts w:hint="eastAsia"/>
          <w:sz w:val="24"/>
        </w:rPr>
        <w:t>全客层、全业态规划</w:t>
      </w:r>
    </w:p>
    <w:p>
      <w:pPr>
        <w:pStyle w:val="Normal0"/>
        <w:ind w:left="1275"/>
        <w:rPr>
          <w:rFonts w:hint="eastAsia"/>
          <w:b/>
          <w:sz w:val="24"/>
        </w:rPr>
      </w:pPr>
      <w:r>
        <w:rPr>
          <w:rFonts w:hint="eastAsia"/>
          <w:b/>
          <w:sz w:val="24"/>
        </w:rPr>
        <w:t>10）国际品牌</w:t>
      </w:r>
      <w:r>
        <w:rPr>
          <w:sz w:val="24"/>
        </w:rPr>
        <w:t>——</w:t>
      </w:r>
      <w:r>
        <w:rPr>
          <w:rFonts w:hint="eastAsia"/>
          <w:sz w:val="24"/>
        </w:rPr>
        <w:t>世界顶级品牌入驻</w:t>
      </w:r>
    </w:p>
    <w:p>
      <w:pPr>
        <w:pStyle w:val="Normal0"/>
        <w:ind w:left="1275"/>
        <w:rPr>
          <w:rFonts w:hint="eastAsia"/>
          <w:b/>
          <w:sz w:val="24"/>
        </w:rPr>
      </w:pPr>
      <w:r>
        <w:rPr>
          <w:rFonts w:hint="eastAsia"/>
          <w:b/>
          <w:sz w:val="24"/>
        </w:rPr>
        <w:t>11）专业团队</w:t>
      </w:r>
      <w:r>
        <w:rPr>
          <w:sz w:val="24"/>
        </w:rPr>
        <w:t>——</w:t>
      </w:r>
      <w:r>
        <w:rPr>
          <w:rFonts w:hint="eastAsia"/>
          <w:sz w:val="24"/>
        </w:rPr>
        <w:t>深度商业经验的操作团队</w:t>
      </w:r>
    </w:p>
    <w:p>
      <w:pPr>
        <w:pStyle w:val="Normal0"/>
        <w:ind w:left="1275"/>
        <w:rPr>
          <w:rFonts w:hint="eastAsia"/>
          <w:b/>
          <w:sz w:val="24"/>
        </w:rPr>
      </w:pPr>
      <w:r>
        <w:rPr>
          <w:rFonts w:hint="eastAsia"/>
          <w:b/>
          <w:sz w:val="24"/>
        </w:rPr>
        <w:t>12）开发商实力</w:t>
      </w:r>
      <w:r>
        <w:rPr>
          <w:sz w:val="24"/>
        </w:rPr>
        <w:t>——</w:t>
      </w:r>
      <w:r>
        <w:rPr>
          <w:rFonts w:hint="eastAsia"/>
          <w:sz w:val="24"/>
        </w:rPr>
        <w:t>莱蒙鹏源集团的超强实力</w:t>
      </w:r>
    </w:p>
    <w:p>
      <w:pPr>
        <w:pStyle w:val="Normal0"/>
        <w:ind w:left="1275"/>
        <w:rPr>
          <w:rFonts w:hint="eastAsia"/>
          <w:b/>
          <w:sz w:val="24"/>
        </w:rPr>
      </w:pPr>
      <w:r>
        <w:rPr>
          <w:rFonts w:hint="eastAsia"/>
          <w:b/>
          <w:sz w:val="24"/>
        </w:rPr>
        <w:t>13）商业空间</w:t>
      </w:r>
      <w:r>
        <w:rPr>
          <w:sz w:val="24"/>
        </w:rPr>
        <w:t>——</w:t>
      </w:r>
      <w:r>
        <w:rPr>
          <w:rFonts w:hint="eastAsia"/>
          <w:sz w:val="24"/>
        </w:rPr>
        <w:t>全新的商业空间营造</w:t>
      </w:r>
    </w:p>
    <w:p>
      <w:pPr>
        <w:pStyle w:val="Normal0"/>
        <w:ind w:left="1275"/>
        <w:rPr>
          <w:rFonts w:hint="eastAsia"/>
          <w:sz w:val="24"/>
        </w:rPr>
      </w:pPr>
      <w:r>
        <w:rPr>
          <w:rFonts w:hint="eastAsia"/>
          <w:b/>
          <w:sz w:val="24"/>
        </w:rPr>
        <w:t>14）消费观念</w:t>
      </w:r>
      <w:r>
        <w:rPr>
          <w:sz w:val="24"/>
        </w:rPr>
        <w:t>——</w:t>
      </w:r>
      <w:r>
        <w:rPr>
          <w:rFonts w:hint="eastAsia"/>
          <w:sz w:val="24"/>
        </w:rPr>
        <w:t>消费观念的更新</w:t>
      </w:r>
    </w:p>
    <w:p>
      <w:pPr>
        <w:pStyle w:val="Normal0"/>
        <w:ind w:left="1275"/>
        <w:rPr>
          <w:rFonts w:hint="eastAsia"/>
          <w:b/>
          <w:sz w:val="24"/>
        </w:rPr>
      </w:pPr>
    </w:p>
    <w:p>
      <w:pPr>
        <w:pStyle w:val="Normal0"/>
        <w:numPr>
          <w:ilvl w:val="0"/>
          <w:numId w:val="3"/>
        </w:numPr>
        <w:rPr>
          <w:rFonts w:ascii="华文中宋" w:eastAsia="华文中宋" w:hAnsi="华文中宋" w:hint="eastAsia"/>
          <w:b/>
          <w:sz w:val="28"/>
          <w:szCs w:val="28"/>
        </w:rPr>
      </w:pPr>
      <w:r>
        <w:rPr>
          <w:rFonts w:ascii="华文中宋" w:eastAsia="华文中宋" w:hAnsi="华文中宋" w:hint="eastAsia"/>
          <w:b/>
          <w:sz w:val="28"/>
          <w:szCs w:val="28"/>
          <w:lang w:eastAsia="zh-CN"/>
        </w:rPr>
        <w:t>相关项目</w:t>
      </w:r>
      <w:r>
        <w:rPr>
          <w:rFonts w:ascii="华文中宋" w:eastAsia="华文中宋" w:hAnsi="华文中宋" w:hint="eastAsia"/>
          <w:b/>
          <w:sz w:val="28"/>
          <w:szCs w:val="28"/>
        </w:rPr>
        <w:t>前景展望</w:t>
      </w:r>
    </w:p>
    <w:p>
      <w:pPr>
        <w:pStyle w:val="Normal0"/>
        <w:numPr>
          <w:ilvl w:val="2"/>
          <w:numId w:val="3"/>
        </w:numPr>
        <w:tabs>
          <w:tab w:val="left" w:pos="1620"/>
          <w:tab w:val="clear" w:pos="2055"/>
        </w:tabs>
        <w:ind w:left="1620"/>
        <w:rPr>
          <w:rFonts w:hint="eastAsia"/>
          <w:b/>
          <w:sz w:val="24"/>
        </w:rPr>
      </w:pPr>
      <w:r>
        <w:rPr>
          <w:rFonts w:hint="eastAsia"/>
          <w:b/>
          <w:sz w:val="24"/>
        </w:rPr>
        <w:t>商业地位</w:t>
      </w:r>
    </w:p>
    <w:p>
      <w:pPr>
        <w:pStyle w:val="Normal0"/>
        <w:ind w:left="1260" w:firstLine="480" w:leftChars="600" w:firstLineChars="200"/>
        <w:rPr>
          <w:rFonts w:hint="eastAsia"/>
          <w:sz w:val="24"/>
        </w:rPr>
      </w:pPr>
      <w:r>
        <w:rPr>
          <w:rFonts w:hint="eastAsia"/>
          <w:sz w:val="24"/>
        </w:rPr>
        <w:t>莱蒙都会，在未来，希望在商业地产业内，成为全国的典范，并成为全国商业</w:t>
      </w:r>
      <w:r>
        <w:rPr>
          <w:rFonts w:hint="eastAsia"/>
          <w:sz w:val="24"/>
          <w:lang w:eastAsia="zh-CN"/>
        </w:rPr>
        <w:t>相关项目</w:t>
      </w:r>
      <w:r>
        <w:rPr>
          <w:rFonts w:hint="eastAsia"/>
          <w:sz w:val="24"/>
        </w:rPr>
        <w:t>操作的新标准，具有全国商业地产最高的瞩目焦点。许多业内人士对莱蒙都会进行评价、考察、追捧甚至批判，莱蒙都会的操作细节成为预测未来商业地产成功与否的业内标准。</w:t>
      </w:r>
    </w:p>
    <w:p>
      <w:pPr>
        <w:pStyle w:val="Normal0"/>
        <w:ind w:left="1260" w:firstLine="480" w:leftChars="600" w:firstLineChars="200"/>
        <w:rPr>
          <w:rFonts w:hint="eastAsia"/>
          <w:sz w:val="24"/>
        </w:rPr>
      </w:pPr>
    </w:p>
    <w:p>
      <w:pPr>
        <w:pStyle w:val="Normal0"/>
        <w:numPr>
          <w:ilvl w:val="2"/>
          <w:numId w:val="3"/>
        </w:numPr>
        <w:tabs>
          <w:tab w:val="left" w:pos="1620"/>
          <w:tab w:val="clear" w:pos="2055"/>
        </w:tabs>
        <w:ind w:left="1620"/>
        <w:rPr>
          <w:rFonts w:hint="eastAsia"/>
          <w:b/>
          <w:sz w:val="24"/>
        </w:rPr>
      </w:pPr>
      <w:r>
        <w:rPr>
          <w:rFonts w:hint="eastAsia"/>
          <w:b/>
          <w:sz w:val="24"/>
        </w:rPr>
        <w:t>商业氛围</w:t>
      </w:r>
    </w:p>
    <w:p>
      <w:pPr>
        <w:pStyle w:val="Normal0"/>
        <w:ind w:left="1260" w:firstLine="480" w:leftChars="600" w:firstLineChars="200"/>
        <w:rPr>
          <w:rFonts w:hint="eastAsia"/>
          <w:sz w:val="24"/>
        </w:rPr>
        <w:sectPr>
          <w:headerReference w:type="default" r:id="rId19"/>
          <w:footerReference w:type="default" r:id="rId20"/>
          <w:type w:val="nextPage"/>
          <w:pgSz w:w="11906" w:h="16838"/>
          <w:pgMar w:top="1440" w:right="1797" w:bottom="1440" w:left="1797" w:header="851" w:footer="992" w:gutter="0"/>
          <w:pgNumType w:start="8"/>
          <w:cols w:num="1" w:space="425"/>
          <w:titlePg w:val="0"/>
          <w:docGrid w:type="lines" w:linePitch="290" w:charSpace="0"/>
        </w:sectPr>
      </w:pPr>
    </w:p>
    <w:p>
      <w:pPr>
        <w:pStyle w:val="Normal0"/>
        <w:ind w:left="1260" w:firstLine="480" w:leftChars="600" w:firstLineChars="200"/>
        <w:rPr>
          <w:rFonts w:hint="eastAsia"/>
          <w:sz w:val="24"/>
        </w:rPr>
      </w:pPr>
      <w:r>
        <w:rPr>
          <w:rFonts w:hint="eastAsia"/>
          <w:sz w:val="24"/>
        </w:rPr>
        <w:t>莱蒙都会，在未来，拥有众多的人流，商业氛围浓厚。常州人每天都来莱蒙都会购买日常所需、来感受季节流行、来进行丰富的夜生活，常州的许多有钱人的消费习惯被改变，他们更愿意留在常州消费，而不是远走上海；半小时生活圈内的周边城市，诸如江阴、金坛、溧阳等消费者，会在下班后开车过来餐饮娱乐，周末常常来常州购物；长三角其它城市的消费者会将常州作为周末旅游的备选城市之一，而每年来常州的众多商务、旅游的人，必定回来莱蒙都会感受一下常州最具代表性的商业氛围。</w:t>
      </w: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rPr>
          <w:rFonts w:hint="eastAsia"/>
          <w:sz w:val="24"/>
        </w:rPr>
      </w:pPr>
    </w:p>
    <w:p>
      <w:pPr>
        <w:pStyle w:val="Normal0"/>
        <w:numPr>
          <w:ilvl w:val="0"/>
          <w:numId w:val="2"/>
        </w:numPr>
        <w:rPr>
          <w:rFonts w:ascii="华文中宋" w:eastAsia="华文中宋" w:hAnsi="华文中宋" w:hint="eastAsia"/>
          <w:b/>
          <w:sz w:val="28"/>
          <w:szCs w:val="28"/>
        </w:rPr>
      </w:pPr>
      <w:r>
        <w:rPr>
          <w:rFonts w:ascii="华文中宋" w:eastAsia="华文中宋" w:hAnsi="华文中宋" w:hint="eastAsia"/>
          <w:b/>
          <w:sz w:val="28"/>
          <w:szCs w:val="28"/>
        </w:rPr>
        <w:t>目标人群分析</w:t>
      </w:r>
    </w:p>
    <w:p>
      <w:pPr>
        <w:pStyle w:val="Normal0"/>
        <w:ind w:firstLine="480" w:firstLineChars="200"/>
        <w:rPr>
          <w:rFonts w:hint="eastAsia"/>
          <w:sz w:val="24"/>
        </w:rPr>
      </w:pPr>
      <w:r>
        <w:rPr>
          <w:rFonts w:hint="eastAsia"/>
          <w:sz w:val="24"/>
        </w:rPr>
        <w:t>莱蒙都会针对哪些人进行传播？这是我们传播的受众，这里对</w:t>
      </w:r>
      <w:r>
        <w:rPr>
          <w:rFonts w:hint="eastAsia"/>
          <w:sz w:val="24"/>
          <w:lang w:eastAsia="zh-CN"/>
        </w:rPr>
        <w:t>相关项目</w:t>
      </w:r>
      <w:r>
        <w:rPr>
          <w:rFonts w:hint="eastAsia"/>
          <w:sz w:val="24"/>
        </w:rPr>
        <w:t>的目标受众做一个界定，并描述他们的相关特征以及信息偏好。在莱蒙都会的所有受众中，针对</w:t>
      </w:r>
      <w:r>
        <w:rPr>
          <w:rFonts w:hint="eastAsia"/>
          <w:sz w:val="24"/>
          <w:lang w:eastAsia="zh-CN"/>
        </w:rPr>
        <w:t>相关项目</w:t>
      </w:r>
      <w:r>
        <w:rPr>
          <w:rFonts w:hint="eastAsia"/>
          <w:sz w:val="24"/>
        </w:rPr>
        <w:t>推广的不同目的，我们的人群自然分开，主要是针对销售推广的人群——投资者、针对招商推广的人群——经营者以及针对开业后消费推广的人群——消费者。</w:t>
      </w:r>
    </w:p>
    <w:p>
      <w:pPr>
        <w:pStyle w:val="Normal0"/>
        <w:numPr>
          <w:ilvl w:val="0"/>
          <w:numId w:val="6"/>
        </w:numPr>
        <w:rPr>
          <w:rFonts w:ascii="华文中宋" w:eastAsia="华文中宋" w:hAnsi="华文中宋" w:hint="eastAsia"/>
          <w:b/>
          <w:sz w:val="28"/>
          <w:szCs w:val="28"/>
        </w:rPr>
      </w:pPr>
      <w:r>
        <w:rPr>
          <w:rFonts w:ascii="华文中宋" w:eastAsia="华文中宋" w:hAnsi="华文中宋" w:hint="eastAsia"/>
          <w:b/>
          <w:sz w:val="28"/>
          <w:szCs w:val="28"/>
        </w:rPr>
        <w:t>投资者</w:t>
      </w:r>
    </w:p>
    <w:p>
      <w:pPr>
        <w:pStyle w:val="Normal0"/>
        <w:ind w:left="1275"/>
        <w:rPr>
          <w:rFonts w:hint="eastAsia"/>
          <w:b/>
          <w:sz w:val="24"/>
        </w:rPr>
      </w:pPr>
      <w:r>
        <w:rPr>
          <w:rFonts w:hint="eastAsia"/>
          <w:b/>
          <w:sz w:val="24"/>
        </w:rPr>
        <w:t>1）人群区域</w:t>
      </w:r>
    </w:p>
    <w:p>
      <w:pPr>
        <w:pStyle w:val="Normal0"/>
        <w:numPr>
          <w:ilvl w:val="0"/>
          <w:numId w:val="5"/>
        </w:numPr>
        <w:rPr>
          <w:rFonts w:hint="eastAsia"/>
          <w:sz w:val="24"/>
        </w:rPr>
      </w:pPr>
      <w:r>
        <w:rPr>
          <w:rFonts w:hint="eastAsia"/>
          <w:b/>
          <w:sz w:val="24"/>
        </w:rPr>
        <w:t>常州：</w:t>
      </w:r>
      <w:r>
        <w:rPr>
          <w:rFonts w:hint="eastAsia"/>
          <w:sz w:val="24"/>
        </w:rPr>
        <w:t>首选人群是常州及周边的人群，由于莱蒙都会前期可销售的体量并不太大，基于营销成本及营销难度，本地投资者将成为</w:t>
      </w:r>
      <w:r>
        <w:rPr>
          <w:rFonts w:hint="eastAsia"/>
          <w:sz w:val="24"/>
          <w:lang w:eastAsia="zh-CN"/>
        </w:rPr>
        <w:t>相关项目</w:t>
      </w:r>
      <w:r>
        <w:rPr>
          <w:rFonts w:hint="eastAsia"/>
          <w:sz w:val="24"/>
        </w:rPr>
        <w:t>首选人群。</w:t>
      </w:r>
    </w:p>
    <w:p>
      <w:pPr>
        <w:pStyle w:val="Normal0"/>
        <w:numPr>
          <w:ilvl w:val="0"/>
          <w:numId w:val="5"/>
        </w:numPr>
        <w:rPr>
          <w:rFonts w:hint="eastAsia"/>
          <w:b/>
          <w:sz w:val="24"/>
        </w:rPr>
      </w:pPr>
      <w:r>
        <w:rPr>
          <w:rFonts w:hint="eastAsia"/>
          <w:b/>
          <w:sz w:val="24"/>
        </w:rPr>
        <w:t>长三角其它城市：</w:t>
      </w:r>
      <w:r>
        <w:rPr>
          <w:rFonts w:hint="eastAsia"/>
          <w:sz w:val="24"/>
        </w:rPr>
        <w:t>在常州之外，由于长三角是房地产投资较为集中的区域，浙江省和上海都聚集了一大批房地产投资客，因此作为</w:t>
      </w:r>
      <w:r>
        <w:rPr>
          <w:rFonts w:hint="eastAsia"/>
          <w:sz w:val="24"/>
          <w:lang w:eastAsia="zh-CN"/>
        </w:rPr>
        <w:t>相关项目</w:t>
      </w:r>
      <w:r>
        <w:rPr>
          <w:rFonts w:hint="eastAsia"/>
          <w:sz w:val="24"/>
        </w:rPr>
        <w:t>销售的补充，可选择几个定点城市的人群进行销售的集中传播。</w:t>
      </w:r>
    </w:p>
    <w:p>
      <w:pPr>
        <w:pStyle w:val="Normal0"/>
        <w:ind w:left="1766"/>
        <w:rPr>
          <w:rFonts w:hint="eastAsia"/>
          <w:b/>
          <w:sz w:val="24"/>
        </w:rPr>
        <w:sectPr>
          <w:headerReference w:type="default" r:id="rId21"/>
          <w:footerReference w:type="default" r:id="rId22"/>
          <w:type w:val="nextPage"/>
          <w:pgSz w:w="11906" w:h="16838"/>
          <w:pgMar w:top="1440" w:right="1797" w:bottom="1440" w:left="1797" w:header="851" w:footer="992" w:gutter="0"/>
          <w:pgNumType w:start="9"/>
          <w:cols w:num="1" w:space="425"/>
          <w:titlePg w:val="0"/>
          <w:docGrid w:type="lines" w:linePitch="290" w:charSpace="0"/>
        </w:sectPr>
      </w:pPr>
    </w:p>
    <w:p>
      <w:pPr>
        <w:pStyle w:val="Normal0"/>
        <w:ind w:left="1275"/>
        <w:rPr>
          <w:rFonts w:hint="eastAsia"/>
          <w:b/>
          <w:sz w:val="24"/>
        </w:rPr>
      </w:pPr>
      <w:r>
        <w:rPr>
          <w:rFonts w:hint="eastAsia"/>
          <w:b/>
          <w:sz w:val="24"/>
        </w:rPr>
        <w:t>3）人群特征</w:t>
      </w:r>
    </w:p>
    <w:p>
      <w:pPr>
        <w:pStyle w:val="Normal0"/>
        <w:numPr>
          <w:ilvl w:val="0"/>
          <w:numId w:val="31"/>
        </w:numPr>
        <w:rPr>
          <w:rFonts w:hint="eastAsia"/>
          <w:sz w:val="24"/>
        </w:rPr>
      </w:pPr>
      <w:r>
        <w:rPr>
          <w:rFonts w:hint="eastAsia"/>
          <w:b/>
          <w:sz w:val="24"/>
        </w:rPr>
        <w:t>职业特征：</w:t>
      </w:r>
      <w:r>
        <w:rPr>
          <w:rFonts w:hint="eastAsia"/>
          <w:sz w:val="24"/>
        </w:rPr>
        <w:t>私营企业主、高级上班族、品牌主、专业投资客</w:t>
      </w:r>
    </w:p>
    <w:p>
      <w:pPr>
        <w:pStyle w:val="Normal0"/>
        <w:numPr>
          <w:ilvl w:val="0"/>
          <w:numId w:val="31"/>
        </w:numPr>
        <w:rPr>
          <w:rFonts w:hint="eastAsia"/>
          <w:sz w:val="24"/>
        </w:rPr>
      </w:pPr>
      <w:r>
        <w:rPr>
          <w:rFonts w:hint="eastAsia"/>
          <w:b/>
          <w:sz w:val="24"/>
        </w:rPr>
        <w:t>收入特征：</w:t>
      </w:r>
      <w:r>
        <w:rPr>
          <w:rFonts w:hint="eastAsia"/>
          <w:sz w:val="24"/>
        </w:rPr>
        <w:t>年收入20万以上</w:t>
      </w:r>
    </w:p>
    <w:p>
      <w:pPr>
        <w:pStyle w:val="Normal0"/>
        <w:numPr>
          <w:ilvl w:val="0"/>
          <w:numId w:val="31"/>
        </w:numPr>
        <w:rPr>
          <w:rFonts w:hint="eastAsia"/>
          <w:sz w:val="24"/>
        </w:rPr>
      </w:pPr>
      <w:r>
        <w:rPr>
          <w:rFonts w:hint="eastAsia"/>
          <w:b/>
          <w:sz w:val="24"/>
        </w:rPr>
        <w:t>年龄特征：</w:t>
      </w:r>
      <w:r>
        <w:rPr>
          <w:rFonts w:hint="eastAsia"/>
          <w:sz w:val="24"/>
        </w:rPr>
        <w:t>30－50岁左右</w:t>
      </w:r>
    </w:p>
    <w:p>
      <w:pPr>
        <w:pStyle w:val="Normal0"/>
        <w:numPr>
          <w:ilvl w:val="0"/>
          <w:numId w:val="31"/>
        </w:numPr>
        <w:rPr>
          <w:rFonts w:hint="eastAsia"/>
          <w:sz w:val="24"/>
        </w:rPr>
      </w:pPr>
      <w:r>
        <w:rPr>
          <w:rFonts w:hint="eastAsia"/>
          <w:b/>
          <w:sz w:val="24"/>
        </w:rPr>
        <w:t>心理特征：</w:t>
      </w:r>
      <w:r>
        <w:rPr>
          <w:rFonts w:hint="eastAsia"/>
          <w:sz w:val="24"/>
        </w:rPr>
        <w:t>有魄力，有投资经验，对金钱的拥有欲望较高，理性，有信心，有分析力，相信直觉，对经济类文章和论文有一定的兴趣，迷恋先人一步判断成功的快乐；</w:t>
      </w:r>
    </w:p>
    <w:p>
      <w:pPr>
        <w:pStyle w:val="Normal0"/>
        <w:rPr>
          <w:rFonts w:hint="eastAsia"/>
          <w:b/>
          <w:sz w:val="24"/>
        </w:rPr>
      </w:pPr>
    </w:p>
    <w:p>
      <w:pPr>
        <w:pStyle w:val="Normal0"/>
        <w:rPr>
          <w:rFonts w:hint="eastAsia"/>
          <w:b/>
          <w:sz w:val="24"/>
        </w:rPr>
      </w:pPr>
    </w:p>
    <w:p>
      <w:pPr>
        <w:pStyle w:val="Normal0"/>
        <w:ind w:left="1275"/>
        <w:rPr>
          <w:rFonts w:hint="eastAsia"/>
          <w:b/>
          <w:sz w:val="24"/>
        </w:rPr>
      </w:pPr>
      <w:r>
        <w:rPr>
          <w:rFonts w:hint="eastAsia"/>
          <w:b/>
          <w:sz w:val="24"/>
        </w:rPr>
        <w:t>4）人群关心</w:t>
      </w:r>
      <w:r>
        <w:rPr>
          <w:rFonts w:hint="eastAsia"/>
          <w:b/>
          <w:sz w:val="24"/>
          <w:lang w:eastAsia="zh-CN"/>
        </w:rPr>
        <w:t>合适的内容</w:t>
      </w:r>
    </w:p>
    <w:p>
      <w:pPr>
        <w:pStyle w:val="Normal0"/>
        <w:numPr>
          <w:ilvl w:val="0"/>
          <w:numId w:val="31"/>
        </w:numPr>
        <w:rPr>
          <w:rFonts w:hint="eastAsia"/>
          <w:sz w:val="24"/>
        </w:rPr>
      </w:pPr>
      <w:r>
        <w:rPr>
          <w:rFonts w:hint="eastAsia"/>
          <w:b/>
          <w:sz w:val="24"/>
          <w:lang w:eastAsia="zh-CN"/>
        </w:rPr>
        <w:t>相关项目</w:t>
      </w:r>
      <w:r>
        <w:rPr>
          <w:rFonts w:hint="eastAsia"/>
          <w:b/>
          <w:sz w:val="24"/>
        </w:rPr>
        <w:t>综合实力。</w:t>
      </w:r>
      <w:r>
        <w:rPr>
          <w:rFonts w:hint="eastAsia"/>
          <w:sz w:val="24"/>
        </w:rPr>
        <w:t>对于</w:t>
      </w:r>
      <w:r>
        <w:rPr>
          <w:rFonts w:hint="eastAsia"/>
          <w:sz w:val="24"/>
          <w:lang w:eastAsia="zh-CN"/>
        </w:rPr>
        <w:t>相关项目</w:t>
      </w:r>
      <w:r>
        <w:rPr>
          <w:rFonts w:hint="eastAsia"/>
          <w:sz w:val="24"/>
        </w:rPr>
        <w:t>综合实力的考察是每一个投资者都要做的，他们会在本地做相关的比较，并与国内其它的一些大商业做模糊的比较，形成他们对</w:t>
      </w:r>
      <w:r>
        <w:rPr>
          <w:rFonts w:hint="eastAsia"/>
          <w:sz w:val="24"/>
          <w:lang w:eastAsia="zh-CN"/>
        </w:rPr>
        <w:t>相关项目</w:t>
      </w:r>
      <w:r>
        <w:rPr>
          <w:rFonts w:hint="eastAsia"/>
          <w:sz w:val="24"/>
        </w:rPr>
        <w:t>的整体判断。</w:t>
      </w:r>
    </w:p>
    <w:p>
      <w:pPr>
        <w:pStyle w:val="Normal0"/>
        <w:numPr>
          <w:ilvl w:val="0"/>
          <w:numId w:val="31"/>
        </w:numPr>
        <w:rPr>
          <w:rFonts w:hint="eastAsia"/>
          <w:sz w:val="24"/>
        </w:rPr>
      </w:pPr>
      <w:r>
        <w:rPr>
          <w:rFonts w:hint="eastAsia"/>
          <w:b/>
          <w:sz w:val="24"/>
        </w:rPr>
        <w:t>价格上涨空间：</w:t>
      </w:r>
      <w:r>
        <w:rPr>
          <w:rFonts w:hint="eastAsia"/>
          <w:sz w:val="24"/>
        </w:rPr>
        <w:t>价格上涨空间是短期投资者较为关心的事情，他们希望通过资本的简单运作，就能获得很高的回报，因此周边商铺的价格以及已经上涨过的空间会是他们愿意了解的参数，并形成他们自己对于价格的判断。</w:t>
      </w:r>
    </w:p>
    <w:p>
      <w:pPr>
        <w:pStyle w:val="Normal0"/>
        <w:numPr>
          <w:ilvl w:val="0"/>
          <w:numId w:val="31"/>
        </w:numPr>
        <w:rPr>
          <w:rFonts w:hint="eastAsia"/>
          <w:sz w:val="24"/>
        </w:rPr>
      </w:pPr>
      <w:r>
        <w:rPr>
          <w:rFonts w:hint="eastAsia"/>
          <w:b/>
          <w:sz w:val="24"/>
        </w:rPr>
        <w:t>长期回报率：</w:t>
      </w:r>
      <w:r>
        <w:rPr>
          <w:rFonts w:hint="eastAsia"/>
          <w:sz w:val="24"/>
        </w:rPr>
        <w:t>在价格上涨之外，稳定的长期的回报率也是投资者比较关心的</w:t>
      </w:r>
      <w:r>
        <w:rPr>
          <w:rFonts w:hint="eastAsia"/>
          <w:sz w:val="24"/>
          <w:lang w:eastAsia="zh-CN"/>
        </w:rPr>
        <w:t>合适的内容</w:t>
      </w:r>
      <w:r>
        <w:rPr>
          <w:rFonts w:hint="eastAsia"/>
          <w:sz w:val="24"/>
        </w:rPr>
        <w:t>，莱蒙都会的未来租金、主力店的租金以及周边南大街的租金都将成为他们关心的</w:t>
      </w:r>
      <w:r>
        <w:rPr>
          <w:rFonts w:hint="eastAsia"/>
          <w:sz w:val="24"/>
          <w:lang w:eastAsia="zh-CN"/>
        </w:rPr>
        <w:t>合适的内容</w:t>
      </w:r>
      <w:r>
        <w:rPr>
          <w:rFonts w:hint="eastAsia"/>
          <w:sz w:val="24"/>
        </w:rPr>
        <w:t>之一。</w:t>
      </w:r>
    </w:p>
    <w:p>
      <w:pPr>
        <w:pStyle w:val="Normal0"/>
        <w:rPr>
          <w:rFonts w:hint="eastAsia"/>
          <w:sz w:val="24"/>
        </w:rPr>
      </w:pPr>
    </w:p>
    <w:p>
      <w:pPr>
        <w:pStyle w:val="Normal0"/>
        <w:ind w:left="1275"/>
        <w:rPr>
          <w:rFonts w:hint="eastAsia"/>
          <w:b/>
          <w:sz w:val="24"/>
        </w:rPr>
        <w:sectPr>
          <w:headerReference w:type="default" r:id="rId23"/>
          <w:footerReference w:type="default" r:id="rId24"/>
          <w:type w:val="nextPage"/>
          <w:pgSz w:w="11906" w:h="16838"/>
          <w:pgMar w:top="1440" w:right="1797" w:bottom="1440" w:left="1797" w:header="851" w:footer="992" w:gutter="0"/>
          <w:pgNumType w:start="10"/>
          <w:cols w:num="1" w:space="425"/>
          <w:titlePg w:val="0"/>
          <w:docGrid w:type="lines" w:linePitch="290" w:charSpace="0"/>
        </w:sectPr>
      </w:pPr>
      <w:r>
        <w:rPr>
          <w:rFonts w:hint="eastAsia"/>
          <w:b/>
          <w:sz w:val="24"/>
        </w:rPr>
        <w:t>5）人群吸引方法</w:t>
      </w:r>
    </w:p>
    <w:p>
      <w:pPr>
        <w:pStyle w:val="Normal0"/>
        <w:numPr>
          <w:ilvl w:val="0"/>
          <w:numId w:val="5"/>
        </w:numPr>
        <w:rPr>
          <w:rFonts w:hint="eastAsia"/>
          <w:b/>
          <w:sz w:val="24"/>
        </w:rPr>
      </w:pPr>
      <w:r>
        <w:rPr>
          <w:rFonts w:hint="eastAsia"/>
          <w:b/>
          <w:sz w:val="24"/>
        </w:rPr>
        <w:t>强调城市潜力带来的价格上涨空间</w:t>
      </w:r>
    </w:p>
    <w:p>
      <w:pPr>
        <w:pStyle w:val="Normal0"/>
        <w:numPr>
          <w:ilvl w:val="0"/>
          <w:numId w:val="5"/>
        </w:numPr>
        <w:rPr>
          <w:rFonts w:hint="eastAsia"/>
          <w:b/>
          <w:sz w:val="24"/>
        </w:rPr>
      </w:pPr>
      <w:r>
        <w:rPr>
          <w:rFonts w:hint="eastAsia"/>
          <w:b/>
          <w:sz w:val="24"/>
        </w:rPr>
        <w:t>强调莱蒙都会为常州商业带来的上涨空间</w:t>
      </w:r>
    </w:p>
    <w:p>
      <w:pPr>
        <w:pStyle w:val="Normal0"/>
        <w:numPr>
          <w:ilvl w:val="0"/>
          <w:numId w:val="5"/>
        </w:numPr>
        <w:rPr>
          <w:rFonts w:hint="eastAsia"/>
          <w:b/>
          <w:sz w:val="24"/>
        </w:rPr>
      </w:pPr>
      <w:r>
        <w:rPr>
          <w:rFonts w:hint="eastAsia"/>
          <w:b/>
          <w:sz w:val="24"/>
        </w:rPr>
        <w:t>强调莱蒙都会为投资者经营者之间的牵线能力</w:t>
      </w:r>
    </w:p>
    <w:p>
      <w:pPr>
        <w:pStyle w:val="Normal0"/>
        <w:numPr>
          <w:ilvl w:val="0"/>
          <w:numId w:val="5"/>
        </w:numPr>
        <w:rPr>
          <w:rFonts w:hint="eastAsia"/>
          <w:b/>
          <w:sz w:val="24"/>
        </w:rPr>
      </w:pPr>
      <w:r>
        <w:rPr>
          <w:rFonts w:hint="eastAsia"/>
          <w:b/>
          <w:sz w:val="24"/>
        </w:rPr>
        <w:t>强调主力店带动之下的租金稳定回报</w:t>
      </w:r>
    </w:p>
    <w:p>
      <w:pPr>
        <w:pStyle w:val="Normal0"/>
        <w:rPr>
          <w:rFonts w:hint="eastAsia"/>
          <w:sz w:val="28"/>
          <w:szCs w:val="28"/>
        </w:rPr>
      </w:pPr>
    </w:p>
    <w:p>
      <w:pPr>
        <w:pStyle w:val="Normal0"/>
        <w:numPr>
          <w:ilvl w:val="0"/>
          <w:numId w:val="6"/>
        </w:numPr>
        <w:rPr>
          <w:rFonts w:ascii="华文中宋" w:eastAsia="华文中宋" w:hAnsi="华文中宋" w:hint="eastAsia"/>
          <w:b/>
          <w:sz w:val="28"/>
          <w:szCs w:val="28"/>
        </w:rPr>
      </w:pPr>
      <w:r>
        <w:rPr>
          <w:rFonts w:ascii="华文中宋" w:eastAsia="华文中宋" w:hAnsi="华文中宋" w:hint="eastAsia"/>
          <w:b/>
          <w:sz w:val="28"/>
          <w:szCs w:val="28"/>
        </w:rPr>
        <w:t>经营者</w:t>
      </w:r>
    </w:p>
    <w:p>
      <w:pPr>
        <w:pStyle w:val="Normal0"/>
        <w:ind w:left="1275"/>
        <w:rPr>
          <w:rFonts w:hint="eastAsia"/>
          <w:b/>
          <w:sz w:val="24"/>
        </w:rPr>
      </w:pPr>
      <w:r>
        <w:rPr>
          <w:rFonts w:hint="eastAsia"/>
          <w:b/>
          <w:sz w:val="24"/>
        </w:rPr>
        <w:t>1）人群区域</w:t>
      </w:r>
    </w:p>
    <w:p>
      <w:pPr>
        <w:pStyle w:val="Normal0"/>
        <w:numPr>
          <w:ilvl w:val="0"/>
          <w:numId w:val="5"/>
        </w:numPr>
        <w:rPr>
          <w:rFonts w:hint="eastAsia"/>
          <w:sz w:val="24"/>
        </w:rPr>
      </w:pPr>
      <w:r>
        <w:rPr>
          <w:rFonts w:hint="eastAsia"/>
          <w:b/>
          <w:sz w:val="24"/>
        </w:rPr>
        <w:t>全国：</w:t>
      </w:r>
      <w:r>
        <w:rPr>
          <w:rFonts w:hint="eastAsia"/>
          <w:sz w:val="24"/>
        </w:rPr>
        <w:t>由于莱蒙都会的规模较大，店面档次较高，因此招商首选人群必须放在全国范围内，比如四川的餐饮、深广的零售、上海的娱乐甚至全球的百货，招商范围需要先从大处着手，连锁品牌的</w:t>
      </w:r>
      <w:r>
        <w:rPr>
          <w:rFonts w:hint="eastAsia"/>
          <w:sz w:val="24"/>
          <w:lang w:eastAsia="zh-CN"/>
        </w:rPr>
        <w:t>管理管控</w:t>
      </w:r>
      <w:r>
        <w:rPr>
          <w:rFonts w:hint="eastAsia"/>
          <w:sz w:val="24"/>
        </w:rPr>
        <w:t>者或者经营者，是我们的目标群体。</w:t>
      </w:r>
    </w:p>
    <w:p>
      <w:pPr>
        <w:pStyle w:val="Normal0"/>
        <w:numPr>
          <w:ilvl w:val="0"/>
          <w:numId w:val="5"/>
        </w:numPr>
        <w:rPr>
          <w:rFonts w:hint="eastAsia"/>
          <w:sz w:val="24"/>
        </w:rPr>
      </w:pPr>
      <w:r>
        <w:rPr>
          <w:rFonts w:hint="eastAsia"/>
          <w:b/>
          <w:sz w:val="24"/>
        </w:rPr>
        <w:t>常州：</w:t>
      </w:r>
      <w:r>
        <w:rPr>
          <w:rFonts w:hint="eastAsia"/>
          <w:sz w:val="24"/>
        </w:rPr>
        <w:t>在主力店和主题店的招商之外，一些生活化配套型的商铺、代表常州文化历史的商铺、补充进入的商铺等，则在常州本地消化，比如常州传统的十大名点等。</w:t>
      </w:r>
    </w:p>
    <w:p>
      <w:pPr>
        <w:pStyle w:val="Normal0"/>
        <w:ind w:left="1766"/>
        <w:rPr>
          <w:rFonts w:hint="eastAsia"/>
          <w:sz w:val="24"/>
        </w:rPr>
      </w:pPr>
    </w:p>
    <w:p>
      <w:pPr>
        <w:pStyle w:val="Normal0"/>
        <w:ind w:left="1275"/>
        <w:rPr>
          <w:rFonts w:hint="eastAsia"/>
          <w:b/>
          <w:sz w:val="24"/>
        </w:rPr>
      </w:pPr>
      <w:r>
        <w:rPr>
          <w:rFonts w:hint="eastAsia"/>
          <w:b/>
          <w:sz w:val="24"/>
        </w:rPr>
        <w:t>2）人群特征</w:t>
      </w:r>
    </w:p>
    <w:p>
      <w:pPr>
        <w:pStyle w:val="Normal0"/>
        <w:numPr>
          <w:ilvl w:val="0"/>
          <w:numId w:val="5"/>
        </w:numPr>
        <w:rPr>
          <w:rFonts w:hint="eastAsia"/>
          <w:sz w:val="24"/>
        </w:rPr>
      </w:pPr>
      <w:r>
        <w:rPr>
          <w:rFonts w:hint="eastAsia"/>
          <w:b/>
          <w:sz w:val="24"/>
        </w:rPr>
        <w:t>身份特征：</w:t>
      </w:r>
      <w:r>
        <w:rPr>
          <w:rFonts w:hint="eastAsia"/>
          <w:sz w:val="24"/>
        </w:rPr>
        <w:t>经营者为主，可能面对商业拓展部的负责人，而非老板。</w:t>
      </w:r>
    </w:p>
    <w:p>
      <w:pPr>
        <w:pStyle w:val="Normal0"/>
        <w:numPr>
          <w:ilvl w:val="0"/>
          <w:numId w:val="5"/>
        </w:numPr>
        <w:rPr>
          <w:rFonts w:hint="eastAsia"/>
          <w:sz w:val="24"/>
        </w:rPr>
      </w:pPr>
      <w:r>
        <w:rPr>
          <w:rFonts w:hint="eastAsia"/>
          <w:b/>
          <w:sz w:val="24"/>
        </w:rPr>
        <w:t>行业特征：</w:t>
      </w:r>
      <w:r>
        <w:rPr>
          <w:rFonts w:hint="eastAsia"/>
          <w:sz w:val="24"/>
        </w:rPr>
        <w:t>行业特征不明显，招商范围设计多行业。</w:t>
      </w:r>
    </w:p>
    <w:p>
      <w:pPr>
        <w:pStyle w:val="Normal0"/>
        <w:numPr>
          <w:ilvl w:val="0"/>
          <w:numId w:val="5"/>
        </w:numPr>
        <w:rPr>
          <w:rFonts w:hint="eastAsia"/>
          <w:sz w:val="24"/>
        </w:rPr>
      </w:pPr>
      <w:r>
        <w:rPr>
          <w:rFonts w:hint="eastAsia"/>
          <w:b/>
          <w:sz w:val="24"/>
        </w:rPr>
        <w:t>年龄特征：</w:t>
      </w:r>
      <w:r>
        <w:rPr>
          <w:rFonts w:hint="eastAsia"/>
          <w:sz w:val="24"/>
        </w:rPr>
        <w:t>通常在品牌高层有决策权力的高级白领，年龄在35－45之间。</w:t>
      </w:r>
    </w:p>
    <w:p>
      <w:pPr>
        <w:pStyle w:val="Normal0"/>
        <w:numPr>
          <w:ilvl w:val="0"/>
          <w:numId w:val="5"/>
        </w:numPr>
        <w:rPr>
          <w:rFonts w:hint="eastAsia"/>
          <w:sz w:val="24"/>
        </w:rPr>
        <w:sectPr>
          <w:headerReference w:type="default" r:id="rId25"/>
          <w:footerReference w:type="default" r:id="rId26"/>
          <w:type w:val="nextPage"/>
          <w:pgSz w:w="11906" w:h="16838"/>
          <w:pgMar w:top="1440" w:right="1797" w:bottom="1440" w:left="1797" w:header="851" w:footer="992" w:gutter="0"/>
          <w:pgNumType w:start="11"/>
          <w:cols w:num="1" w:space="425"/>
          <w:titlePg w:val="0"/>
          <w:docGrid w:type="lines" w:linePitch="290" w:charSpace="0"/>
        </w:sectPr>
      </w:pPr>
      <w:r>
        <w:rPr>
          <w:rFonts w:hint="eastAsia"/>
          <w:b/>
          <w:sz w:val="24"/>
        </w:rPr>
        <w:t>心理特征：</w:t>
      </w:r>
    </w:p>
    <w:p>
      <w:pPr>
        <w:pStyle w:val="Normal0"/>
        <w:numPr>
          <w:ilvl w:val="0"/>
          <w:numId w:val="0"/>
        </w:numPr>
        <w:ind w:left="2186"/>
        <w:rPr>
          <w:rFonts w:hint="eastAsia"/>
          <w:sz w:val="24"/>
        </w:rPr>
      </w:pPr>
      <w:r>
        <w:rPr>
          <w:rFonts w:hint="eastAsia"/>
          <w:sz w:val="24"/>
        </w:rPr>
        <w:t>理性思维，有专业精神，对本行业和商业了解透彻，关心商业理论，关心整体市场发展前景，对企业拓展有自己的</w:t>
      </w:r>
      <w:r>
        <w:rPr>
          <w:rFonts w:hint="eastAsia"/>
          <w:sz w:val="24"/>
          <w:lang w:eastAsia="zh-CN"/>
        </w:rPr>
        <w:t>相关计划</w:t>
      </w:r>
      <w:r>
        <w:rPr>
          <w:rFonts w:hint="eastAsia"/>
          <w:sz w:val="24"/>
        </w:rPr>
        <w:t>，愿意扩张。</w:t>
      </w:r>
    </w:p>
    <w:p>
      <w:pPr>
        <w:pStyle w:val="Normal0"/>
        <w:ind w:left="1766"/>
        <w:rPr>
          <w:rFonts w:hint="eastAsia"/>
          <w:sz w:val="24"/>
        </w:rPr>
      </w:pPr>
    </w:p>
    <w:p>
      <w:pPr>
        <w:pStyle w:val="Normal0"/>
        <w:ind w:left="1275"/>
        <w:rPr>
          <w:rFonts w:hint="eastAsia"/>
          <w:b/>
          <w:sz w:val="24"/>
        </w:rPr>
      </w:pPr>
      <w:r>
        <w:rPr>
          <w:rFonts w:hint="eastAsia"/>
          <w:b/>
          <w:sz w:val="24"/>
        </w:rPr>
        <w:t>3）人群关心</w:t>
      </w:r>
      <w:r>
        <w:rPr>
          <w:rFonts w:hint="eastAsia"/>
          <w:b/>
          <w:sz w:val="24"/>
          <w:lang w:eastAsia="zh-CN"/>
        </w:rPr>
        <w:t>合适的内容</w:t>
      </w:r>
    </w:p>
    <w:p>
      <w:pPr>
        <w:pStyle w:val="Normal0"/>
        <w:numPr>
          <w:ilvl w:val="0"/>
          <w:numId w:val="32"/>
        </w:numPr>
        <w:rPr>
          <w:rFonts w:hint="eastAsia"/>
          <w:sz w:val="24"/>
        </w:rPr>
      </w:pPr>
      <w:r>
        <w:rPr>
          <w:rFonts w:hint="eastAsia"/>
          <w:b/>
          <w:sz w:val="24"/>
        </w:rPr>
        <w:t>城市消费能力：</w:t>
      </w:r>
      <w:r>
        <w:rPr>
          <w:rFonts w:hint="eastAsia"/>
          <w:sz w:val="24"/>
        </w:rPr>
        <w:t>专业的人士分析，会先考量城市的消费能力和可以拓展的空间，常州的交通、与长三角城市的关系、经济实力现状、流动人口、人民消费状态和消费观念等，都在他们的关心范围内。</w:t>
      </w:r>
    </w:p>
    <w:p>
      <w:pPr>
        <w:pStyle w:val="Normal0"/>
        <w:numPr>
          <w:ilvl w:val="0"/>
          <w:numId w:val="32"/>
        </w:numPr>
        <w:rPr>
          <w:rFonts w:hint="eastAsia"/>
          <w:b/>
          <w:sz w:val="24"/>
        </w:rPr>
      </w:pPr>
      <w:r>
        <w:rPr>
          <w:rFonts w:hint="eastAsia"/>
          <w:b/>
          <w:sz w:val="24"/>
        </w:rPr>
        <w:t>人流聚集程度：</w:t>
      </w:r>
      <w:r>
        <w:rPr>
          <w:rFonts w:hint="eastAsia"/>
          <w:sz w:val="24"/>
        </w:rPr>
        <w:t>对于商家而言，一个店面所处的</w:t>
      </w:r>
      <w:r>
        <w:rPr>
          <w:rFonts w:hint="eastAsia"/>
          <w:sz w:val="24"/>
          <w:lang w:eastAsia="zh-CN"/>
        </w:rPr>
        <w:t>相关项目</w:t>
      </w:r>
      <w:r>
        <w:rPr>
          <w:rFonts w:hint="eastAsia"/>
          <w:sz w:val="24"/>
        </w:rPr>
        <w:t>的人流聚集，是他们需要充分考虑的。</w:t>
      </w:r>
    </w:p>
    <w:p>
      <w:pPr>
        <w:pStyle w:val="Normal0"/>
        <w:numPr>
          <w:ilvl w:val="0"/>
          <w:numId w:val="32"/>
        </w:numPr>
        <w:rPr>
          <w:rFonts w:hint="eastAsia"/>
          <w:b/>
          <w:sz w:val="24"/>
        </w:rPr>
      </w:pPr>
      <w:r>
        <w:rPr>
          <w:rFonts w:hint="eastAsia"/>
          <w:b/>
          <w:sz w:val="24"/>
        </w:rPr>
        <w:t>业态规划安排：</w:t>
      </w:r>
      <w:r>
        <w:rPr>
          <w:rFonts w:hint="eastAsia"/>
          <w:sz w:val="24"/>
        </w:rPr>
        <w:t>商家对于业态规划与排布是很敏感和专业的，店面选址时候，周边业态的影响以及人流动线对某一店面的影响，都会成为他们着重考虑的问题。</w:t>
      </w:r>
    </w:p>
    <w:p>
      <w:pPr>
        <w:pStyle w:val="Normal0"/>
        <w:numPr>
          <w:ilvl w:val="0"/>
          <w:numId w:val="32"/>
        </w:numPr>
        <w:rPr>
          <w:rFonts w:hint="eastAsia"/>
          <w:sz w:val="24"/>
        </w:rPr>
      </w:pPr>
      <w:r>
        <w:rPr>
          <w:rFonts w:hint="eastAsia"/>
          <w:b/>
          <w:sz w:val="24"/>
        </w:rPr>
        <w:t>后期</w:t>
      </w:r>
      <w:r>
        <w:rPr>
          <w:rFonts w:hint="eastAsia"/>
          <w:b/>
          <w:sz w:val="24"/>
          <w:lang w:eastAsia="zh-CN"/>
        </w:rPr>
        <w:t>管理管控</w:t>
      </w:r>
      <w:r>
        <w:rPr>
          <w:rFonts w:hint="eastAsia"/>
          <w:b/>
          <w:sz w:val="24"/>
        </w:rPr>
        <w:t>模式：</w:t>
      </w:r>
      <w:r>
        <w:rPr>
          <w:rFonts w:hint="eastAsia"/>
          <w:sz w:val="24"/>
        </w:rPr>
        <w:t>统一</w:t>
      </w:r>
      <w:r>
        <w:rPr>
          <w:rFonts w:hint="eastAsia"/>
          <w:sz w:val="24"/>
          <w:lang w:eastAsia="zh-CN"/>
        </w:rPr>
        <w:t>管理管控</w:t>
      </w:r>
      <w:r>
        <w:rPr>
          <w:rFonts w:hint="eastAsia"/>
          <w:sz w:val="24"/>
        </w:rPr>
        <w:t>、统一推广的具体模式，包括他们需要付出的成本以及其间的收款模式、分成模式都是商家需要考虑的，他们会对开业以后的问题有非常明细的疑问。</w:t>
      </w:r>
    </w:p>
    <w:p>
      <w:pPr>
        <w:pStyle w:val="Normal0"/>
        <w:numPr>
          <w:ilvl w:val="0"/>
          <w:numId w:val="32"/>
        </w:numPr>
        <w:rPr>
          <w:rFonts w:hint="eastAsia"/>
          <w:sz w:val="24"/>
        </w:rPr>
      </w:pPr>
      <w:r>
        <w:rPr>
          <w:rFonts w:hint="eastAsia"/>
          <w:b/>
          <w:sz w:val="24"/>
        </w:rPr>
        <w:t>实际租金水平：</w:t>
      </w:r>
      <w:r>
        <w:rPr>
          <w:rFonts w:hint="eastAsia"/>
          <w:sz w:val="24"/>
        </w:rPr>
        <w:t>落到实处，一家店面的租金将是</w:t>
      </w:r>
      <w:r>
        <w:rPr>
          <w:rFonts w:hint="eastAsia"/>
          <w:sz w:val="24"/>
          <w:lang w:eastAsia="zh-CN"/>
        </w:rPr>
        <w:t>相关项目</w:t>
      </w:r>
      <w:r>
        <w:rPr>
          <w:rFonts w:hint="eastAsia"/>
          <w:sz w:val="24"/>
        </w:rPr>
        <w:t>与经营者之间最直接的关系，租金体系的完备以及相关优惠政策的准确制定，将能在招商吸引时有很大的作用。</w:t>
      </w:r>
    </w:p>
    <w:p>
      <w:pPr>
        <w:pStyle w:val="Normal0"/>
        <w:ind w:left="1766"/>
        <w:rPr>
          <w:rFonts w:hint="eastAsia"/>
          <w:b/>
          <w:sz w:val="24"/>
        </w:rPr>
      </w:pPr>
    </w:p>
    <w:p>
      <w:pPr>
        <w:pStyle w:val="Normal0"/>
        <w:ind w:left="1275"/>
        <w:rPr>
          <w:rFonts w:hint="eastAsia"/>
          <w:b/>
          <w:sz w:val="24"/>
        </w:rPr>
      </w:pPr>
      <w:r>
        <w:rPr>
          <w:rFonts w:hint="eastAsia"/>
          <w:b/>
          <w:sz w:val="24"/>
        </w:rPr>
        <w:t>4）人群吸引方法</w:t>
      </w:r>
    </w:p>
    <w:p>
      <w:pPr>
        <w:pStyle w:val="Normal0"/>
        <w:numPr>
          <w:ilvl w:val="0"/>
          <w:numId w:val="32"/>
        </w:numPr>
        <w:rPr>
          <w:rFonts w:hint="eastAsia"/>
          <w:b/>
          <w:sz w:val="24"/>
        </w:rPr>
      </w:pPr>
      <w:r>
        <w:rPr>
          <w:rFonts w:hint="eastAsia"/>
          <w:b/>
          <w:sz w:val="24"/>
        </w:rPr>
        <w:t>强调</w:t>
      </w:r>
      <w:r>
        <w:rPr>
          <w:rFonts w:hint="eastAsia"/>
          <w:b/>
          <w:sz w:val="24"/>
          <w:lang w:eastAsia="zh-CN"/>
        </w:rPr>
        <w:t>相关项目</w:t>
      </w:r>
      <w:r>
        <w:rPr>
          <w:rFonts w:hint="eastAsia"/>
          <w:b/>
          <w:sz w:val="24"/>
        </w:rPr>
        <w:t>在常州的地位，市中心与传统商业区的商业地位。</w:t>
      </w:r>
    </w:p>
    <w:p>
      <w:pPr>
        <w:pStyle w:val="Normal0"/>
        <w:numPr>
          <w:ilvl w:val="0"/>
          <w:numId w:val="32"/>
        </w:numPr>
        <w:rPr>
          <w:rFonts w:hint="eastAsia"/>
          <w:b/>
          <w:sz w:val="24"/>
        </w:rPr>
        <w:sectPr>
          <w:headerReference w:type="default" r:id="rId27"/>
          <w:footerReference w:type="default" r:id="rId28"/>
          <w:type w:val="nextPage"/>
          <w:pgSz w:w="11906" w:h="16838"/>
          <w:pgMar w:top="1440" w:right="1797" w:bottom="1440" w:left="1797" w:header="851" w:footer="992" w:gutter="0"/>
          <w:pgNumType w:start="12"/>
          <w:cols w:num="1" w:space="425"/>
          <w:titlePg w:val="0"/>
          <w:docGrid w:type="lines" w:linePitch="290" w:charSpace="0"/>
        </w:sectPr>
      </w:pPr>
      <w:r>
        <w:rPr>
          <w:rFonts w:hint="eastAsia"/>
          <w:b/>
          <w:sz w:val="24"/>
        </w:rPr>
        <w:t>强调业态规划的合理性和精妙。</w:t>
      </w:r>
    </w:p>
    <w:p>
      <w:pPr>
        <w:pStyle w:val="Normal0"/>
        <w:numPr>
          <w:ilvl w:val="0"/>
          <w:numId w:val="5"/>
        </w:numPr>
        <w:rPr>
          <w:rFonts w:hint="eastAsia"/>
          <w:b/>
          <w:sz w:val="24"/>
        </w:rPr>
      </w:pPr>
      <w:r>
        <w:rPr>
          <w:rFonts w:hint="eastAsia"/>
          <w:b/>
          <w:sz w:val="24"/>
        </w:rPr>
        <w:t>强调</w:t>
      </w:r>
      <w:r>
        <w:rPr>
          <w:rFonts w:hint="eastAsia"/>
          <w:b/>
          <w:sz w:val="24"/>
          <w:lang w:eastAsia="zh-CN"/>
        </w:rPr>
        <w:t>相关项目</w:t>
      </w:r>
      <w:r>
        <w:rPr>
          <w:rFonts w:hint="eastAsia"/>
          <w:b/>
          <w:sz w:val="24"/>
        </w:rPr>
        <w:t>后期运营的科学性和专业性。</w:t>
      </w:r>
    </w:p>
    <w:p>
      <w:pPr>
        <w:pStyle w:val="Normal0"/>
        <w:numPr>
          <w:ilvl w:val="0"/>
          <w:numId w:val="5"/>
        </w:numPr>
        <w:rPr>
          <w:rFonts w:hint="eastAsia"/>
          <w:b/>
          <w:sz w:val="24"/>
        </w:rPr>
      </w:pPr>
      <w:r>
        <w:rPr>
          <w:rFonts w:hint="eastAsia"/>
          <w:b/>
          <w:sz w:val="24"/>
        </w:rPr>
        <w:t>强调开发商和专业团队的商业经验。</w:t>
      </w:r>
    </w:p>
    <w:p>
      <w:pPr>
        <w:pStyle w:val="Normal0"/>
        <w:numPr>
          <w:ilvl w:val="0"/>
          <w:numId w:val="5"/>
        </w:numPr>
        <w:rPr>
          <w:rFonts w:hint="eastAsia"/>
          <w:b/>
          <w:sz w:val="24"/>
        </w:rPr>
      </w:pPr>
      <w:r>
        <w:rPr>
          <w:rFonts w:hint="eastAsia"/>
          <w:b/>
          <w:sz w:val="24"/>
        </w:rPr>
        <w:t>强调国际品牌的凝聚力和吸引力。</w:t>
      </w:r>
    </w:p>
    <w:p>
      <w:pPr>
        <w:pStyle w:val="Normal0"/>
        <w:rPr>
          <w:rFonts w:hint="eastAsia"/>
          <w:sz w:val="28"/>
          <w:szCs w:val="28"/>
        </w:rPr>
      </w:pPr>
    </w:p>
    <w:p>
      <w:pPr>
        <w:pStyle w:val="Normal0"/>
        <w:numPr>
          <w:ilvl w:val="0"/>
          <w:numId w:val="6"/>
        </w:numPr>
        <w:rPr>
          <w:rFonts w:ascii="华文中宋" w:eastAsia="华文中宋" w:hAnsi="华文中宋" w:hint="eastAsia"/>
          <w:b/>
          <w:sz w:val="28"/>
          <w:szCs w:val="28"/>
        </w:rPr>
      </w:pPr>
      <w:r>
        <w:rPr>
          <w:rFonts w:ascii="华文中宋" w:eastAsia="华文中宋" w:hAnsi="华文中宋" w:hint="eastAsia"/>
          <w:b/>
          <w:sz w:val="28"/>
          <w:szCs w:val="28"/>
        </w:rPr>
        <w:t>消费者</w:t>
      </w:r>
    </w:p>
    <w:p>
      <w:pPr>
        <w:pStyle w:val="Normal0"/>
        <w:ind w:left="1275"/>
        <w:rPr>
          <w:rFonts w:hint="eastAsia"/>
          <w:b/>
          <w:sz w:val="24"/>
        </w:rPr>
      </w:pPr>
      <w:r>
        <w:rPr>
          <w:rFonts w:hint="eastAsia"/>
          <w:b/>
          <w:sz w:val="24"/>
        </w:rPr>
        <w:t>1）人群区域</w:t>
      </w:r>
    </w:p>
    <w:p>
      <w:pPr>
        <w:pStyle w:val="Normal0"/>
        <w:numPr>
          <w:ilvl w:val="0"/>
          <w:numId w:val="5"/>
        </w:numPr>
        <w:rPr>
          <w:rFonts w:hint="eastAsia"/>
          <w:sz w:val="24"/>
        </w:rPr>
      </w:pPr>
      <w:r>
        <w:rPr>
          <w:rFonts w:hint="eastAsia"/>
          <w:b/>
          <w:sz w:val="24"/>
        </w:rPr>
        <w:t>常州：</w:t>
      </w:r>
      <w:r>
        <w:rPr>
          <w:rFonts w:hint="eastAsia"/>
          <w:sz w:val="24"/>
        </w:rPr>
        <w:t>来莱蒙都会消费最频繁的，是常州本地人，他们回来沃尔玛购物，会在麦当劳肯德鸡必胜客吃饭，会在精品街上购物，会在时代华纳看电影，会在西瀛里街上喝酒聊天。</w:t>
      </w:r>
    </w:p>
    <w:p>
      <w:pPr>
        <w:pStyle w:val="Normal0"/>
        <w:numPr>
          <w:ilvl w:val="0"/>
          <w:numId w:val="5"/>
        </w:numPr>
        <w:rPr>
          <w:rFonts w:hint="eastAsia"/>
          <w:sz w:val="24"/>
        </w:rPr>
      </w:pPr>
      <w:r>
        <w:rPr>
          <w:rFonts w:hint="eastAsia"/>
          <w:b/>
          <w:sz w:val="24"/>
        </w:rPr>
        <w:t>半小时生活圈：</w:t>
      </w:r>
      <w:r>
        <w:rPr>
          <w:rFonts w:hint="eastAsia"/>
          <w:sz w:val="24"/>
        </w:rPr>
        <w:t>半小时生活圈内的人主要会在晚上、周末或者假日来莱蒙都会消费，他们去的主要将是休闲、娱乐、餐饮、购物四大类的店铺。</w:t>
      </w:r>
    </w:p>
    <w:p>
      <w:pPr>
        <w:pStyle w:val="Normal0"/>
        <w:numPr>
          <w:ilvl w:val="0"/>
          <w:numId w:val="5"/>
        </w:numPr>
        <w:rPr>
          <w:rFonts w:hint="eastAsia"/>
          <w:sz w:val="24"/>
        </w:rPr>
      </w:pPr>
      <w:r>
        <w:rPr>
          <w:rFonts w:hint="eastAsia"/>
          <w:b/>
          <w:sz w:val="24"/>
        </w:rPr>
        <w:t>2小时商务圈：</w:t>
      </w:r>
      <w:r>
        <w:rPr>
          <w:rFonts w:hint="eastAsia"/>
          <w:sz w:val="24"/>
        </w:rPr>
        <w:t>在两小时商务圈内的人将较少到访莱蒙都会，较少人会因为莱蒙都会而专程来常州，更多的情况下是来常州，就来莱蒙都会，他们将主要光临西瀛里休闲街、精购物及其它稀缺性的业态。</w:t>
      </w:r>
    </w:p>
    <w:p>
      <w:pPr>
        <w:pStyle w:val="Normal0"/>
        <w:ind w:left="1766"/>
        <w:rPr>
          <w:rFonts w:hint="eastAsia"/>
          <w:b/>
          <w:sz w:val="24"/>
        </w:rPr>
      </w:pPr>
    </w:p>
    <w:p>
      <w:pPr>
        <w:pStyle w:val="Normal0"/>
        <w:ind w:left="1275"/>
        <w:rPr>
          <w:rFonts w:hint="eastAsia"/>
          <w:b/>
          <w:sz w:val="24"/>
        </w:rPr>
      </w:pPr>
      <w:r>
        <w:rPr>
          <w:rFonts w:hint="eastAsia"/>
          <w:b/>
          <w:sz w:val="24"/>
        </w:rPr>
        <w:t>2）人群特征</w:t>
      </w:r>
    </w:p>
    <w:p>
      <w:pPr>
        <w:pStyle w:val="Normal0"/>
        <w:ind w:left="1766" w:firstLine="480" w:leftChars="841" w:firstLineChars="200"/>
        <w:rPr>
          <w:rFonts w:hint="eastAsia"/>
          <w:sz w:val="24"/>
        </w:rPr>
      </w:pPr>
      <w:r>
        <w:rPr>
          <w:rFonts w:hint="eastAsia"/>
          <w:sz w:val="24"/>
        </w:rPr>
        <w:t>由于莱蒙都会是全业态安排，因此这里的人群无法一一描述，百货业针对的大众、精品街针对的有钱人、娱乐业态针对的时尚人士，都各有特点，各有侧重，因此这里不作一一列举。</w:t>
      </w:r>
    </w:p>
    <w:p>
      <w:pPr>
        <w:pStyle w:val="Normal0"/>
        <w:ind w:left="1766"/>
        <w:rPr>
          <w:rFonts w:hint="eastAsia"/>
          <w:b/>
          <w:sz w:val="24"/>
        </w:rPr>
      </w:pPr>
    </w:p>
    <w:p>
      <w:pPr>
        <w:pStyle w:val="Normal0"/>
        <w:ind w:left="1275"/>
        <w:rPr>
          <w:rFonts w:hint="eastAsia"/>
          <w:b/>
          <w:sz w:val="24"/>
        </w:rPr>
      </w:pPr>
      <w:r>
        <w:rPr>
          <w:rFonts w:hint="eastAsia"/>
          <w:b/>
          <w:sz w:val="24"/>
        </w:rPr>
        <w:t>3）人群关心</w:t>
      </w:r>
      <w:r>
        <w:rPr>
          <w:rFonts w:hint="eastAsia"/>
          <w:b/>
          <w:sz w:val="24"/>
          <w:lang w:eastAsia="zh-CN"/>
        </w:rPr>
        <w:t>合适的内容</w:t>
      </w:r>
    </w:p>
    <w:p>
      <w:pPr>
        <w:pStyle w:val="Normal0"/>
        <w:numPr>
          <w:ilvl w:val="0"/>
          <w:numId w:val="5"/>
        </w:numPr>
        <w:rPr>
          <w:rFonts w:hint="eastAsia"/>
          <w:sz w:val="24"/>
        </w:rPr>
        <w:sectPr>
          <w:headerReference w:type="default" r:id="rId29"/>
          <w:footerReference w:type="default" r:id="rId30"/>
          <w:type w:val="nextPage"/>
          <w:pgSz w:w="11906" w:h="16838"/>
          <w:pgMar w:top="1440" w:right="1797" w:bottom="1440" w:left="1797" w:header="851" w:footer="992" w:gutter="0"/>
          <w:pgNumType w:start="13"/>
          <w:cols w:num="1" w:space="425"/>
          <w:titlePg w:val="0"/>
          <w:docGrid w:type="lines" w:linePitch="290" w:charSpace="0"/>
        </w:sectPr>
      </w:pPr>
      <w:r>
        <w:rPr>
          <w:rFonts w:hint="eastAsia"/>
          <w:b/>
          <w:sz w:val="24"/>
        </w:rPr>
        <w:t>与生活的联系：</w:t>
      </w:r>
    </w:p>
    <w:p>
      <w:pPr>
        <w:pStyle w:val="Normal0"/>
        <w:numPr>
          <w:ilvl w:val="0"/>
          <w:numId w:val="0"/>
        </w:numPr>
        <w:ind w:left="2186"/>
        <w:rPr>
          <w:rFonts w:hint="eastAsia"/>
          <w:sz w:val="24"/>
        </w:rPr>
      </w:pPr>
      <w:r>
        <w:rPr>
          <w:rFonts w:hint="eastAsia"/>
          <w:sz w:val="24"/>
        </w:rPr>
        <w:t>由于是以常州人为主，莱蒙都会未来的前景一定备受关注，其中，与人们生活之间的实实在在的联系，将是他们最为关心的事情，莱蒙都会会给他们带来什么样的品牌？会让他们的生活产生什么样的改变？</w:t>
      </w:r>
      <w:r>
        <w:rPr>
          <w:rFonts w:hint="eastAsia"/>
          <w:sz w:val="24"/>
        </w:rPr>
        <w:t xml:space="preserve"> </w:t>
      </w:r>
    </w:p>
    <w:p>
      <w:pPr>
        <w:pStyle w:val="Normal0"/>
        <w:numPr>
          <w:ilvl w:val="0"/>
          <w:numId w:val="5"/>
        </w:numPr>
        <w:rPr>
          <w:rFonts w:hint="eastAsia"/>
          <w:sz w:val="24"/>
        </w:rPr>
      </w:pPr>
      <w:r>
        <w:rPr>
          <w:rFonts w:hint="eastAsia"/>
          <w:b/>
          <w:sz w:val="24"/>
        </w:rPr>
        <w:t>娱乐感受：</w:t>
      </w:r>
      <w:r>
        <w:rPr>
          <w:rFonts w:hint="eastAsia"/>
          <w:sz w:val="24"/>
        </w:rPr>
        <w:t>在莱蒙都会消费，会有什么样的娱乐感受，也是消费者所关心的事情，购物、餐饮、休闲、娱乐，每一个业态都是已经存在的，都是消费者感受过的，那么，莱蒙都会带来的潜在的娱乐的感受需求，以及Mall本身拥有的一站式的体验，将是消费者更为敏感的地方。</w:t>
      </w:r>
    </w:p>
    <w:p>
      <w:pPr>
        <w:pStyle w:val="Normal0"/>
        <w:numPr>
          <w:ilvl w:val="0"/>
          <w:numId w:val="5"/>
        </w:numPr>
        <w:rPr>
          <w:rFonts w:hint="eastAsia"/>
          <w:sz w:val="24"/>
        </w:rPr>
      </w:pPr>
      <w:r>
        <w:rPr>
          <w:rFonts w:hint="eastAsia"/>
          <w:b/>
          <w:sz w:val="24"/>
        </w:rPr>
        <w:t>消费品种：</w:t>
      </w:r>
      <w:r>
        <w:rPr>
          <w:rFonts w:hint="eastAsia"/>
          <w:sz w:val="24"/>
        </w:rPr>
        <w:t>莱蒙都会究竟能买到什么？能消费到什么？实实在在的消费品种，将是消费者最关心的事情之一。</w:t>
      </w:r>
    </w:p>
    <w:p>
      <w:pPr>
        <w:pStyle w:val="Normal0"/>
        <w:rPr>
          <w:rFonts w:hint="eastAsia"/>
          <w:sz w:val="24"/>
        </w:rPr>
      </w:pPr>
    </w:p>
    <w:p>
      <w:pPr>
        <w:pStyle w:val="Normal0"/>
        <w:ind w:left="1275"/>
        <w:rPr>
          <w:rFonts w:hint="eastAsia"/>
          <w:b/>
          <w:sz w:val="24"/>
        </w:rPr>
      </w:pPr>
      <w:r>
        <w:rPr>
          <w:rFonts w:hint="eastAsia"/>
          <w:b/>
          <w:sz w:val="24"/>
        </w:rPr>
        <w:t>4）人群吸引方法</w:t>
      </w:r>
    </w:p>
    <w:p>
      <w:pPr>
        <w:pStyle w:val="Normal0"/>
        <w:numPr>
          <w:ilvl w:val="0"/>
          <w:numId w:val="5"/>
        </w:numPr>
        <w:rPr>
          <w:rFonts w:hint="eastAsia"/>
          <w:b/>
          <w:sz w:val="24"/>
        </w:rPr>
      </w:pPr>
      <w:r>
        <w:rPr>
          <w:rFonts w:hint="eastAsia"/>
          <w:b/>
          <w:sz w:val="24"/>
        </w:rPr>
        <w:t>强调莱蒙都会的商业空间感受。</w:t>
      </w:r>
    </w:p>
    <w:p>
      <w:pPr>
        <w:pStyle w:val="Normal0"/>
        <w:numPr>
          <w:ilvl w:val="0"/>
          <w:numId w:val="5"/>
        </w:numPr>
        <w:rPr>
          <w:rFonts w:hint="eastAsia"/>
          <w:b/>
          <w:sz w:val="24"/>
        </w:rPr>
      </w:pPr>
      <w:r>
        <w:rPr>
          <w:rFonts w:hint="eastAsia"/>
          <w:b/>
          <w:sz w:val="24"/>
        </w:rPr>
        <w:t>强调莱蒙都会带来的消费理念。</w:t>
      </w:r>
    </w:p>
    <w:p>
      <w:pPr>
        <w:pStyle w:val="Normal0"/>
        <w:numPr>
          <w:ilvl w:val="0"/>
          <w:numId w:val="5"/>
        </w:numPr>
        <w:rPr>
          <w:rFonts w:hint="eastAsia"/>
          <w:b/>
          <w:sz w:val="24"/>
        </w:rPr>
      </w:pPr>
      <w:r>
        <w:rPr>
          <w:rFonts w:hint="eastAsia"/>
          <w:b/>
          <w:sz w:val="24"/>
        </w:rPr>
        <w:t>强调莱蒙都会的国际品牌入驻。</w:t>
      </w:r>
    </w:p>
    <w:p>
      <w:pPr>
        <w:pStyle w:val="Normal0"/>
        <w:numPr>
          <w:ilvl w:val="0"/>
          <w:numId w:val="5"/>
        </w:numPr>
        <w:rPr>
          <w:rFonts w:hint="eastAsia"/>
          <w:b/>
          <w:sz w:val="24"/>
        </w:rPr>
      </w:pPr>
      <w:r>
        <w:rPr>
          <w:rFonts w:hint="eastAsia"/>
          <w:b/>
          <w:sz w:val="24"/>
        </w:rPr>
        <w:t>强调莱蒙都会全客层的意义。</w:t>
      </w:r>
    </w:p>
    <w:p>
      <w:pPr>
        <w:pStyle w:val="Normal0"/>
        <w:numPr>
          <w:ilvl w:val="0"/>
          <w:numId w:val="1"/>
        </w:numPr>
        <w:rPr>
          <w:rFonts w:ascii="华文中宋" w:eastAsia="华文中宋" w:hAnsi="华文中宋" w:hint="eastAsia"/>
          <w:b/>
          <w:sz w:val="32"/>
          <w:szCs w:val="32"/>
        </w:rPr>
      </w:pPr>
      <w:r>
        <w:rPr>
          <w:rFonts w:ascii="华文中宋" w:eastAsia="华文中宋" w:hAnsi="华文中宋" w:hint="eastAsia"/>
          <w:b/>
          <w:sz w:val="32"/>
          <w:szCs w:val="32"/>
        </w:rPr>
        <w:t>推广概念：</w:t>
      </w:r>
    </w:p>
    <w:p>
      <w:pPr>
        <w:pStyle w:val="Normal0"/>
        <w:ind w:firstLine="480" w:firstLineChars="200"/>
        <w:rPr>
          <w:rFonts w:ascii="宋体" w:hAnsi="宋体" w:hint="eastAsia"/>
          <w:sz w:val="24"/>
        </w:rPr>
      </w:pPr>
      <w:r>
        <w:rPr>
          <w:rFonts w:ascii="宋体" w:hAnsi="宋体" w:hint="eastAsia"/>
          <w:sz w:val="24"/>
        </w:rPr>
        <w:t>至本案行文之时，莱蒙都会的主题概念已经确定，“中国经验”的概念以及相关的广告表现已经在进一步深入，在进一步安排推广阶段与推广</w:t>
      </w:r>
      <w:r>
        <w:rPr>
          <w:rFonts w:ascii="宋体" w:hAnsi="宋体" w:hint="eastAsia"/>
          <w:sz w:val="24"/>
          <w:lang w:eastAsia="zh-CN"/>
        </w:rPr>
        <w:t>合适的内容</w:t>
      </w:r>
      <w:r>
        <w:rPr>
          <w:rFonts w:ascii="宋体" w:hAnsi="宋体" w:hint="eastAsia"/>
          <w:sz w:val="24"/>
        </w:rPr>
        <w:t>之前，我们需要将概念进一步总结，将概念的使用以及辅助概念的使用，做一个界定，便于下文对所有的广告</w:t>
      </w:r>
      <w:r>
        <w:rPr>
          <w:rFonts w:ascii="宋体" w:hAnsi="宋体" w:hint="eastAsia"/>
          <w:sz w:val="24"/>
          <w:lang w:eastAsia="zh-CN"/>
        </w:rPr>
        <w:t>合适的内容</w:t>
      </w:r>
      <w:r>
        <w:rPr>
          <w:rFonts w:ascii="宋体" w:hAnsi="宋体" w:hint="eastAsia"/>
          <w:sz w:val="24"/>
        </w:rPr>
        <w:t>进行安排。</w:t>
      </w:r>
    </w:p>
    <w:p>
      <w:pPr>
        <w:pStyle w:val="Normal0"/>
        <w:rPr>
          <w:rFonts w:ascii="华文中宋" w:eastAsia="华文中宋" w:hAnsi="华文中宋" w:hint="eastAsia"/>
          <w:sz w:val="24"/>
        </w:rPr>
      </w:pPr>
    </w:p>
    <w:p>
      <w:pPr>
        <w:pStyle w:val="Normal0"/>
        <w:numPr>
          <w:ilvl w:val="0"/>
          <w:numId w:val="7"/>
        </w:numPr>
        <w:rPr>
          <w:rFonts w:ascii="华文中宋" w:eastAsia="华文中宋" w:hAnsi="华文中宋" w:hint="eastAsia"/>
          <w:b/>
          <w:sz w:val="28"/>
          <w:szCs w:val="28"/>
        </w:rPr>
        <w:sectPr>
          <w:headerReference w:type="default" r:id="rId31"/>
          <w:footerReference w:type="default" r:id="rId32"/>
          <w:type w:val="nextPage"/>
          <w:pgSz w:w="11906" w:h="16838"/>
          <w:pgMar w:top="1440" w:right="1797" w:bottom="1440" w:left="1797" w:header="851" w:footer="992" w:gutter="0"/>
          <w:pgNumType w:start="14"/>
          <w:cols w:num="1" w:space="425"/>
          <w:titlePg w:val="0"/>
          <w:docGrid w:type="lines" w:linePitch="290" w:charSpace="0"/>
        </w:sectPr>
      </w:pPr>
      <w:r>
        <w:rPr>
          <w:rFonts w:ascii="华文中宋" w:eastAsia="华文中宋" w:hAnsi="华文中宋" w:hint="eastAsia"/>
          <w:b/>
          <w:sz w:val="28"/>
          <w:szCs w:val="28"/>
        </w:rPr>
        <w:t>推广概念总结</w:t>
      </w:r>
    </w:p>
    <w:p>
      <w:pPr>
        <w:pStyle w:val="Normal0"/>
        <w:ind w:firstLine="480" w:firstLineChars="200"/>
        <w:rPr>
          <w:rFonts w:ascii="宋体" w:hAnsi="宋体" w:hint="eastAsia"/>
          <w:sz w:val="24"/>
        </w:rPr>
      </w:pPr>
      <w:r>
        <w:rPr>
          <w:rFonts w:ascii="宋体" w:hAnsi="宋体" w:hint="eastAsia"/>
          <w:sz w:val="24"/>
        </w:rPr>
        <w:t>中国经验，是我们提出的推广概念，从推广上来看，中国经验不是独立存在，而是有许多辅助概念以及辅助的广告标题来全面整合的，因此这里在总结主题概念的同时，也将概念组合和概念系统做一个全面描述。</w:t>
      </w:r>
    </w:p>
    <w:p>
      <w:pPr>
        <w:pStyle w:val="Normal0"/>
        <w:numPr>
          <w:ilvl w:val="0"/>
          <w:numId w:val="33"/>
        </w:numPr>
        <w:rPr>
          <w:rFonts w:ascii="华文中宋" w:eastAsia="华文中宋" w:hAnsi="华文中宋" w:hint="eastAsia"/>
          <w:b/>
          <w:sz w:val="28"/>
          <w:szCs w:val="28"/>
        </w:rPr>
      </w:pPr>
      <w:r>
        <w:rPr>
          <w:rFonts w:ascii="华文中宋" w:eastAsia="华文中宋" w:hAnsi="华文中宋" w:hint="eastAsia"/>
          <w:b/>
          <w:sz w:val="28"/>
          <w:szCs w:val="28"/>
        </w:rPr>
        <w:t>主题概念</w:t>
      </w:r>
    </w:p>
    <w:p>
      <w:pPr>
        <w:pStyle w:val="Normal0"/>
        <w:ind w:left="855"/>
        <w:rPr>
          <w:rFonts w:ascii="华文中宋" w:eastAsia="华文中宋" w:hAnsi="华文中宋" w:hint="eastAsia"/>
          <w:b/>
          <w:sz w:val="28"/>
          <w:szCs w:val="28"/>
        </w:rPr>
      </w:pPr>
    </w:p>
    <w:p>
      <w:pPr>
        <w:pStyle w:val="Normal0"/>
        <w:ind w:left="855"/>
        <w:jc w:val="center"/>
        <w:rPr>
          <w:rFonts w:ascii="黑体" w:eastAsia="黑体" w:hint="eastAsia"/>
          <w:b/>
          <w:sz w:val="52"/>
          <w:szCs w:val="52"/>
        </w:rPr>
      </w:pPr>
      <w:r>
        <w:rPr>
          <w:rFonts w:ascii="黑体" w:eastAsia="黑体" w:hint="eastAsia"/>
          <w:b/>
          <w:sz w:val="52"/>
          <w:szCs w:val="52"/>
        </w:rPr>
        <w:t>中国经验</w:t>
      </w:r>
    </w:p>
    <w:p>
      <w:pPr>
        <w:pStyle w:val="Normal0"/>
        <w:ind w:left="855"/>
        <w:jc w:val="center"/>
        <w:rPr>
          <w:rFonts w:hint="eastAsia"/>
          <w:b/>
          <w:sz w:val="24"/>
        </w:rPr>
      </w:pPr>
      <w:r>
        <w:rPr>
          <w:rFonts w:hint="eastAsia"/>
          <w:b/>
          <w:sz w:val="24"/>
        </w:rPr>
        <w:t>为中国商业地产索求成功之道</w:t>
      </w:r>
    </w:p>
    <w:p>
      <w:pPr>
        <w:pStyle w:val="Normal0"/>
        <w:rPr>
          <w:rFonts w:hint="eastAsia"/>
          <w:b/>
          <w:sz w:val="24"/>
        </w:rPr>
      </w:pPr>
    </w:p>
    <w:p>
      <w:pPr>
        <w:pStyle w:val="Normal0"/>
        <w:rPr>
          <w:rFonts w:hint="eastAsia"/>
          <w:b/>
          <w:sz w:val="24"/>
        </w:rPr>
      </w:pPr>
    </w:p>
    <w:p>
      <w:pPr>
        <w:pStyle w:val="Normal0"/>
        <w:numPr>
          <w:ilvl w:val="0"/>
          <w:numId w:val="33"/>
        </w:numPr>
        <w:rPr>
          <w:rFonts w:ascii="华文中宋" w:eastAsia="华文中宋" w:hAnsi="华文中宋" w:hint="eastAsia"/>
          <w:b/>
          <w:sz w:val="28"/>
          <w:szCs w:val="28"/>
        </w:rPr>
      </w:pPr>
      <w:r>
        <w:rPr>
          <w:rFonts w:ascii="华文中宋" w:eastAsia="华文中宋" w:hAnsi="华文中宋" w:hint="eastAsia"/>
          <w:b/>
          <w:sz w:val="28"/>
          <w:szCs w:val="28"/>
        </w:rPr>
        <w:t>概念内涵</w:t>
      </w:r>
    </w:p>
    <w:p>
      <w:pPr>
        <w:pStyle w:val="Normal0"/>
        <w:numPr>
          <w:ilvl w:val="0"/>
          <w:numId w:val="9"/>
        </w:numPr>
        <w:rPr>
          <w:rFonts w:ascii="宋体" w:hAnsi="宋体" w:hint="eastAsia"/>
          <w:b/>
          <w:sz w:val="24"/>
        </w:rPr>
      </w:pPr>
      <w:r>
        <w:rPr>
          <w:rFonts w:ascii="宋体" w:hAnsi="宋体" w:hint="eastAsia"/>
          <w:b/>
          <w:sz w:val="24"/>
        </w:rPr>
        <w:t>“中国经验”主要是描述莱蒙都会的“整合运营能力”；</w:t>
      </w:r>
    </w:p>
    <w:p>
      <w:pPr>
        <w:pStyle w:val="Normal0"/>
        <w:numPr>
          <w:ilvl w:val="0"/>
          <w:numId w:val="9"/>
        </w:numPr>
        <w:rPr>
          <w:rFonts w:ascii="宋体" w:hAnsi="宋体" w:hint="eastAsia"/>
          <w:b/>
          <w:sz w:val="24"/>
        </w:rPr>
      </w:pPr>
      <w:r>
        <w:rPr>
          <w:rFonts w:ascii="宋体" w:hAnsi="宋体" w:hint="eastAsia"/>
          <w:b/>
          <w:sz w:val="24"/>
        </w:rPr>
        <w:t>“中国经验”另一个对于莱蒙都会的描述是“商业典范”；</w:t>
      </w:r>
    </w:p>
    <w:p>
      <w:pPr>
        <w:pStyle w:val="Normal0"/>
        <w:numPr>
          <w:ilvl w:val="0"/>
          <w:numId w:val="9"/>
        </w:numPr>
        <w:rPr>
          <w:rFonts w:ascii="宋体" w:hAnsi="宋体" w:hint="eastAsia"/>
          <w:b/>
          <w:sz w:val="24"/>
        </w:rPr>
      </w:pPr>
      <w:r>
        <w:rPr>
          <w:rFonts w:ascii="宋体" w:hAnsi="宋体" w:hint="eastAsia"/>
          <w:b/>
          <w:sz w:val="24"/>
        </w:rPr>
        <w:t>“中国经验”强调了莱蒙都会在商业地产方面的全面实力；</w:t>
      </w:r>
    </w:p>
    <w:p>
      <w:pPr>
        <w:pStyle w:val="Normal0"/>
        <w:numPr>
          <w:ilvl w:val="0"/>
          <w:numId w:val="9"/>
        </w:numPr>
        <w:rPr>
          <w:rFonts w:ascii="宋体" w:hAnsi="宋体" w:hint="eastAsia"/>
          <w:b/>
          <w:sz w:val="24"/>
        </w:rPr>
      </w:pPr>
      <w:r>
        <w:rPr>
          <w:rFonts w:ascii="宋体" w:hAnsi="宋体" w:hint="eastAsia"/>
          <w:b/>
          <w:sz w:val="24"/>
        </w:rPr>
        <w:t>“中国经验”表示莱蒙都会的出现是中国商业地产的新跨越；</w:t>
      </w:r>
    </w:p>
    <w:p>
      <w:pPr>
        <w:pStyle w:val="Normal0"/>
        <w:numPr>
          <w:ilvl w:val="0"/>
          <w:numId w:val="9"/>
        </w:numPr>
        <w:rPr>
          <w:rFonts w:ascii="宋体" w:hAnsi="宋体" w:hint="eastAsia"/>
          <w:b/>
          <w:sz w:val="24"/>
        </w:rPr>
      </w:pPr>
      <w:r>
        <w:rPr>
          <w:rFonts w:ascii="宋体" w:hAnsi="宋体" w:hint="eastAsia"/>
          <w:b/>
          <w:sz w:val="24"/>
        </w:rPr>
        <w:t>“中国经验”说明了莱蒙都会融合了国际模式和本土情况；</w:t>
      </w:r>
    </w:p>
    <w:p>
      <w:pPr>
        <w:pStyle w:val="Normal0"/>
        <w:numPr>
          <w:ilvl w:val="0"/>
          <w:numId w:val="9"/>
        </w:numPr>
        <w:rPr>
          <w:rFonts w:ascii="宋体" w:hAnsi="宋体" w:hint="eastAsia"/>
          <w:b/>
          <w:sz w:val="24"/>
        </w:rPr>
      </w:pPr>
      <w:r>
        <w:rPr>
          <w:rFonts w:ascii="宋体" w:hAnsi="宋体" w:hint="eastAsia"/>
          <w:b/>
          <w:sz w:val="24"/>
        </w:rPr>
        <w:t>“中国经验”阐述了莱蒙都会在商业地产操作上的社会责任；</w:t>
      </w:r>
    </w:p>
    <w:p>
      <w:pPr>
        <w:pStyle w:val="Normal0"/>
        <w:rPr>
          <w:rFonts w:ascii="宋体" w:hAnsi="宋体" w:hint="eastAsia"/>
          <w:b/>
          <w:sz w:val="24"/>
        </w:rPr>
      </w:pPr>
    </w:p>
    <w:p>
      <w:pPr>
        <w:pStyle w:val="Normal0"/>
        <w:numPr>
          <w:ilvl w:val="0"/>
          <w:numId w:val="33"/>
        </w:numPr>
        <w:rPr>
          <w:rFonts w:ascii="华文中宋" w:eastAsia="华文中宋" w:hAnsi="华文中宋" w:hint="eastAsia"/>
          <w:b/>
          <w:sz w:val="28"/>
          <w:szCs w:val="28"/>
        </w:rPr>
      </w:pPr>
      <w:r>
        <w:rPr>
          <w:rFonts w:ascii="华文中宋" w:eastAsia="华文中宋" w:hAnsi="华文中宋" w:hint="eastAsia"/>
          <w:b/>
          <w:sz w:val="28"/>
          <w:szCs w:val="28"/>
        </w:rPr>
        <w:t>概念支撑</w:t>
      </w:r>
    </w:p>
    <w:p>
      <w:pPr>
        <w:pStyle w:val="Normal0"/>
        <w:ind w:left="1275"/>
        <w:rPr>
          <w:rFonts w:ascii="宋体" w:hAnsi="宋体" w:hint="eastAsia"/>
          <w:sz w:val="24"/>
        </w:rPr>
      </w:pPr>
      <w:r>
        <w:rPr>
          <w:rFonts w:ascii="宋体" w:hAnsi="宋体" w:hint="eastAsia"/>
          <w:b/>
          <w:sz w:val="24"/>
        </w:rPr>
        <w:t>1）中国经验之选址中心论</w:t>
      </w:r>
    </w:p>
    <w:p>
      <w:pPr>
        <w:pStyle w:val="Normal0"/>
        <w:numPr>
          <w:ilvl w:val="1"/>
          <w:numId w:val="9"/>
        </w:numPr>
        <w:rPr>
          <w:rFonts w:hint="eastAsia"/>
          <w:sz w:val="24"/>
        </w:rPr>
      </w:pPr>
      <w:r>
        <w:rPr>
          <w:rFonts w:hint="eastAsia"/>
          <w:sz w:val="24"/>
        </w:rPr>
        <w:t>中国经验，商业要在市中心</w:t>
      </w:r>
    </w:p>
    <w:p>
      <w:pPr>
        <w:pStyle w:val="Normal0"/>
        <w:numPr>
          <w:ilvl w:val="1"/>
          <w:numId w:val="9"/>
        </w:numPr>
        <w:rPr>
          <w:rFonts w:hint="eastAsia"/>
          <w:sz w:val="24"/>
        </w:rPr>
      </w:pPr>
      <w:r>
        <w:rPr>
          <w:rFonts w:hint="eastAsia"/>
          <w:sz w:val="24"/>
        </w:rPr>
        <w:t>中国的经济中心，在长三角</w:t>
      </w:r>
    </w:p>
    <w:p>
      <w:pPr>
        <w:pStyle w:val="Normal0"/>
        <w:numPr>
          <w:ilvl w:val="1"/>
          <w:numId w:val="9"/>
        </w:numPr>
        <w:rPr>
          <w:rFonts w:hint="eastAsia"/>
          <w:sz w:val="24"/>
        </w:rPr>
      </w:pPr>
      <w:r>
        <w:rPr>
          <w:rFonts w:hint="eastAsia"/>
          <w:sz w:val="24"/>
        </w:rPr>
        <w:t>长三角的经济潜力中心，在常州</w:t>
      </w:r>
    </w:p>
    <w:p>
      <w:pPr>
        <w:pStyle w:val="Normal0"/>
        <w:numPr>
          <w:ilvl w:val="1"/>
          <w:numId w:val="9"/>
        </w:numPr>
        <w:rPr>
          <w:rFonts w:hint="eastAsia"/>
          <w:sz w:val="24"/>
        </w:rPr>
        <w:sectPr>
          <w:headerReference w:type="default" r:id="rId33"/>
          <w:footerReference w:type="default" r:id="rId34"/>
          <w:type w:val="nextPage"/>
          <w:pgSz w:w="11906" w:h="16838"/>
          <w:pgMar w:top="1440" w:right="1797" w:bottom="1440" w:left="1797" w:header="851" w:footer="992" w:gutter="0"/>
          <w:pgNumType w:start="15"/>
          <w:cols w:num="1" w:space="425"/>
          <w:titlePg w:val="0"/>
          <w:docGrid w:type="lines" w:linePitch="290" w:charSpace="0"/>
        </w:sectPr>
      </w:pPr>
    </w:p>
    <w:p>
      <w:pPr>
        <w:pStyle w:val="Normal0"/>
        <w:numPr>
          <w:ilvl w:val="0"/>
          <w:numId w:val="0"/>
        </w:numPr>
        <w:ind w:left="2115"/>
        <w:rPr>
          <w:rFonts w:hint="eastAsia"/>
          <w:sz w:val="24"/>
        </w:rPr>
      </w:pPr>
      <w:r>
        <w:rPr>
          <w:rFonts w:hint="eastAsia"/>
          <w:sz w:val="24"/>
        </w:rPr>
        <w:t>常州的商业中心，在西瀛里、南大街、延陵路，在莱蒙都会的地块。</w:t>
      </w:r>
    </w:p>
    <w:p>
      <w:pPr>
        <w:pStyle w:val="Normal0"/>
        <w:ind w:left="1275"/>
        <w:rPr>
          <w:rFonts w:ascii="宋体" w:hAnsi="宋体" w:hint="eastAsia"/>
          <w:sz w:val="24"/>
        </w:rPr>
      </w:pPr>
    </w:p>
    <w:p>
      <w:pPr>
        <w:pStyle w:val="Normal0"/>
        <w:ind w:left="1275"/>
        <w:rPr>
          <w:rFonts w:ascii="宋体" w:hAnsi="宋体" w:hint="eastAsia"/>
          <w:sz w:val="24"/>
        </w:rPr>
      </w:pPr>
      <w:r>
        <w:rPr>
          <w:rFonts w:ascii="宋体" w:hAnsi="宋体" w:hint="eastAsia"/>
          <w:b/>
          <w:sz w:val="24"/>
        </w:rPr>
        <w:t>2）中国经验之街+MALL形态论</w:t>
      </w:r>
    </w:p>
    <w:p>
      <w:pPr>
        <w:pStyle w:val="Normal0"/>
        <w:numPr>
          <w:ilvl w:val="1"/>
          <w:numId w:val="34"/>
        </w:numPr>
        <w:rPr>
          <w:rFonts w:hint="eastAsia"/>
          <w:sz w:val="24"/>
        </w:rPr>
      </w:pPr>
      <w:r>
        <w:rPr>
          <w:rFonts w:hint="eastAsia"/>
          <w:sz w:val="24"/>
        </w:rPr>
        <w:t>中国经验，中国人喜欢逛街甚于逛Mall</w:t>
      </w:r>
    </w:p>
    <w:p>
      <w:pPr>
        <w:pStyle w:val="Normal0"/>
        <w:numPr>
          <w:ilvl w:val="1"/>
          <w:numId w:val="34"/>
        </w:numPr>
        <w:rPr>
          <w:rFonts w:hint="eastAsia"/>
          <w:sz w:val="24"/>
        </w:rPr>
      </w:pPr>
      <w:r>
        <w:rPr>
          <w:sz w:val="24"/>
        </w:rPr>
        <w:t>S</w:t>
      </w:r>
      <w:r>
        <w:rPr>
          <w:rFonts w:hint="eastAsia"/>
          <w:sz w:val="24"/>
        </w:rPr>
        <w:t>treet Mall，街与Mall的完美融合</w:t>
      </w:r>
    </w:p>
    <w:p>
      <w:pPr>
        <w:pStyle w:val="Normal0"/>
        <w:numPr>
          <w:ilvl w:val="1"/>
          <w:numId w:val="34"/>
        </w:numPr>
        <w:rPr>
          <w:rFonts w:hint="eastAsia"/>
          <w:sz w:val="24"/>
        </w:rPr>
      </w:pPr>
      <w:r>
        <w:rPr>
          <w:sz w:val="24"/>
        </w:rPr>
        <w:t>S</w:t>
      </w:r>
      <w:r>
        <w:rPr>
          <w:rFonts w:hint="eastAsia"/>
          <w:sz w:val="24"/>
        </w:rPr>
        <w:t>treet Mall，中国商业形态最高级别</w:t>
      </w:r>
    </w:p>
    <w:p>
      <w:pPr>
        <w:pStyle w:val="Normal0"/>
        <w:numPr>
          <w:ilvl w:val="1"/>
          <w:numId w:val="34"/>
        </w:numPr>
        <w:rPr>
          <w:rFonts w:hint="eastAsia"/>
          <w:sz w:val="24"/>
        </w:rPr>
      </w:pPr>
      <w:r>
        <w:rPr>
          <w:sz w:val="24"/>
        </w:rPr>
        <w:t>S</w:t>
      </w:r>
      <w:r>
        <w:rPr>
          <w:rFonts w:hint="eastAsia"/>
          <w:sz w:val="24"/>
        </w:rPr>
        <w:t>treet Mall，Mall的本土化演变</w:t>
      </w:r>
    </w:p>
    <w:p>
      <w:pPr>
        <w:pStyle w:val="Normal0"/>
        <w:ind w:left="1695"/>
        <w:rPr>
          <w:rFonts w:hint="eastAsia"/>
          <w:sz w:val="24"/>
        </w:rPr>
      </w:pPr>
    </w:p>
    <w:p>
      <w:pPr>
        <w:pStyle w:val="Normal0"/>
        <w:ind w:left="1275"/>
        <w:rPr>
          <w:rFonts w:ascii="宋体" w:hAnsi="宋体" w:hint="eastAsia"/>
          <w:sz w:val="24"/>
        </w:rPr>
      </w:pPr>
      <w:r>
        <w:rPr>
          <w:rFonts w:ascii="宋体" w:hAnsi="宋体" w:hint="eastAsia"/>
          <w:b/>
          <w:sz w:val="24"/>
        </w:rPr>
        <w:t>3）中国经验之开发理念</w:t>
      </w:r>
    </w:p>
    <w:p>
      <w:pPr>
        <w:pStyle w:val="Normal0"/>
        <w:numPr>
          <w:ilvl w:val="1"/>
          <w:numId w:val="34"/>
        </w:numPr>
        <w:rPr>
          <w:rFonts w:hint="eastAsia"/>
          <w:sz w:val="24"/>
        </w:rPr>
      </w:pPr>
      <w:r>
        <w:rPr>
          <w:rFonts w:hint="eastAsia"/>
          <w:sz w:val="24"/>
        </w:rPr>
        <w:t>中国经验，长期持有的必要性</w:t>
      </w:r>
    </w:p>
    <w:p>
      <w:pPr>
        <w:pStyle w:val="Normal0"/>
        <w:numPr>
          <w:ilvl w:val="1"/>
          <w:numId w:val="34"/>
        </w:numPr>
        <w:rPr>
          <w:rFonts w:hint="eastAsia"/>
          <w:sz w:val="24"/>
        </w:rPr>
      </w:pPr>
      <w:r>
        <w:rPr>
          <w:rFonts w:hint="eastAsia"/>
          <w:sz w:val="24"/>
        </w:rPr>
        <w:t>长期回报，远期利益支撑短期效益</w:t>
      </w:r>
    </w:p>
    <w:p>
      <w:pPr>
        <w:pStyle w:val="Normal0"/>
        <w:numPr>
          <w:ilvl w:val="1"/>
          <w:numId w:val="34"/>
        </w:numPr>
        <w:rPr>
          <w:rFonts w:hint="eastAsia"/>
          <w:sz w:val="24"/>
        </w:rPr>
      </w:pPr>
      <w:r>
        <w:rPr>
          <w:rFonts w:hint="eastAsia"/>
          <w:sz w:val="24"/>
        </w:rPr>
        <w:t>先商业后地产，商业地产的运营之道</w:t>
      </w:r>
    </w:p>
    <w:p>
      <w:pPr>
        <w:pStyle w:val="Normal0"/>
        <w:ind w:left="1275"/>
        <w:rPr>
          <w:rFonts w:ascii="宋体" w:hAnsi="宋体" w:hint="eastAsia"/>
          <w:sz w:val="24"/>
        </w:rPr>
      </w:pPr>
    </w:p>
    <w:p>
      <w:pPr>
        <w:pStyle w:val="Normal0"/>
        <w:ind w:left="1275"/>
        <w:rPr>
          <w:rFonts w:ascii="宋体" w:hAnsi="宋体" w:hint="eastAsia"/>
          <w:sz w:val="24"/>
        </w:rPr>
      </w:pPr>
      <w:r>
        <w:rPr>
          <w:rFonts w:ascii="宋体" w:hAnsi="宋体" w:hint="eastAsia"/>
          <w:b/>
          <w:sz w:val="24"/>
        </w:rPr>
        <w:t>4）中国经验之设计理念</w:t>
      </w:r>
    </w:p>
    <w:p>
      <w:pPr>
        <w:pStyle w:val="Normal0"/>
        <w:numPr>
          <w:ilvl w:val="1"/>
          <w:numId w:val="34"/>
        </w:numPr>
        <w:rPr>
          <w:rFonts w:hint="eastAsia"/>
          <w:sz w:val="24"/>
        </w:rPr>
      </w:pPr>
      <w:r>
        <w:rPr>
          <w:rFonts w:hint="eastAsia"/>
          <w:sz w:val="24"/>
        </w:rPr>
        <w:t>根据中国人的习性设计</w:t>
      </w:r>
    </w:p>
    <w:p>
      <w:pPr>
        <w:pStyle w:val="Normal0"/>
        <w:numPr>
          <w:ilvl w:val="1"/>
          <w:numId w:val="34"/>
        </w:numPr>
        <w:rPr>
          <w:rFonts w:hint="eastAsia"/>
          <w:sz w:val="24"/>
        </w:rPr>
      </w:pPr>
      <w:r>
        <w:rPr>
          <w:rFonts w:hint="eastAsia"/>
          <w:sz w:val="24"/>
        </w:rPr>
        <w:t>人文底蕴支撑商业设计</w:t>
      </w:r>
    </w:p>
    <w:p>
      <w:pPr>
        <w:pStyle w:val="Normal0"/>
        <w:numPr>
          <w:ilvl w:val="1"/>
          <w:numId w:val="34"/>
        </w:numPr>
        <w:rPr>
          <w:rFonts w:hint="eastAsia"/>
          <w:sz w:val="24"/>
        </w:rPr>
      </w:pPr>
      <w:r>
        <w:rPr>
          <w:rFonts w:hint="eastAsia"/>
          <w:sz w:val="24"/>
        </w:rPr>
        <w:t>商业空间景观化</w:t>
      </w:r>
    </w:p>
    <w:p>
      <w:pPr>
        <w:pStyle w:val="Normal0"/>
        <w:numPr>
          <w:ilvl w:val="1"/>
          <w:numId w:val="34"/>
        </w:numPr>
        <w:rPr>
          <w:rFonts w:hint="eastAsia"/>
          <w:sz w:val="24"/>
        </w:rPr>
      </w:pPr>
      <w:r>
        <w:rPr>
          <w:rFonts w:hint="eastAsia"/>
          <w:sz w:val="24"/>
        </w:rPr>
        <w:t>潜在娱乐需求的挖掘</w:t>
      </w:r>
    </w:p>
    <w:p>
      <w:pPr>
        <w:pStyle w:val="Normal0"/>
        <w:ind w:left="1275"/>
        <w:rPr>
          <w:rFonts w:ascii="宋体" w:hAnsi="宋体" w:hint="eastAsia"/>
          <w:sz w:val="24"/>
        </w:rPr>
      </w:pPr>
      <w:r>
        <w:rPr>
          <w:rFonts w:ascii="宋体" w:hAnsi="宋体" w:hint="eastAsia"/>
          <w:b/>
          <w:sz w:val="24"/>
        </w:rPr>
        <w:t>5）中国经验之业态规划</w:t>
      </w:r>
    </w:p>
    <w:p>
      <w:pPr>
        <w:pStyle w:val="Normal0"/>
        <w:numPr>
          <w:ilvl w:val="1"/>
          <w:numId w:val="34"/>
        </w:numPr>
        <w:rPr>
          <w:rFonts w:hint="eastAsia"/>
          <w:sz w:val="24"/>
        </w:rPr>
      </w:pPr>
      <w:r>
        <w:rPr>
          <w:rFonts w:hint="eastAsia"/>
          <w:sz w:val="24"/>
        </w:rPr>
        <w:t>全业态规划，扎根人民</w:t>
      </w:r>
    </w:p>
    <w:p>
      <w:pPr>
        <w:pStyle w:val="Normal0"/>
        <w:numPr>
          <w:ilvl w:val="1"/>
          <w:numId w:val="34"/>
        </w:numPr>
        <w:rPr>
          <w:rFonts w:hint="eastAsia"/>
          <w:sz w:val="24"/>
        </w:rPr>
      </w:pPr>
      <w:r>
        <w:rPr>
          <w:rFonts w:hint="eastAsia"/>
          <w:sz w:val="24"/>
        </w:rPr>
        <w:t>业态互动设计</w:t>
      </w:r>
    </w:p>
    <w:p>
      <w:pPr>
        <w:pStyle w:val="Normal0"/>
        <w:numPr>
          <w:ilvl w:val="1"/>
          <w:numId w:val="34"/>
        </w:numPr>
        <w:rPr>
          <w:rFonts w:hint="eastAsia"/>
          <w:sz w:val="24"/>
        </w:rPr>
      </w:pPr>
      <w:r>
        <w:rPr>
          <w:rFonts w:hint="eastAsia"/>
          <w:sz w:val="24"/>
        </w:rPr>
        <w:t>业态比例本地化调整</w:t>
      </w:r>
    </w:p>
    <w:p>
      <w:pPr>
        <w:pStyle w:val="Normal0"/>
        <w:ind w:left="1275"/>
        <w:rPr>
          <w:rFonts w:ascii="宋体" w:hAnsi="宋体" w:hint="eastAsia"/>
          <w:sz w:val="24"/>
        </w:rPr>
        <w:sectPr>
          <w:headerReference w:type="default" r:id="rId35"/>
          <w:footerReference w:type="default" r:id="rId36"/>
          <w:type w:val="nextPage"/>
          <w:pgSz w:w="11906" w:h="16838"/>
          <w:pgMar w:top="1440" w:right="1797" w:bottom="1440" w:left="1797" w:header="851" w:footer="992" w:gutter="0"/>
          <w:pgNumType w:start="16"/>
          <w:cols w:num="1" w:space="425"/>
          <w:titlePg w:val="0"/>
          <w:docGrid w:type="lines" w:linePitch="290" w:charSpace="0"/>
        </w:sectPr>
      </w:pPr>
    </w:p>
    <w:p>
      <w:pPr>
        <w:pStyle w:val="Normal0"/>
        <w:ind w:left="1275"/>
        <w:rPr>
          <w:rFonts w:ascii="宋体" w:hAnsi="宋体" w:hint="eastAsia"/>
          <w:sz w:val="24"/>
        </w:rPr>
      </w:pPr>
      <w:r>
        <w:rPr>
          <w:rFonts w:ascii="宋体" w:hAnsi="宋体" w:hint="eastAsia"/>
          <w:b/>
          <w:sz w:val="24"/>
        </w:rPr>
        <w:t>6）中国经验之主力店布局</w:t>
      </w:r>
    </w:p>
    <w:p>
      <w:pPr>
        <w:pStyle w:val="Normal0"/>
        <w:numPr>
          <w:ilvl w:val="1"/>
          <w:numId w:val="35"/>
        </w:numPr>
        <w:rPr>
          <w:rFonts w:hint="eastAsia"/>
          <w:sz w:val="24"/>
        </w:rPr>
      </w:pPr>
      <w:r>
        <w:rPr>
          <w:rFonts w:hint="eastAsia"/>
          <w:sz w:val="24"/>
        </w:rPr>
        <w:t>国际品牌的整合能力</w:t>
      </w:r>
    </w:p>
    <w:p>
      <w:pPr>
        <w:pStyle w:val="Normal0"/>
        <w:numPr>
          <w:ilvl w:val="1"/>
          <w:numId w:val="35"/>
        </w:numPr>
        <w:rPr>
          <w:rFonts w:hint="eastAsia"/>
          <w:sz w:val="24"/>
        </w:rPr>
      </w:pPr>
      <w:r>
        <w:rPr>
          <w:rFonts w:hint="eastAsia"/>
          <w:sz w:val="24"/>
        </w:rPr>
        <w:t>主力店的科学布局</w:t>
      </w:r>
    </w:p>
    <w:p>
      <w:pPr>
        <w:pStyle w:val="Normal0"/>
        <w:numPr>
          <w:ilvl w:val="1"/>
          <w:numId w:val="35"/>
        </w:numPr>
        <w:rPr>
          <w:rFonts w:hint="eastAsia"/>
          <w:sz w:val="24"/>
        </w:rPr>
      </w:pPr>
      <w:r>
        <w:rPr>
          <w:rFonts w:hint="eastAsia"/>
          <w:sz w:val="24"/>
        </w:rPr>
        <w:t>人流的组团化集中</w:t>
      </w:r>
    </w:p>
    <w:p>
      <w:pPr>
        <w:pStyle w:val="Normal0"/>
        <w:ind w:left="1275"/>
        <w:rPr>
          <w:rFonts w:ascii="宋体" w:hAnsi="宋体" w:hint="eastAsia"/>
          <w:sz w:val="24"/>
        </w:rPr>
      </w:pPr>
    </w:p>
    <w:p>
      <w:pPr>
        <w:pStyle w:val="Normal0"/>
        <w:numPr>
          <w:ilvl w:val="0"/>
          <w:numId w:val="35"/>
        </w:numPr>
        <w:rPr>
          <w:rFonts w:ascii="宋体" w:hAnsi="宋体" w:hint="eastAsia"/>
          <w:sz w:val="24"/>
        </w:rPr>
      </w:pPr>
      <w:r>
        <w:rPr>
          <w:rFonts w:ascii="宋体" w:hAnsi="宋体" w:hint="eastAsia"/>
          <w:b/>
          <w:sz w:val="24"/>
        </w:rPr>
        <w:t>中国经验之运营</w:t>
      </w:r>
      <w:r>
        <w:rPr>
          <w:rFonts w:ascii="宋体" w:hAnsi="宋体" w:hint="eastAsia"/>
          <w:b/>
          <w:sz w:val="24"/>
          <w:lang w:eastAsia="zh-CN"/>
        </w:rPr>
        <w:t>管理管控</w:t>
      </w:r>
    </w:p>
    <w:p>
      <w:pPr>
        <w:pStyle w:val="Normal0"/>
        <w:numPr>
          <w:ilvl w:val="1"/>
          <w:numId w:val="35"/>
        </w:numPr>
        <w:rPr>
          <w:rFonts w:hint="eastAsia"/>
          <w:sz w:val="24"/>
        </w:rPr>
      </w:pPr>
      <w:r>
        <w:rPr>
          <w:rFonts w:hint="eastAsia"/>
          <w:sz w:val="24"/>
        </w:rPr>
        <w:t>统一经营</w:t>
      </w:r>
      <w:r>
        <w:rPr>
          <w:rFonts w:hint="eastAsia"/>
          <w:sz w:val="24"/>
          <w:lang w:eastAsia="zh-CN"/>
        </w:rPr>
        <w:t>管理管控</w:t>
      </w:r>
    </w:p>
    <w:p>
      <w:pPr>
        <w:pStyle w:val="Normal0"/>
        <w:numPr>
          <w:ilvl w:val="1"/>
          <w:numId w:val="35"/>
        </w:numPr>
        <w:rPr>
          <w:rFonts w:hint="eastAsia"/>
          <w:sz w:val="24"/>
        </w:rPr>
      </w:pPr>
      <w:r>
        <w:rPr>
          <w:rFonts w:hint="eastAsia"/>
          <w:sz w:val="24"/>
        </w:rPr>
        <w:t>统一广告推广</w:t>
      </w:r>
    </w:p>
    <w:p>
      <w:pPr>
        <w:pStyle w:val="Normal0"/>
        <w:ind w:left="1275"/>
        <w:rPr>
          <w:rFonts w:ascii="宋体" w:hAnsi="宋体" w:hint="eastAsia"/>
          <w:sz w:val="24"/>
        </w:rPr>
      </w:pPr>
    </w:p>
    <w:p>
      <w:pPr>
        <w:pStyle w:val="Normal0"/>
        <w:numPr>
          <w:ilvl w:val="0"/>
          <w:numId w:val="35"/>
        </w:numPr>
        <w:rPr>
          <w:rFonts w:ascii="宋体" w:hAnsi="宋体" w:hint="eastAsia"/>
          <w:sz w:val="24"/>
        </w:rPr>
      </w:pPr>
      <w:r>
        <w:rPr>
          <w:rFonts w:ascii="宋体" w:hAnsi="宋体" w:hint="eastAsia"/>
          <w:b/>
          <w:sz w:val="24"/>
        </w:rPr>
        <w:t>中国经验之资本运作</w:t>
      </w:r>
    </w:p>
    <w:p>
      <w:pPr>
        <w:pStyle w:val="Normal0"/>
        <w:numPr>
          <w:ilvl w:val="1"/>
          <w:numId w:val="35"/>
        </w:numPr>
        <w:rPr>
          <w:rFonts w:hint="eastAsia"/>
          <w:sz w:val="24"/>
        </w:rPr>
      </w:pPr>
      <w:r>
        <w:rPr>
          <w:rFonts w:hint="eastAsia"/>
          <w:sz w:val="24"/>
        </w:rPr>
        <w:t>基金运作</w:t>
      </w:r>
    </w:p>
    <w:p>
      <w:pPr>
        <w:pStyle w:val="Normal0"/>
        <w:numPr>
          <w:ilvl w:val="1"/>
          <w:numId w:val="35"/>
        </w:numPr>
        <w:rPr>
          <w:rFonts w:hint="eastAsia"/>
          <w:sz w:val="24"/>
        </w:rPr>
      </w:pPr>
      <w:r>
        <w:rPr>
          <w:rFonts w:hint="eastAsia"/>
          <w:sz w:val="24"/>
        </w:rPr>
        <w:t>资本整合力</w:t>
      </w:r>
    </w:p>
    <w:p>
      <w:pPr>
        <w:pStyle w:val="Normal0"/>
        <w:ind w:left="1695"/>
        <w:rPr>
          <w:rFonts w:hint="eastAsia"/>
          <w:b/>
          <w:sz w:val="24"/>
        </w:rPr>
      </w:pPr>
    </w:p>
    <w:p>
      <w:pPr>
        <w:pStyle w:val="Normal0"/>
        <w:numPr>
          <w:ilvl w:val="0"/>
          <w:numId w:val="8"/>
        </w:numPr>
        <w:rPr>
          <w:rFonts w:ascii="华文中宋" w:eastAsia="华文中宋" w:hAnsi="华文中宋" w:hint="eastAsia"/>
          <w:b/>
          <w:sz w:val="28"/>
          <w:szCs w:val="28"/>
        </w:rPr>
      </w:pPr>
      <w:r>
        <w:rPr>
          <w:rFonts w:ascii="华文中宋" w:eastAsia="华文中宋" w:hAnsi="华文中宋" w:hint="eastAsia"/>
          <w:b/>
          <w:sz w:val="28"/>
          <w:szCs w:val="28"/>
        </w:rPr>
        <w:t>概念系统</w:t>
      </w:r>
    </w:p>
    <w:p>
      <w:pPr>
        <w:pStyle w:val="Normal0"/>
        <w:ind w:left="1275"/>
        <w:rPr>
          <w:rFonts w:ascii="宋体" w:hAnsi="宋体" w:hint="eastAsia"/>
          <w:sz w:val="24"/>
        </w:rPr>
      </w:pPr>
      <w:r>
        <w:rPr>
          <w:rFonts w:ascii="宋体" w:hAnsi="宋体" w:hint="eastAsia"/>
          <w:sz w:val="24"/>
        </w:rPr>
        <w:t>由于在实际广告传播上，中国经验占领的是一个高度的概念，当主</w:t>
      </w:r>
    </w:p>
    <w:p>
      <w:pPr>
        <w:pStyle w:val="Normal0"/>
        <w:ind w:left="838" w:leftChars="399"/>
        <w:rPr>
          <w:rFonts w:ascii="宋体" w:hAnsi="宋体" w:hint="eastAsia"/>
          <w:sz w:val="24"/>
        </w:rPr>
      </w:pPr>
      <w:r>
        <w:rPr>
          <w:rFonts w:ascii="宋体" w:hAnsi="宋体" w:hint="eastAsia"/>
          <w:sz w:val="24"/>
        </w:rPr>
        <w:t>概念传播将</w:t>
      </w:r>
      <w:r>
        <w:rPr>
          <w:rFonts w:ascii="宋体" w:hAnsi="宋体" w:hint="eastAsia"/>
          <w:sz w:val="24"/>
          <w:lang w:eastAsia="zh-CN"/>
        </w:rPr>
        <w:t>相关项目</w:t>
      </w:r>
      <w:r>
        <w:rPr>
          <w:rFonts w:ascii="宋体" w:hAnsi="宋体" w:hint="eastAsia"/>
          <w:sz w:val="24"/>
        </w:rPr>
        <w:t>最大的优势——整合运营能力说明完成之后，</w:t>
      </w:r>
      <w:r>
        <w:rPr>
          <w:rFonts w:ascii="宋体" w:hAnsi="宋体" w:hint="eastAsia"/>
          <w:sz w:val="24"/>
          <w:lang w:eastAsia="zh-CN"/>
        </w:rPr>
        <w:t>相关项目</w:t>
      </w:r>
      <w:r>
        <w:rPr>
          <w:rFonts w:ascii="宋体" w:hAnsi="宋体" w:hint="eastAsia"/>
          <w:sz w:val="24"/>
        </w:rPr>
        <w:t>的具体介绍以及</w:t>
      </w:r>
      <w:r>
        <w:rPr>
          <w:rFonts w:ascii="宋体" w:hAnsi="宋体" w:hint="eastAsia"/>
          <w:sz w:val="24"/>
          <w:lang w:eastAsia="zh-CN"/>
        </w:rPr>
        <w:t>相关项目</w:t>
      </w:r>
      <w:r>
        <w:rPr>
          <w:rFonts w:ascii="宋体" w:hAnsi="宋体" w:hint="eastAsia"/>
          <w:sz w:val="24"/>
        </w:rPr>
        <w:t>后期开业的前景描述，都需要有一个全面的说明，因此在中国经验之下，我们将</w:t>
      </w:r>
      <w:r>
        <w:rPr>
          <w:rFonts w:ascii="宋体" w:hAnsi="宋体" w:hint="eastAsia"/>
          <w:sz w:val="24"/>
          <w:lang w:eastAsia="zh-CN"/>
        </w:rPr>
        <w:t>相关项目</w:t>
      </w:r>
      <w:r>
        <w:rPr>
          <w:rFonts w:ascii="宋体" w:hAnsi="宋体" w:hint="eastAsia"/>
          <w:sz w:val="24"/>
        </w:rPr>
        <w:t>的广告语，按照不同功能划分，由三大部分的传播</w:t>
      </w:r>
      <w:r>
        <w:rPr>
          <w:rFonts w:ascii="宋体" w:hAnsi="宋体" w:hint="eastAsia"/>
          <w:sz w:val="24"/>
          <w:lang w:eastAsia="zh-CN"/>
        </w:rPr>
        <w:t>合适的内容</w:t>
      </w:r>
      <w:r>
        <w:rPr>
          <w:rFonts w:ascii="宋体" w:hAnsi="宋体" w:hint="eastAsia"/>
          <w:sz w:val="24"/>
        </w:rPr>
        <w:t>支撑整个莱蒙都会的推广。</w:t>
      </w:r>
    </w:p>
    <w:p>
      <w:pPr>
        <w:pStyle w:val="Normal0"/>
        <w:numPr>
          <w:ilvl w:val="1"/>
          <w:numId w:val="8"/>
        </w:numPr>
        <w:rPr>
          <w:rFonts w:ascii="宋体" w:hAnsi="宋体" w:hint="eastAsia"/>
          <w:b/>
          <w:sz w:val="24"/>
        </w:rPr>
      </w:pPr>
      <w:r>
        <w:rPr>
          <w:rFonts w:ascii="宋体" w:hAnsi="宋体" w:hint="eastAsia"/>
          <w:b/>
          <w:sz w:val="24"/>
        </w:rPr>
        <w:t>品牌形象广告语</w:t>
      </w:r>
    </w:p>
    <w:p>
      <w:pPr>
        <w:pStyle w:val="Normal0"/>
        <w:ind w:left="1275"/>
        <w:rPr>
          <w:rFonts w:ascii="宋体" w:hAnsi="宋体" w:hint="eastAsia"/>
          <w:b/>
          <w:sz w:val="18"/>
          <w:szCs w:val="18"/>
        </w:rPr>
      </w:pPr>
    </w:p>
    <w:p>
      <w:pPr>
        <w:pStyle w:val="Normal0"/>
        <w:ind w:left="1275"/>
        <w:jc w:val="center"/>
        <w:rPr>
          <w:rFonts w:ascii="华文中宋" w:eastAsia="华文中宋" w:hAnsi="华文中宋" w:hint="eastAsia"/>
          <w:b/>
          <w:sz w:val="32"/>
          <w:szCs w:val="32"/>
        </w:rPr>
      </w:pPr>
      <w:r>
        <w:rPr>
          <w:rFonts w:ascii="华文中宋" w:eastAsia="华文中宋" w:hAnsi="华文中宋" w:hint="eastAsia"/>
          <w:b/>
          <w:sz w:val="32"/>
          <w:szCs w:val="32"/>
        </w:rPr>
        <w:t>为中国商业地产索求成功之道</w:t>
      </w:r>
    </w:p>
    <w:p>
      <w:pPr>
        <w:pStyle w:val="Normal0"/>
        <w:ind w:left="1275"/>
        <w:jc w:val="center"/>
        <w:rPr>
          <w:rFonts w:ascii="华文中宋" w:eastAsia="华文中宋" w:hAnsi="华文中宋" w:hint="eastAsia"/>
          <w:b/>
          <w:sz w:val="18"/>
          <w:szCs w:val="18"/>
        </w:rPr>
      </w:pPr>
    </w:p>
    <w:p>
      <w:pPr>
        <w:pStyle w:val="Normal0"/>
        <w:numPr>
          <w:ilvl w:val="2"/>
          <w:numId w:val="8"/>
        </w:numPr>
        <w:rPr>
          <w:rFonts w:ascii="宋体" w:hAnsi="宋体" w:hint="eastAsia"/>
          <w:sz w:val="24"/>
        </w:rPr>
        <w:sectPr>
          <w:headerReference w:type="default" r:id="rId37"/>
          <w:footerReference w:type="default" r:id="rId38"/>
          <w:type w:val="nextPage"/>
          <w:pgSz w:w="11906" w:h="16838"/>
          <w:pgMar w:top="1440" w:right="1797" w:bottom="1440" w:left="1797" w:header="851" w:footer="992" w:gutter="0"/>
          <w:pgNumType w:start="17"/>
          <w:cols w:num="1" w:space="425"/>
          <w:titlePg w:val="0"/>
          <w:docGrid w:type="lines" w:linePitch="290" w:charSpace="0"/>
        </w:sectPr>
      </w:pPr>
      <w:r>
        <w:rPr>
          <w:rFonts w:ascii="宋体" w:hAnsi="宋体" w:hint="eastAsia"/>
          <w:b/>
          <w:sz w:val="24"/>
        </w:rPr>
        <w:t>说明：</w:t>
      </w:r>
      <w:r>
        <w:rPr>
          <w:rFonts w:ascii="宋体" w:hAnsi="宋体" w:hint="eastAsia"/>
          <w:sz w:val="24"/>
          <w:lang w:eastAsia="zh-CN"/>
        </w:rPr>
        <w:t>相关项目</w:t>
      </w:r>
      <w:r>
        <w:rPr>
          <w:rFonts w:ascii="宋体" w:hAnsi="宋体" w:hint="eastAsia"/>
          <w:sz w:val="24"/>
        </w:rPr>
        <w:t>整体概念“中国经验”的配套广告语</w:t>
      </w:r>
    </w:p>
    <w:p>
      <w:pPr>
        <w:pStyle w:val="Normal0"/>
        <w:numPr>
          <w:ilvl w:val="2"/>
          <w:numId w:val="8"/>
        </w:numPr>
        <w:rPr>
          <w:rFonts w:ascii="宋体" w:hAnsi="宋体" w:hint="eastAsia"/>
          <w:sz w:val="24"/>
        </w:rPr>
      </w:pPr>
      <w:r>
        <w:rPr>
          <w:rFonts w:ascii="宋体" w:hAnsi="宋体" w:hint="eastAsia"/>
          <w:b/>
          <w:sz w:val="24"/>
          <w:lang w:eastAsia="zh-CN"/>
        </w:rPr>
        <w:t>合适的内容</w:t>
      </w:r>
      <w:r>
        <w:rPr>
          <w:rFonts w:ascii="宋体" w:hAnsi="宋体" w:hint="eastAsia"/>
          <w:b/>
          <w:sz w:val="24"/>
        </w:rPr>
        <w:t>：</w:t>
      </w:r>
      <w:r>
        <w:rPr>
          <w:rFonts w:ascii="宋体" w:hAnsi="宋体" w:hint="eastAsia"/>
          <w:sz w:val="24"/>
        </w:rPr>
        <w:t>描述</w:t>
      </w:r>
      <w:r>
        <w:rPr>
          <w:rFonts w:ascii="宋体" w:hAnsi="宋体" w:hint="eastAsia"/>
          <w:sz w:val="24"/>
          <w:lang w:eastAsia="zh-CN"/>
        </w:rPr>
        <w:t>相关项目</w:t>
      </w:r>
      <w:r>
        <w:rPr>
          <w:rFonts w:ascii="宋体" w:hAnsi="宋体" w:hint="eastAsia"/>
          <w:sz w:val="24"/>
        </w:rPr>
        <w:t>整体运营，阐述莱蒙都会的操作优势</w:t>
      </w:r>
    </w:p>
    <w:p>
      <w:pPr>
        <w:pStyle w:val="Normal0"/>
        <w:numPr>
          <w:ilvl w:val="2"/>
          <w:numId w:val="8"/>
        </w:numPr>
        <w:rPr>
          <w:rFonts w:ascii="宋体" w:hAnsi="宋体" w:hint="eastAsia"/>
          <w:sz w:val="24"/>
        </w:rPr>
      </w:pPr>
      <w:r>
        <w:rPr>
          <w:rFonts w:ascii="宋体" w:hAnsi="宋体" w:hint="eastAsia"/>
          <w:b/>
          <w:sz w:val="24"/>
        </w:rPr>
        <w:t>功能：</w:t>
      </w:r>
      <w:r>
        <w:rPr>
          <w:rFonts w:ascii="宋体" w:hAnsi="宋体" w:hint="eastAsia"/>
          <w:sz w:val="24"/>
        </w:rPr>
        <w:t>占领推广高空，树立</w:t>
      </w:r>
      <w:r>
        <w:rPr>
          <w:rFonts w:ascii="宋体" w:hAnsi="宋体" w:hint="eastAsia"/>
          <w:sz w:val="24"/>
          <w:lang w:eastAsia="zh-CN"/>
        </w:rPr>
        <w:t>相关项目</w:t>
      </w:r>
      <w:r>
        <w:rPr>
          <w:rFonts w:ascii="宋体" w:hAnsi="宋体" w:hint="eastAsia"/>
          <w:sz w:val="24"/>
        </w:rPr>
        <w:t>理性形象</w:t>
      </w:r>
    </w:p>
    <w:p>
      <w:pPr>
        <w:pStyle w:val="Normal0"/>
        <w:numPr>
          <w:ilvl w:val="2"/>
          <w:numId w:val="8"/>
        </w:numPr>
        <w:rPr>
          <w:rFonts w:ascii="宋体" w:hAnsi="宋体" w:hint="eastAsia"/>
          <w:sz w:val="24"/>
        </w:rPr>
      </w:pPr>
      <w:r>
        <w:rPr>
          <w:rFonts w:ascii="宋体" w:hAnsi="宋体" w:hint="eastAsia"/>
          <w:b/>
          <w:sz w:val="24"/>
        </w:rPr>
        <w:t>对象：</w:t>
      </w:r>
      <w:r>
        <w:rPr>
          <w:rFonts w:ascii="宋体" w:hAnsi="宋体" w:hint="eastAsia"/>
          <w:sz w:val="24"/>
        </w:rPr>
        <w:t>投资者、经营者、业内人士</w:t>
      </w:r>
    </w:p>
    <w:p>
      <w:pPr>
        <w:pStyle w:val="Normal0"/>
        <w:numPr>
          <w:ilvl w:val="2"/>
          <w:numId w:val="8"/>
        </w:numPr>
        <w:rPr>
          <w:rFonts w:ascii="宋体" w:hAnsi="宋体" w:hint="eastAsia"/>
          <w:b/>
          <w:sz w:val="24"/>
        </w:rPr>
      </w:pPr>
      <w:r>
        <w:rPr>
          <w:rFonts w:ascii="宋体" w:hAnsi="宋体" w:hint="eastAsia"/>
          <w:b/>
          <w:sz w:val="24"/>
        </w:rPr>
        <w:t>亮点：</w:t>
      </w:r>
      <w:r>
        <w:rPr>
          <w:rFonts w:ascii="宋体" w:hAnsi="宋体" w:hint="eastAsia"/>
          <w:sz w:val="24"/>
        </w:rPr>
        <w:t>中国经验的八大理论（见上文）</w:t>
      </w:r>
    </w:p>
    <w:p>
      <w:pPr>
        <w:pStyle w:val="Normal0"/>
        <w:numPr>
          <w:ilvl w:val="0"/>
          <w:numId w:val="10"/>
        </w:numPr>
        <w:rPr>
          <w:rFonts w:ascii="宋体" w:hAnsi="宋体" w:hint="eastAsia"/>
          <w:sz w:val="24"/>
        </w:rPr>
      </w:pPr>
      <w:r>
        <w:rPr>
          <w:rFonts w:ascii="宋体" w:hAnsi="宋体" w:hint="eastAsia"/>
          <w:sz w:val="24"/>
        </w:rPr>
        <w:t>城市中心论</w:t>
      </w:r>
    </w:p>
    <w:p>
      <w:pPr>
        <w:pStyle w:val="Normal0"/>
        <w:numPr>
          <w:ilvl w:val="0"/>
          <w:numId w:val="10"/>
        </w:numPr>
        <w:rPr>
          <w:rFonts w:ascii="宋体" w:hAnsi="宋体" w:hint="eastAsia"/>
          <w:sz w:val="24"/>
        </w:rPr>
      </w:pPr>
      <w:r>
        <w:rPr>
          <w:rFonts w:ascii="宋体" w:hAnsi="宋体"/>
          <w:sz w:val="24"/>
        </w:rPr>
        <w:t>S</w:t>
      </w:r>
      <w:r>
        <w:rPr>
          <w:rFonts w:ascii="宋体" w:hAnsi="宋体" w:hint="eastAsia"/>
          <w:sz w:val="24"/>
        </w:rPr>
        <w:t>treet Mall形态论</w:t>
      </w:r>
    </w:p>
    <w:p>
      <w:pPr>
        <w:pStyle w:val="Normal0"/>
        <w:numPr>
          <w:ilvl w:val="0"/>
          <w:numId w:val="10"/>
        </w:numPr>
        <w:rPr>
          <w:rFonts w:ascii="宋体" w:hAnsi="宋体" w:hint="eastAsia"/>
          <w:sz w:val="24"/>
        </w:rPr>
      </w:pPr>
      <w:r>
        <w:rPr>
          <w:rFonts w:ascii="宋体" w:hAnsi="宋体" w:hint="eastAsia"/>
          <w:sz w:val="24"/>
        </w:rPr>
        <w:t>自主持有物业</w:t>
      </w:r>
    </w:p>
    <w:p>
      <w:pPr>
        <w:pStyle w:val="Normal0"/>
        <w:numPr>
          <w:ilvl w:val="0"/>
          <w:numId w:val="10"/>
        </w:numPr>
        <w:rPr>
          <w:rFonts w:ascii="宋体" w:hAnsi="宋体" w:hint="eastAsia"/>
          <w:sz w:val="24"/>
        </w:rPr>
      </w:pPr>
      <w:r>
        <w:rPr>
          <w:rFonts w:ascii="宋体" w:hAnsi="宋体" w:hint="eastAsia"/>
          <w:sz w:val="24"/>
        </w:rPr>
        <w:t>先商业后地产</w:t>
      </w:r>
    </w:p>
    <w:p>
      <w:pPr>
        <w:pStyle w:val="Normal0"/>
        <w:numPr>
          <w:ilvl w:val="0"/>
          <w:numId w:val="10"/>
        </w:numPr>
        <w:rPr>
          <w:rFonts w:ascii="宋体" w:hAnsi="宋体" w:hint="eastAsia"/>
          <w:sz w:val="24"/>
        </w:rPr>
      </w:pPr>
      <w:r>
        <w:rPr>
          <w:rFonts w:ascii="宋体" w:hAnsi="宋体" w:hint="eastAsia"/>
          <w:sz w:val="24"/>
        </w:rPr>
        <w:t>国际品牌整合力</w:t>
      </w:r>
    </w:p>
    <w:p>
      <w:pPr>
        <w:pStyle w:val="Normal0"/>
        <w:ind w:left="2174"/>
        <w:rPr>
          <w:rFonts w:ascii="宋体" w:hAnsi="宋体" w:hint="eastAsia"/>
          <w:sz w:val="24"/>
        </w:rPr>
      </w:pPr>
    </w:p>
    <w:p>
      <w:pPr>
        <w:pStyle w:val="Normal0"/>
        <w:numPr>
          <w:ilvl w:val="1"/>
          <w:numId w:val="8"/>
        </w:numPr>
        <w:rPr>
          <w:rFonts w:ascii="宋体" w:hAnsi="宋体" w:hint="eastAsia"/>
          <w:b/>
          <w:sz w:val="24"/>
        </w:rPr>
      </w:pPr>
      <w:r>
        <w:rPr>
          <w:rFonts w:ascii="宋体" w:hAnsi="宋体" w:hint="eastAsia"/>
          <w:b/>
          <w:sz w:val="24"/>
          <w:lang w:eastAsia="zh-CN"/>
        </w:rPr>
        <w:t>相关项目</w:t>
      </w:r>
      <w:r>
        <w:rPr>
          <w:rFonts w:ascii="宋体" w:hAnsi="宋体" w:hint="eastAsia"/>
          <w:b/>
          <w:sz w:val="24"/>
        </w:rPr>
        <w:t>形象广告语</w:t>
      </w:r>
    </w:p>
    <w:p>
      <w:pPr>
        <w:pStyle w:val="Normal0"/>
        <w:ind w:left="1275"/>
        <w:rPr>
          <w:rFonts w:ascii="宋体" w:hAnsi="宋体" w:hint="eastAsia"/>
          <w:b/>
          <w:sz w:val="18"/>
          <w:szCs w:val="18"/>
        </w:rPr>
      </w:pPr>
    </w:p>
    <w:p>
      <w:pPr>
        <w:pStyle w:val="Normal0"/>
        <w:jc w:val="center"/>
        <w:rPr>
          <w:rFonts w:ascii="华文中宋" w:eastAsia="华文中宋" w:hAnsi="华文中宋" w:hint="eastAsia"/>
          <w:b/>
          <w:sz w:val="32"/>
          <w:szCs w:val="32"/>
        </w:rPr>
      </w:pPr>
      <w:r>
        <w:rPr>
          <w:rFonts w:ascii="华文中宋" w:eastAsia="华文中宋" w:hAnsi="华文中宋" w:hint="eastAsia"/>
          <w:b/>
          <w:sz w:val="32"/>
          <w:szCs w:val="32"/>
        </w:rPr>
        <w:t>国际商业  中国街区</w:t>
      </w:r>
    </w:p>
    <w:p>
      <w:pPr>
        <w:pStyle w:val="Normal0"/>
        <w:jc w:val="center"/>
        <w:rPr>
          <w:rFonts w:ascii="华文中宋" w:eastAsia="华文中宋" w:hAnsi="华文中宋" w:hint="eastAsia"/>
          <w:b/>
          <w:sz w:val="18"/>
          <w:szCs w:val="18"/>
        </w:rPr>
      </w:pPr>
    </w:p>
    <w:p>
      <w:pPr>
        <w:pStyle w:val="Normal0"/>
        <w:numPr>
          <w:ilvl w:val="2"/>
          <w:numId w:val="8"/>
        </w:numPr>
        <w:rPr>
          <w:rFonts w:ascii="宋体" w:hAnsi="宋体" w:hint="eastAsia"/>
          <w:sz w:val="24"/>
        </w:rPr>
      </w:pPr>
      <w:r>
        <w:rPr>
          <w:rFonts w:ascii="宋体" w:hAnsi="宋体" w:hint="eastAsia"/>
          <w:b/>
          <w:sz w:val="24"/>
        </w:rPr>
        <w:t>说明：</w:t>
      </w:r>
      <w:r>
        <w:rPr>
          <w:rFonts w:ascii="宋体" w:hAnsi="宋体" w:hint="eastAsia"/>
          <w:sz w:val="24"/>
          <w:lang w:eastAsia="zh-CN"/>
        </w:rPr>
        <w:t>相关项目</w:t>
      </w:r>
      <w:r>
        <w:rPr>
          <w:rFonts w:ascii="宋体" w:hAnsi="宋体" w:hint="eastAsia"/>
          <w:sz w:val="24"/>
        </w:rPr>
        <w:t>整体描述广告语</w:t>
      </w:r>
    </w:p>
    <w:p>
      <w:pPr>
        <w:pStyle w:val="Normal0"/>
        <w:numPr>
          <w:ilvl w:val="2"/>
          <w:numId w:val="8"/>
        </w:numPr>
        <w:rPr>
          <w:rFonts w:ascii="宋体" w:hAnsi="宋体" w:hint="eastAsia"/>
          <w:sz w:val="24"/>
        </w:rPr>
      </w:pPr>
      <w:r>
        <w:rPr>
          <w:rFonts w:ascii="宋体" w:hAnsi="宋体" w:hint="eastAsia"/>
          <w:b/>
          <w:sz w:val="24"/>
          <w:lang w:eastAsia="zh-CN"/>
        </w:rPr>
        <w:t>合适的内容</w:t>
      </w:r>
      <w:r>
        <w:rPr>
          <w:rFonts w:ascii="宋体" w:hAnsi="宋体" w:hint="eastAsia"/>
          <w:b/>
          <w:sz w:val="24"/>
        </w:rPr>
        <w:t>：</w:t>
      </w:r>
      <w:r>
        <w:rPr>
          <w:rFonts w:ascii="宋体" w:hAnsi="宋体" w:hint="eastAsia"/>
          <w:sz w:val="24"/>
        </w:rPr>
        <w:t>描述</w:t>
      </w:r>
      <w:r>
        <w:rPr>
          <w:rFonts w:ascii="宋体" w:hAnsi="宋体" w:hint="eastAsia"/>
          <w:sz w:val="24"/>
          <w:lang w:eastAsia="zh-CN"/>
        </w:rPr>
        <w:t>相关项目</w:t>
      </w:r>
      <w:r>
        <w:rPr>
          <w:rFonts w:ascii="宋体" w:hAnsi="宋体" w:hint="eastAsia"/>
          <w:sz w:val="24"/>
        </w:rPr>
        <w:t>整体概况，阐述</w:t>
      </w:r>
      <w:r>
        <w:rPr>
          <w:rFonts w:ascii="宋体" w:hAnsi="宋体" w:hint="eastAsia"/>
          <w:sz w:val="24"/>
          <w:lang w:eastAsia="zh-CN"/>
        </w:rPr>
        <w:t>相关项目</w:t>
      </w:r>
      <w:r>
        <w:rPr>
          <w:rFonts w:ascii="宋体" w:hAnsi="宋体" w:hint="eastAsia"/>
          <w:sz w:val="24"/>
        </w:rPr>
        <w:t>参数</w:t>
      </w:r>
    </w:p>
    <w:p>
      <w:pPr>
        <w:pStyle w:val="Normal0"/>
        <w:numPr>
          <w:ilvl w:val="2"/>
          <w:numId w:val="8"/>
        </w:numPr>
        <w:rPr>
          <w:rFonts w:ascii="宋体" w:hAnsi="宋体" w:hint="eastAsia"/>
          <w:sz w:val="24"/>
        </w:rPr>
      </w:pPr>
      <w:r>
        <w:rPr>
          <w:rFonts w:ascii="宋体" w:hAnsi="宋体" w:hint="eastAsia"/>
          <w:b/>
          <w:sz w:val="24"/>
        </w:rPr>
        <w:t>功能：</w:t>
      </w:r>
      <w:r>
        <w:rPr>
          <w:rFonts w:ascii="宋体" w:hAnsi="宋体" w:hint="eastAsia"/>
          <w:sz w:val="24"/>
        </w:rPr>
        <w:t>树立</w:t>
      </w:r>
      <w:r>
        <w:rPr>
          <w:rFonts w:ascii="宋体" w:hAnsi="宋体" w:hint="eastAsia"/>
          <w:sz w:val="24"/>
          <w:lang w:eastAsia="zh-CN"/>
        </w:rPr>
        <w:t>相关项目</w:t>
      </w:r>
      <w:r>
        <w:rPr>
          <w:rFonts w:ascii="宋体" w:hAnsi="宋体" w:hint="eastAsia"/>
          <w:sz w:val="24"/>
        </w:rPr>
        <w:t>实实在在的形象，说明</w:t>
      </w:r>
      <w:r>
        <w:rPr>
          <w:rFonts w:ascii="宋体" w:hAnsi="宋体" w:hint="eastAsia"/>
          <w:sz w:val="24"/>
          <w:lang w:eastAsia="zh-CN"/>
        </w:rPr>
        <w:t>相关项目</w:t>
      </w:r>
      <w:r>
        <w:rPr>
          <w:rFonts w:ascii="宋体" w:hAnsi="宋体" w:hint="eastAsia"/>
          <w:sz w:val="24"/>
        </w:rPr>
        <w:t>是什么</w:t>
      </w:r>
    </w:p>
    <w:p>
      <w:pPr>
        <w:pStyle w:val="Normal0"/>
        <w:numPr>
          <w:ilvl w:val="2"/>
          <w:numId w:val="8"/>
        </w:numPr>
        <w:rPr>
          <w:rFonts w:ascii="宋体" w:hAnsi="宋体" w:hint="eastAsia"/>
          <w:sz w:val="24"/>
        </w:rPr>
      </w:pPr>
      <w:r>
        <w:rPr>
          <w:rFonts w:ascii="宋体" w:hAnsi="宋体" w:hint="eastAsia"/>
          <w:b/>
          <w:sz w:val="24"/>
        </w:rPr>
        <w:t>对象：</w:t>
      </w:r>
      <w:r>
        <w:rPr>
          <w:rFonts w:ascii="宋体" w:hAnsi="宋体" w:hint="eastAsia"/>
          <w:sz w:val="24"/>
        </w:rPr>
        <w:t>投资者、经营者</w:t>
      </w:r>
    </w:p>
    <w:p>
      <w:pPr>
        <w:pStyle w:val="Normal0"/>
        <w:numPr>
          <w:ilvl w:val="2"/>
          <w:numId w:val="8"/>
        </w:numPr>
        <w:rPr>
          <w:rFonts w:ascii="宋体" w:hAnsi="宋体" w:hint="eastAsia"/>
          <w:b/>
          <w:sz w:val="24"/>
        </w:rPr>
      </w:pPr>
      <w:r>
        <w:rPr>
          <w:rFonts w:ascii="宋体" w:hAnsi="宋体" w:hint="eastAsia"/>
          <w:b/>
          <w:sz w:val="24"/>
        </w:rPr>
        <w:t>亮点：</w:t>
      </w:r>
    </w:p>
    <w:p>
      <w:pPr>
        <w:pStyle w:val="Normal0"/>
        <w:numPr>
          <w:ilvl w:val="0"/>
          <w:numId w:val="11"/>
        </w:numPr>
        <w:rPr>
          <w:rFonts w:ascii="宋体" w:hAnsi="宋体" w:hint="eastAsia"/>
          <w:sz w:val="24"/>
        </w:rPr>
      </w:pPr>
      <w:r>
        <w:rPr>
          <w:rFonts w:ascii="宋体" w:hAnsi="宋体" w:hint="eastAsia"/>
          <w:sz w:val="24"/>
        </w:rPr>
        <w:t>城市正中心</w:t>
      </w:r>
    </w:p>
    <w:p>
      <w:pPr>
        <w:pStyle w:val="Normal0"/>
        <w:numPr>
          <w:ilvl w:val="0"/>
          <w:numId w:val="11"/>
        </w:numPr>
        <w:rPr>
          <w:rFonts w:ascii="宋体" w:hAnsi="宋体" w:hint="eastAsia"/>
          <w:sz w:val="24"/>
        </w:rPr>
      </w:pPr>
      <w:r>
        <w:rPr>
          <w:rFonts w:ascii="宋体" w:hAnsi="宋体" w:hint="eastAsia"/>
          <w:sz w:val="24"/>
        </w:rPr>
        <w:t>58万方超大规模</w:t>
      </w:r>
    </w:p>
    <w:p>
      <w:pPr>
        <w:pStyle w:val="Normal0"/>
        <w:numPr>
          <w:ilvl w:val="0"/>
          <w:numId w:val="11"/>
        </w:numPr>
        <w:rPr>
          <w:rFonts w:ascii="宋体" w:hAnsi="宋体" w:hint="eastAsia"/>
          <w:sz w:val="24"/>
        </w:rPr>
      </w:pPr>
      <w:r>
        <w:rPr>
          <w:rFonts w:ascii="宋体" w:hAnsi="宋体" w:hint="eastAsia"/>
          <w:sz w:val="24"/>
        </w:rPr>
        <w:t>百年商业文化底蕴</w:t>
      </w:r>
    </w:p>
    <w:p>
      <w:pPr>
        <w:pStyle w:val="Normal0"/>
        <w:numPr>
          <w:ilvl w:val="0"/>
          <w:numId w:val="11"/>
        </w:numPr>
        <w:rPr>
          <w:rFonts w:ascii="宋体" w:hAnsi="宋体" w:hint="eastAsia"/>
          <w:sz w:val="24"/>
        </w:rPr>
        <w:sectPr>
          <w:headerReference w:type="default" r:id="rId39"/>
          <w:footerReference w:type="default" r:id="rId40"/>
          <w:type w:val="nextPage"/>
          <w:pgSz w:w="11906" w:h="16838"/>
          <w:pgMar w:top="1440" w:right="1797" w:bottom="1440" w:left="1797" w:header="851" w:footer="992" w:gutter="0"/>
          <w:pgNumType w:start="18"/>
          <w:cols w:num="1" w:space="425"/>
          <w:titlePg w:val="0"/>
          <w:docGrid w:type="lines" w:linePitch="290" w:charSpace="0"/>
        </w:sectPr>
      </w:pPr>
      <w:r>
        <w:rPr>
          <w:rFonts w:ascii="宋体" w:hAnsi="宋体" w:hint="eastAsia"/>
          <w:sz w:val="24"/>
        </w:rPr>
        <w:t>全业态规划</w:t>
      </w:r>
    </w:p>
    <w:p>
      <w:pPr>
        <w:pStyle w:val="Normal0"/>
        <w:numPr>
          <w:ilvl w:val="0"/>
          <w:numId w:val="11"/>
        </w:numPr>
        <w:rPr>
          <w:rFonts w:ascii="宋体" w:hAnsi="宋体" w:hint="eastAsia"/>
          <w:sz w:val="24"/>
        </w:rPr>
      </w:pPr>
      <w:r>
        <w:rPr>
          <w:rFonts w:ascii="宋体" w:hAnsi="宋体" w:hint="eastAsia"/>
          <w:sz w:val="24"/>
        </w:rPr>
        <w:t>景商合一设计</w:t>
      </w:r>
    </w:p>
    <w:p>
      <w:pPr>
        <w:pStyle w:val="Normal0"/>
        <w:numPr>
          <w:ilvl w:val="0"/>
          <w:numId w:val="11"/>
        </w:numPr>
        <w:rPr>
          <w:rFonts w:ascii="宋体" w:hAnsi="宋体" w:hint="eastAsia"/>
          <w:sz w:val="24"/>
        </w:rPr>
      </w:pPr>
      <w:r>
        <w:rPr>
          <w:rFonts w:ascii="宋体" w:hAnsi="宋体" w:hint="eastAsia"/>
          <w:sz w:val="24"/>
        </w:rPr>
        <w:t>政度高度支持</w:t>
      </w:r>
    </w:p>
    <w:p>
      <w:pPr>
        <w:pStyle w:val="Normal0"/>
        <w:numPr>
          <w:ilvl w:val="0"/>
          <w:numId w:val="11"/>
        </w:numPr>
        <w:rPr>
          <w:rFonts w:ascii="宋体" w:hAnsi="宋体" w:hint="eastAsia"/>
          <w:sz w:val="24"/>
        </w:rPr>
      </w:pPr>
      <w:r>
        <w:rPr>
          <w:rFonts w:ascii="宋体" w:hAnsi="宋体" w:hint="eastAsia"/>
          <w:sz w:val="24"/>
        </w:rPr>
        <w:t>开发商团队实力</w:t>
      </w:r>
    </w:p>
    <w:p>
      <w:pPr>
        <w:pStyle w:val="Normal0"/>
        <w:ind w:left="2174"/>
        <w:rPr>
          <w:rFonts w:ascii="宋体" w:hAnsi="宋体" w:hint="eastAsia"/>
          <w:sz w:val="24"/>
        </w:rPr>
      </w:pPr>
    </w:p>
    <w:p>
      <w:pPr>
        <w:pStyle w:val="Normal0"/>
        <w:numPr>
          <w:ilvl w:val="1"/>
          <w:numId w:val="8"/>
        </w:numPr>
        <w:rPr>
          <w:rFonts w:ascii="宋体" w:hAnsi="宋体" w:hint="eastAsia"/>
          <w:b/>
          <w:sz w:val="24"/>
        </w:rPr>
      </w:pPr>
      <w:r>
        <w:rPr>
          <w:rFonts w:ascii="宋体" w:hAnsi="宋体" w:hint="eastAsia"/>
          <w:b/>
          <w:sz w:val="24"/>
        </w:rPr>
        <w:t>前景展望广告语</w:t>
      </w:r>
    </w:p>
    <w:p>
      <w:pPr>
        <w:pStyle w:val="Normal0"/>
        <w:ind w:left="1275"/>
        <w:rPr>
          <w:rFonts w:ascii="宋体" w:hAnsi="宋体" w:hint="eastAsia"/>
          <w:b/>
          <w:sz w:val="18"/>
          <w:szCs w:val="18"/>
        </w:rPr>
      </w:pPr>
    </w:p>
    <w:p>
      <w:pPr>
        <w:pStyle w:val="Normal0"/>
        <w:ind w:left="1275"/>
        <w:jc w:val="center"/>
        <w:rPr>
          <w:rFonts w:ascii="华文中宋" w:eastAsia="华文中宋" w:hAnsi="华文中宋" w:hint="eastAsia"/>
          <w:b/>
          <w:sz w:val="32"/>
          <w:szCs w:val="32"/>
        </w:rPr>
      </w:pPr>
      <w:r>
        <w:rPr>
          <w:rFonts w:ascii="华文中宋" w:eastAsia="华文中宋" w:hAnsi="华文中宋" w:hint="eastAsia"/>
          <w:b/>
          <w:sz w:val="32"/>
          <w:szCs w:val="32"/>
        </w:rPr>
        <w:t>400万常州人的莱蒙生活</w:t>
      </w:r>
    </w:p>
    <w:p>
      <w:pPr>
        <w:pStyle w:val="Normal0"/>
        <w:ind w:left="1275"/>
        <w:jc w:val="center"/>
        <w:rPr>
          <w:rFonts w:ascii="华文中宋" w:eastAsia="华文中宋" w:hAnsi="华文中宋" w:hint="eastAsia"/>
          <w:b/>
          <w:sz w:val="32"/>
          <w:szCs w:val="32"/>
        </w:rPr>
      </w:pPr>
      <w:r>
        <w:rPr>
          <w:rFonts w:ascii="华文中宋" w:eastAsia="华文中宋" w:hAnsi="华文中宋" w:hint="eastAsia"/>
          <w:b/>
          <w:sz w:val="32"/>
          <w:szCs w:val="32"/>
        </w:rPr>
        <w:t>一个时代的莱蒙生活</w:t>
      </w:r>
    </w:p>
    <w:p>
      <w:pPr>
        <w:pStyle w:val="Normal0"/>
        <w:ind w:left="1275"/>
        <w:jc w:val="center"/>
        <w:rPr>
          <w:rFonts w:ascii="华文中宋" w:eastAsia="华文中宋" w:hAnsi="华文中宋" w:hint="eastAsia"/>
          <w:b/>
          <w:sz w:val="18"/>
          <w:szCs w:val="18"/>
        </w:rPr>
      </w:pPr>
    </w:p>
    <w:p>
      <w:pPr>
        <w:pStyle w:val="Normal0"/>
        <w:numPr>
          <w:ilvl w:val="2"/>
          <w:numId w:val="8"/>
        </w:numPr>
        <w:rPr>
          <w:rFonts w:ascii="宋体" w:hAnsi="宋体" w:hint="eastAsia"/>
          <w:sz w:val="24"/>
        </w:rPr>
      </w:pPr>
      <w:r>
        <w:rPr>
          <w:rFonts w:ascii="宋体" w:hAnsi="宋体" w:hint="eastAsia"/>
          <w:b/>
          <w:sz w:val="24"/>
        </w:rPr>
        <w:t>说明：</w:t>
      </w:r>
      <w:r>
        <w:rPr>
          <w:rFonts w:ascii="宋体" w:hAnsi="宋体" w:hint="eastAsia"/>
          <w:sz w:val="24"/>
          <w:lang w:eastAsia="zh-CN"/>
        </w:rPr>
        <w:t>相关项目</w:t>
      </w:r>
      <w:r>
        <w:rPr>
          <w:rFonts w:ascii="宋体" w:hAnsi="宋体" w:hint="eastAsia"/>
          <w:sz w:val="24"/>
        </w:rPr>
        <w:t>开业后的前景描述广告语，分本地和异地两版</w:t>
      </w:r>
    </w:p>
    <w:p>
      <w:pPr>
        <w:pStyle w:val="Normal0"/>
        <w:numPr>
          <w:ilvl w:val="2"/>
          <w:numId w:val="8"/>
        </w:numPr>
        <w:rPr>
          <w:rFonts w:ascii="宋体" w:hAnsi="宋体" w:hint="eastAsia"/>
          <w:sz w:val="24"/>
        </w:rPr>
      </w:pPr>
      <w:r>
        <w:rPr>
          <w:rFonts w:ascii="宋体" w:hAnsi="宋体" w:hint="eastAsia"/>
          <w:b/>
          <w:sz w:val="24"/>
          <w:lang w:eastAsia="zh-CN"/>
        </w:rPr>
        <w:t>合适的内容</w:t>
      </w:r>
      <w:r>
        <w:rPr>
          <w:rFonts w:ascii="宋体" w:hAnsi="宋体" w:hint="eastAsia"/>
          <w:b/>
          <w:sz w:val="24"/>
        </w:rPr>
        <w:t>：</w:t>
      </w:r>
      <w:r>
        <w:rPr>
          <w:rFonts w:ascii="宋体" w:hAnsi="宋体" w:hint="eastAsia"/>
          <w:sz w:val="24"/>
        </w:rPr>
        <w:t>描述</w:t>
      </w:r>
      <w:r>
        <w:rPr>
          <w:rFonts w:ascii="宋体" w:hAnsi="宋体" w:hint="eastAsia"/>
          <w:sz w:val="24"/>
          <w:lang w:eastAsia="zh-CN"/>
        </w:rPr>
        <w:t>相关项目</w:t>
      </w:r>
      <w:r>
        <w:rPr>
          <w:rFonts w:ascii="宋体" w:hAnsi="宋体" w:hint="eastAsia"/>
          <w:sz w:val="24"/>
        </w:rPr>
        <w:t>未来前景、商业感受与消费态度</w:t>
      </w:r>
    </w:p>
    <w:p>
      <w:pPr>
        <w:pStyle w:val="Normal0"/>
        <w:numPr>
          <w:ilvl w:val="2"/>
          <w:numId w:val="8"/>
        </w:numPr>
        <w:rPr>
          <w:rFonts w:ascii="宋体" w:hAnsi="宋体" w:hint="eastAsia"/>
          <w:sz w:val="24"/>
        </w:rPr>
      </w:pPr>
      <w:r>
        <w:rPr>
          <w:rFonts w:ascii="宋体" w:hAnsi="宋体" w:hint="eastAsia"/>
          <w:b/>
          <w:sz w:val="24"/>
        </w:rPr>
        <w:t>功能：</w:t>
      </w:r>
      <w:r>
        <w:rPr>
          <w:rFonts w:ascii="宋体" w:hAnsi="宋体" w:hint="eastAsia"/>
          <w:sz w:val="24"/>
        </w:rPr>
        <w:t>对消费者进行吸引，增加未来经营其间的人气吸引</w:t>
      </w:r>
    </w:p>
    <w:p>
      <w:pPr>
        <w:pStyle w:val="Normal0"/>
        <w:numPr>
          <w:ilvl w:val="2"/>
          <w:numId w:val="8"/>
        </w:numPr>
        <w:rPr>
          <w:rFonts w:ascii="宋体" w:hAnsi="宋体" w:hint="eastAsia"/>
          <w:sz w:val="24"/>
        </w:rPr>
      </w:pPr>
      <w:r>
        <w:rPr>
          <w:rFonts w:ascii="宋体" w:hAnsi="宋体" w:hint="eastAsia"/>
          <w:b/>
          <w:sz w:val="24"/>
        </w:rPr>
        <w:t>对象：</w:t>
      </w:r>
      <w:r>
        <w:rPr>
          <w:rFonts w:ascii="宋体" w:hAnsi="宋体" w:hint="eastAsia"/>
          <w:sz w:val="24"/>
        </w:rPr>
        <w:t>消费者，常州本地及周边城镇人群</w:t>
      </w:r>
    </w:p>
    <w:p>
      <w:pPr>
        <w:pStyle w:val="Normal0"/>
        <w:numPr>
          <w:ilvl w:val="2"/>
          <w:numId w:val="8"/>
        </w:numPr>
        <w:rPr>
          <w:rFonts w:ascii="宋体" w:hAnsi="宋体" w:hint="eastAsia"/>
          <w:b/>
          <w:sz w:val="24"/>
        </w:rPr>
      </w:pPr>
      <w:r>
        <w:rPr>
          <w:rFonts w:ascii="宋体" w:hAnsi="宋体" w:hint="eastAsia"/>
          <w:b/>
          <w:sz w:val="24"/>
        </w:rPr>
        <w:t>亮点：</w:t>
      </w:r>
    </w:p>
    <w:p>
      <w:pPr>
        <w:pStyle w:val="Normal0"/>
        <w:numPr>
          <w:ilvl w:val="0"/>
          <w:numId w:val="11"/>
        </w:numPr>
        <w:rPr>
          <w:rFonts w:ascii="宋体" w:hAnsi="宋体" w:hint="eastAsia"/>
          <w:sz w:val="24"/>
        </w:rPr>
      </w:pPr>
      <w:r>
        <w:rPr>
          <w:rFonts w:ascii="宋体" w:hAnsi="宋体" w:hint="eastAsia"/>
          <w:sz w:val="24"/>
        </w:rPr>
        <w:t>城市正中心</w:t>
      </w:r>
    </w:p>
    <w:p>
      <w:pPr>
        <w:pStyle w:val="Normal0"/>
        <w:numPr>
          <w:ilvl w:val="0"/>
          <w:numId w:val="11"/>
        </w:numPr>
        <w:rPr>
          <w:rFonts w:ascii="宋体" w:hAnsi="宋体" w:hint="eastAsia"/>
          <w:sz w:val="24"/>
        </w:rPr>
      </w:pPr>
      <w:r>
        <w:rPr>
          <w:rFonts w:ascii="宋体" w:hAnsi="宋体" w:hint="eastAsia"/>
          <w:sz w:val="24"/>
        </w:rPr>
        <w:t>全业态</w:t>
      </w:r>
    </w:p>
    <w:p>
      <w:pPr>
        <w:pStyle w:val="Normal0"/>
        <w:numPr>
          <w:ilvl w:val="0"/>
          <w:numId w:val="11"/>
        </w:numPr>
        <w:rPr>
          <w:rFonts w:ascii="宋体" w:hAnsi="宋体" w:hint="eastAsia"/>
          <w:sz w:val="24"/>
        </w:rPr>
      </w:pPr>
      <w:r>
        <w:rPr>
          <w:rFonts w:ascii="宋体" w:hAnsi="宋体" w:hint="eastAsia"/>
          <w:sz w:val="24"/>
        </w:rPr>
        <w:t>国际品牌整合力</w:t>
      </w:r>
    </w:p>
    <w:p>
      <w:pPr>
        <w:pStyle w:val="Normal0"/>
        <w:numPr>
          <w:ilvl w:val="0"/>
          <w:numId w:val="11"/>
        </w:numPr>
        <w:rPr>
          <w:rFonts w:ascii="宋体" w:hAnsi="宋体" w:hint="eastAsia"/>
          <w:sz w:val="24"/>
        </w:rPr>
      </w:pPr>
      <w:r>
        <w:rPr>
          <w:rFonts w:ascii="宋体" w:hAnsi="宋体" w:hint="eastAsia"/>
          <w:sz w:val="24"/>
        </w:rPr>
        <w:t>景商合一设计</w:t>
      </w:r>
    </w:p>
    <w:p>
      <w:pPr>
        <w:pStyle w:val="Normal0"/>
        <w:numPr>
          <w:ilvl w:val="0"/>
          <w:numId w:val="11"/>
        </w:numPr>
        <w:rPr>
          <w:rFonts w:ascii="宋体" w:hAnsi="宋体" w:hint="eastAsia"/>
          <w:sz w:val="24"/>
        </w:rPr>
      </w:pPr>
      <w:r>
        <w:rPr>
          <w:rFonts w:ascii="宋体" w:hAnsi="宋体" w:hint="eastAsia"/>
          <w:sz w:val="24"/>
        </w:rPr>
        <w:t>消费观念更新</w:t>
      </w:r>
    </w:p>
    <w:p>
      <w:pPr>
        <w:pStyle w:val="Normal0"/>
        <w:rPr>
          <w:rFonts w:ascii="宋体" w:hAnsi="宋体" w:hint="eastAsia"/>
          <w:sz w:val="24"/>
        </w:rPr>
      </w:pPr>
    </w:p>
    <w:p>
      <w:pPr>
        <w:pStyle w:val="Normal0"/>
        <w:rPr>
          <w:rFonts w:ascii="宋体" w:hAnsi="宋体" w:hint="eastAsia"/>
          <w:sz w:val="24"/>
        </w:rPr>
      </w:pPr>
    </w:p>
    <w:p>
      <w:pPr>
        <w:pStyle w:val="Normal0"/>
        <w:rPr>
          <w:rFonts w:ascii="宋体" w:hAnsi="宋体" w:hint="eastAsia"/>
          <w:sz w:val="24"/>
        </w:rPr>
      </w:pPr>
    </w:p>
    <w:p>
      <w:pPr>
        <w:pStyle w:val="Normal0"/>
        <w:rPr>
          <w:rFonts w:ascii="宋体" w:hAnsi="宋体" w:hint="eastAsia"/>
          <w:sz w:val="24"/>
        </w:rPr>
        <w:sectPr>
          <w:headerReference w:type="default" r:id="rId41"/>
          <w:footerReference w:type="default" r:id="rId42"/>
          <w:type w:val="nextPage"/>
          <w:pgSz w:w="11906" w:h="16838"/>
          <w:pgMar w:top="1440" w:right="1797" w:bottom="1440" w:left="1797" w:header="851" w:footer="992" w:gutter="0"/>
          <w:pgNumType w:start="19"/>
          <w:cols w:num="1" w:space="425"/>
          <w:titlePg w:val="0"/>
          <w:docGrid w:type="lines" w:linePitch="290" w:charSpace="0"/>
        </w:sectPr>
      </w:pPr>
    </w:p>
    <w:p>
      <w:pPr>
        <w:pStyle w:val="Normal0"/>
        <w:numPr>
          <w:ilvl w:val="0"/>
          <w:numId w:val="7"/>
        </w:numPr>
        <w:rPr>
          <w:rFonts w:ascii="华文中宋" w:eastAsia="华文中宋" w:hAnsi="华文中宋" w:hint="eastAsia"/>
          <w:b/>
          <w:sz w:val="28"/>
          <w:szCs w:val="28"/>
        </w:rPr>
      </w:pPr>
      <w:r>
        <w:rPr>
          <w:rFonts w:ascii="华文中宋" w:eastAsia="华文中宋" w:hAnsi="华文中宋" w:hint="eastAsia"/>
          <w:b/>
          <w:sz w:val="28"/>
          <w:szCs w:val="28"/>
        </w:rPr>
        <w:t>推广概念使用</w:t>
      </w:r>
    </w:p>
    <w:p>
      <w:pPr>
        <w:pStyle w:val="Normal0"/>
        <w:ind w:firstLine="480" w:firstLineChars="200"/>
        <w:rPr>
          <w:rFonts w:ascii="宋体" w:hAnsi="宋体" w:hint="eastAsia"/>
          <w:sz w:val="24"/>
        </w:rPr>
      </w:pPr>
      <w:r>
        <w:rPr>
          <w:rFonts w:ascii="宋体" w:hAnsi="宋体" w:hint="eastAsia"/>
          <w:sz w:val="24"/>
        </w:rPr>
        <w:t>中国经验，在传播上，有属于自己的使用方法，这里我们再次说明一下，关于概念本身存在着的一些特性，以及概念组合方面的使用说明。</w:t>
      </w:r>
    </w:p>
    <w:p>
      <w:pPr>
        <w:pStyle w:val="Normal0"/>
        <w:ind w:firstLine="480" w:firstLineChars="200"/>
        <w:rPr>
          <w:rFonts w:ascii="宋体" w:hAnsi="宋体" w:hint="eastAsia"/>
          <w:sz w:val="24"/>
        </w:rPr>
      </w:pPr>
    </w:p>
    <w:p>
      <w:pPr>
        <w:pStyle w:val="Normal0"/>
        <w:numPr>
          <w:ilvl w:val="0"/>
          <w:numId w:val="12"/>
        </w:numPr>
        <w:rPr>
          <w:rFonts w:ascii="华文中宋" w:eastAsia="华文中宋" w:hAnsi="华文中宋" w:hint="eastAsia"/>
          <w:b/>
          <w:sz w:val="28"/>
          <w:szCs w:val="28"/>
        </w:rPr>
      </w:pPr>
      <w:r>
        <w:rPr>
          <w:rFonts w:ascii="华文中宋" w:eastAsia="华文中宋" w:hAnsi="华文中宋" w:hint="eastAsia"/>
          <w:b/>
          <w:sz w:val="28"/>
          <w:szCs w:val="28"/>
        </w:rPr>
        <w:t>概念使用原则</w:t>
      </w:r>
    </w:p>
    <w:p>
      <w:pPr>
        <w:pStyle w:val="Normal0"/>
        <w:ind w:left="1275"/>
        <w:rPr>
          <w:rFonts w:hint="eastAsia"/>
          <w:b/>
          <w:sz w:val="24"/>
        </w:rPr>
      </w:pPr>
      <w:r>
        <w:rPr>
          <w:rFonts w:hint="eastAsia"/>
          <w:b/>
          <w:sz w:val="24"/>
        </w:rPr>
        <w:t>1）强势推广原则</w:t>
      </w:r>
    </w:p>
    <w:p>
      <w:pPr>
        <w:pStyle w:val="Normal0"/>
        <w:ind w:left="1275" w:firstLine="480" w:leftChars="607" w:firstLineChars="200"/>
        <w:rPr>
          <w:rFonts w:hint="eastAsia"/>
          <w:sz w:val="24"/>
        </w:rPr>
      </w:pPr>
      <w:r>
        <w:rPr>
          <w:rFonts w:hint="eastAsia"/>
          <w:sz w:val="24"/>
        </w:rPr>
        <w:t>由于“中国经验”的概念，本身具有的大气与高度的决策导向，因此在概念使用的时候，强势推广将能贴合概念的味道，在“中国经验”的概念推广上，我们建议以强势的气势推出，比如报广上，投放“中国经验”概念必须用整版彩色报广，摈弃通栏、半版等较为弱势的媒体方式。</w:t>
      </w:r>
    </w:p>
    <w:p>
      <w:pPr>
        <w:pStyle w:val="Normal0"/>
        <w:ind w:left="1275" w:firstLine="480" w:leftChars="607" w:firstLineChars="200"/>
        <w:rPr>
          <w:rFonts w:hint="eastAsia"/>
          <w:sz w:val="24"/>
        </w:rPr>
      </w:pPr>
    </w:p>
    <w:p>
      <w:pPr>
        <w:pStyle w:val="Normal0"/>
        <w:ind w:left="1275"/>
        <w:rPr>
          <w:rFonts w:hint="eastAsia"/>
          <w:b/>
          <w:sz w:val="24"/>
        </w:rPr>
      </w:pPr>
      <w:r>
        <w:rPr>
          <w:rFonts w:hint="eastAsia"/>
          <w:b/>
          <w:sz w:val="24"/>
        </w:rPr>
        <w:t>2）组合使用原则</w:t>
      </w:r>
    </w:p>
    <w:p>
      <w:pPr>
        <w:pStyle w:val="Normal0"/>
        <w:ind w:left="1275" w:firstLine="480" w:leftChars="607" w:firstLineChars="200"/>
        <w:rPr>
          <w:rFonts w:hint="eastAsia"/>
          <w:sz w:val="24"/>
        </w:rPr>
      </w:pPr>
      <w:r>
        <w:rPr>
          <w:rFonts w:hint="eastAsia"/>
          <w:sz w:val="24"/>
        </w:rPr>
        <w:t>广告概念需要组合使用，“为中国商业地产索求成功之道”（简称中国经验）与“国际商业中国街区”（简称中国街区）与“一个时代的莱蒙生活”（简称莱蒙生活）三组概念之间，存在着不同又相互促进的联系，因此在</w:t>
      </w:r>
      <w:r>
        <w:rPr>
          <w:rFonts w:hint="eastAsia"/>
          <w:sz w:val="24"/>
          <w:lang w:eastAsia="zh-CN"/>
        </w:rPr>
        <w:t>相关项目</w:t>
      </w:r>
      <w:r>
        <w:rPr>
          <w:rFonts w:hint="eastAsia"/>
          <w:sz w:val="24"/>
        </w:rPr>
        <w:t>推广上，三组概念都要获得推广，只是根据区域、时间与媒体的不同，各有侧重。</w:t>
      </w:r>
    </w:p>
    <w:p>
      <w:pPr>
        <w:pStyle w:val="Normal0"/>
        <w:rPr>
          <w:rFonts w:hint="eastAsia"/>
          <w:sz w:val="24"/>
        </w:rPr>
      </w:pPr>
    </w:p>
    <w:p>
      <w:pPr>
        <w:pStyle w:val="Normal0"/>
        <w:rPr>
          <w:rFonts w:hint="eastAsia"/>
          <w:sz w:val="24"/>
        </w:rPr>
      </w:pPr>
    </w:p>
    <w:p>
      <w:pPr>
        <w:pStyle w:val="Normal0"/>
        <w:numPr>
          <w:ilvl w:val="0"/>
          <w:numId w:val="12"/>
        </w:numPr>
        <w:rPr>
          <w:rFonts w:ascii="华文中宋" w:eastAsia="华文中宋" w:hAnsi="华文中宋" w:hint="eastAsia"/>
          <w:b/>
          <w:sz w:val="28"/>
          <w:szCs w:val="28"/>
        </w:rPr>
      </w:pPr>
      <w:r>
        <w:rPr>
          <w:rFonts w:ascii="华文中宋" w:eastAsia="华文中宋" w:hAnsi="华文中宋" w:hint="eastAsia"/>
          <w:b/>
          <w:sz w:val="28"/>
          <w:szCs w:val="28"/>
        </w:rPr>
        <w:t>概念使用方法</w:t>
      </w:r>
    </w:p>
    <w:p>
      <w:pPr>
        <w:pStyle w:val="Normal0"/>
        <w:numPr>
          <w:ilvl w:val="1"/>
          <w:numId w:val="12"/>
        </w:numPr>
        <w:rPr>
          <w:rFonts w:hint="eastAsia"/>
          <w:b/>
          <w:sz w:val="24"/>
        </w:rPr>
      </w:pPr>
      <w:r>
        <w:rPr>
          <w:rFonts w:hint="eastAsia"/>
          <w:b/>
          <w:sz w:val="24"/>
        </w:rPr>
        <w:t>分区域使用</w:t>
      </w:r>
    </w:p>
    <w:p>
      <w:pPr>
        <w:pStyle w:val="Normal0"/>
        <w:numPr>
          <w:ilvl w:val="2"/>
          <w:numId w:val="12"/>
        </w:numPr>
        <w:rPr>
          <w:rFonts w:hint="eastAsia"/>
          <w:b/>
          <w:sz w:val="24"/>
        </w:rPr>
      </w:pPr>
      <w:r>
        <w:rPr>
          <w:rFonts w:hint="eastAsia"/>
          <w:b/>
          <w:sz w:val="24"/>
        </w:rPr>
        <w:t>常州——中国街区、莱蒙生活、中国经验</w:t>
      </w:r>
    </w:p>
    <w:p>
      <w:pPr>
        <w:pStyle w:val="Normal0"/>
        <w:ind w:left="1695" w:firstLine="480" w:leftChars="807" w:firstLineChars="200"/>
        <w:rPr>
          <w:rFonts w:hint="eastAsia"/>
          <w:sz w:val="24"/>
        </w:rPr>
        <w:sectPr>
          <w:headerReference w:type="default" r:id="rId43"/>
          <w:footerReference w:type="default" r:id="rId44"/>
          <w:type w:val="nextPage"/>
          <w:pgSz w:w="11906" w:h="16838"/>
          <w:pgMar w:top="1440" w:right="1797" w:bottom="1440" w:left="1797" w:header="851" w:footer="992" w:gutter="0"/>
          <w:pgNumType w:start="20"/>
          <w:cols w:num="1" w:space="425"/>
          <w:titlePg w:val="0"/>
          <w:docGrid w:type="lines" w:linePitch="290" w:charSpace="0"/>
        </w:sectPr>
      </w:pPr>
    </w:p>
    <w:p>
      <w:pPr>
        <w:pStyle w:val="Normal0"/>
        <w:ind w:left="1695" w:firstLine="480" w:leftChars="807" w:firstLineChars="200"/>
        <w:rPr>
          <w:rFonts w:hint="eastAsia"/>
          <w:sz w:val="24"/>
        </w:rPr>
      </w:pPr>
      <w:r>
        <w:rPr>
          <w:rFonts w:hint="eastAsia"/>
          <w:sz w:val="24"/>
        </w:rPr>
        <w:t>常州是莱蒙都会的大本营，一方面本地的经营者和投资者消费者都会成为广告受众，另一方面外地的客户也将来常州本地对</w:t>
      </w:r>
      <w:r>
        <w:rPr>
          <w:rFonts w:hint="eastAsia"/>
          <w:sz w:val="24"/>
          <w:lang w:eastAsia="zh-CN"/>
        </w:rPr>
        <w:t>相关项目</w:t>
      </w:r>
      <w:r>
        <w:rPr>
          <w:rFonts w:hint="eastAsia"/>
          <w:sz w:val="24"/>
        </w:rPr>
        <w:t>进行全面考察，因此在这个区域内，运营理念、</w:t>
      </w:r>
      <w:r>
        <w:rPr>
          <w:rFonts w:hint="eastAsia"/>
          <w:sz w:val="24"/>
          <w:lang w:eastAsia="zh-CN"/>
        </w:rPr>
        <w:t>相关项目</w:t>
      </w:r>
      <w:r>
        <w:rPr>
          <w:rFonts w:hint="eastAsia"/>
          <w:sz w:val="24"/>
        </w:rPr>
        <w:t>形象及前景展望需要全部被传播到。</w:t>
      </w:r>
    </w:p>
    <w:p>
      <w:pPr>
        <w:pStyle w:val="Normal0"/>
        <w:ind w:left="1695" w:firstLine="480" w:leftChars="807" w:firstLineChars="200"/>
        <w:rPr>
          <w:rFonts w:hint="eastAsia"/>
          <w:sz w:val="24"/>
        </w:rPr>
      </w:pPr>
      <w:r>
        <w:rPr>
          <w:rFonts w:hint="eastAsia"/>
          <w:sz w:val="24"/>
        </w:rPr>
        <w:t>另一方面，这个区域的概念侧重与</w:t>
      </w:r>
      <w:r>
        <w:rPr>
          <w:rFonts w:hint="eastAsia"/>
          <w:sz w:val="24"/>
          <w:lang w:eastAsia="zh-CN"/>
        </w:rPr>
        <w:t>相关项目</w:t>
      </w:r>
      <w:r>
        <w:rPr>
          <w:rFonts w:hint="eastAsia"/>
          <w:sz w:val="24"/>
        </w:rPr>
        <w:t>形象，在常州，过于高度的广告概念显然不适合这里的受众人群；常州人对于未来莱蒙都会的前景也是抱着很大的兴趣的，因此</w:t>
      </w:r>
      <w:r>
        <w:rPr>
          <w:rFonts w:hint="eastAsia"/>
          <w:sz w:val="24"/>
          <w:lang w:eastAsia="zh-CN"/>
        </w:rPr>
        <w:t>相关项目</w:t>
      </w:r>
      <w:r>
        <w:rPr>
          <w:rFonts w:hint="eastAsia"/>
          <w:sz w:val="24"/>
        </w:rPr>
        <w:t>前景的传播在本地必不可少。因此这里我们将概念的主词按照中国街区、莱蒙生活、中国经验排布，其中中国经验在常州，只是作为一个引子来使用，做铺垫之意。</w:t>
      </w:r>
    </w:p>
    <w:p>
      <w:pPr>
        <w:pStyle w:val="Normal0"/>
        <w:ind w:left="1695" w:firstLine="480" w:leftChars="807" w:firstLineChars="200"/>
        <w:rPr>
          <w:rFonts w:hint="eastAsia"/>
          <w:sz w:val="24"/>
        </w:rPr>
      </w:pPr>
    </w:p>
    <w:p>
      <w:pPr>
        <w:pStyle w:val="Normal0"/>
        <w:numPr>
          <w:ilvl w:val="2"/>
          <w:numId w:val="12"/>
        </w:numPr>
        <w:rPr>
          <w:rFonts w:hint="eastAsia"/>
          <w:b/>
          <w:sz w:val="24"/>
        </w:rPr>
      </w:pPr>
      <w:r>
        <w:rPr>
          <w:rFonts w:hint="eastAsia"/>
          <w:b/>
          <w:sz w:val="24"/>
        </w:rPr>
        <w:t>周边城市——中国街区、中国经验</w:t>
      </w:r>
    </w:p>
    <w:p>
      <w:pPr>
        <w:pStyle w:val="Normal0"/>
        <w:ind w:left="1695" w:firstLine="480" w:leftChars="807" w:firstLineChars="200"/>
        <w:rPr>
          <w:rFonts w:hint="eastAsia"/>
          <w:sz w:val="24"/>
        </w:rPr>
      </w:pPr>
      <w:r>
        <w:rPr>
          <w:rFonts w:hint="eastAsia"/>
          <w:sz w:val="24"/>
        </w:rPr>
        <w:t>周边城市以及相关招商销售所需要传播到的城市，将以短期迅速有效的广告形式为主，因此直接对</w:t>
      </w:r>
      <w:r>
        <w:rPr>
          <w:rFonts w:hint="eastAsia"/>
          <w:sz w:val="24"/>
          <w:lang w:eastAsia="zh-CN"/>
        </w:rPr>
        <w:t>相关项目</w:t>
      </w:r>
      <w:r>
        <w:rPr>
          <w:rFonts w:hint="eastAsia"/>
          <w:sz w:val="24"/>
        </w:rPr>
        <w:t>的阐述要比</w:t>
      </w:r>
      <w:r>
        <w:rPr>
          <w:rFonts w:hint="eastAsia"/>
          <w:sz w:val="24"/>
          <w:lang w:eastAsia="zh-CN"/>
        </w:rPr>
        <w:t>相关项目</w:t>
      </w:r>
      <w:r>
        <w:rPr>
          <w:rFonts w:hint="eastAsia"/>
          <w:sz w:val="24"/>
        </w:rPr>
        <w:t>的高度概念传播来的重要；同时，中国经验作为莱蒙都会最有理论高度的</w:t>
      </w:r>
      <w:r>
        <w:rPr>
          <w:rFonts w:hint="eastAsia"/>
          <w:sz w:val="24"/>
          <w:lang w:eastAsia="zh-CN"/>
        </w:rPr>
        <w:t>相关项目</w:t>
      </w:r>
      <w:r>
        <w:rPr>
          <w:rFonts w:hint="eastAsia"/>
          <w:sz w:val="24"/>
        </w:rPr>
        <w:t>优势，对于销售招商是有帮助的，因此这里也列为转播</w:t>
      </w:r>
      <w:r>
        <w:rPr>
          <w:rFonts w:hint="eastAsia"/>
          <w:sz w:val="24"/>
          <w:lang w:eastAsia="zh-CN"/>
        </w:rPr>
        <w:t>合适的内容</w:t>
      </w:r>
      <w:r>
        <w:rPr>
          <w:rFonts w:hint="eastAsia"/>
          <w:sz w:val="24"/>
        </w:rPr>
        <w:t>。</w:t>
      </w:r>
    </w:p>
    <w:p>
      <w:pPr>
        <w:pStyle w:val="Normal0"/>
        <w:ind w:left="1695" w:firstLine="480" w:leftChars="807" w:firstLineChars="200"/>
        <w:rPr>
          <w:rFonts w:hint="eastAsia"/>
          <w:sz w:val="24"/>
        </w:rPr>
      </w:pPr>
      <w:r>
        <w:rPr>
          <w:rFonts w:hint="eastAsia"/>
          <w:sz w:val="24"/>
        </w:rPr>
        <w:t>从广告功能角度出发，我们认为这里的主词关系是中国街区大于中国经验。</w:t>
      </w:r>
    </w:p>
    <w:p>
      <w:pPr>
        <w:pStyle w:val="Normal0"/>
        <w:ind w:left="1695" w:firstLine="480" w:leftChars="807" w:firstLineChars="200"/>
        <w:rPr>
          <w:rFonts w:hint="eastAsia"/>
          <w:sz w:val="24"/>
        </w:rPr>
      </w:pPr>
    </w:p>
    <w:p>
      <w:pPr>
        <w:pStyle w:val="Normal0"/>
        <w:numPr>
          <w:ilvl w:val="2"/>
          <w:numId w:val="12"/>
        </w:numPr>
        <w:rPr>
          <w:rFonts w:hint="eastAsia"/>
          <w:b/>
          <w:sz w:val="24"/>
        </w:rPr>
      </w:pPr>
      <w:r>
        <w:rPr>
          <w:rFonts w:hint="eastAsia"/>
          <w:b/>
          <w:sz w:val="24"/>
        </w:rPr>
        <w:t>长三角——中国经验、中国街区</w:t>
      </w:r>
    </w:p>
    <w:p>
      <w:pPr>
        <w:pStyle w:val="Normal0"/>
        <w:ind w:left="1695" w:firstLine="480" w:leftChars="807" w:firstLineChars="200"/>
        <w:rPr>
          <w:rFonts w:hint="eastAsia"/>
          <w:sz w:val="24"/>
        </w:rPr>
        <w:sectPr>
          <w:headerReference w:type="default" r:id="rId45"/>
          <w:footerReference w:type="default" r:id="rId46"/>
          <w:type w:val="nextPage"/>
          <w:pgSz w:w="11906" w:h="16838"/>
          <w:pgMar w:top="1440" w:right="1797" w:bottom="1440" w:left="1797" w:header="851" w:footer="992" w:gutter="0"/>
          <w:pgNumType w:start="21"/>
          <w:cols w:num="1" w:space="425"/>
          <w:titlePg w:val="0"/>
          <w:docGrid w:type="lines" w:linePitch="290" w:charSpace="0"/>
        </w:sectPr>
      </w:pPr>
      <w:r>
        <w:rPr>
          <w:rFonts w:hint="eastAsia"/>
          <w:sz w:val="24"/>
        </w:rPr>
        <w:t>在长三角的角度，广告行为是在整个面上形成强大的品牌形象，占领制高点，在全国范围内将莱蒙都会与其它的大型商业物业区别开来，形成独特的影响力，因此在长三角的范围内，中国经验将作为最主要的传播</w:t>
      </w:r>
      <w:r>
        <w:rPr>
          <w:rFonts w:hint="eastAsia"/>
          <w:sz w:val="24"/>
          <w:lang w:eastAsia="zh-CN"/>
        </w:rPr>
        <w:t>合适的内容</w:t>
      </w:r>
      <w:r>
        <w:rPr>
          <w:rFonts w:hint="eastAsia"/>
          <w:sz w:val="24"/>
        </w:rPr>
        <w:t>。在</w:t>
      </w:r>
      <w:r>
        <w:rPr>
          <w:rFonts w:hint="eastAsia"/>
          <w:sz w:val="24"/>
          <w:lang w:eastAsia="zh-CN"/>
        </w:rPr>
        <w:t>相关项目</w:t>
      </w:r>
    </w:p>
    <w:p>
      <w:pPr>
        <w:pStyle w:val="Normal0"/>
        <w:ind w:left="1695" w:firstLine="480" w:leftChars="807" w:firstLineChars="200"/>
        <w:rPr>
          <w:rFonts w:hint="eastAsia"/>
          <w:sz w:val="24"/>
        </w:rPr>
      </w:pPr>
      <w:r>
        <w:rPr>
          <w:rFonts w:hint="eastAsia"/>
          <w:sz w:val="24"/>
        </w:rPr>
        <w:t>理论传播到达一定热度时，</w:t>
      </w:r>
      <w:r>
        <w:rPr>
          <w:rFonts w:hint="eastAsia"/>
          <w:sz w:val="24"/>
          <w:lang w:eastAsia="zh-CN"/>
        </w:rPr>
        <w:t>相关项目</w:t>
      </w:r>
      <w:r>
        <w:rPr>
          <w:rFonts w:hint="eastAsia"/>
          <w:sz w:val="24"/>
        </w:rPr>
        <w:t>的亮相也尤为重要，因此这里兼顾对于中国街区的传播。</w:t>
      </w:r>
    </w:p>
    <w:p>
      <w:pPr>
        <w:pStyle w:val="Normal0"/>
        <w:ind w:left="1695" w:firstLine="480" w:leftChars="807" w:firstLineChars="200"/>
        <w:rPr>
          <w:rFonts w:hint="eastAsia"/>
          <w:sz w:val="24"/>
        </w:rPr>
      </w:pPr>
      <w:r>
        <w:rPr>
          <w:rFonts w:hint="eastAsia"/>
          <w:sz w:val="24"/>
        </w:rPr>
        <w:t>从主词关系上，在长三角范围内，中国经验的传播要远远大于中国街区的传播。</w:t>
      </w:r>
    </w:p>
    <w:p>
      <w:pPr>
        <w:pStyle w:val="Normal0"/>
        <w:ind w:left="1695" w:firstLine="480" w:leftChars="807" w:firstLineChars="200"/>
        <w:rPr>
          <w:rFonts w:hint="eastAsia"/>
          <w:sz w:val="24"/>
        </w:rPr>
      </w:pPr>
    </w:p>
    <w:p>
      <w:pPr>
        <w:pStyle w:val="Normal0"/>
        <w:numPr>
          <w:ilvl w:val="1"/>
          <w:numId w:val="12"/>
        </w:numPr>
        <w:rPr>
          <w:rFonts w:hint="eastAsia"/>
          <w:b/>
          <w:sz w:val="24"/>
        </w:rPr>
      </w:pPr>
      <w:r>
        <w:rPr>
          <w:rFonts w:hint="eastAsia"/>
          <w:b/>
          <w:sz w:val="24"/>
        </w:rPr>
        <w:t>分阶段使用</w:t>
      </w:r>
    </w:p>
    <w:p>
      <w:pPr>
        <w:pStyle w:val="Normal0"/>
        <w:numPr>
          <w:ilvl w:val="2"/>
          <w:numId w:val="12"/>
        </w:numPr>
        <w:rPr>
          <w:rFonts w:hint="eastAsia"/>
          <w:b/>
          <w:sz w:val="24"/>
        </w:rPr>
      </w:pPr>
      <w:r>
        <w:rPr>
          <w:rFonts w:hint="eastAsia"/>
          <w:b/>
          <w:sz w:val="24"/>
        </w:rPr>
        <w:t>一阶段——中国经验</w:t>
      </w:r>
    </w:p>
    <w:p>
      <w:pPr>
        <w:pStyle w:val="Normal0"/>
        <w:ind w:left="1695" w:firstLine="480" w:leftChars="807" w:firstLineChars="200"/>
        <w:rPr>
          <w:rFonts w:hint="eastAsia"/>
          <w:sz w:val="24"/>
        </w:rPr>
      </w:pPr>
      <w:r>
        <w:rPr>
          <w:rFonts w:hint="eastAsia"/>
          <w:sz w:val="24"/>
        </w:rPr>
        <w:t>第一阶段，需要树立</w:t>
      </w:r>
      <w:r>
        <w:rPr>
          <w:rFonts w:hint="eastAsia"/>
          <w:sz w:val="24"/>
          <w:lang w:eastAsia="zh-CN"/>
        </w:rPr>
        <w:t>相关项目</w:t>
      </w:r>
      <w:r>
        <w:rPr>
          <w:rFonts w:hint="eastAsia"/>
          <w:sz w:val="24"/>
        </w:rPr>
        <w:t>在大范围内的形象，对整个市场进行教育和说服，阐述莱蒙都会的态度以及理论高度，这时候，传播“中国经验”，将莱蒙都会整合运营的方方面面进行全面传播，让整个市场形成对莱蒙都会的信任与追捧。</w:t>
      </w:r>
    </w:p>
    <w:p>
      <w:pPr>
        <w:pStyle w:val="Normal0"/>
        <w:ind w:left="1695" w:firstLine="480" w:leftChars="807" w:firstLineChars="200"/>
        <w:rPr>
          <w:rFonts w:hint="eastAsia"/>
          <w:sz w:val="24"/>
        </w:rPr>
      </w:pPr>
    </w:p>
    <w:p>
      <w:pPr>
        <w:pStyle w:val="Normal0"/>
        <w:numPr>
          <w:ilvl w:val="2"/>
          <w:numId w:val="12"/>
        </w:numPr>
        <w:rPr>
          <w:rFonts w:hint="eastAsia"/>
          <w:b/>
          <w:sz w:val="24"/>
        </w:rPr>
      </w:pPr>
      <w:r>
        <w:rPr>
          <w:rFonts w:hint="eastAsia"/>
          <w:b/>
          <w:sz w:val="24"/>
        </w:rPr>
        <w:t>二阶段——中国街区</w:t>
      </w:r>
    </w:p>
    <w:p>
      <w:pPr>
        <w:pStyle w:val="Normal0"/>
        <w:ind w:left="1695" w:firstLine="480" w:leftChars="807" w:firstLineChars="200"/>
        <w:rPr>
          <w:rFonts w:hint="eastAsia"/>
          <w:sz w:val="24"/>
        </w:rPr>
      </w:pPr>
      <w:r>
        <w:rPr>
          <w:rFonts w:hint="eastAsia"/>
          <w:sz w:val="24"/>
        </w:rPr>
        <w:t>第二阶段，需要将莱蒙都会的</w:t>
      </w:r>
      <w:r>
        <w:rPr>
          <w:rFonts w:hint="eastAsia"/>
          <w:sz w:val="24"/>
          <w:lang w:eastAsia="zh-CN"/>
        </w:rPr>
        <w:t>相关项目</w:t>
      </w:r>
      <w:r>
        <w:rPr>
          <w:rFonts w:hint="eastAsia"/>
          <w:sz w:val="24"/>
        </w:rPr>
        <w:t>具体的各方面展示给受众，重点展示给经营者和投资者，让他们对莱蒙都会有一个更加深入的了解，便于他们进行决策。</w:t>
      </w:r>
    </w:p>
    <w:p>
      <w:pPr>
        <w:pStyle w:val="Normal0"/>
        <w:ind w:left="1695" w:firstLine="480" w:leftChars="807" w:firstLineChars="200"/>
        <w:rPr>
          <w:rFonts w:hint="eastAsia"/>
          <w:sz w:val="24"/>
        </w:rPr>
      </w:pPr>
    </w:p>
    <w:p>
      <w:pPr>
        <w:pStyle w:val="Normal0"/>
        <w:numPr>
          <w:ilvl w:val="2"/>
          <w:numId w:val="12"/>
        </w:numPr>
        <w:rPr>
          <w:rFonts w:hint="eastAsia"/>
          <w:b/>
          <w:sz w:val="24"/>
        </w:rPr>
      </w:pPr>
      <w:r>
        <w:rPr>
          <w:rFonts w:hint="eastAsia"/>
          <w:b/>
          <w:sz w:val="24"/>
        </w:rPr>
        <w:t>三阶段——莱蒙生活</w:t>
      </w:r>
    </w:p>
    <w:p>
      <w:pPr>
        <w:pStyle w:val="Normal0"/>
        <w:ind w:left="1695" w:firstLine="480" w:leftChars="807" w:firstLineChars="200"/>
        <w:rPr>
          <w:rFonts w:hint="eastAsia"/>
          <w:sz w:val="24"/>
        </w:rPr>
      </w:pPr>
      <w:r>
        <w:rPr>
          <w:rFonts w:hint="eastAsia"/>
          <w:sz w:val="24"/>
        </w:rPr>
        <w:t>第三阶段，当</w:t>
      </w:r>
      <w:r>
        <w:rPr>
          <w:rFonts w:hint="eastAsia"/>
          <w:sz w:val="24"/>
          <w:lang w:eastAsia="zh-CN"/>
        </w:rPr>
        <w:t>相关项目</w:t>
      </w:r>
      <w:r>
        <w:rPr>
          <w:rFonts w:hint="eastAsia"/>
          <w:sz w:val="24"/>
        </w:rPr>
        <w:t>的销售招商进入良性循环，对于</w:t>
      </w:r>
      <w:r>
        <w:rPr>
          <w:rFonts w:hint="eastAsia"/>
          <w:sz w:val="24"/>
          <w:lang w:eastAsia="zh-CN"/>
        </w:rPr>
        <w:t>相关项目</w:t>
      </w:r>
      <w:r>
        <w:rPr>
          <w:rFonts w:hint="eastAsia"/>
          <w:sz w:val="24"/>
        </w:rPr>
        <w:t>前景描述应该及时跟上，让半小时交通圈内的人都能够了解莱蒙都会未来的前景，对莱蒙生活产生憧憬，支持后期开业以及商业运营。</w:t>
      </w:r>
    </w:p>
    <w:p>
      <w:pPr>
        <w:pStyle w:val="Normal0"/>
        <w:ind w:left="1275"/>
        <w:rPr>
          <w:rFonts w:hint="eastAsia"/>
          <w:sz w:val="24"/>
        </w:rPr>
      </w:pPr>
    </w:p>
    <w:p>
      <w:pPr>
        <w:pStyle w:val="Normal0"/>
        <w:ind w:left="1275"/>
        <w:rPr>
          <w:rFonts w:hint="eastAsia"/>
          <w:sz w:val="24"/>
        </w:rPr>
        <w:sectPr>
          <w:headerReference w:type="default" r:id="rId47"/>
          <w:footerReference w:type="default" r:id="rId48"/>
          <w:type w:val="nextPage"/>
          <w:pgSz w:w="11906" w:h="16838"/>
          <w:pgMar w:top="1440" w:right="1797" w:bottom="1440" w:left="1797" w:header="851" w:footer="992" w:gutter="0"/>
          <w:pgNumType w:start="22"/>
          <w:cols w:num="1" w:space="425"/>
          <w:titlePg w:val="0"/>
          <w:docGrid w:type="lines" w:linePitch="290" w:charSpace="0"/>
        </w:sectPr>
      </w:pPr>
      <w:r>
        <w:rPr>
          <w:rFonts w:hint="eastAsia"/>
          <w:sz w:val="24"/>
        </w:rPr>
        <w:t>注：由于传播周期有限，以上的阶段并不会非常明晰的存在，对于长效媒体而言，三个</w:t>
      </w:r>
      <w:r>
        <w:rPr>
          <w:rFonts w:hint="eastAsia"/>
          <w:sz w:val="24"/>
          <w:lang w:eastAsia="zh-CN"/>
        </w:rPr>
        <w:t>合适的内容</w:t>
      </w:r>
    </w:p>
    <w:p>
      <w:pPr>
        <w:pStyle w:val="Normal0"/>
        <w:ind w:left="1275"/>
        <w:rPr>
          <w:rFonts w:hint="eastAsia"/>
          <w:sz w:val="24"/>
        </w:rPr>
      </w:pPr>
      <w:r>
        <w:rPr>
          <w:rFonts w:hint="eastAsia"/>
          <w:sz w:val="24"/>
        </w:rPr>
        <w:t>都将在同一时候亮相，在短效媒体传播的时候，再按照以上的时间进行排布，以获得整合传播的效果。</w:t>
      </w:r>
    </w:p>
    <w:p>
      <w:pPr>
        <w:pStyle w:val="Normal0"/>
        <w:ind w:left="1275"/>
        <w:rPr>
          <w:rFonts w:hint="eastAsia"/>
          <w:sz w:val="24"/>
        </w:rPr>
      </w:pPr>
    </w:p>
    <w:p>
      <w:pPr>
        <w:pStyle w:val="Normal0"/>
        <w:ind w:left="1275"/>
        <w:rPr>
          <w:rFonts w:hint="eastAsia"/>
          <w:sz w:val="24"/>
        </w:rPr>
      </w:pPr>
    </w:p>
    <w:p>
      <w:pPr>
        <w:pStyle w:val="Normal0"/>
        <w:ind w:left="1275"/>
        <w:rPr>
          <w:rFonts w:hint="eastAsia"/>
          <w:sz w:val="24"/>
        </w:rPr>
      </w:pPr>
    </w:p>
    <w:p>
      <w:pPr>
        <w:pStyle w:val="Normal0"/>
        <w:ind w:left="1275"/>
        <w:rPr>
          <w:rFonts w:hint="eastAsia"/>
          <w:sz w:val="24"/>
        </w:rPr>
      </w:pPr>
    </w:p>
    <w:p>
      <w:pPr>
        <w:pStyle w:val="Normal0"/>
        <w:ind w:left="1275"/>
        <w:rPr>
          <w:rFonts w:hint="eastAsia"/>
          <w:sz w:val="24"/>
        </w:rPr>
      </w:pPr>
    </w:p>
    <w:p>
      <w:pPr>
        <w:pStyle w:val="Normal0"/>
        <w:ind w:left="1275"/>
        <w:rPr>
          <w:rFonts w:hint="eastAsia"/>
          <w:sz w:val="24"/>
        </w:rPr>
      </w:pPr>
    </w:p>
    <w:p>
      <w:pPr>
        <w:pStyle w:val="Normal0"/>
        <w:ind w:left="1275"/>
        <w:rPr>
          <w:rFonts w:hint="eastAsia"/>
          <w:sz w:val="24"/>
        </w:rPr>
      </w:pPr>
    </w:p>
    <w:p>
      <w:pPr>
        <w:pStyle w:val="Normal0"/>
        <w:numPr>
          <w:ilvl w:val="0"/>
          <w:numId w:val="12"/>
        </w:numPr>
        <w:rPr>
          <w:rFonts w:ascii="华文中宋" w:eastAsia="华文中宋" w:hAnsi="华文中宋" w:hint="eastAsia"/>
          <w:b/>
          <w:sz w:val="28"/>
          <w:szCs w:val="28"/>
        </w:rPr>
      </w:pPr>
      <w:r>
        <w:rPr>
          <w:rFonts w:ascii="华文中宋" w:eastAsia="华文中宋" w:hAnsi="华文中宋" w:hint="eastAsia"/>
          <w:b/>
          <w:sz w:val="28"/>
          <w:szCs w:val="28"/>
        </w:rPr>
        <w:t>概念广告风格</w:t>
      </w:r>
    </w:p>
    <w:p>
      <w:pPr>
        <w:pStyle w:val="Normal0"/>
        <w:ind w:left="1275"/>
        <w:rPr>
          <w:rFonts w:hint="eastAsia"/>
          <w:b/>
          <w:sz w:val="24"/>
        </w:rPr>
      </w:pPr>
      <w:r>
        <w:rPr>
          <w:rFonts w:hint="eastAsia"/>
          <w:b/>
          <w:sz w:val="24"/>
        </w:rPr>
        <w:t>1）概念风格主基调</w:t>
      </w:r>
    </w:p>
    <w:p>
      <w:pPr>
        <w:pStyle w:val="Normal0"/>
        <w:ind w:left="1275" w:firstLine="480" w:leftChars="607" w:firstLineChars="200"/>
        <w:rPr>
          <w:rFonts w:hint="eastAsia"/>
          <w:sz w:val="24"/>
        </w:rPr>
      </w:pPr>
      <w:r>
        <w:rPr>
          <w:rFonts w:hint="eastAsia"/>
          <w:sz w:val="24"/>
        </w:rPr>
        <w:t>纵观整体莱蒙都会的概念传播，我们坚持以高度、大气、理性的广告基调进行传播，其中，商业的理性将是贯穿始终的一个基调。</w:t>
      </w:r>
    </w:p>
    <w:p>
      <w:pPr>
        <w:pStyle w:val="Normal0"/>
        <w:ind w:left="1275" w:firstLine="480" w:leftChars="607" w:firstLineChars="200"/>
        <w:rPr>
          <w:rFonts w:hint="eastAsia"/>
          <w:sz w:val="24"/>
        </w:rPr>
      </w:pPr>
    </w:p>
    <w:p>
      <w:pPr>
        <w:pStyle w:val="Normal0"/>
        <w:ind w:left="1275"/>
        <w:rPr>
          <w:rFonts w:hint="eastAsia"/>
          <w:b/>
          <w:sz w:val="24"/>
        </w:rPr>
      </w:pPr>
      <w:r>
        <w:rPr>
          <w:rFonts w:hint="eastAsia"/>
          <w:b/>
          <w:sz w:val="24"/>
        </w:rPr>
        <w:t>2）阶段风格变换</w:t>
      </w:r>
    </w:p>
    <w:p>
      <w:pPr>
        <w:pStyle w:val="Normal0"/>
        <w:ind w:left="1275" w:firstLine="480" w:leftChars="607" w:firstLineChars="200"/>
        <w:rPr>
          <w:rFonts w:hint="eastAsia"/>
          <w:sz w:val="24"/>
        </w:rPr>
      </w:pPr>
      <w:r>
        <w:rPr>
          <w:rFonts w:hint="eastAsia"/>
          <w:sz w:val="24"/>
        </w:rPr>
        <w:t>由于莱蒙都会的广告传播跨度较大，各个时间段内传播侧重有所不同，商业运营的概念传播与前景描绘的概念传播时候，广告风格必然会有所区别，这里将广告阶段风格变换做一个具体说明。</w:t>
      </w:r>
    </w:p>
    <w:p>
      <w:pPr>
        <w:pStyle w:val="Normal0"/>
        <w:ind w:left="1275" w:firstLine="480" w:leftChars="607" w:firstLineChars="200"/>
        <w:rPr>
          <w:rFonts w:hint="eastAsia"/>
          <w:sz w:val="24"/>
        </w:rPr>
      </w:pPr>
      <w:r>
        <w:rPr>
          <w:rFonts w:hint="eastAsia"/>
          <w:sz w:val="24"/>
        </w:rPr>
        <w:t>广告风格按照三个阶段、三个</w:t>
      </w:r>
      <w:r>
        <w:rPr>
          <w:rFonts w:hint="eastAsia"/>
          <w:sz w:val="24"/>
          <w:lang w:eastAsia="zh-CN"/>
        </w:rPr>
        <w:t>合适的内容</w:t>
      </w:r>
      <w:r>
        <w:rPr>
          <w:rFonts w:hint="eastAsia"/>
          <w:sz w:val="24"/>
        </w:rPr>
        <w:t>变换，其中理性商业贯穿始终，我们逐渐将广告风格从“中国经验”的大气转向“中国街区”的现代专项“莱蒙生活”的时尚，形成从理论高度到实际描述的顺利承接。</w:t>
      </w:r>
    </w:p>
    <w:p>
      <w:pPr>
        <w:pStyle w:val="Normal0"/>
        <w:ind w:left="1275" w:firstLine="480" w:leftChars="607" w:firstLineChars="200"/>
        <w:rPr>
          <w:rFonts w:hint="eastAsia"/>
          <w:sz w:val="24"/>
        </w:r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32"/>
        <w:gridCol w:w="2132"/>
        <w:gridCol w:w="2132"/>
        <w:gridCol w:w="213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132" w:type="dxa"/>
            <w:vAlign w:val="center"/>
          </w:tcPr>
          <w:p>
            <w:pPr>
              <w:pStyle w:val="Normal0"/>
              <w:jc w:val="center"/>
              <w:rPr>
                <w:rFonts w:hint="eastAsia"/>
                <w:sz w:val="24"/>
              </w:rPr>
            </w:pPr>
            <w:r>
              <w:rPr>
                <w:rFonts w:hint="eastAsia"/>
                <w:sz w:val="24"/>
              </w:rPr>
              <w:t>广告阶段</w:t>
            </w:r>
          </w:p>
        </w:tc>
        <w:tc>
          <w:tcPr>
            <w:tcW w:w="2132" w:type="dxa"/>
            <w:vAlign w:val="center"/>
          </w:tcPr>
          <w:p>
            <w:pPr>
              <w:pStyle w:val="Normal0"/>
              <w:jc w:val="center"/>
              <w:rPr>
                <w:rFonts w:hint="eastAsia"/>
                <w:sz w:val="24"/>
              </w:rPr>
            </w:pPr>
            <w:r>
              <w:rPr>
                <w:rFonts w:hint="eastAsia"/>
                <w:sz w:val="24"/>
              </w:rPr>
              <w:t>运营理念传播</w:t>
            </w:r>
          </w:p>
        </w:tc>
        <w:tc>
          <w:tcPr>
            <w:tcW w:w="2132" w:type="dxa"/>
            <w:vAlign w:val="center"/>
          </w:tcPr>
          <w:p>
            <w:pPr>
              <w:pStyle w:val="Normal0"/>
              <w:jc w:val="center"/>
              <w:rPr>
                <w:rFonts w:hint="eastAsia"/>
                <w:sz w:val="24"/>
              </w:rPr>
            </w:pPr>
            <w:r>
              <w:rPr>
                <w:rFonts w:hint="eastAsia"/>
                <w:sz w:val="24"/>
                <w:lang w:eastAsia="zh-CN"/>
              </w:rPr>
              <w:t>相关项目</w:t>
            </w:r>
            <w:r>
              <w:rPr>
                <w:rFonts w:hint="eastAsia"/>
                <w:sz w:val="24"/>
              </w:rPr>
              <w:t>介绍传播</w:t>
            </w:r>
          </w:p>
        </w:tc>
        <w:tc>
          <w:tcPr>
            <w:tcW w:w="2132" w:type="dxa"/>
            <w:vAlign w:val="center"/>
          </w:tcPr>
          <w:p>
            <w:pPr>
              <w:pStyle w:val="Normal0"/>
              <w:jc w:val="center"/>
              <w:rPr>
                <w:rFonts w:hint="eastAsia"/>
                <w:sz w:val="24"/>
              </w:rPr>
            </w:pPr>
            <w:r>
              <w:rPr>
                <w:rFonts w:hint="eastAsia"/>
                <w:sz w:val="24"/>
              </w:rPr>
              <w:t>前景展望传播</w:t>
            </w:r>
          </w:p>
        </w:tc>
      </w:tr>
      <w:tr>
        <w:tblPrEx>
          <w:tblW w:w="0" w:type="auto"/>
          <w:tblInd w:w="0" w:type="dxa"/>
          <w:tblCellMar>
            <w:top w:w="0" w:type="dxa"/>
            <w:left w:w="108" w:type="dxa"/>
            <w:bottom w:w="0" w:type="dxa"/>
            <w:right w:w="108" w:type="dxa"/>
          </w:tblCellMar>
        </w:tblPrEx>
        <w:tc>
          <w:tcPr>
            <w:tcW w:w="2132" w:type="dxa"/>
            <w:vAlign w:val="center"/>
          </w:tcPr>
          <w:p>
            <w:pPr>
              <w:pStyle w:val="Normal0"/>
              <w:jc w:val="center"/>
              <w:rPr>
                <w:rFonts w:hint="eastAsia"/>
                <w:sz w:val="24"/>
              </w:rPr>
            </w:pPr>
            <w:r>
              <w:rPr>
                <w:rFonts w:hint="eastAsia"/>
                <w:sz w:val="24"/>
              </w:rPr>
              <w:t>广告</w:t>
            </w:r>
            <w:r>
              <w:rPr>
                <w:rFonts w:hint="eastAsia"/>
                <w:sz w:val="24"/>
                <w:lang w:eastAsia="zh-CN"/>
              </w:rPr>
              <w:t>合适的内容</w:t>
            </w:r>
          </w:p>
        </w:tc>
        <w:tc>
          <w:tcPr>
            <w:tcW w:w="2132" w:type="dxa"/>
            <w:vAlign w:val="center"/>
          </w:tcPr>
          <w:p>
            <w:pPr>
              <w:pStyle w:val="Normal0"/>
              <w:jc w:val="center"/>
              <w:rPr>
                <w:rFonts w:hint="eastAsia"/>
                <w:sz w:val="24"/>
              </w:rPr>
            </w:pPr>
            <w:r>
              <w:rPr>
                <w:rFonts w:hint="eastAsia"/>
                <w:sz w:val="24"/>
              </w:rPr>
              <w:t>中国经验</w:t>
            </w:r>
          </w:p>
        </w:tc>
        <w:tc>
          <w:tcPr>
            <w:tcW w:w="2132" w:type="dxa"/>
            <w:vAlign w:val="center"/>
          </w:tcPr>
          <w:p>
            <w:pPr>
              <w:pStyle w:val="Normal0"/>
              <w:jc w:val="center"/>
              <w:rPr>
                <w:rFonts w:hint="eastAsia"/>
                <w:sz w:val="24"/>
              </w:rPr>
            </w:pPr>
            <w:r>
              <w:rPr>
                <w:rFonts w:hint="eastAsia"/>
                <w:sz w:val="24"/>
              </w:rPr>
              <w:t>中国街区</w:t>
            </w:r>
          </w:p>
        </w:tc>
        <w:tc>
          <w:tcPr>
            <w:tcW w:w="2132" w:type="dxa"/>
            <w:vAlign w:val="center"/>
          </w:tcPr>
          <w:p>
            <w:pPr>
              <w:pStyle w:val="Normal0"/>
              <w:jc w:val="center"/>
              <w:rPr>
                <w:rFonts w:hint="eastAsia"/>
                <w:sz w:val="24"/>
              </w:rPr>
            </w:pPr>
            <w:r>
              <w:rPr>
                <w:rFonts w:hint="eastAsia"/>
                <w:sz w:val="24"/>
              </w:rPr>
              <w:t>莱蒙生活</w:t>
            </w:r>
          </w:p>
        </w:tc>
      </w:tr>
      <w:tr>
        <w:tblPrEx>
          <w:tblW w:w="0" w:type="auto"/>
          <w:tblInd w:w="0" w:type="dxa"/>
          <w:tblCellMar>
            <w:top w:w="0" w:type="dxa"/>
            <w:left w:w="108" w:type="dxa"/>
            <w:bottom w:w="0" w:type="dxa"/>
            <w:right w:w="108" w:type="dxa"/>
          </w:tblCellMar>
        </w:tblPrEx>
        <w:tc>
          <w:tcPr>
            <w:tcW w:w="2132" w:type="dxa"/>
            <w:vAlign w:val="center"/>
          </w:tcPr>
          <w:p>
            <w:pPr>
              <w:pStyle w:val="Normal0"/>
              <w:jc w:val="center"/>
              <w:rPr>
                <w:rFonts w:hint="eastAsia"/>
                <w:sz w:val="24"/>
              </w:rPr>
            </w:pPr>
            <w:r>
              <w:rPr>
                <w:rFonts w:hint="eastAsia"/>
                <w:sz w:val="24"/>
              </w:rPr>
              <w:t>广告风格</w:t>
            </w:r>
          </w:p>
        </w:tc>
        <w:tc>
          <w:tcPr>
            <w:tcW w:w="2132" w:type="dxa"/>
            <w:vAlign w:val="center"/>
          </w:tcPr>
          <w:p>
            <w:pPr>
              <w:pStyle w:val="Normal0"/>
              <w:jc w:val="center"/>
              <w:rPr>
                <w:rFonts w:hint="eastAsia"/>
                <w:sz w:val="24"/>
              </w:rPr>
            </w:pPr>
            <w:r>
              <w:rPr>
                <w:rFonts w:hint="eastAsia"/>
                <w:sz w:val="24"/>
              </w:rPr>
              <w:t>高度、大气、理性</w:t>
            </w:r>
          </w:p>
        </w:tc>
        <w:tc>
          <w:tcPr>
            <w:tcW w:w="2132" w:type="dxa"/>
            <w:vAlign w:val="center"/>
          </w:tcPr>
          <w:p>
            <w:pPr>
              <w:pStyle w:val="Normal0"/>
              <w:jc w:val="center"/>
              <w:rPr>
                <w:rFonts w:hint="eastAsia"/>
                <w:sz w:val="24"/>
              </w:rPr>
            </w:pPr>
            <w:r>
              <w:rPr>
                <w:rFonts w:hint="eastAsia"/>
                <w:sz w:val="24"/>
              </w:rPr>
              <w:t>现代、理性、大气</w:t>
            </w:r>
          </w:p>
        </w:tc>
        <w:tc>
          <w:tcPr>
            <w:tcW w:w="2132" w:type="dxa"/>
            <w:vAlign w:val="center"/>
          </w:tcPr>
          <w:p>
            <w:pPr>
              <w:pStyle w:val="Normal0"/>
              <w:jc w:val="center"/>
              <w:rPr>
                <w:rFonts w:hint="eastAsia"/>
                <w:sz w:val="24"/>
              </w:rPr>
            </w:pPr>
            <w:r>
              <w:rPr>
                <w:rFonts w:hint="eastAsia"/>
                <w:sz w:val="24"/>
              </w:rPr>
              <w:t>时尚、动感、现代</w:t>
            </w:r>
          </w:p>
        </w:tc>
      </w:tr>
    </w:tbl>
    <w:p>
      <w:pPr>
        <w:pStyle w:val="Normal0"/>
        <w:ind w:left="1275" w:firstLine="480" w:leftChars="607" w:firstLineChars="200"/>
        <w:rPr>
          <w:rFonts w:hint="eastAsia"/>
          <w:b/>
          <w:sz w:val="24"/>
        </w:rPr>
      </w:pPr>
    </w:p>
    <w:p>
      <w:pPr>
        <w:pStyle w:val="Normal0"/>
        <w:ind w:left="960" w:hanging="960" w:hangingChars="400"/>
        <w:rPr>
          <w:rFonts w:hint="eastAsia"/>
          <w:sz w:val="24"/>
        </w:rPr>
      </w:pPr>
      <w:r>
        <w:rPr>
          <w:rFonts w:hint="eastAsia"/>
          <w:sz w:val="24"/>
        </w:rPr>
        <w:t xml:space="preserve">           </w:t>
      </w:r>
    </w:p>
    <w:p>
      <w:pPr>
        <w:pStyle w:val="Normal0"/>
        <w:ind w:left="960" w:hanging="960" w:hangingChars="400"/>
        <w:rPr>
          <w:rFonts w:hint="eastAsia"/>
          <w:sz w:val="24"/>
        </w:rPr>
        <w:sectPr>
          <w:headerReference w:type="default" r:id="rId49"/>
          <w:footerReference w:type="default" r:id="rId50"/>
          <w:type w:val="nextPage"/>
          <w:pgSz w:w="11906" w:h="16838"/>
          <w:pgMar w:top="1440" w:right="1797" w:bottom="1440" w:left="1797" w:header="851" w:footer="992" w:gutter="0"/>
          <w:pgNumType w:start="23"/>
          <w:cols w:num="1" w:space="425"/>
          <w:titlePg w:val="0"/>
          <w:docGrid w:type="lines" w:linePitch="290" w:charSpace="0"/>
        </w:sect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ind w:left="960" w:hanging="960" w:hangingChars="400"/>
        <w:rPr>
          <w:rFonts w:hint="eastAsia"/>
          <w:sz w:val="24"/>
        </w:rPr>
      </w:pPr>
    </w:p>
    <w:p>
      <w:pPr>
        <w:pStyle w:val="Normal0"/>
        <w:numPr>
          <w:ilvl w:val="0"/>
          <w:numId w:val="1"/>
        </w:numPr>
        <w:rPr>
          <w:rFonts w:ascii="华文中宋" w:eastAsia="华文中宋" w:hAnsi="华文中宋" w:hint="eastAsia"/>
          <w:b/>
          <w:sz w:val="32"/>
          <w:szCs w:val="32"/>
        </w:rPr>
      </w:pPr>
      <w:r>
        <w:rPr>
          <w:rFonts w:ascii="华文中宋" w:eastAsia="华文中宋" w:hAnsi="华文中宋" w:hint="eastAsia"/>
          <w:b/>
          <w:sz w:val="32"/>
          <w:szCs w:val="32"/>
        </w:rPr>
        <w:t>推广阶段:</w:t>
      </w:r>
    </w:p>
    <w:p>
      <w:pPr>
        <w:pStyle w:val="Normal0"/>
        <w:ind w:firstLine="480" w:firstLineChars="200"/>
        <w:rPr>
          <w:rFonts w:ascii="宋体" w:hAnsi="宋体" w:hint="eastAsia"/>
          <w:sz w:val="24"/>
        </w:rPr>
      </w:pPr>
      <w:r>
        <w:rPr>
          <w:rFonts w:ascii="宋体" w:hAnsi="宋体" w:hint="eastAsia"/>
          <w:sz w:val="24"/>
        </w:rPr>
        <w:t>莱蒙都会新一轮的推广工作已经迫在眉睫，在现阶段，工程进度、销售进度和招商进度都已经有大致的雏形，此次将各个进度做进一步梳理，划分时间结点，为推广的具体</w:t>
      </w:r>
      <w:r>
        <w:rPr>
          <w:rFonts w:ascii="宋体" w:hAnsi="宋体" w:hint="eastAsia"/>
          <w:sz w:val="24"/>
          <w:lang w:eastAsia="zh-CN"/>
        </w:rPr>
        <w:t>相关计划</w:t>
      </w:r>
      <w:r>
        <w:rPr>
          <w:rFonts w:ascii="宋体" w:hAnsi="宋体" w:hint="eastAsia"/>
          <w:sz w:val="24"/>
        </w:rPr>
        <w:t>做时间上的依据。</w:t>
      </w:r>
    </w:p>
    <w:p>
      <w:pPr>
        <w:pStyle w:val="Normal0"/>
        <w:numPr>
          <w:ilvl w:val="1"/>
          <w:numId w:val="1"/>
        </w:numPr>
        <w:rPr>
          <w:rFonts w:ascii="华文中宋" w:eastAsia="华文中宋" w:hAnsi="华文中宋" w:hint="eastAsia"/>
          <w:b/>
          <w:sz w:val="28"/>
          <w:szCs w:val="28"/>
        </w:rPr>
      </w:pPr>
      <w:r>
        <w:rPr>
          <w:rFonts w:ascii="华文中宋" w:eastAsia="华文中宋" w:hAnsi="华文中宋" w:hint="eastAsia"/>
          <w:b/>
          <w:sz w:val="28"/>
          <w:szCs w:val="28"/>
        </w:rPr>
        <w:t>工程进度</w:t>
      </w: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1、2005年7月</w:t>
      </w:r>
    </w:p>
    <w:p>
      <w:pPr>
        <w:pStyle w:val="Normal0"/>
        <w:ind w:firstLine="1320" w:firstLineChars="550"/>
        <w:rPr>
          <w:rFonts w:ascii="宋体" w:hAnsi="宋体" w:hint="eastAsia"/>
          <w:sz w:val="24"/>
        </w:rPr>
      </w:pPr>
      <w:r>
        <w:rPr>
          <w:rFonts w:ascii="宋体" w:hAnsi="宋体" w:hint="eastAsia"/>
          <w:sz w:val="24"/>
        </w:rPr>
        <w:t>1）时间：7月30日</w:t>
      </w:r>
    </w:p>
    <w:p>
      <w:pPr>
        <w:pStyle w:val="Normal0"/>
        <w:ind w:left="855" w:firstLine="480" w:leftChars="407" w:firstLineChars="200"/>
        <w:rPr>
          <w:rFonts w:ascii="宋体" w:hAnsi="宋体" w:hint="eastAsia"/>
          <w:sz w:val="24"/>
        </w:rPr>
      </w:pPr>
      <w:r>
        <w:rPr>
          <w:rFonts w:ascii="宋体" w:hAnsi="宋体" w:hint="eastAsia"/>
          <w:sz w:val="24"/>
        </w:rPr>
        <w:t>2）进度：奠基</w:t>
      </w:r>
    </w:p>
    <w:p>
      <w:pPr>
        <w:pStyle w:val="Normal0"/>
        <w:ind w:left="855" w:firstLine="480" w:leftChars="407" w:firstLineChars="200"/>
        <w:rPr>
          <w:rFonts w:ascii="宋体" w:hAnsi="宋体" w:hint="eastAsia"/>
          <w:sz w:val="24"/>
        </w:rPr>
      </w:pPr>
      <w:r>
        <w:rPr>
          <w:rFonts w:ascii="宋体" w:hAnsi="宋体" w:hint="eastAsia"/>
          <w:sz w:val="24"/>
        </w:rPr>
        <w:t>3）区域：A1-A8</w:t>
      </w:r>
    </w:p>
    <w:p>
      <w:pPr>
        <w:pStyle w:val="Normal0"/>
        <w:ind w:left="855"/>
        <w:rPr>
          <w:rFonts w:ascii="华文中宋" w:eastAsia="华文中宋" w:hAnsi="华文中宋" w:hint="eastAsia"/>
          <w:sz w:val="28"/>
          <w:szCs w:val="28"/>
        </w:rPr>
      </w:pP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2、2005年10月下旬</w:t>
      </w:r>
    </w:p>
    <w:p>
      <w:pPr>
        <w:pStyle w:val="Normal0"/>
        <w:ind w:firstLine="1320" w:firstLineChars="550"/>
        <w:rPr>
          <w:rFonts w:ascii="宋体" w:hAnsi="宋体" w:hint="eastAsia"/>
          <w:sz w:val="24"/>
        </w:rPr>
      </w:pPr>
      <w:r>
        <w:rPr>
          <w:rFonts w:ascii="宋体" w:hAnsi="宋体" w:hint="eastAsia"/>
          <w:sz w:val="24"/>
        </w:rPr>
        <w:t>1）时间：10月下旬</w:t>
      </w:r>
    </w:p>
    <w:p>
      <w:pPr>
        <w:pStyle w:val="Normal0"/>
        <w:ind w:firstLine="1320" w:firstLineChars="550"/>
        <w:rPr>
          <w:rFonts w:ascii="宋体" w:hAnsi="宋体" w:hint="eastAsia"/>
          <w:sz w:val="24"/>
        </w:rPr>
      </w:pPr>
      <w:r>
        <w:rPr>
          <w:rFonts w:ascii="宋体" w:hAnsi="宋体" w:hint="eastAsia"/>
          <w:sz w:val="24"/>
        </w:rPr>
        <w:t>2）进度：开工许可证</w:t>
      </w:r>
    </w:p>
    <w:p>
      <w:pPr>
        <w:pStyle w:val="Normal0"/>
        <w:ind w:left="855" w:firstLine="480" w:leftChars="407" w:firstLineChars="200"/>
        <w:rPr>
          <w:rFonts w:ascii="宋体" w:hAnsi="宋体" w:hint="eastAsia"/>
          <w:sz w:val="24"/>
        </w:rPr>
      </w:pPr>
      <w:r>
        <w:rPr>
          <w:rFonts w:ascii="宋体" w:hAnsi="宋体" w:hint="eastAsia"/>
          <w:sz w:val="24"/>
        </w:rPr>
        <w:t>3）区域：A1-A8</w:t>
      </w:r>
    </w:p>
    <w:p>
      <w:pPr>
        <w:pStyle w:val="Normal0"/>
        <w:ind w:left="855" w:firstLine="480" w:leftChars="407" w:firstLineChars="200"/>
        <w:rPr>
          <w:rFonts w:ascii="宋体" w:hAnsi="宋体" w:hint="eastAsia"/>
          <w:sz w:val="24"/>
        </w:rPr>
      </w:pPr>
    </w:p>
    <w:p>
      <w:pPr>
        <w:pStyle w:val="Normal0"/>
        <w:rPr>
          <w:rFonts w:ascii="华文中宋" w:eastAsia="华文中宋" w:hAnsi="华文中宋" w:hint="eastAsia"/>
          <w:sz w:val="28"/>
          <w:szCs w:val="28"/>
        </w:rPr>
        <w:sectPr>
          <w:headerReference w:type="default" r:id="rId51"/>
          <w:footerReference w:type="default" r:id="rId52"/>
          <w:type w:val="nextPage"/>
          <w:pgSz w:w="11906" w:h="16838"/>
          <w:pgMar w:top="1440" w:right="1797" w:bottom="1440" w:left="1797" w:header="851" w:footer="992" w:gutter="0"/>
          <w:pgNumType w:start="24"/>
          <w:cols w:num="1" w:space="425"/>
          <w:titlePg w:val="0"/>
          <w:docGrid w:type="lines" w:linePitch="290" w:charSpace="0"/>
        </w:sectPr>
      </w:pPr>
      <w:r>
        <w:rPr>
          <w:rFonts w:ascii="华文中宋" w:eastAsia="华文中宋" w:hAnsi="华文中宋" w:hint="eastAsia"/>
          <w:sz w:val="28"/>
          <w:szCs w:val="28"/>
        </w:rPr>
        <w:t xml:space="preserve">      3、2005年11月</w:t>
      </w:r>
    </w:p>
    <w:p>
      <w:pPr>
        <w:pStyle w:val="Normal0"/>
        <w:ind w:firstLine="1320" w:firstLineChars="550"/>
        <w:rPr>
          <w:rFonts w:ascii="宋体" w:hAnsi="宋体" w:hint="eastAsia"/>
          <w:sz w:val="24"/>
        </w:rPr>
      </w:pPr>
      <w:r>
        <w:rPr>
          <w:rFonts w:ascii="宋体" w:hAnsi="宋体" w:hint="eastAsia"/>
          <w:sz w:val="24"/>
        </w:rPr>
        <w:t>1）时间：11月中旬</w:t>
      </w:r>
    </w:p>
    <w:p>
      <w:pPr>
        <w:pStyle w:val="Normal0"/>
        <w:ind w:left="855" w:firstLine="480" w:leftChars="407" w:firstLineChars="200"/>
        <w:rPr>
          <w:rFonts w:ascii="宋体" w:hAnsi="宋体" w:hint="eastAsia"/>
          <w:sz w:val="24"/>
        </w:rPr>
      </w:pPr>
      <w:r>
        <w:rPr>
          <w:rFonts w:ascii="宋体" w:hAnsi="宋体" w:hint="eastAsia"/>
          <w:sz w:val="24"/>
        </w:rPr>
        <w:t>2）进度：正负零</w:t>
      </w:r>
    </w:p>
    <w:p>
      <w:pPr>
        <w:pStyle w:val="Normal0"/>
        <w:ind w:left="855" w:firstLine="480" w:leftChars="407" w:firstLineChars="200"/>
        <w:rPr>
          <w:rFonts w:ascii="宋体" w:hAnsi="宋体" w:hint="eastAsia"/>
          <w:sz w:val="24"/>
        </w:rPr>
      </w:pPr>
      <w:r>
        <w:rPr>
          <w:rFonts w:ascii="宋体" w:hAnsi="宋体" w:hint="eastAsia"/>
          <w:sz w:val="24"/>
        </w:rPr>
        <w:t>3）区域：A1-A8</w:t>
      </w:r>
    </w:p>
    <w:p>
      <w:pPr>
        <w:pStyle w:val="Normal0"/>
        <w:rPr>
          <w:rFonts w:ascii="华文中宋" w:eastAsia="华文中宋" w:hAnsi="华文中宋" w:hint="eastAsia"/>
          <w:sz w:val="28"/>
          <w:szCs w:val="28"/>
        </w:rPr>
      </w:pPr>
    </w:p>
    <w:p>
      <w:pPr>
        <w:pStyle w:val="Normal0"/>
        <w:numPr>
          <w:ilvl w:val="1"/>
          <w:numId w:val="1"/>
        </w:numPr>
        <w:rPr>
          <w:rFonts w:ascii="华文中宋" w:eastAsia="华文中宋" w:hAnsi="华文中宋" w:hint="eastAsia"/>
          <w:b/>
          <w:sz w:val="28"/>
          <w:szCs w:val="28"/>
        </w:rPr>
      </w:pPr>
      <w:r>
        <w:rPr>
          <w:rFonts w:ascii="华文中宋" w:eastAsia="华文中宋" w:hAnsi="华文中宋" w:hint="eastAsia"/>
          <w:b/>
          <w:sz w:val="28"/>
          <w:szCs w:val="28"/>
        </w:rPr>
        <w:t>销售进度</w:t>
      </w: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1、2005年11月下旬</w:t>
      </w:r>
    </w:p>
    <w:p>
      <w:pPr>
        <w:pStyle w:val="Normal0"/>
        <w:ind w:left="855" w:firstLine="480" w:leftChars="407" w:firstLineChars="200"/>
        <w:rPr>
          <w:rFonts w:ascii="宋体" w:hAnsi="宋体" w:hint="eastAsia"/>
          <w:sz w:val="24"/>
        </w:rPr>
      </w:pPr>
      <w:r>
        <w:rPr>
          <w:rFonts w:ascii="宋体" w:hAnsi="宋体" w:hint="eastAsia"/>
          <w:sz w:val="24"/>
        </w:rPr>
        <w:t>1）时间进度：11月15日预售证拿到</w:t>
      </w:r>
    </w:p>
    <w:p>
      <w:pPr>
        <w:pStyle w:val="Normal0"/>
        <w:ind w:left="855" w:firstLine="480" w:leftChars="407" w:firstLineChars="200"/>
        <w:rPr>
          <w:rFonts w:ascii="宋体" w:hAnsi="宋体" w:hint="eastAsia"/>
          <w:sz w:val="24"/>
        </w:rPr>
      </w:pPr>
      <w:r>
        <w:rPr>
          <w:rFonts w:ascii="宋体" w:hAnsi="宋体" w:hint="eastAsia"/>
          <w:sz w:val="24"/>
        </w:rPr>
        <w:t>2）销售区域：A1-A8</w:t>
      </w:r>
    </w:p>
    <w:p>
      <w:pPr>
        <w:pStyle w:val="Normal0"/>
        <w:ind w:left="855" w:firstLine="480" w:leftChars="407" w:firstLineChars="200"/>
        <w:rPr>
          <w:rFonts w:ascii="宋体" w:hAnsi="宋体" w:hint="eastAsia"/>
          <w:sz w:val="24"/>
        </w:rPr>
      </w:pPr>
      <w:r>
        <w:rPr>
          <w:rFonts w:ascii="宋体" w:hAnsi="宋体" w:hint="eastAsia"/>
          <w:sz w:val="24"/>
        </w:rPr>
        <w:t>3）物业类型：商业</w:t>
      </w:r>
    </w:p>
    <w:p>
      <w:pPr>
        <w:pStyle w:val="Normal0"/>
        <w:ind w:left="855" w:firstLine="480" w:leftChars="407" w:firstLineChars="200"/>
        <w:rPr>
          <w:rFonts w:ascii="宋体" w:hAnsi="宋体" w:hint="eastAsia"/>
          <w:sz w:val="24"/>
        </w:rPr>
      </w:pPr>
      <w:r>
        <w:rPr>
          <w:rFonts w:ascii="宋体" w:hAnsi="宋体" w:hint="eastAsia"/>
          <w:sz w:val="24"/>
        </w:rPr>
        <w:t>4）销售面积：16569平方米</w:t>
      </w:r>
    </w:p>
    <w:p>
      <w:pPr>
        <w:pStyle w:val="Normal0"/>
        <w:ind w:left="855" w:firstLine="480" w:leftChars="407" w:firstLineChars="200"/>
        <w:rPr>
          <w:rFonts w:ascii="华文中宋" w:eastAsia="华文中宋" w:hAnsi="华文中宋" w:hint="eastAsia"/>
          <w:sz w:val="24"/>
        </w:rPr>
      </w:pP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2、2006年3月中旬，</w:t>
      </w:r>
    </w:p>
    <w:p>
      <w:pPr>
        <w:pStyle w:val="Normal0"/>
        <w:ind w:left="855" w:firstLine="480" w:leftChars="407" w:firstLineChars="200"/>
        <w:rPr>
          <w:rFonts w:ascii="宋体" w:hAnsi="宋体" w:hint="eastAsia"/>
          <w:sz w:val="24"/>
        </w:rPr>
      </w:pPr>
      <w:r>
        <w:rPr>
          <w:rFonts w:ascii="宋体" w:hAnsi="宋体" w:hint="eastAsia"/>
          <w:sz w:val="24"/>
        </w:rPr>
        <w:t>1）时间进度：11月15日拿到预售证</w:t>
      </w:r>
    </w:p>
    <w:p>
      <w:pPr>
        <w:pStyle w:val="Normal0"/>
        <w:ind w:left="855" w:firstLine="480" w:leftChars="407" w:firstLineChars="200"/>
        <w:rPr>
          <w:rFonts w:ascii="宋体" w:hAnsi="宋体" w:hint="eastAsia"/>
          <w:sz w:val="24"/>
        </w:rPr>
      </w:pPr>
      <w:r>
        <w:rPr>
          <w:rFonts w:ascii="宋体" w:hAnsi="宋体" w:hint="eastAsia"/>
          <w:sz w:val="24"/>
        </w:rPr>
        <w:t>2）销售区域：A7-A8</w:t>
      </w:r>
    </w:p>
    <w:p>
      <w:pPr>
        <w:pStyle w:val="Normal0"/>
        <w:ind w:left="855" w:firstLine="480" w:leftChars="407" w:firstLineChars="200"/>
        <w:rPr>
          <w:rFonts w:ascii="宋体" w:hAnsi="宋体" w:hint="eastAsia"/>
          <w:sz w:val="24"/>
        </w:rPr>
      </w:pPr>
      <w:r>
        <w:rPr>
          <w:rFonts w:ascii="宋体" w:hAnsi="宋体" w:hint="eastAsia"/>
          <w:sz w:val="24"/>
        </w:rPr>
        <w:t>3）销售物业：公寓</w:t>
      </w:r>
    </w:p>
    <w:p>
      <w:pPr>
        <w:pStyle w:val="Normal0"/>
        <w:ind w:left="855" w:firstLine="480" w:leftChars="407" w:firstLineChars="200"/>
        <w:rPr>
          <w:rFonts w:ascii="宋体" w:hAnsi="宋体" w:hint="eastAsia"/>
          <w:sz w:val="24"/>
        </w:rPr>
      </w:pPr>
      <w:r>
        <w:rPr>
          <w:rFonts w:ascii="宋体" w:hAnsi="宋体" w:hint="eastAsia"/>
          <w:sz w:val="24"/>
        </w:rPr>
        <w:t>4）销售面积：住宅3252平方米</w:t>
      </w:r>
    </w:p>
    <w:p>
      <w:pPr>
        <w:pStyle w:val="Normal0"/>
        <w:ind w:left="855" w:firstLine="480" w:leftChars="407" w:firstLineChars="200"/>
        <w:rPr>
          <w:rFonts w:ascii="宋体" w:hAnsi="宋体" w:hint="eastAsia"/>
          <w:sz w:val="24"/>
        </w:rPr>
      </w:pP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3、2006年6月中旬</w:t>
      </w:r>
    </w:p>
    <w:p>
      <w:pPr>
        <w:pStyle w:val="Normal0"/>
        <w:ind w:left="855" w:firstLine="480" w:leftChars="407" w:firstLineChars="200"/>
        <w:rPr>
          <w:rFonts w:ascii="宋体" w:hAnsi="宋体" w:hint="eastAsia"/>
          <w:sz w:val="24"/>
        </w:rPr>
      </w:pPr>
      <w:r>
        <w:rPr>
          <w:rFonts w:ascii="宋体" w:hAnsi="宋体" w:hint="eastAsia"/>
          <w:sz w:val="24"/>
        </w:rPr>
        <w:t>1）时间进度：11月15日拿到预售证</w:t>
      </w:r>
    </w:p>
    <w:p>
      <w:pPr>
        <w:pStyle w:val="Normal0"/>
        <w:ind w:left="855" w:firstLine="480" w:leftChars="407" w:firstLineChars="200"/>
        <w:rPr>
          <w:rFonts w:ascii="宋体" w:hAnsi="宋体" w:hint="eastAsia"/>
          <w:sz w:val="24"/>
        </w:rPr>
      </w:pPr>
      <w:r>
        <w:rPr>
          <w:rFonts w:ascii="宋体" w:hAnsi="宋体" w:hint="eastAsia"/>
          <w:sz w:val="24"/>
        </w:rPr>
        <w:t>2）销售区域：B区</w:t>
      </w:r>
    </w:p>
    <w:p>
      <w:pPr>
        <w:pStyle w:val="Normal0"/>
        <w:ind w:left="855" w:firstLine="480" w:leftChars="407" w:firstLineChars="200"/>
        <w:rPr>
          <w:rFonts w:ascii="宋体" w:hAnsi="宋体" w:hint="eastAsia"/>
          <w:sz w:val="24"/>
        </w:rPr>
      </w:pPr>
      <w:r>
        <w:rPr>
          <w:rFonts w:ascii="宋体" w:hAnsi="宋体" w:hint="eastAsia"/>
          <w:sz w:val="24"/>
        </w:rPr>
        <w:t>3）销售物业：商业、住宅</w:t>
      </w:r>
    </w:p>
    <w:p>
      <w:pPr>
        <w:pStyle w:val="Normal0"/>
        <w:ind w:left="855" w:firstLine="480" w:leftChars="407" w:firstLineChars="200"/>
        <w:rPr>
          <w:rFonts w:ascii="宋体" w:hAnsi="宋体" w:hint="eastAsia"/>
          <w:sz w:val="24"/>
        </w:rPr>
      </w:pPr>
      <w:r>
        <w:rPr>
          <w:rFonts w:ascii="宋体" w:hAnsi="宋体" w:hint="eastAsia"/>
          <w:sz w:val="24"/>
        </w:rPr>
        <w:t>4）销售面积：未知</w:t>
      </w:r>
    </w:p>
    <w:p>
      <w:pPr>
        <w:pStyle w:val="Normal0"/>
        <w:rPr>
          <w:rFonts w:ascii="宋体" w:hAnsi="宋体" w:hint="eastAsia"/>
          <w:sz w:val="24"/>
        </w:rPr>
        <w:sectPr>
          <w:headerReference w:type="default" r:id="rId53"/>
          <w:footerReference w:type="default" r:id="rId54"/>
          <w:type w:val="nextPage"/>
          <w:pgSz w:w="11906" w:h="16838"/>
          <w:pgMar w:top="1440" w:right="1797" w:bottom="1440" w:left="1797" w:header="851" w:footer="992" w:gutter="0"/>
          <w:pgNumType w:start="25"/>
          <w:cols w:num="1" w:space="425"/>
          <w:titlePg w:val="0"/>
          <w:docGrid w:type="lines" w:linePitch="290" w:charSpace="0"/>
        </w:sectPr>
      </w:pPr>
    </w:p>
    <w:p>
      <w:pPr>
        <w:pStyle w:val="Normal0"/>
        <w:numPr>
          <w:ilvl w:val="1"/>
          <w:numId w:val="1"/>
        </w:numPr>
        <w:rPr>
          <w:rFonts w:ascii="华文中宋" w:eastAsia="华文中宋" w:hAnsi="华文中宋" w:hint="eastAsia"/>
          <w:b/>
          <w:sz w:val="28"/>
          <w:szCs w:val="28"/>
        </w:rPr>
      </w:pPr>
      <w:r>
        <w:rPr>
          <w:rFonts w:ascii="华文中宋" w:eastAsia="华文中宋" w:hAnsi="华文中宋" w:hint="eastAsia"/>
          <w:b/>
          <w:sz w:val="28"/>
          <w:szCs w:val="28"/>
        </w:rPr>
        <w:t>招商进度</w:t>
      </w: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1、2005年</w:t>
      </w:r>
    </w:p>
    <w:p>
      <w:pPr>
        <w:pStyle w:val="Normal0"/>
        <w:ind w:left="855" w:firstLine="480" w:leftChars="407" w:firstLineChars="200"/>
        <w:rPr>
          <w:rFonts w:ascii="宋体" w:hAnsi="宋体" w:hint="eastAsia"/>
          <w:sz w:val="24"/>
        </w:rPr>
      </w:pPr>
      <w:r>
        <w:rPr>
          <w:rFonts w:ascii="宋体" w:hAnsi="宋体" w:hint="eastAsia"/>
          <w:sz w:val="24"/>
        </w:rPr>
        <w:t>1）时间进度：现在</w:t>
      </w:r>
      <w:r>
        <w:rPr>
          <w:rFonts w:ascii="宋体" w:hAnsi="宋体" w:hint="eastAsia"/>
          <w:sz w:val="24"/>
        </w:rPr>
        <w:softHyphen/>
      </w:r>
      <w:r>
        <w:rPr>
          <w:rFonts w:ascii="宋体" w:hAnsi="宋体" w:hint="eastAsia"/>
          <w:sz w:val="24"/>
        </w:rPr>
        <w:softHyphen/>
      </w:r>
      <w:r>
        <w:rPr>
          <w:rFonts w:ascii="宋体" w:hAnsi="宋体" w:hint="eastAsia"/>
          <w:sz w:val="24"/>
        </w:rPr>
        <w:t>—2005年12月</w:t>
      </w:r>
    </w:p>
    <w:p>
      <w:pPr>
        <w:pStyle w:val="Normal0"/>
        <w:ind w:left="855" w:firstLine="480" w:leftChars="407" w:firstLineChars="200"/>
        <w:rPr>
          <w:rFonts w:ascii="宋体" w:hAnsi="宋体" w:hint="eastAsia"/>
          <w:sz w:val="24"/>
        </w:rPr>
      </w:pPr>
      <w:r>
        <w:rPr>
          <w:rFonts w:ascii="宋体" w:hAnsi="宋体" w:hint="eastAsia"/>
          <w:sz w:val="24"/>
        </w:rPr>
        <w:t>2）招商级别：一级招商</w:t>
      </w:r>
    </w:p>
    <w:p>
      <w:pPr>
        <w:pStyle w:val="Normal0"/>
        <w:ind w:left="855" w:firstLine="480" w:leftChars="407" w:firstLineChars="200"/>
        <w:rPr>
          <w:rFonts w:ascii="宋体" w:hAnsi="宋体" w:hint="eastAsia"/>
          <w:sz w:val="24"/>
        </w:rPr>
      </w:pPr>
      <w:r>
        <w:rPr>
          <w:rFonts w:ascii="宋体" w:hAnsi="宋体" w:hint="eastAsia"/>
          <w:sz w:val="24"/>
        </w:rPr>
        <w:t>3）招商地域：全球招商</w:t>
      </w:r>
    </w:p>
    <w:p>
      <w:pPr>
        <w:pStyle w:val="Normal0"/>
        <w:ind w:left="855" w:firstLine="480" w:leftChars="407" w:firstLineChars="200"/>
        <w:rPr>
          <w:rFonts w:ascii="宋体" w:hAnsi="宋体" w:hint="eastAsia"/>
          <w:sz w:val="24"/>
        </w:rPr>
      </w:pPr>
      <w:r>
        <w:rPr>
          <w:rFonts w:ascii="宋体" w:hAnsi="宋体" w:hint="eastAsia"/>
          <w:sz w:val="24"/>
        </w:rPr>
        <w:t>4）招商区域：A区为主，兼顾B区、C区</w:t>
      </w:r>
    </w:p>
    <w:p>
      <w:pPr>
        <w:pStyle w:val="Normal0"/>
        <w:ind w:left="855" w:firstLine="480" w:leftChars="407" w:firstLineChars="200"/>
        <w:rPr>
          <w:rFonts w:ascii="宋体" w:hAnsi="宋体" w:hint="eastAsia"/>
          <w:sz w:val="24"/>
        </w:rPr>
      </w:pPr>
      <w:r>
        <w:rPr>
          <w:rFonts w:ascii="宋体" w:hAnsi="宋体" w:hint="eastAsia"/>
          <w:sz w:val="24"/>
        </w:rPr>
        <w:t>5）招商对象：主力店（沃尔玛、时代华纳等）</w:t>
      </w:r>
    </w:p>
    <w:p>
      <w:pPr>
        <w:pStyle w:val="Normal0"/>
        <w:ind w:left="855"/>
        <w:rPr>
          <w:rFonts w:ascii="华文中宋" w:eastAsia="华文中宋" w:hAnsi="华文中宋" w:hint="eastAsia"/>
          <w:sz w:val="28"/>
          <w:szCs w:val="28"/>
        </w:rPr>
      </w:pPr>
    </w:p>
    <w:p>
      <w:pPr>
        <w:pStyle w:val="Normal0"/>
        <w:ind w:left="855"/>
        <w:rPr>
          <w:rFonts w:ascii="华文中宋" w:eastAsia="华文中宋" w:hAnsi="华文中宋" w:hint="eastAsia"/>
          <w:sz w:val="28"/>
          <w:szCs w:val="28"/>
        </w:rPr>
      </w:pP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2、2006、2007年</w:t>
      </w:r>
    </w:p>
    <w:p>
      <w:pPr>
        <w:pStyle w:val="Normal0"/>
        <w:ind w:left="855" w:firstLine="480" w:leftChars="407" w:firstLineChars="200"/>
        <w:rPr>
          <w:rFonts w:ascii="宋体" w:hAnsi="宋体" w:hint="eastAsia"/>
          <w:sz w:val="24"/>
        </w:rPr>
      </w:pPr>
      <w:r>
        <w:rPr>
          <w:rFonts w:ascii="宋体" w:hAnsi="宋体" w:hint="eastAsia"/>
          <w:sz w:val="24"/>
        </w:rPr>
        <w:t>1）时间进度：2005年10月—2007年5月</w:t>
      </w:r>
    </w:p>
    <w:p>
      <w:pPr>
        <w:pStyle w:val="Normal0"/>
        <w:ind w:left="855" w:firstLine="480" w:leftChars="407" w:firstLineChars="200"/>
        <w:rPr>
          <w:rFonts w:ascii="宋体" w:hAnsi="宋体" w:hint="eastAsia"/>
          <w:sz w:val="24"/>
        </w:rPr>
      </w:pPr>
      <w:r>
        <w:rPr>
          <w:rFonts w:ascii="宋体" w:hAnsi="宋体" w:hint="eastAsia"/>
          <w:sz w:val="24"/>
        </w:rPr>
        <w:t>2）招商级别：二级招商</w:t>
      </w:r>
    </w:p>
    <w:p>
      <w:pPr>
        <w:pStyle w:val="Normal0"/>
        <w:ind w:left="855" w:firstLine="480" w:leftChars="407" w:firstLineChars="200"/>
        <w:rPr>
          <w:rFonts w:ascii="宋体" w:hAnsi="宋体" w:hint="eastAsia"/>
          <w:sz w:val="24"/>
        </w:rPr>
      </w:pPr>
      <w:r>
        <w:rPr>
          <w:rFonts w:ascii="宋体" w:hAnsi="宋体" w:hint="eastAsia"/>
          <w:sz w:val="24"/>
        </w:rPr>
        <w:t>3）招商地域：全国重点城市，北京、上海、成都、深广</w:t>
      </w:r>
    </w:p>
    <w:p>
      <w:pPr>
        <w:pStyle w:val="Normal0"/>
        <w:ind w:left="855" w:firstLine="480" w:leftChars="407" w:firstLineChars="200"/>
        <w:rPr>
          <w:rFonts w:ascii="宋体" w:hAnsi="宋体" w:hint="eastAsia"/>
          <w:sz w:val="24"/>
        </w:rPr>
      </w:pPr>
      <w:r>
        <w:rPr>
          <w:rFonts w:ascii="宋体" w:hAnsi="宋体" w:hint="eastAsia"/>
          <w:sz w:val="24"/>
        </w:rPr>
        <w:t>4）招商区域：A区、B区、C区</w:t>
      </w:r>
    </w:p>
    <w:p>
      <w:pPr>
        <w:pStyle w:val="Normal0"/>
        <w:ind w:left="855" w:firstLine="480" w:leftChars="407" w:firstLineChars="200"/>
        <w:rPr>
          <w:rFonts w:ascii="宋体" w:hAnsi="宋体" w:hint="eastAsia"/>
          <w:sz w:val="24"/>
        </w:rPr>
      </w:pPr>
      <w:r>
        <w:rPr>
          <w:rFonts w:ascii="宋体" w:hAnsi="宋体" w:hint="eastAsia"/>
          <w:sz w:val="24"/>
        </w:rPr>
        <w:t>5）招商对象：专业店、主题店（餐饮、娱乐、购物等）</w:t>
      </w:r>
    </w:p>
    <w:p>
      <w:pPr>
        <w:pStyle w:val="Normal0"/>
        <w:rPr>
          <w:rFonts w:ascii="华文中宋" w:eastAsia="华文中宋" w:hAnsi="华文中宋" w:hint="eastAsia"/>
          <w:sz w:val="28"/>
          <w:szCs w:val="28"/>
        </w:rPr>
      </w:pP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3、2007年</w:t>
      </w:r>
    </w:p>
    <w:p>
      <w:pPr>
        <w:pStyle w:val="Normal0"/>
        <w:ind w:left="855" w:firstLine="480" w:leftChars="407" w:firstLineChars="200"/>
        <w:rPr>
          <w:rFonts w:ascii="宋体" w:hAnsi="宋体" w:hint="eastAsia"/>
          <w:sz w:val="24"/>
        </w:rPr>
      </w:pPr>
      <w:r>
        <w:rPr>
          <w:rFonts w:ascii="宋体" w:hAnsi="宋体" w:hint="eastAsia"/>
          <w:sz w:val="24"/>
        </w:rPr>
        <w:t>1）时间进度：2007年2月—2007年12月</w:t>
      </w:r>
    </w:p>
    <w:p>
      <w:pPr>
        <w:pStyle w:val="Normal0"/>
        <w:ind w:left="855" w:firstLine="480" w:leftChars="407" w:firstLineChars="200"/>
        <w:rPr>
          <w:rFonts w:ascii="宋体" w:hAnsi="宋体" w:hint="eastAsia"/>
          <w:sz w:val="24"/>
        </w:rPr>
      </w:pPr>
      <w:r>
        <w:rPr>
          <w:rFonts w:ascii="宋体" w:hAnsi="宋体" w:hint="eastAsia"/>
          <w:sz w:val="24"/>
        </w:rPr>
        <w:t>2）招商级别：三级招商</w:t>
      </w:r>
    </w:p>
    <w:p>
      <w:pPr>
        <w:pStyle w:val="Normal0"/>
        <w:ind w:left="855" w:firstLine="480" w:leftChars="407" w:firstLineChars="200"/>
        <w:rPr>
          <w:rFonts w:ascii="宋体" w:hAnsi="宋体" w:hint="eastAsia"/>
          <w:sz w:val="24"/>
        </w:rPr>
      </w:pPr>
      <w:r>
        <w:rPr>
          <w:rFonts w:ascii="宋体" w:hAnsi="宋体" w:hint="eastAsia"/>
          <w:sz w:val="24"/>
        </w:rPr>
        <w:t>3）招商地域：常州及周边</w:t>
      </w:r>
    </w:p>
    <w:p>
      <w:pPr>
        <w:pStyle w:val="Normal0"/>
        <w:ind w:left="855" w:firstLine="480" w:leftChars="407" w:firstLineChars="200"/>
        <w:rPr>
          <w:rFonts w:ascii="宋体" w:hAnsi="宋体" w:hint="eastAsia"/>
          <w:sz w:val="24"/>
        </w:rPr>
      </w:pPr>
      <w:r>
        <w:rPr>
          <w:rFonts w:ascii="宋体" w:hAnsi="宋体" w:hint="eastAsia"/>
          <w:sz w:val="24"/>
        </w:rPr>
        <w:t>4）招商区域：A区、B区、C区</w:t>
      </w:r>
    </w:p>
    <w:p>
      <w:pPr>
        <w:pStyle w:val="Normal0"/>
        <w:ind w:left="855" w:firstLine="480" w:leftChars="407" w:firstLineChars="200"/>
        <w:rPr>
          <w:rFonts w:ascii="宋体" w:hAnsi="宋体" w:hint="eastAsia"/>
          <w:sz w:val="24"/>
        </w:rPr>
      </w:pPr>
      <w:r>
        <w:rPr>
          <w:rFonts w:ascii="宋体" w:hAnsi="宋体" w:hint="eastAsia"/>
          <w:sz w:val="24"/>
        </w:rPr>
        <w:t>5）招商对象：零售店、特色店、酒吧咖啡馆等</w:t>
      </w:r>
    </w:p>
    <w:p>
      <w:pPr>
        <w:pStyle w:val="Normal0"/>
        <w:ind w:left="1140"/>
        <w:rPr>
          <w:rFonts w:hint="eastAsia"/>
          <w:sz w:val="28"/>
          <w:szCs w:val="28"/>
        </w:rPr>
        <w:sectPr>
          <w:headerReference w:type="default" r:id="rId55"/>
          <w:footerReference w:type="default" r:id="rId56"/>
          <w:type w:val="nextPage"/>
          <w:pgSz w:w="11906" w:h="16838"/>
          <w:pgMar w:top="1440" w:right="1797" w:bottom="1440" w:left="1797" w:header="851" w:footer="992" w:gutter="0"/>
          <w:pgNumType w:start="26"/>
          <w:cols w:num="1" w:space="425"/>
          <w:titlePg w:val="0"/>
          <w:docGrid w:type="lines" w:linePitch="290" w:charSpace="0"/>
        </w:sectPr>
      </w:pPr>
    </w:p>
    <w:p>
      <w:pPr>
        <w:pStyle w:val="Normal0"/>
        <w:numPr>
          <w:ilvl w:val="1"/>
          <w:numId w:val="1"/>
        </w:numPr>
        <w:rPr>
          <w:rFonts w:ascii="华文中宋" w:eastAsia="华文中宋" w:hAnsi="华文中宋" w:hint="eastAsia"/>
          <w:b/>
          <w:sz w:val="28"/>
          <w:szCs w:val="28"/>
        </w:rPr>
      </w:pPr>
      <w:r>
        <w:rPr>
          <w:rFonts w:ascii="华文中宋" w:eastAsia="华文中宋" w:hAnsi="华文中宋" w:hint="eastAsia"/>
          <w:b/>
          <w:sz w:val="28"/>
          <w:szCs w:val="28"/>
        </w:rPr>
        <w:t>推广阶段</w:t>
      </w:r>
    </w:p>
    <w:p>
      <w:pPr>
        <w:pStyle w:val="Normal0"/>
        <w:ind w:firstLine="480" w:firstLineChars="200"/>
        <w:rPr>
          <w:rFonts w:ascii="宋体" w:hAnsi="宋体" w:hint="eastAsia"/>
          <w:sz w:val="24"/>
        </w:rPr>
      </w:pPr>
      <w:r>
        <w:rPr>
          <w:rFonts w:ascii="宋体" w:hAnsi="宋体" w:hint="eastAsia"/>
          <w:sz w:val="24"/>
        </w:rPr>
        <w:t>根据工程进度、招商进度和销售进度，我们发现，在</w:t>
      </w:r>
      <w:r>
        <w:rPr>
          <w:rFonts w:ascii="宋体" w:hAnsi="宋体" w:hint="eastAsia"/>
          <w:sz w:val="24"/>
          <w:lang w:eastAsia="zh-CN"/>
        </w:rPr>
        <w:t>相关项目</w:t>
      </w:r>
      <w:r>
        <w:rPr>
          <w:rFonts w:ascii="宋体" w:hAnsi="宋体" w:hint="eastAsia"/>
          <w:sz w:val="24"/>
        </w:rPr>
        <w:t>推广时候，2005年11月、2006年1月、2006年3月为主要的时间结点，我们根据这几个结点，将近期的推广阶段，做清晰的划分。后续的推广阶段，则做模糊的大段的划分，以明确推广方向。</w:t>
      </w:r>
    </w:p>
    <w:p>
      <w:pPr>
        <w:pStyle w:val="Normal0"/>
        <w:ind w:firstLine="480" w:firstLineChars="200"/>
        <w:rPr>
          <w:rFonts w:ascii="宋体" w:hAnsi="宋体" w:hint="eastAsia"/>
          <w:sz w:val="24"/>
        </w:rPr>
      </w:pPr>
      <w:r>
        <w:rPr>
          <w:rFonts w:ascii="宋体" w:hAnsi="宋体" w:hint="eastAsia"/>
          <w:sz w:val="24"/>
        </w:rPr>
        <w:t>在推广阶段的划分时，由于</w:t>
      </w:r>
      <w:r>
        <w:rPr>
          <w:rFonts w:ascii="宋体" w:hAnsi="宋体" w:hint="eastAsia"/>
          <w:sz w:val="24"/>
          <w:lang w:eastAsia="zh-CN"/>
        </w:rPr>
        <w:t>相关项目</w:t>
      </w:r>
      <w:r>
        <w:rPr>
          <w:rFonts w:ascii="宋体" w:hAnsi="宋体" w:hint="eastAsia"/>
          <w:sz w:val="24"/>
        </w:rPr>
        <w:t>的形象传播、销售促进、招商促进和前景描述的推广均需要涉及，因此这里的阶段以以下标准进行：</w:t>
      </w:r>
    </w:p>
    <w:p>
      <w:pPr>
        <w:pStyle w:val="Normal0"/>
        <w:ind w:firstLine="480" w:firstLineChars="200"/>
        <w:rPr>
          <w:rFonts w:ascii="宋体" w:hAnsi="宋体" w:hint="eastAsia"/>
          <w:sz w:val="24"/>
        </w:rPr>
      </w:pPr>
      <w:r>
        <w:rPr>
          <w:rFonts w:ascii="宋体" w:hAnsi="宋体" w:hint="eastAsia"/>
          <w:sz w:val="24"/>
        </w:rPr>
        <w:t>长三角的形象传播――本地的形象传播――本地的销售促进――异地的定点销售――异地招商促进――本地招商促进――本地消费吸引。</w:t>
      </w:r>
    </w:p>
    <w:p>
      <w:pPr>
        <w:pStyle w:val="Normal0"/>
        <w:ind w:firstLine="480" w:firstLineChars="200"/>
        <w:rPr>
          <w:rFonts w:ascii="宋体" w:hAnsi="宋体" w:hint="eastAsia"/>
          <w:sz w:val="24"/>
        </w:rPr>
      </w:pPr>
      <w:r>
        <w:rPr>
          <w:rFonts w:ascii="宋体" w:hAnsi="宋体" w:hint="eastAsia"/>
          <w:sz w:val="24"/>
        </w:rPr>
        <w:t>具体的推广阶段划分如下：</w:t>
      </w: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1、2005年－整体加温期</w:t>
      </w:r>
    </w:p>
    <w:p>
      <w:pPr>
        <w:pStyle w:val="Normal0"/>
        <w:ind w:left="855" w:firstLine="480" w:leftChars="407" w:firstLineChars="200"/>
        <w:rPr>
          <w:rFonts w:ascii="宋体" w:hAnsi="宋体" w:hint="eastAsia"/>
          <w:sz w:val="24"/>
        </w:rPr>
      </w:pPr>
      <w:r>
        <w:rPr>
          <w:rFonts w:ascii="宋体" w:hAnsi="宋体" w:hint="eastAsia"/>
          <w:sz w:val="24"/>
        </w:rPr>
        <w:t>1）时间进度：2005年9月—2005年10月</w:t>
      </w:r>
    </w:p>
    <w:p>
      <w:pPr>
        <w:pStyle w:val="Normal0"/>
        <w:ind w:left="855" w:firstLine="480" w:leftChars="407" w:firstLineChars="200"/>
        <w:rPr>
          <w:rFonts w:ascii="宋体" w:hAnsi="宋体" w:hint="eastAsia"/>
          <w:sz w:val="24"/>
        </w:rPr>
      </w:pPr>
      <w:r>
        <w:rPr>
          <w:rFonts w:ascii="宋体" w:hAnsi="宋体" w:hint="eastAsia"/>
          <w:sz w:val="24"/>
        </w:rPr>
        <w:t>2）推广区域：长三角、常州及周边</w:t>
      </w:r>
    </w:p>
    <w:p>
      <w:pPr>
        <w:pStyle w:val="Normal0"/>
        <w:ind w:left="855" w:firstLine="480" w:leftChars="407" w:firstLineChars="200"/>
        <w:rPr>
          <w:rFonts w:ascii="宋体" w:hAnsi="宋体" w:hint="eastAsia"/>
          <w:sz w:val="24"/>
        </w:rPr>
      </w:pPr>
      <w:r>
        <w:rPr>
          <w:rFonts w:ascii="宋体" w:hAnsi="宋体" w:hint="eastAsia"/>
          <w:sz w:val="24"/>
        </w:rPr>
        <w:t>3）推广</w:t>
      </w:r>
      <w:r>
        <w:rPr>
          <w:rFonts w:ascii="宋体" w:hAnsi="宋体" w:hint="eastAsia"/>
          <w:sz w:val="24"/>
          <w:lang w:eastAsia="zh-CN"/>
        </w:rPr>
        <w:t>合适的内容</w:t>
      </w:r>
      <w:r>
        <w:rPr>
          <w:rFonts w:ascii="宋体" w:hAnsi="宋体" w:hint="eastAsia"/>
          <w:sz w:val="24"/>
        </w:rPr>
        <w:t>：中国经验形象传播、莱蒙都会产品说明</w:t>
      </w:r>
    </w:p>
    <w:p>
      <w:pPr>
        <w:pStyle w:val="Normal0"/>
        <w:ind w:left="855" w:firstLine="480" w:leftChars="407" w:firstLineChars="200"/>
        <w:rPr>
          <w:rFonts w:ascii="宋体" w:hAnsi="宋体" w:hint="eastAsia"/>
          <w:sz w:val="24"/>
        </w:rPr>
      </w:pPr>
      <w:r>
        <w:rPr>
          <w:rFonts w:ascii="宋体" w:hAnsi="宋体" w:hint="eastAsia"/>
          <w:sz w:val="24"/>
        </w:rPr>
        <w:t>4）推广对象：全部人群</w:t>
      </w:r>
    </w:p>
    <w:p>
      <w:pPr>
        <w:pStyle w:val="Normal0"/>
        <w:ind w:left="855" w:firstLine="480" w:leftChars="407" w:firstLineChars="200"/>
        <w:rPr>
          <w:rFonts w:ascii="宋体" w:hAnsi="宋体" w:hint="eastAsia"/>
          <w:sz w:val="24"/>
        </w:rPr>
      </w:pP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2、2005、2006年－本地销售沸腾期</w:t>
      </w:r>
    </w:p>
    <w:p>
      <w:pPr>
        <w:pStyle w:val="Normal0"/>
        <w:ind w:left="855" w:firstLine="480" w:leftChars="407" w:firstLineChars="200"/>
        <w:rPr>
          <w:rFonts w:ascii="宋体" w:hAnsi="宋体" w:hint="eastAsia"/>
          <w:sz w:val="24"/>
        </w:rPr>
      </w:pPr>
      <w:r>
        <w:rPr>
          <w:rFonts w:ascii="宋体" w:hAnsi="宋体" w:hint="eastAsia"/>
          <w:sz w:val="24"/>
        </w:rPr>
        <w:t>1）时间进度：2005年11月—2006年1月</w:t>
      </w:r>
    </w:p>
    <w:p>
      <w:pPr>
        <w:pStyle w:val="Normal0"/>
        <w:ind w:left="855" w:firstLine="480" w:leftChars="407" w:firstLineChars="200"/>
        <w:rPr>
          <w:rFonts w:ascii="宋体" w:hAnsi="宋体" w:hint="eastAsia"/>
          <w:sz w:val="24"/>
        </w:rPr>
      </w:pPr>
      <w:r>
        <w:rPr>
          <w:rFonts w:ascii="宋体" w:hAnsi="宋体" w:hint="eastAsia"/>
          <w:sz w:val="24"/>
        </w:rPr>
        <w:t>2）推广区域：常州本地</w:t>
      </w:r>
    </w:p>
    <w:p>
      <w:pPr>
        <w:pStyle w:val="Normal0"/>
        <w:ind w:left="855" w:firstLine="480" w:leftChars="407" w:firstLineChars="200"/>
        <w:rPr>
          <w:rFonts w:ascii="宋体" w:hAnsi="宋体" w:hint="eastAsia"/>
          <w:sz w:val="24"/>
        </w:rPr>
      </w:pPr>
      <w:r>
        <w:rPr>
          <w:rFonts w:ascii="宋体" w:hAnsi="宋体" w:hint="eastAsia"/>
          <w:sz w:val="24"/>
        </w:rPr>
        <w:t>3）推广</w:t>
      </w:r>
      <w:r>
        <w:rPr>
          <w:rFonts w:ascii="宋体" w:hAnsi="宋体" w:hint="eastAsia"/>
          <w:sz w:val="24"/>
          <w:lang w:eastAsia="zh-CN"/>
        </w:rPr>
        <w:t>合适的内容</w:t>
      </w:r>
      <w:r>
        <w:rPr>
          <w:rFonts w:ascii="宋体" w:hAnsi="宋体" w:hint="eastAsia"/>
          <w:sz w:val="24"/>
        </w:rPr>
        <w:t>：莱蒙都会产品说明、销售促进</w:t>
      </w:r>
    </w:p>
    <w:p>
      <w:pPr>
        <w:pStyle w:val="Normal0"/>
        <w:ind w:left="855" w:firstLine="480" w:leftChars="407" w:firstLineChars="200"/>
        <w:rPr>
          <w:rFonts w:ascii="宋体" w:hAnsi="宋体" w:hint="eastAsia"/>
          <w:sz w:val="24"/>
        </w:rPr>
      </w:pPr>
      <w:r>
        <w:rPr>
          <w:rFonts w:ascii="宋体" w:hAnsi="宋体" w:hint="eastAsia"/>
          <w:sz w:val="24"/>
        </w:rPr>
        <w:t>4）推广对象：本地投资者</w:t>
      </w:r>
    </w:p>
    <w:p>
      <w:pPr>
        <w:pStyle w:val="Normal0"/>
        <w:ind w:left="855"/>
        <w:rPr>
          <w:rFonts w:ascii="华文中宋" w:eastAsia="华文中宋" w:hAnsi="华文中宋" w:hint="eastAsia"/>
          <w:sz w:val="24"/>
        </w:rPr>
      </w:pPr>
    </w:p>
    <w:p>
      <w:pPr>
        <w:pStyle w:val="Normal0"/>
        <w:ind w:left="855"/>
        <w:rPr>
          <w:rFonts w:ascii="华文中宋" w:eastAsia="华文中宋" w:hAnsi="华文中宋" w:hint="eastAsia"/>
          <w:sz w:val="28"/>
          <w:szCs w:val="28"/>
        </w:rPr>
        <w:sectPr>
          <w:headerReference w:type="default" r:id="rId57"/>
          <w:footerReference w:type="default" r:id="rId58"/>
          <w:type w:val="nextPage"/>
          <w:pgSz w:w="11906" w:h="16838"/>
          <w:pgMar w:top="1440" w:right="1797" w:bottom="1440" w:left="1797" w:header="851" w:footer="992" w:gutter="0"/>
          <w:pgNumType w:start="27"/>
          <w:cols w:num="1" w:space="425"/>
          <w:titlePg w:val="0"/>
          <w:docGrid w:type="lines" w:linePitch="290" w:charSpace="0"/>
        </w:sectPr>
      </w:pPr>
      <w:r>
        <w:rPr>
          <w:rFonts w:ascii="华文中宋" w:eastAsia="华文中宋" w:hAnsi="华文中宋" w:hint="eastAsia"/>
          <w:sz w:val="28"/>
          <w:szCs w:val="28"/>
        </w:rPr>
        <w:t>3、2006年－本地、异地销售持续期</w:t>
      </w:r>
    </w:p>
    <w:p>
      <w:pPr>
        <w:pStyle w:val="Normal0"/>
        <w:ind w:left="855" w:firstLine="480" w:leftChars="407" w:firstLineChars="200"/>
        <w:rPr>
          <w:rFonts w:ascii="宋体" w:hAnsi="宋体" w:hint="eastAsia"/>
          <w:sz w:val="24"/>
        </w:rPr>
      </w:pPr>
      <w:r>
        <w:rPr>
          <w:rFonts w:ascii="宋体" w:hAnsi="宋体" w:hint="eastAsia"/>
          <w:sz w:val="24"/>
        </w:rPr>
        <w:t>1）时间进度：2006年1月—2006年3月</w:t>
      </w:r>
    </w:p>
    <w:p>
      <w:pPr>
        <w:pStyle w:val="Normal0"/>
        <w:ind w:left="855" w:firstLine="480" w:leftChars="407" w:firstLineChars="200"/>
        <w:rPr>
          <w:rFonts w:ascii="宋体" w:hAnsi="宋体" w:hint="eastAsia"/>
          <w:sz w:val="24"/>
        </w:rPr>
      </w:pPr>
      <w:r>
        <w:rPr>
          <w:rFonts w:ascii="宋体" w:hAnsi="宋体" w:hint="eastAsia"/>
          <w:sz w:val="24"/>
        </w:rPr>
        <w:t>2）推广区域：常州本地、定点销售城市</w:t>
      </w:r>
    </w:p>
    <w:p>
      <w:pPr>
        <w:pStyle w:val="Normal0"/>
        <w:ind w:left="855" w:firstLine="480" w:leftChars="407" w:firstLineChars="200"/>
        <w:rPr>
          <w:rFonts w:ascii="宋体" w:hAnsi="宋体" w:hint="eastAsia"/>
          <w:sz w:val="24"/>
        </w:rPr>
      </w:pPr>
      <w:r>
        <w:rPr>
          <w:rFonts w:ascii="宋体" w:hAnsi="宋体" w:hint="eastAsia"/>
          <w:sz w:val="24"/>
        </w:rPr>
        <w:t>3）推广</w:t>
      </w:r>
      <w:r>
        <w:rPr>
          <w:rFonts w:ascii="宋体" w:hAnsi="宋体" w:hint="eastAsia"/>
          <w:sz w:val="24"/>
          <w:lang w:eastAsia="zh-CN"/>
        </w:rPr>
        <w:t>合适的内容</w:t>
      </w:r>
      <w:r>
        <w:rPr>
          <w:rFonts w:ascii="宋体" w:hAnsi="宋体" w:hint="eastAsia"/>
          <w:sz w:val="24"/>
        </w:rPr>
        <w:t>：莱蒙都会产品说明、商铺销售促进、住宅推广</w:t>
      </w:r>
    </w:p>
    <w:p>
      <w:pPr>
        <w:pStyle w:val="Normal0"/>
        <w:ind w:left="855" w:firstLine="480" w:leftChars="407" w:firstLineChars="200"/>
        <w:rPr>
          <w:rFonts w:ascii="宋体" w:hAnsi="宋体" w:hint="eastAsia"/>
          <w:sz w:val="24"/>
        </w:rPr>
      </w:pPr>
      <w:r>
        <w:rPr>
          <w:rFonts w:ascii="宋体" w:hAnsi="宋体" w:hint="eastAsia"/>
          <w:sz w:val="24"/>
        </w:rPr>
        <w:t>4）推广对象：本地、异地投资者</w:t>
      </w:r>
    </w:p>
    <w:p>
      <w:pPr>
        <w:pStyle w:val="Normal0"/>
        <w:ind w:left="855"/>
        <w:rPr>
          <w:rFonts w:ascii="华文中宋" w:eastAsia="华文中宋" w:hAnsi="华文中宋" w:hint="eastAsia"/>
          <w:sz w:val="28"/>
          <w:szCs w:val="28"/>
        </w:rPr>
      </w:pP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4、2006－招商销售推广期</w:t>
      </w:r>
    </w:p>
    <w:p>
      <w:pPr>
        <w:pStyle w:val="Normal0"/>
        <w:ind w:left="855" w:firstLine="480" w:leftChars="407" w:firstLineChars="200"/>
        <w:rPr>
          <w:rFonts w:ascii="宋体" w:hAnsi="宋体" w:hint="eastAsia"/>
          <w:sz w:val="24"/>
        </w:rPr>
      </w:pPr>
      <w:r>
        <w:rPr>
          <w:rFonts w:ascii="宋体" w:hAnsi="宋体" w:hint="eastAsia"/>
          <w:sz w:val="24"/>
        </w:rPr>
        <w:t>1）时间进度：2006年4月—2006年12月</w:t>
      </w:r>
    </w:p>
    <w:p>
      <w:pPr>
        <w:pStyle w:val="Normal0"/>
        <w:ind w:left="855" w:firstLine="480" w:leftChars="407" w:firstLineChars="200"/>
        <w:rPr>
          <w:rFonts w:ascii="宋体" w:hAnsi="宋体" w:hint="eastAsia"/>
          <w:sz w:val="24"/>
        </w:rPr>
      </w:pPr>
      <w:r>
        <w:rPr>
          <w:rFonts w:ascii="宋体" w:hAnsi="宋体" w:hint="eastAsia"/>
          <w:sz w:val="24"/>
        </w:rPr>
        <w:t>2）推广区域：定点城市</w:t>
      </w:r>
    </w:p>
    <w:p>
      <w:pPr>
        <w:pStyle w:val="Normal0"/>
        <w:ind w:left="855" w:firstLine="480" w:leftChars="407" w:firstLineChars="200"/>
        <w:rPr>
          <w:rFonts w:ascii="宋体" w:hAnsi="宋体" w:hint="eastAsia"/>
          <w:sz w:val="24"/>
        </w:rPr>
      </w:pPr>
      <w:r>
        <w:rPr>
          <w:rFonts w:ascii="宋体" w:hAnsi="宋体" w:hint="eastAsia"/>
          <w:sz w:val="24"/>
        </w:rPr>
        <w:t>3）推广</w:t>
      </w:r>
      <w:r>
        <w:rPr>
          <w:rFonts w:ascii="宋体" w:hAnsi="宋体" w:hint="eastAsia"/>
          <w:sz w:val="24"/>
          <w:lang w:eastAsia="zh-CN"/>
        </w:rPr>
        <w:t>合适的内容</w:t>
      </w:r>
      <w:r>
        <w:rPr>
          <w:rFonts w:ascii="宋体" w:hAnsi="宋体" w:hint="eastAsia"/>
          <w:sz w:val="24"/>
        </w:rPr>
        <w:t>：莱蒙都会产品说明、销售促进、招商促进</w:t>
      </w:r>
    </w:p>
    <w:p>
      <w:pPr>
        <w:pStyle w:val="Normal0"/>
        <w:ind w:left="855" w:firstLine="480" w:leftChars="407" w:firstLineChars="200"/>
        <w:rPr>
          <w:rFonts w:ascii="宋体" w:hAnsi="宋体" w:hint="eastAsia"/>
          <w:sz w:val="24"/>
        </w:rPr>
      </w:pPr>
      <w:r>
        <w:rPr>
          <w:rFonts w:ascii="宋体" w:hAnsi="宋体" w:hint="eastAsia"/>
          <w:sz w:val="24"/>
        </w:rPr>
        <w:t>4）推广对象：本地、异地投资者、异地经营者</w:t>
      </w:r>
    </w:p>
    <w:p>
      <w:pPr>
        <w:pStyle w:val="Normal0"/>
        <w:ind w:left="855"/>
        <w:rPr>
          <w:rFonts w:ascii="华文中宋" w:eastAsia="华文中宋" w:hAnsi="华文中宋" w:hint="eastAsia"/>
          <w:sz w:val="28"/>
          <w:szCs w:val="28"/>
        </w:rPr>
      </w:pP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5、2007年－招商销售促进期</w:t>
      </w:r>
    </w:p>
    <w:p>
      <w:pPr>
        <w:pStyle w:val="Normal0"/>
        <w:ind w:left="855" w:firstLine="480" w:leftChars="407" w:firstLineChars="200"/>
        <w:rPr>
          <w:rFonts w:ascii="宋体" w:hAnsi="宋体" w:hint="eastAsia"/>
          <w:sz w:val="24"/>
        </w:rPr>
      </w:pPr>
      <w:r>
        <w:rPr>
          <w:rFonts w:ascii="宋体" w:hAnsi="宋体" w:hint="eastAsia"/>
          <w:sz w:val="24"/>
        </w:rPr>
        <w:t>1）时间进度：2007年1月—2007年12月</w:t>
      </w:r>
    </w:p>
    <w:p>
      <w:pPr>
        <w:pStyle w:val="Normal0"/>
        <w:ind w:left="855" w:firstLine="480" w:leftChars="407" w:firstLineChars="200"/>
        <w:rPr>
          <w:rFonts w:ascii="宋体" w:hAnsi="宋体" w:hint="eastAsia"/>
          <w:sz w:val="24"/>
        </w:rPr>
      </w:pPr>
      <w:r>
        <w:rPr>
          <w:rFonts w:ascii="宋体" w:hAnsi="宋体" w:hint="eastAsia"/>
          <w:sz w:val="24"/>
        </w:rPr>
        <w:t>2）推广区域：定点城市、常州本地</w:t>
      </w:r>
    </w:p>
    <w:p>
      <w:pPr>
        <w:pStyle w:val="Normal0"/>
        <w:ind w:left="855" w:firstLine="480" w:leftChars="407" w:firstLineChars="200"/>
        <w:rPr>
          <w:rFonts w:ascii="宋体" w:hAnsi="宋体" w:hint="eastAsia"/>
          <w:sz w:val="24"/>
        </w:rPr>
      </w:pPr>
      <w:r>
        <w:rPr>
          <w:rFonts w:ascii="宋体" w:hAnsi="宋体" w:hint="eastAsia"/>
          <w:sz w:val="24"/>
        </w:rPr>
        <w:t>3）推广</w:t>
      </w:r>
      <w:r>
        <w:rPr>
          <w:rFonts w:ascii="宋体" w:hAnsi="宋体" w:hint="eastAsia"/>
          <w:sz w:val="24"/>
          <w:lang w:eastAsia="zh-CN"/>
        </w:rPr>
        <w:t>合适的内容</w:t>
      </w:r>
      <w:r>
        <w:rPr>
          <w:rFonts w:ascii="宋体" w:hAnsi="宋体" w:hint="eastAsia"/>
          <w:sz w:val="24"/>
        </w:rPr>
        <w:t>：莱蒙都会产品说明、销售促进</w:t>
      </w:r>
    </w:p>
    <w:p>
      <w:pPr>
        <w:pStyle w:val="Normal0"/>
        <w:ind w:left="855" w:firstLine="480" w:leftChars="407" w:firstLineChars="200"/>
        <w:rPr>
          <w:rFonts w:ascii="宋体" w:hAnsi="宋体" w:hint="eastAsia"/>
          <w:sz w:val="24"/>
        </w:rPr>
      </w:pPr>
      <w:r>
        <w:rPr>
          <w:rFonts w:ascii="宋体" w:hAnsi="宋体" w:hint="eastAsia"/>
          <w:sz w:val="24"/>
        </w:rPr>
        <w:t>4）推广对象：本地、异地经营者</w:t>
      </w:r>
    </w:p>
    <w:p>
      <w:pPr>
        <w:pStyle w:val="Normal0"/>
        <w:ind w:left="855"/>
        <w:rPr>
          <w:rFonts w:ascii="华文中宋" w:eastAsia="华文中宋" w:hAnsi="华文中宋" w:hint="eastAsia"/>
          <w:sz w:val="28"/>
          <w:szCs w:val="28"/>
        </w:rPr>
      </w:pPr>
    </w:p>
    <w:p>
      <w:pPr>
        <w:pStyle w:val="Normal0"/>
        <w:ind w:left="855"/>
        <w:rPr>
          <w:rFonts w:ascii="华文中宋" w:eastAsia="华文中宋" w:hAnsi="华文中宋" w:hint="eastAsia"/>
          <w:sz w:val="28"/>
          <w:szCs w:val="28"/>
        </w:rPr>
      </w:pPr>
      <w:r>
        <w:rPr>
          <w:rFonts w:ascii="华文中宋" w:eastAsia="华文中宋" w:hAnsi="华文中宋" w:hint="eastAsia"/>
          <w:sz w:val="28"/>
          <w:szCs w:val="28"/>
        </w:rPr>
        <w:t>6、2007、2008年－开业推广期</w:t>
      </w:r>
    </w:p>
    <w:p>
      <w:pPr>
        <w:pStyle w:val="Normal0"/>
        <w:ind w:left="855" w:firstLine="480" w:leftChars="407" w:firstLineChars="200"/>
        <w:rPr>
          <w:rFonts w:ascii="宋体" w:hAnsi="宋体" w:hint="eastAsia"/>
          <w:sz w:val="24"/>
        </w:rPr>
      </w:pPr>
      <w:r>
        <w:rPr>
          <w:rFonts w:ascii="宋体" w:hAnsi="宋体" w:hint="eastAsia"/>
          <w:sz w:val="24"/>
        </w:rPr>
        <w:t>1）时间进度：2007年8月—2008年1月</w:t>
      </w:r>
    </w:p>
    <w:p>
      <w:pPr>
        <w:pStyle w:val="Normal0"/>
        <w:ind w:left="855" w:firstLine="480" w:leftChars="407" w:firstLineChars="200"/>
        <w:rPr>
          <w:rFonts w:ascii="宋体" w:hAnsi="宋体" w:hint="eastAsia"/>
          <w:sz w:val="24"/>
        </w:rPr>
      </w:pPr>
      <w:r>
        <w:rPr>
          <w:rFonts w:ascii="宋体" w:hAnsi="宋体" w:hint="eastAsia"/>
          <w:sz w:val="24"/>
        </w:rPr>
        <w:t>2）推广区域：常州本地</w:t>
      </w:r>
    </w:p>
    <w:p>
      <w:pPr>
        <w:pStyle w:val="Normal0"/>
        <w:ind w:left="855" w:firstLine="480" w:leftChars="407" w:firstLineChars="200"/>
        <w:rPr>
          <w:rFonts w:ascii="宋体" w:hAnsi="宋体" w:hint="eastAsia"/>
          <w:sz w:val="24"/>
        </w:rPr>
      </w:pPr>
      <w:r>
        <w:rPr>
          <w:rFonts w:ascii="宋体" w:hAnsi="宋体" w:hint="eastAsia"/>
          <w:sz w:val="24"/>
        </w:rPr>
        <w:t>3）推广</w:t>
      </w:r>
      <w:r>
        <w:rPr>
          <w:rFonts w:ascii="宋体" w:hAnsi="宋体" w:hint="eastAsia"/>
          <w:sz w:val="24"/>
          <w:lang w:eastAsia="zh-CN"/>
        </w:rPr>
        <w:t>合适的内容</w:t>
      </w:r>
      <w:r>
        <w:rPr>
          <w:rFonts w:ascii="宋体" w:hAnsi="宋体" w:hint="eastAsia"/>
          <w:sz w:val="24"/>
        </w:rPr>
        <w:t>：前景描述</w:t>
      </w:r>
    </w:p>
    <w:p>
      <w:pPr>
        <w:pStyle w:val="Normal0"/>
        <w:ind w:left="855" w:firstLine="480" w:leftChars="407" w:firstLineChars="200"/>
        <w:rPr>
          <w:rFonts w:ascii="宋体" w:hAnsi="宋体" w:hint="eastAsia"/>
          <w:sz w:val="24"/>
        </w:rPr>
      </w:pPr>
      <w:r>
        <w:rPr>
          <w:rFonts w:ascii="宋体" w:hAnsi="宋体" w:hint="eastAsia"/>
          <w:sz w:val="24"/>
        </w:rPr>
        <w:t>4）推广对象：常州及半小时生活圈内的人们</w:t>
      </w:r>
    </w:p>
    <w:p>
      <w:pPr>
        <w:pStyle w:val="Normal0"/>
        <w:rPr>
          <w:rFonts w:hint="eastAsia"/>
          <w:sz w:val="28"/>
          <w:szCs w:val="28"/>
        </w:rPr>
        <w:sectPr>
          <w:headerReference w:type="default" r:id="rId59"/>
          <w:footerReference w:type="default" r:id="rId60"/>
          <w:type w:val="nextPage"/>
          <w:pgSz w:w="11906" w:h="16838"/>
          <w:pgMar w:top="1440" w:right="1797" w:bottom="1440" w:left="1797" w:header="851" w:footer="992" w:gutter="0"/>
          <w:pgNumType w:start="28"/>
          <w:cols w:num="1" w:space="425"/>
          <w:titlePg w:val="0"/>
          <w:docGrid w:type="lines" w:linePitch="290" w:charSpace="0"/>
        </w:sect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rPr>
          <w:rFonts w:hint="eastAsia"/>
          <w:sz w:val="28"/>
          <w:szCs w:val="28"/>
        </w:rPr>
      </w:pPr>
    </w:p>
    <w:p>
      <w:pPr>
        <w:pStyle w:val="Normal0"/>
        <w:numPr>
          <w:ilvl w:val="0"/>
          <w:numId w:val="1"/>
        </w:numPr>
        <w:rPr>
          <w:rFonts w:ascii="华文中宋" w:eastAsia="华文中宋" w:hAnsi="华文中宋" w:hint="eastAsia"/>
          <w:b/>
          <w:sz w:val="32"/>
          <w:szCs w:val="32"/>
        </w:rPr>
      </w:pPr>
      <w:r>
        <w:rPr>
          <w:rFonts w:ascii="华文中宋" w:eastAsia="华文中宋" w:hAnsi="华文中宋" w:hint="eastAsia"/>
          <w:b/>
          <w:sz w:val="32"/>
          <w:szCs w:val="32"/>
        </w:rPr>
        <w:t>推广策略：</w:t>
      </w:r>
    </w:p>
    <w:p>
      <w:pPr>
        <w:pStyle w:val="Normal0"/>
        <w:ind w:firstLine="480" w:firstLineChars="200"/>
        <w:rPr>
          <w:rFonts w:ascii="宋体" w:hAnsi="宋体" w:hint="eastAsia"/>
          <w:sz w:val="24"/>
        </w:rPr>
      </w:pPr>
      <w:r>
        <w:rPr>
          <w:rFonts w:ascii="宋体" w:hAnsi="宋体" w:hint="eastAsia"/>
          <w:sz w:val="24"/>
          <w:lang w:eastAsia="zh-CN"/>
        </w:rPr>
        <w:t>相关计划</w:t>
      </w:r>
      <w:r>
        <w:rPr>
          <w:rFonts w:ascii="宋体" w:hAnsi="宋体" w:hint="eastAsia"/>
          <w:sz w:val="24"/>
        </w:rPr>
        <w:t>根据策略制定，策略根据目的规划。莱蒙都会的整体推广，有着不同的层次，我们需要在不同的时间段，在不同的区域下做不同的推广，整体推广系统较为庞大，在落实到每个月的推广</w:t>
      </w:r>
      <w:r>
        <w:rPr>
          <w:rFonts w:ascii="宋体" w:hAnsi="宋体" w:hint="eastAsia"/>
          <w:sz w:val="24"/>
          <w:lang w:eastAsia="zh-CN"/>
        </w:rPr>
        <w:t>相关计划</w:t>
      </w:r>
      <w:r>
        <w:rPr>
          <w:rFonts w:ascii="宋体" w:hAnsi="宋体" w:hint="eastAsia"/>
          <w:sz w:val="24"/>
        </w:rPr>
        <w:t>之前，</w:t>
      </w:r>
      <w:r>
        <w:rPr>
          <w:rFonts w:ascii="宋体" w:hAnsi="宋体" w:hint="eastAsia"/>
          <w:sz w:val="24"/>
          <w:lang w:eastAsia="zh-CN"/>
        </w:rPr>
        <w:t>相关项目</w:t>
      </w:r>
      <w:r>
        <w:rPr>
          <w:rFonts w:ascii="宋体" w:hAnsi="宋体" w:hint="eastAsia"/>
          <w:sz w:val="24"/>
        </w:rPr>
        <w:t>的推广目的和推广策略，是需要事先被考虑到的，这也是推广</w:t>
      </w:r>
      <w:r>
        <w:rPr>
          <w:rFonts w:ascii="宋体" w:hAnsi="宋体" w:hint="eastAsia"/>
          <w:sz w:val="24"/>
          <w:lang w:eastAsia="zh-CN"/>
        </w:rPr>
        <w:t>相关计划</w:t>
      </w:r>
      <w:r>
        <w:rPr>
          <w:rFonts w:ascii="宋体" w:hAnsi="宋体" w:hint="eastAsia"/>
          <w:sz w:val="24"/>
        </w:rPr>
        <w:t>能够更加高效的基础。</w:t>
      </w:r>
    </w:p>
    <w:p>
      <w:pPr>
        <w:pStyle w:val="Normal0"/>
        <w:ind w:firstLine="480" w:firstLineChars="200"/>
        <w:rPr>
          <w:rFonts w:ascii="宋体" w:hAnsi="宋体" w:hint="eastAsia"/>
          <w:sz w:val="24"/>
        </w:rPr>
      </w:pPr>
    </w:p>
    <w:p>
      <w:pPr>
        <w:pStyle w:val="Normal0"/>
        <w:numPr>
          <w:ilvl w:val="0"/>
          <w:numId w:val="13"/>
        </w:numPr>
        <w:rPr>
          <w:rFonts w:ascii="华文中宋" w:eastAsia="华文中宋" w:hAnsi="华文中宋" w:hint="eastAsia"/>
          <w:b/>
          <w:sz w:val="28"/>
          <w:szCs w:val="28"/>
        </w:rPr>
      </w:pPr>
      <w:r>
        <w:rPr>
          <w:rFonts w:ascii="华文中宋" w:eastAsia="华文中宋" w:hAnsi="华文中宋" w:hint="eastAsia"/>
          <w:b/>
          <w:sz w:val="28"/>
          <w:szCs w:val="28"/>
        </w:rPr>
        <w:t>整合推广策略</w:t>
      </w:r>
    </w:p>
    <w:p>
      <w:pPr>
        <w:pStyle w:val="Normal0"/>
        <w:numPr>
          <w:ilvl w:val="0"/>
          <w:numId w:val="14"/>
        </w:numPr>
        <w:rPr>
          <w:rFonts w:ascii="华文中宋" w:eastAsia="华文中宋" w:hAnsi="华文中宋" w:hint="eastAsia"/>
          <w:b/>
          <w:sz w:val="28"/>
          <w:szCs w:val="28"/>
        </w:rPr>
      </w:pPr>
      <w:r>
        <w:rPr>
          <w:rFonts w:ascii="华文中宋" w:eastAsia="华文中宋" w:hAnsi="华文中宋" w:hint="eastAsia"/>
          <w:b/>
          <w:sz w:val="28"/>
          <w:szCs w:val="28"/>
        </w:rPr>
        <w:t>整合推广目的</w:t>
      </w:r>
    </w:p>
    <w:p>
      <w:pPr>
        <w:pStyle w:val="Normal0"/>
        <w:numPr>
          <w:ilvl w:val="1"/>
          <w:numId w:val="14"/>
        </w:numPr>
        <w:rPr>
          <w:rFonts w:hint="eastAsia"/>
          <w:b/>
          <w:sz w:val="24"/>
        </w:rPr>
      </w:pPr>
      <w:r>
        <w:rPr>
          <w:rFonts w:hint="eastAsia"/>
          <w:b/>
          <w:sz w:val="24"/>
        </w:rPr>
        <w:t>商业典范形象的树立</w:t>
      </w:r>
    </w:p>
    <w:p>
      <w:pPr>
        <w:pStyle w:val="Normal0"/>
        <w:ind w:left="1275" w:firstLine="480" w:leftChars="607" w:firstLineChars="200"/>
        <w:rPr>
          <w:rFonts w:hint="eastAsia"/>
          <w:sz w:val="24"/>
        </w:rPr>
        <w:sectPr>
          <w:headerReference w:type="default" r:id="rId61"/>
          <w:footerReference w:type="default" r:id="rId62"/>
          <w:type w:val="nextPage"/>
          <w:pgSz w:w="11906" w:h="16838"/>
          <w:pgMar w:top="1440" w:right="1797" w:bottom="1440" w:left="1797" w:header="851" w:footer="992" w:gutter="0"/>
          <w:pgNumType w:start="29"/>
          <w:cols w:num="1" w:space="425"/>
          <w:titlePg w:val="0"/>
          <w:docGrid w:type="lines" w:linePitch="290" w:charSpace="0"/>
        </w:sectPr>
      </w:pPr>
    </w:p>
    <w:p>
      <w:pPr>
        <w:pStyle w:val="Normal0"/>
        <w:ind w:left="1275" w:firstLine="480" w:leftChars="607" w:firstLineChars="200"/>
        <w:rPr>
          <w:rFonts w:hint="eastAsia"/>
          <w:sz w:val="24"/>
        </w:rPr>
      </w:pPr>
      <w:r>
        <w:rPr>
          <w:rFonts w:hint="eastAsia"/>
          <w:sz w:val="24"/>
        </w:rPr>
        <w:t>莱蒙都会的宣传推广的目的，在长三角乃至全国范围内，需要树立的是商业典范的形象，宣传将形成莱蒙都会以及“中国经验”对于中国商业地产的巨大意义，占领行业制高点，获取莱蒙都会与其它国内大型商业街竞争中的优胜地位。</w:t>
      </w:r>
    </w:p>
    <w:p>
      <w:pPr>
        <w:pStyle w:val="Normal0"/>
        <w:ind w:left="1275" w:firstLine="480" w:leftChars="607" w:firstLineChars="200"/>
        <w:rPr>
          <w:rFonts w:hint="eastAsia"/>
          <w:sz w:val="24"/>
        </w:rPr>
      </w:pPr>
    </w:p>
    <w:p>
      <w:pPr>
        <w:pStyle w:val="Normal0"/>
        <w:numPr>
          <w:ilvl w:val="1"/>
          <w:numId w:val="14"/>
        </w:numPr>
        <w:rPr>
          <w:rFonts w:hint="eastAsia"/>
          <w:b/>
          <w:sz w:val="24"/>
        </w:rPr>
      </w:pPr>
      <w:r>
        <w:rPr>
          <w:rFonts w:hint="eastAsia"/>
          <w:b/>
          <w:sz w:val="24"/>
        </w:rPr>
        <w:t>招商销售的配合促进</w:t>
      </w:r>
    </w:p>
    <w:p>
      <w:pPr>
        <w:pStyle w:val="Normal0"/>
        <w:ind w:left="1275" w:firstLine="480" w:leftChars="607" w:firstLineChars="200"/>
        <w:rPr>
          <w:rFonts w:hint="eastAsia"/>
          <w:sz w:val="24"/>
        </w:rPr>
      </w:pPr>
      <w:r>
        <w:rPr>
          <w:rFonts w:hint="eastAsia"/>
          <w:sz w:val="24"/>
        </w:rPr>
        <w:t>在最终的推广目标实现的过程中，莱蒙都会实实在在的销售和招商活动，也需要推广的配合。在</w:t>
      </w:r>
      <w:r>
        <w:rPr>
          <w:rFonts w:hint="eastAsia"/>
          <w:sz w:val="24"/>
          <w:lang w:eastAsia="zh-CN"/>
        </w:rPr>
        <w:t>相关项目</w:t>
      </w:r>
      <w:r>
        <w:rPr>
          <w:rFonts w:hint="eastAsia"/>
          <w:sz w:val="24"/>
        </w:rPr>
        <w:t>形象成功树立的影响下，如何借助形象的力量将</w:t>
      </w:r>
      <w:r>
        <w:rPr>
          <w:rFonts w:hint="eastAsia"/>
          <w:sz w:val="24"/>
          <w:lang w:eastAsia="zh-CN"/>
        </w:rPr>
        <w:t>相关项目</w:t>
      </w:r>
      <w:r>
        <w:rPr>
          <w:rFonts w:hint="eastAsia"/>
          <w:sz w:val="24"/>
        </w:rPr>
        <w:t>的优势传播出去，说服投资者和经营者，是各阶段推广需要完成的任务。</w:t>
      </w:r>
    </w:p>
    <w:p>
      <w:pPr>
        <w:pStyle w:val="Normal0"/>
        <w:ind w:left="1275"/>
        <w:rPr>
          <w:rFonts w:hint="eastAsia"/>
          <w:b/>
          <w:sz w:val="24"/>
        </w:rPr>
      </w:pPr>
    </w:p>
    <w:p>
      <w:pPr>
        <w:pStyle w:val="Normal0"/>
        <w:numPr>
          <w:ilvl w:val="1"/>
          <w:numId w:val="14"/>
        </w:numPr>
        <w:rPr>
          <w:rFonts w:hint="eastAsia"/>
          <w:b/>
          <w:sz w:val="24"/>
        </w:rPr>
      </w:pPr>
      <w:r>
        <w:rPr>
          <w:rFonts w:hint="eastAsia"/>
          <w:b/>
          <w:sz w:val="24"/>
        </w:rPr>
        <w:t>常州标志形象的树立</w:t>
      </w:r>
    </w:p>
    <w:p>
      <w:pPr>
        <w:pStyle w:val="Normal0"/>
        <w:ind w:left="1275" w:firstLine="480" w:leftChars="607" w:firstLineChars="200"/>
        <w:rPr>
          <w:rFonts w:hint="eastAsia"/>
          <w:sz w:val="24"/>
        </w:rPr>
      </w:pPr>
      <w:r>
        <w:rPr>
          <w:rFonts w:hint="eastAsia"/>
          <w:sz w:val="24"/>
        </w:rPr>
        <w:t>在常州及其周边城镇，莱蒙都会的广告传播目的，是需要形成常州标志的形象，来到常州，一定要来莱蒙都会。这样，才能形成莱蒙都会在后期运营时候的良性循环，才能有足够的人流支持，才能稳固</w:t>
      </w:r>
      <w:r>
        <w:rPr>
          <w:rFonts w:hint="eastAsia"/>
          <w:sz w:val="24"/>
          <w:lang w:eastAsia="zh-CN"/>
        </w:rPr>
        <w:t>相关项目</w:t>
      </w:r>
      <w:r>
        <w:rPr>
          <w:rFonts w:hint="eastAsia"/>
          <w:sz w:val="24"/>
        </w:rPr>
        <w:t>长远的利益。</w:t>
      </w:r>
    </w:p>
    <w:p>
      <w:pPr>
        <w:pStyle w:val="Normal0"/>
        <w:numPr>
          <w:ilvl w:val="0"/>
          <w:numId w:val="14"/>
        </w:numPr>
        <w:rPr>
          <w:rFonts w:ascii="华文中宋" w:eastAsia="华文中宋" w:hAnsi="华文中宋" w:hint="eastAsia"/>
          <w:b/>
          <w:sz w:val="28"/>
          <w:szCs w:val="28"/>
        </w:rPr>
      </w:pPr>
      <w:r>
        <w:rPr>
          <w:rFonts w:ascii="华文中宋" w:eastAsia="华文中宋" w:hAnsi="华文中宋" w:hint="eastAsia"/>
          <w:b/>
          <w:sz w:val="28"/>
          <w:szCs w:val="28"/>
        </w:rPr>
        <w:t>整合推广策略</w:t>
      </w:r>
    </w:p>
    <w:p>
      <w:pPr>
        <w:pStyle w:val="Normal0"/>
        <w:numPr>
          <w:ilvl w:val="1"/>
          <w:numId w:val="14"/>
        </w:numPr>
        <w:rPr>
          <w:rFonts w:hint="eastAsia"/>
          <w:b/>
          <w:sz w:val="24"/>
        </w:rPr>
      </w:pPr>
      <w:r>
        <w:rPr>
          <w:rFonts w:hint="eastAsia"/>
          <w:b/>
          <w:sz w:val="24"/>
        </w:rPr>
        <w:t>以理论高度说话，以运营模式占领先机</w:t>
      </w:r>
    </w:p>
    <w:p>
      <w:pPr>
        <w:pStyle w:val="Normal0"/>
        <w:ind w:left="1275" w:firstLine="480" w:leftChars="607" w:firstLineChars="200"/>
        <w:rPr>
          <w:rFonts w:hint="eastAsia"/>
          <w:sz w:val="24"/>
        </w:rPr>
      </w:pPr>
      <w:r>
        <w:rPr>
          <w:rFonts w:hint="eastAsia"/>
          <w:sz w:val="24"/>
        </w:rPr>
        <w:t>经过前期的整合，我们认为在现在国内的商业地产形势下，莱蒙都会最能吸引整体市场（包括投资者、经营者以及业内人士）瞩目的，是整合运营能力。在总结出“中国经验”以后，我们认为理论上对商业地产的指引是莱蒙都会占据行业地位的主要工具，当中国经验的八大理论被整合出来，莱蒙都会实实在在按照这样的理论在做商业地产，这样的传播，是具有理性的说服力和先机占领能力的。</w:t>
      </w:r>
    </w:p>
    <w:p>
      <w:pPr>
        <w:pStyle w:val="Normal0"/>
        <w:ind w:left="1275" w:firstLine="480" w:leftChars="607" w:firstLineChars="200"/>
        <w:rPr>
          <w:rFonts w:hint="eastAsia"/>
          <w:sz w:val="24"/>
        </w:rPr>
        <w:sectPr>
          <w:headerReference w:type="default" r:id="rId63"/>
          <w:footerReference w:type="default" r:id="rId64"/>
          <w:type w:val="nextPage"/>
          <w:pgSz w:w="11906" w:h="16838"/>
          <w:pgMar w:top="1440" w:right="1797" w:bottom="1440" w:left="1797" w:header="851" w:footer="992" w:gutter="0"/>
          <w:pgNumType w:start="30"/>
          <w:cols w:num="1" w:space="425"/>
          <w:titlePg w:val="0"/>
          <w:docGrid w:type="lines" w:linePitch="290" w:charSpace="0"/>
        </w:sectPr>
      </w:pPr>
    </w:p>
    <w:p>
      <w:pPr>
        <w:pStyle w:val="Normal0"/>
        <w:numPr>
          <w:ilvl w:val="1"/>
          <w:numId w:val="14"/>
        </w:numPr>
        <w:rPr>
          <w:rFonts w:hint="eastAsia"/>
          <w:b/>
          <w:sz w:val="24"/>
        </w:rPr>
      </w:pPr>
      <w:r>
        <w:rPr>
          <w:rFonts w:hint="eastAsia"/>
          <w:b/>
          <w:sz w:val="24"/>
        </w:rPr>
        <w:t>以</w:t>
      </w:r>
      <w:r>
        <w:rPr>
          <w:rFonts w:hint="eastAsia"/>
          <w:b/>
          <w:sz w:val="24"/>
          <w:lang w:eastAsia="zh-CN"/>
        </w:rPr>
        <w:t>相关项目</w:t>
      </w:r>
      <w:r>
        <w:rPr>
          <w:rFonts w:hint="eastAsia"/>
          <w:b/>
          <w:sz w:val="24"/>
        </w:rPr>
        <w:t>的资源整合能力吸引目标群体</w:t>
      </w:r>
    </w:p>
    <w:p>
      <w:pPr>
        <w:pStyle w:val="Normal0"/>
        <w:ind w:left="1275" w:firstLine="470" w:leftChars="607" w:firstLineChars="196"/>
        <w:rPr>
          <w:rFonts w:hint="eastAsia"/>
          <w:sz w:val="24"/>
        </w:rPr>
      </w:pPr>
      <w:r>
        <w:rPr>
          <w:rFonts w:hint="eastAsia"/>
          <w:sz w:val="24"/>
        </w:rPr>
        <w:t>莱蒙都会对于资本的整合能力，对于国际品牌的整合能力，对于地产与商业的整合能力，都是极具说服力的，同时这些也是</w:t>
      </w:r>
      <w:r>
        <w:rPr>
          <w:rFonts w:hint="eastAsia"/>
          <w:sz w:val="24"/>
          <w:lang w:eastAsia="zh-CN"/>
        </w:rPr>
        <w:t>相关项目</w:t>
      </w:r>
      <w:r>
        <w:rPr>
          <w:rFonts w:hint="eastAsia"/>
          <w:sz w:val="24"/>
        </w:rPr>
        <w:t>的投资者和经营者所关心的，所以，在针对这些目标群体的传播，在大概念的背景下，直接切入正题，以</w:t>
      </w:r>
      <w:r>
        <w:rPr>
          <w:rFonts w:hint="eastAsia"/>
          <w:sz w:val="24"/>
          <w:lang w:eastAsia="zh-CN"/>
        </w:rPr>
        <w:t>相关项目</w:t>
      </w:r>
      <w:r>
        <w:rPr>
          <w:rFonts w:hint="eastAsia"/>
          <w:sz w:val="24"/>
        </w:rPr>
        <w:t>各种资源整合能力来说服他们。当投资者认识到由于</w:t>
      </w:r>
      <w:r>
        <w:rPr>
          <w:rFonts w:hint="eastAsia"/>
          <w:sz w:val="24"/>
          <w:lang w:eastAsia="zh-CN"/>
        </w:rPr>
        <w:t>相关项目</w:t>
      </w:r>
      <w:r>
        <w:rPr>
          <w:rFonts w:hint="eastAsia"/>
          <w:sz w:val="24"/>
        </w:rPr>
        <w:t>的资本运作和统一</w:t>
      </w:r>
      <w:r>
        <w:rPr>
          <w:rFonts w:hint="eastAsia"/>
          <w:sz w:val="24"/>
          <w:lang w:eastAsia="zh-CN"/>
        </w:rPr>
        <w:t>管理管控</w:t>
      </w:r>
      <w:r>
        <w:rPr>
          <w:rFonts w:hint="eastAsia"/>
          <w:sz w:val="24"/>
        </w:rPr>
        <w:t>，他能够获得稳定而长效的租金回报时；当经营者认识到，与这么多国际品牌一起做生意已经是商业业绩的保障时，莱蒙都会的推广将变得事半功倍。</w:t>
      </w:r>
    </w:p>
    <w:p>
      <w:pPr>
        <w:pStyle w:val="Normal0"/>
        <w:rPr>
          <w:rFonts w:hint="eastAsia"/>
          <w:b/>
          <w:sz w:val="24"/>
        </w:rPr>
      </w:pPr>
    </w:p>
    <w:p>
      <w:pPr>
        <w:pStyle w:val="Normal0"/>
        <w:numPr>
          <w:ilvl w:val="1"/>
          <w:numId w:val="14"/>
        </w:numPr>
        <w:rPr>
          <w:rFonts w:hint="eastAsia"/>
          <w:b/>
          <w:sz w:val="24"/>
        </w:rPr>
      </w:pPr>
      <w:r>
        <w:rPr>
          <w:rFonts w:hint="eastAsia"/>
          <w:b/>
          <w:sz w:val="24"/>
        </w:rPr>
        <w:t>以一开始的情感沟通与常州人建立联系</w:t>
      </w:r>
    </w:p>
    <w:p>
      <w:pPr>
        <w:pStyle w:val="Normal0"/>
        <w:ind w:left="1275" w:firstLine="480" w:leftChars="607" w:firstLineChars="200"/>
        <w:rPr>
          <w:rFonts w:hint="eastAsia"/>
          <w:sz w:val="24"/>
        </w:rPr>
      </w:pPr>
      <w:r>
        <w:rPr>
          <w:rFonts w:hint="eastAsia"/>
          <w:sz w:val="24"/>
        </w:rPr>
        <w:t>从消费者的角度出发，要让常州人在未来对莱蒙都会予以很大的支持，需要从一开始就与他们进行更加深度的沟通。如果我们仅仅只是因为地段的繁华而吸引消费，获得的只是常州人被动的关心，他们对于莱蒙都会的依赖感将会在更就以后形成。因此这里建议在前期形象传播的时候，就开始针对常州人的情感沟通，将与他们的关系紧密联系，一方面前期的口碑将能更迅速的传开，另一方面开业时候，人们对莱蒙都会的信任感和关注度也会很高。</w:t>
      </w:r>
    </w:p>
    <w:p>
      <w:pPr>
        <w:pStyle w:val="Normal0"/>
        <w:rPr>
          <w:rFonts w:hint="eastAsia"/>
          <w:b/>
          <w:sz w:val="24"/>
        </w:rPr>
      </w:pPr>
    </w:p>
    <w:p>
      <w:pPr>
        <w:pStyle w:val="Normal0"/>
        <w:numPr>
          <w:ilvl w:val="1"/>
          <w:numId w:val="14"/>
        </w:numPr>
        <w:rPr>
          <w:rFonts w:hint="eastAsia"/>
          <w:b/>
          <w:sz w:val="24"/>
        </w:rPr>
      </w:pPr>
      <w:r>
        <w:rPr>
          <w:rFonts w:hint="eastAsia"/>
          <w:b/>
          <w:sz w:val="24"/>
        </w:rPr>
        <w:t>不同时间、不同区域的分策略推广</w:t>
      </w:r>
    </w:p>
    <w:p>
      <w:pPr>
        <w:pStyle w:val="Normal0"/>
        <w:ind w:left="1275" w:firstLine="480" w:leftChars="607" w:firstLineChars="200"/>
        <w:rPr>
          <w:rFonts w:hint="eastAsia"/>
          <w:sz w:val="24"/>
        </w:rPr>
      </w:pPr>
      <w:r>
        <w:rPr>
          <w:rFonts w:hint="eastAsia"/>
          <w:sz w:val="24"/>
        </w:rPr>
        <w:t>在主要的策略指导之下，</w:t>
      </w:r>
      <w:r>
        <w:rPr>
          <w:rFonts w:hint="eastAsia"/>
          <w:sz w:val="24"/>
          <w:lang w:eastAsia="zh-CN"/>
        </w:rPr>
        <w:t>相关项目</w:t>
      </w:r>
      <w:r>
        <w:rPr>
          <w:rFonts w:hint="eastAsia"/>
          <w:sz w:val="24"/>
        </w:rPr>
        <w:t>的传播在不同的传播阶段下，在不同的传播区域内，都需要有不同的分策略，来指导具体的广告传播。比如在常州，中国经验的概念将在短期传播，在长三角，则重点传播中国经验。</w:t>
      </w:r>
      <w:r>
        <w:rPr>
          <w:rFonts w:hint="eastAsia"/>
          <w:sz w:val="24"/>
        </w:rPr>
        <w:br/>
      </w:r>
      <w:r>
        <w:rPr>
          <w:rFonts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https://d.book118.com/175020323202011113</w:t>
        </w:r>
      </w:hyperlink>
    </w:p>
    <w:p>
      <w:pPr>
        <w:pStyle w:val="Normal0"/>
        <w:ind w:left="1275" w:firstLine="480" w:leftChars="607" w:firstLineChars="200"/>
        <w:rPr>
          <w:rFonts w:hint="eastAsia"/>
          <w:sz w:val="24"/>
        </w:rPr>
      </w:pPr>
    </w:p>
    <w:sectPr>
      <w:headerReference w:type="default" r:id="rId66"/>
      <w:footerReference w:type="default" r:id="rId67"/>
      <w:type w:val="nextPage"/>
      <w:pgSz w:w="11906" w:h="16838"/>
      <w:pgMar w:top="1440" w:right="1797" w:bottom="1440" w:left="1797" w:header="851" w:footer="992" w:gutter="0"/>
      <w:pgNumType w:start="31"/>
      <w:cols w:num="1" w:space="425"/>
      <w:titlePg w:val="0"/>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方正中等线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0" type="#_x0000_t202" style="width:2in;height:2in;margin-top:0;margin-left:0;mso-height-relative:page;mso-position-horizontal:right;mso-position-horizontal-relative:margin;mso-width-relative:page;mso-wrap-style:none;position:absolute;z-index:2516838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2" type="#_x0000_t202" style="width:2in;height:2in;margin-top:0;margin-left:0;mso-height-relative:page;mso-position-horizontal:right;mso-position-horizontal-relative:margin;mso-width-relative:page;mso-wrap-style:none;position:absolute;z-index:2516848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4" type="#_x0000_t202" style="width:2in;height:2in;margin-top:0;margin-left:0;mso-height-relative:page;mso-position-horizontal:right;mso-position-horizontal-relative:margin;mso-width-relative:page;mso-wrap-style:none;position:absolute;z-index:2516858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6" type="#_x0000_t202" style="width:2in;height:2in;margin-top:0;margin-left:0;mso-height-relative:page;mso-position-horizontal:right;mso-position-horizontal-relative:margin;mso-width-relative:page;mso-wrap-style:none;position:absolute;z-index:2516869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8" type="#_x0000_t202" style="width:2in;height:2in;margin-top:0;margin-left:0;mso-height-relative:page;mso-position-horizontal:right;mso-position-horizontal-relative:margin;mso-width-relative:page;mso-wrap-style:none;position:absolute;z-index:2516879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0" type="#_x0000_t202" style="width:2in;height:2in;margin-top:0;margin-left:0;mso-height-relative:page;mso-position-horizontal:right;mso-position-horizontal-relative:margin;mso-width-relative:page;mso-wrap-style:none;position:absolute;z-index:2516889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38</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26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16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05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95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85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75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8618D7"/>
    <w:multiLevelType w:val="multilevel"/>
    <w:tmpl w:val="018618D7"/>
    <w:lvl w:ilvl="0">
      <w:start w:val="1"/>
      <w:numFmt w:val="bullet"/>
      <w:lvlText w:val=""/>
      <w:lvlJc w:val="left"/>
      <w:pPr>
        <w:tabs>
          <w:tab w:val="left" w:pos="2594"/>
        </w:tabs>
        <w:ind w:left="2594" w:hanging="420"/>
      </w:pPr>
      <w:rPr>
        <w:rFonts w:ascii="Wingdings" w:hAnsi="Wingdings" w:hint="default"/>
      </w:rPr>
    </w:lvl>
    <w:lvl w:ilvl="1">
      <w:start w:val="1"/>
      <w:numFmt w:val="bullet"/>
      <w:lvlText w:val=""/>
      <w:lvlJc w:val="left"/>
      <w:pPr>
        <w:tabs>
          <w:tab w:val="left" w:pos="3014"/>
        </w:tabs>
        <w:ind w:left="3014" w:hanging="420"/>
      </w:pPr>
      <w:rPr>
        <w:rFonts w:ascii="Wingdings" w:hAnsi="Wingdings" w:hint="default"/>
      </w:rPr>
    </w:lvl>
    <w:lvl w:ilvl="2">
      <w:start w:val="1"/>
      <w:numFmt w:val="bullet"/>
      <w:lvlText w:val=""/>
      <w:lvlJc w:val="left"/>
      <w:pPr>
        <w:tabs>
          <w:tab w:val="left" w:pos="3434"/>
        </w:tabs>
        <w:ind w:left="3434" w:hanging="420"/>
      </w:pPr>
      <w:rPr>
        <w:rFonts w:ascii="Wingdings" w:hAnsi="Wingdings" w:hint="default"/>
      </w:rPr>
    </w:lvl>
    <w:lvl w:ilvl="3">
      <w:start w:val="1"/>
      <w:numFmt w:val="bullet"/>
      <w:lvlText w:val=""/>
      <w:lvlJc w:val="left"/>
      <w:pPr>
        <w:tabs>
          <w:tab w:val="left" w:pos="3854"/>
        </w:tabs>
        <w:ind w:left="3854" w:hanging="420"/>
      </w:pPr>
      <w:rPr>
        <w:rFonts w:ascii="Wingdings" w:hAnsi="Wingdings" w:hint="default"/>
      </w:rPr>
    </w:lvl>
    <w:lvl w:ilvl="4">
      <w:start w:val="1"/>
      <w:numFmt w:val="bullet"/>
      <w:lvlText w:val=""/>
      <w:lvlJc w:val="left"/>
      <w:pPr>
        <w:tabs>
          <w:tab w:val="left" w:pos="4274"/>
        </w:tabs>
        <w:ind w:left="4274" w:hanging="420"/>
      </w:pPr>
      <w:rPr>
        <w:rFonts w:ascii="Wingdings" w:hAnsi="Wingdings" w:hint="default"/>
      </w:rPr>
    </w:lvl>
    <w:lvl w:ilvl="5">
      <w:start w:val="1"/>
      <w:numFmt w:val="bullet"/>
      <w:lvlText w:val=""/>
      <w:lvlJc w:val="left"/>
      <w:pPr>
        <w:tabs>
          <w:tab w:val="left" w:pos="4694"/>
        </w:tabs>
        <w:ind w:left="4694" w:hanging="420"/>
      </w:pPr>
      <w:rPr>
        <w:rFonts w:ascii="Wingdings" w:hAnsi="Wingdings" w:hint="default"/>
      </w:rPr>
    </w:lvl>
    <w:lvl w:ilvl="6">
      <w:start w:val="1"/>
      <w:numFmt w:val="bullet"/>
      <w:lvlText w:val=""/>
      <w:lvlJc w:val="left"/>
      <w:pPr>
        <w:tabs>
          <w:tab w:val="left" w:pos="5114"/>
        </w:tabs>
        <w:ind w:left="5114" w:hanging="420"/>
      </w:pPr>
      <w:rPr>
        <w:rFonts w:ascii="Wingdings" w:hAnsi="Wingdings" w:hint="default"/>
      </w:rPr>
    </w:lvl>
    <w:lvl w:ilvl="7">
      <w:start w:val="1"/>
      <w:numFmt w:val="bullet"/>
      <w:lvlText w:val=""/>
      <w:lvlJc w:val="left"/>
      <w:pPr>
        <w:tabs>
          <w:tab w:val="left" w:pos="5534"/>
        </w:tabs>
        <w:ind w:left="5534" w:hanging="420"/>
      </w:pPr>
      <w:rPr>
        <w:rFonts w:ascii="Wingdings" w:hAnsi="Wingdings" w:hint="default"/>
      </w:rPr>
    </w:lvl>
    <w:lvl w:ilvl="8">
      <w:start w:val="1"/>
      <w:numFmt w:val="bullet"/>
      <w:lvlText w:val=""/>
      <w:lvlJc w:val="left"/>
      <w:pPr>
        <w:tabs>
          <w:tab w:val="left" w:pos="5954"/>
        </w:tabs>
        <w:ind w:left="5954" w:hanging="420"/>
      </w:pPr>
      <w:rPr>
        <w:rFonts w:ascii="Wingdings" w:hAnsi="Wingdings" w:hint="default"/>
      </w:rPr>
    </w:lvl>
  </w:abstractNum>
  <w:abstractNum w:abstractNumId="1">
    <w:nsid w:val="05F9758E"/>
    <w:multiLevelType w:val="multilevel"/>
    <w:tmpl w:val="507D03DD"/>
    <w:lvl w:ilvl="0">
      <w:start w:val="1"/>
      <w:numFmt w:val="decimal"/>
      <w:lvlText w:val="%1）"/>
      <w:lvlJc w:val="left"/>
      <w:pPr>
        <w:tabs>
          <w:tab w:val="left" w:pos="1635"/>
        </w:tabs>
        <w:ind w:left="1635" w:hanging="360"/>
      </w:pPr>
      <w:rPr>
        <w:rFonts w:ascii="Times New Roman" w:hAnsi="Times New Roman" w:hint="default"/>
        <w:b/>
      </w:rPr>
    </w:lvl>
    <w:lvl w:ilvl="1">
      <w:start w:val="1"/>
      <w:numFmt w:val="bullet"/>
      <w:lvlText w:val=""/>
      <w:lvlJc w:val="left"/>
      <w:pPr>
        <w:tabs>
          <w:tab w:val="left" w:pos="2115"/>
        </w:tabs>
        <w:ind w:left="2115" w:hanging="420"/>
      </w:pPr>
      <w:rPr>
        <w:rFonts w:ascii="Wingdings" w:hAnsi="Wingdings" w:hint="default"/>
        <w:b/>
      </w:rPr>
    </w:lvl>
    <w:lvl w:ilvl="2">
      <w:start w:val="1"/>
      <w:numFmt w:val="lowerRoman"/>
      <w:lvlText w:val="%3."/>
      <w:lvlJc w:val="right"/>
      <w:pPr>
        <w:tabs>
          <w:tab w:val="left" w:pos="2535"/>
        </w:tabs>
        <w:ind w:left="2535" w:hanging="420"/>
      </w:pPr>
    </w:lvl>
    <w:lvl w:ilvl="3">
      <w:start w:val="1"/>
      <w:numFmt w:val="decimal"/>
      <w:lvlText w:val="%4."/>
      <w:lvlJc w:val="left"/>
      <w:pPr>
        <w:tabs>
          <w:tab w:val="left" w:pos="2955"/>
        </w:tabs>
        <w:ind w:left="2955" w:hanging="420"/>
      </w:pPr>
    </w:lvl>
    <w:lvl w:ilvl="4">
      <w:start w:val="1"/>
      <w:numFmt w:val="lowerLetter"/>
      <w:lvlText w:val="%5)"/>
      <w:lvlJc w:val="left"/>
      <w:pPr>
        <w:tabs>
          <w:tab w:val="left" w:pos="3375"/>
        </w:tabs>
        <w:ind w:left="3375" w:hanging="420"/>
      </w:pPr>
    </w:lvl>
    <w:lvl w:ilvl="5">
      <w:start w:val="1"/>
      <w:numFmt w:val="lowerRoman"/>
      <w:lvlText w:val="%6."/>
      <w:lvlJc w:val="right"/>
      <w:pPr>
        <w:tabs>
          <w:tab w:val="left" w:pos="3795"/>
        </w:tabs>
        <w:ind w:left="3795" w:hanging="420"/>
      </w:pPr>
    </w:lvl>
    <w:lvl w:ilvl="6">
      <w:start w:val="1"/>
      <w:numFmt w:val="decimal"/>
      <w:lvlText w:val="%7."/>
      <w:lvlJc w:val="left"/>
      <w:pPr>
        <w:tabs>
          <w:tab w:val="left" w:pos="4215"/>
        </w:tabs>
        <w:ind w:left="4215" w:hanging="420"/>
      </w:pPr>
    </w:lvl>
    <w:lvl w:ilvl="7">
      <w:start w:val="1"/>
      <w:numFmt w:val="lowerLetter"/>
      <w:lvlText w:val="%8)"/>
      <w:lvlJc w:val="left"/>
      <w:pPr>
        <w:tabs>
          <w:tab w:val="left" w:pos="4635"/>
        </w:tabs>
        <w:ind w:left="4635" w:hanging="420"/>
      </w:pPr>
    </w:lvl>
    <w:lvl w:ilvl="8">
      <w:start w:val="1"/>
      <w:numFmt w:val="lowerRoman"/>
      <w:lvlText w:val="%9."/>
      <w:lvlJc w:val="right"/>
      <w:pPr>
        <w:tabs>
          <w:tab w:val="left" w:pos="5055"/>
        </w:tabs>
        <w:ind w:left="5055" w:hanging="420"/>
      </w:pPr>
    </w:lvl>
  </w:abstractNum>
  <w:abstractNum w:abstractNumId="2">
    <w:nsid w:val="0A411AFB"/>
    <w:multiLevelType w:val="multilevel"/>
    <w:tmpl w:val="0A411AFB"/>
    <w:lvl w:ilvl="0">
      <w:start w:val="1"/>
      <w:numFmt w:val="bullet"/>
      <w:lvlText w:val=""/>
      <w:lvlJc w:val="left"/>
      <w:pPr>
        <w:tabs>
          <w:tab w:val="left" w:pos="2594"/>
        </w:tabs>
        <w:ind w:left="2594" w:hanging="420"/>
      </w:pPr>
      <w:rPr>
        <w:rFonts w:ascii="Wingdings" w:hAnsi="Wingdings" w:hint="default"/>
      </w:rPr>
    </w:lvl>
    <w:lvl w:ilvl="1">
      <w:start w:val="1"/>
      <w:numFmt w:val="bullet"/>
      <w:lvlText w:val=""/>
      <w:lvlJc w:val="left"/>
      <w:pPr>
        <w:tabs>
          <w:tab w:val="left" w:pos="3014"/>
        </w:tabs>
        <w:ind w:left="3014" w:hanging="420"/>
      </w:pPr>
      <w:rPr>
        <w:rFonts w:ascii="Wingdings" w:hAnsi="Wingdings" w:hint="default"/>
      </w:rPr>
    </w:lvl>
    <w:lvl w:ilvl="2">
      <w:start w:val="1"/>
      <w:numFmt w:val="bullet"/>
      <w:lvlText w:val=""/>
      <w:lvlJc w:val="left"/>
      <w:pPr>
        <w:tabs>
          <w:tab w:val="left" w:pos="3434"/>
        </w:tabs>
        <w:ind w:left="3434" w:hanging="420"/>
      </w:pPr>
      <w:rPr>
        <w:rFonts w:ascii="Wingdings" w:hAnsi="Wingdings" w:hint="default"/>
      </w:rPr>
    </w:lvl>
    <w:lvl w:ilvl="3">
      <w:start w:val="1"/>
      <w:numFmt w:val="bullet"/>
      <w:lvlText w:val=""/>
      <w:lvlJc w:val="left"/>
      <w:pPr>
        <w:tabs>
          <w:tab w:val="left" w:pos="3854"/>
        </w:tabs>
        <w:ind w:left="3854" w:hanging="420"/>
      </w:pPr>
      <w:rPr>
        <w:rFonts w:ascii="Wingdings" w:hAnsi="Wingdings" w:hint="default"/>
      </w:rPr>
    </w:lvl>
    <w:lvl w:ilvl="4">
      <w:start w:val="1"/>
      <w:numFmt w:val="bullet"/>
      <w:lvlText w:val=""/>
      <w:lvlJc w:val="left"/>
      <w:pPr>
        <w:tabs>
          <w:tab w:val="left" w:pos="4274"/>
        </w:tabs>
        <w:ind w:left="4274" w:hanging="420"/>
      </w:pPr>
      <w:rPr>
        <w:rFonts w:ascii="Wingdings" w:hAnsi="Wingdings" w:hint="default"/>
      </w:rPr>
    </w:lvl>
    <w:lvl w:ilvl="5">
      <w:start w:val="1"/>
      <w:numFmt w:val="bullet"/>
      <w:lvlText w:val=""/>
      <w:lvlJc w:val="left"/>
      <w:pPr>
        <w:tabs>
          <w:tab w:val="left" w:pos="4694"/>
        </w:tabs>
        <w:ind w:left="4694" w:hanging="420"/>
      </w:pPr>
      <w:rPr>
        <w:rFonts w:ascii="Wingdings" w:hAnsi="Wingdings" w:hint="default"/>
      </w:rPr>
    </w:lvl>
    <w:lvl w:ilvl="6">
      <w:start w:val="1"/>
      <w:numFmt w:val="bullet"/>
      <w:lvlText w:val=""/>
      <w:lvlJc w:val="left"/>
      <w:pPr>
        <w:tabs>
          <w:tab w:val="left" w:pos="5114"/>
        </w:tabs>
        <w:ind w:left="5114" w:hanging="420"/>
      </w:pPr>
      <w:rPr>
        <w:rFonts w:ascii="Wingdings" w:hAnsi="Wingdings" w:hint="default"/>
      </w:rPr>
    </w:lvl>
    <w:lvl w:ilvl="7">
      <w:start w:val="1"/>
      <w:numFmt w:val="bullet"/>
      <w:lvlText w:val=""/>
      <w:lvlJc w:val="left"/>
      <w:pPr>
        <w:tabs>
          <w:tab w:val="left" w:pos="5534"/>
        </w:tabs>
        <w:ind w:left="5534" w:hanging="420"/>
      </w:pPr>
      <w:rPr>
        <w:rFonts w:ascii="Wingdings" w:hAnsi="Wingdings" w:hint="default"/>
      </w:rPr>
    </w:lvl>
    <w:lvl w:ilvl="8">
      <w:start w:val="1"/>
      <w:numFmt w:val="bullet"/>
      <w:lvlText w:val=""/>
      <w:lvlJc w:val="left"/>
      <w:pPr>
        <w:tabs>
          <w:tab w:val="left" w:pos="5954"/>
        </w:tabs>
        <w:ind w:left="5954" w:hanging="420"/>
      </w:pPr>
      <w:rPr>
        <w:rFonts w:ascii="Wingdings" w:hAnsi="Wingdings" w:hint="default"/>
      </w:rPr>
    </w:lvl>
  </w:abstractNum>
  <w:abstractNum w:abstractNumId="3">
    <w:nsid w:val="0DFB1495"/>
    <w:multiLevelType w:val="multilevel"/>
    <w:tmpl w:val="0DFB1495"/>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4">
    <w:nsid w:val="111CCC54"/>
    <w:multiLevelType w:val="multilevel"/>
    <w:tmpl w:val="29D87699"/>
    <w:lvl w:ilvl="0">
      <w:start w:val="1"/>
      <w:numFmt w:val="bullet"/>
      <w:lvlText w:val=""/>
      <w:lvlJc w:val="left"/>
      <w:pPr>
        <w:tabs>
          <w:tab w:val="left" w:pos="2186"/>
        </w:tabs>
        <w:ind w:left="2186" w:hanging="420"/>
      </w:pPr>
      <w:rPr>
        <w:rFonts w:ascii="Wingdings" w:hAnsi="Wingdings" w:hint="default"/>
      </w:rPr>
    </w:lvl>
    <w:lvl w:ilvl="1">
      <w:start w:val="1"/>
      <w:numFmt w:val="bullet"/>
      <w:lvlText w:val=""/>
      <w:lvlJc w:val="left"/>
      <w:pPr>
        <w:tabs>
          <w:tab w:val="left" w:pos="2606"/>
        </w:tabs>
        <w:ind w:left="2606" w:hanging="420"/>
      </w:pPr>
      <w:rPr>
        <w:rFonts w:ascii="Wingdings" w:hAnsi="Wingdings" w:hint="default"/>
      </w:rPr>
    </w:lvl>
    <w:lvl w:ilvl="2">
      <w:start w:val="1"/>
      <w:numFmt w:val="bullet"/>
      <w:lvlText w:val=""/>
      <w:lvlJc w:val="left"/>
      <w:pPr>
        <w:tabs>
          <w:tab w:val="left" w:pos="3026"/>
        </w:tabs>
        <w:ind w:left="3026" w:hanging="420"/>
      </w:pPr>
      <w:rPr>
        <w:rFonts w:ascii="Wingdings" w:hAnsi="Wingdings" w:hint="default"/>
      </w:rPr>
    </w:lvl>
    <w:lvl w:ilvl="3">
      <w:start w:val="1"/>
      <w:numFmt w:val="bullet"/>
      <w:lvlText w:val=""/>
      <w:lvlJc w:val="left"/>
      <w:pPr>
        <w:tabs>
          <w:tab w:val="left" w:pos="3446"/>
        </w:tabs>
        <w:ind w:left="3446" w:hanging="420"/>
      </w:pPr>
      <w:rPr>
        <w:rFonts w:ascii="Wingdings" w:hAnsi="Wingdings" w:hint="default"/>
      </w:rPr>
    </w:lvl>
    <w:lvl w:ilvl="4">
      <w:start w:val="1"/>
      <w:numFmt w:val="bullet"/>
      <w:lvlText w:val=""/>
      <w:lvlJc w:val="left"/>
      <w:pPr>
        <w:tabs>
          <w:tab w:val="left" w:pos="3866"/>
        </w:tabs>
        <w:ind w:left="3866" w:hanging="420"/>
      </w:pPr>
      <w:rPr>
        <w:rFonts w:ascii="Wingdings" w:hAnsi="Wingdings" w:hint="default"/>
      </w:rPr>
    </w:lvl>
    <w:lvl w:ilvl="5">
      <w:start w:val="1"/>
      <w:numFmt w:val="bullet"/>
      <w:lvlText w:val=""/>
      <w:lvlJc w:val="left"/>
      <w:pPr>
        <w:tabs>
          <w:tab w:val="left" w:pos="4286"/>
        </w:tabs>
        <w:ind w:left="4286" w:hanging="420"/>
      </w:pPr>
      <w:rPr>
        <w:rFonts w:ascii="Wingdings" w:hAnsi="Wingdings" w:hint="default"/>
      </w:rPr>
    </w:lvl>
    <w:lvl w:ilvl="6">
      <w:start w:val="1"/>
      <w:numFmt w:val="bullet"/>
      <w:lvlText w:val=""/>
      <w:lvlJc w:val="left"/>
      <w:pPr>
        <w:tabs>
          <w:tab w:val="left" w:pos="4706"/>
        </w:tabs>
        <w:ind w:left="4706" w:hanging="420"/>
      </w:pPr>
      <w:rPr>
        <w:rFonts w:ascii="Wingdings" w:hAnsi="Wingdings" w:hint="default"/>
      </w:rPr>
    </w:lvl>
    <w:lvl w:ilvl="7">
      <w:start w:val="1"/>
      <w:numFmt w:val="bullet"/>
      <w:lvlText w:val=""/>
      <w:lvlJc w:val="left"/>
      <w:pPr>
        <w:tabs>
          <w:tab w:val="left" w:pos="5126"/>
        </w:tabs>
        <w:ind w:left="5126" w:hanging="420"/>
      </w:pPr>
      <w:rPr>
        <w:rFonts w:ascii="Wingdings" w:hAnsi="Wingdings" w:hint="default"/>
      </w:rPr>
    </w:lvl>
    <w:lvl w:ilvl="8">
      <w:start w:val="1"/>
      <w:numFmt w:val="bullet"/>
      <w:lvlText w:val=""/>
      <w:lvlJc w:val="left"/>
      <w:pPr>
        <w:tabs>
          <w:tab w:val="left" w:pos="5546"/>
        </w:tabs>
        <w:ind w:left="5546" w:hanging="420"/>
      </w:pPr>
      <w:rPr>
        <w:rFonts w:ascii="Wingdings" w:hAnsi="Wingdings" w:hint="default"/>
      </w:rPr>
    </w:lvl>
  </w:abstractNum>
  <w:abstractNum w:abstractNumId="5">
    <w:nsid w:val="135E3EB9"/>
    <w:multiLevelType w:val="multilevel"/>
    <w:tmpl w:val="135E3EB9"/>
    <w:lvl w:ilvl="0">
      <w:start w:val="1"/>
      <w:numFmt w:val="bullet"/>
      <w:lvlText w:val=""/>
      <w:lvlJc w:val="left"/>
      <w:pPr>
        <w:tabs>
          <w:tab w:val="left" w:pos="2160"/>
        </w:tabs>
        <w:ind w:left="2160" w:hanging="420"/>
      </w:pPr>
      <w:rPr>
        <w:rFonts w:ascii="Wingdings" w:hAnsi="Wingdings" w:hint="default"/>
      </w:rPr>
    </w:lvl>
    <w:lvl w:ilvl="1">
      <w:start w:val="1"/>
      <w:numFmt w:val="bullet"/>
      <w:lvlText w:val=""/>
      <w:lvlJc w:val="left"/>
      <w:pPr>
        <w:tabs>
          <w:tab w:val="left" w:pos="2580"/>
        </w:tabs>
        <w:ind w:left="2580" w:hanging="420"/>
      </w:pPr>
      <w:rPr>
        <w:rFonts w:ascii="Wingdings" w:hAnsi="Wingdings" w:hint="default"/>
      </w:rPr>
    </w:lvl>
    <w:lvl w:ilvl="2">
      <w:start w:val="1"/>
      <w:numFmt w:val="bullet"/>
      <w:lvlText w:val=""/>
      <w:lvlJc w:val="left"/>
      <w:pPr>
        <w:tabs>
          <w:tab w:val="left" w:pos="3000"/>
        </w:tabs>
        <w:ind w:left="3000" w:hanging="420"/>
      </w:pPr>
      <w:rPr>
        <w:rFonts w:ascii="Wingdings" w:hAnsi="Wingdings" w:hint="default"/>
      </w:rPr>
    </w:lvl>
    <w:lvl w:ilvl="3">
      <w:start w:val="1"/>
      <w:numFmt w:val="bullet"/>
      <w:lvlText w:val=""/>
      <w:lvlJc w:val="left"/>
      <w:pPr>
        <w:tabs>
          <w:tab w:val="left" w:pos="3420"/>
        </w:tabs>
        <w:ind w:left="3420" w:hanging="420"/>
      </w:pPr>
      <w:rPr>
        <w:rFonts w:ascii="Wingdings" w:hAnsi="Wingdings" w:hint="default"/>
      </w:rPr>
    </w:lvl>
    <w:lvl w:ilvl="4">
      <w:start w:val="1"/>
      <w:numFmt w:val="bullet"/>
      <w:lvlText w:val=""/>
      <w:lvlJc w:val="left"/>
      <w:pPr>
        <w:tabs>
          <w:tab w:val="left" w:pos="3840"/>
        </w:tabs>
        <w:ind w:left="3840" w:hanging="420"/>
      </w:pPr>
      <w:rPr>
        <w:rFonts w:ascii="Wingdings" w:hAnsi="Wingdings" w:hint="default"/>
      </w:rPr>
    </w:lvl>
    <w:lvl w:ilvl="5">
      <w:start w:val="1"/>
      <w:numFmt w:val="bullet"/>
      <w:lvlText w:val=""/>
      <w:lvlJc w:val="left"/>
      <w:pPr>
        <w:tabs>
          <w:tab w:val="left" w:pos="4260"/>
        </w:tabs>
        <w:ind w:left="4260" w:hanging="420"/>
      </w:pPr>
      <w:rPr>
        <w:rFonts w:ascii="Wingdings" w:hAnsi="Wingdings" w:hint="default"/>
      </w:rPr>
    </w:lvl>
    <w:lvl w:ilvl="6">
      <w:start w:val="1"/>
      <w:numFmt w:val="bullet"/>
      <w:lvlText w:val=""/>
      <w:lvlJc w:val="left"/>
      <w:pPr>
        <w:tabs>
          <w:tab w:val="left" w:pos="4680"/>
        </w:tabs>
        <w:ind w:left="4680" w:hanging="420"/>
      </w:pPr>
      <w:rPr>
        <w:rFonts w:ascii="Wingdings" w:hAnsi="Wingdings" w:hint="default"/>
      </w:rPr>
    </w:lvl>
    <w:lvl w:ilvl="7">
      <w:start w:val="1"/>
      <w:numFmt w:val="bullet"/>
      <w:lvlText w:val=""/>
      <w:lvlJc w:val="left"/>
      <w:pPr>
        <w:tabs>
          <w:tab w:val="left" w:pos="5100"/>
        </w:tabs>
        <w:ind w:left="5100" w:hanging="420"/>
      </w:pPr>
      <w:rPr>
        <w:rFonts w:ascii="Wingdings" w:hAnsi="Wingdings" w:hint="default"/>
      </w:rPr>
    </w:lvl>
    <w:lvl w:ilvl="8">
      <w:start w:val="1"/>
      <w:numFmt w:val="bullet"/>
      <w:lvlText w:val=""/>
      <w:lvlJc w:val="left"/>
      <w:pPr>
        <w:tabs>
          <w:tab w:val="left" w:pos="5520"/>
        </w:tabs>
        <w:ind w:left="5520" w:hanging="420"/>
      </w:pPr>
      <w:rPr>
        <w:rFonts w:ascii="Wingdings" w:hAnsi="Wingdings" w:hint="default"/>
      </w:rPr>
    </w:lvl>
  </w:abstractNum>
  <w:abstractNum w:abstractNumId="6">
    <w:nsid w:val="149C6938"/>
    <w:multiLevelType w:val="multilevel"/>
    <w:tmpl w:val="149C6938"/>
    <w:lvl w:ilvl="0">
      <w:start w:val="1"/>
      <w:numFmt w:val="japaneseCounting"/>
      <w:lvlText w:val="（%1）"/>
      <w:lvlJc w:val="left"/>
      <w:pPr>
        <w:tabs>
          <w:tab w:val="left" w:pos="1140"/>
        </w:tabs>
        <w:ind w:left="1140" w:hanging="720"/>
      </w:pPr>
      <w:rPr>
        <w:rFonts w:hint="default"/>
      </w:rPr>
    </w:lvl>
    <w:lvl w:ilvl="1">
      <w:start w:val="1"/>
      <w:numFmt w:val="decimal"/>
      <w:lvlText w:val="%2、"/>
      <w:lvlJc w:val="left"/>
      <w:pPr>
        <w:tabs>
          <w:tab w:val="left" w:pos="1200"/>
        </w:tabs>
        <w:ind w:left="1200" w:hanging="360"/>
      </w:pPr>
      <w:rPr>
        <w:rFonts w:hint="eastAsia"/>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7">
    <w:nsid w:val="17CC3179"/>
    <w:multiLevelType w:val="multilevel"/>
    <w:tmpl w:val="17CC3179"/>
    <w:lvl w:ilvl="0">
      <w:start w:val="1"/>
      <w:numFmt w:val="bullet"/>
      <w:lvlText w:val=""/>
      <w:lvlJc w:val="left"/>
      <w:pPr>
        <w:tabs>
          <w:tab w:val="left" w:pos="2662"/>
        </w:tabs>
        <w:ind w:left="2662" w:hanging="420"/>
      </w:pPr>
      <w:rPr>
        <w:rFonts w:ascii="Wingdings" w:hAnsi="Wingdings" w:hint="default"/>
      </w:rPr>
    </w:lvl>
    <w:lvl w:ilvl="1">
      <w:start w:val="1"/>
      <w:numFmt w:val="bullet"/>
      <w:lvlText w:val=""/>
      <w:lvlJc w:val="left"/>
      <w:pPr>
        <w:tabs>
          <w:tab w:val="left" w:pos="3082"/>
        </w:tabs>
        <w:ind w:left="3082" w:hanging="420"/>
      </w:pPr>
      <w:rPr>
        <w:rFonts w:ascii="Wingdings" w:hAnsi="Wingdings" w:hint="default"/>
      </w:rPr>
    </w:lvl>
    <w:lvl w:ilvl="2">
      <w:start w:val="1"/>
      <w:numFmt w:val="bullet"/>
      <w:lvlText w:val=""/>
      <w:lvlJc w:val="left"/>
      <w:pPr>
        <w:tabs>
          <w:tab w:val="left" w:pos="3502"/>
        </w:tabs>
        <w:ind w:left="3502" w:hanging="420"/>
      </w:pPr>
      <w:rPr>
        <w:rFonts w:ascii="Wingdings" w:hAnsi="Wingdings" w:hint="default"/>
      </w:rPr>
    </w:lvl>
    <w:lvl w:ilvl="3">
      <w:start w:val="1"/>
      <w:numFmt w:val="bullet"/>
      <w:lvlText w:val=""/>
      <w:lvlJc w:val="left"/>
      <w:pPr>
        <w:tabs>
          <w:tab w:val="left" w:pos="3922"/>
        </w:tabs>
        <w:ind w:left="3922" w:hanging="420"/>
      </w:pPr>
      <w:rPr>
        <w:rFonts w:ascii="Wingdings" w:hAnsi="Wingdings" w:hint="default"/>
      </w:rPr>
    </w:lvl>
    <w:lvl w:ilvl="4">
      <w:start w:val="1"/>
      <w:numFmt w:val="bullet"/>
      <w:lvlText w:val=""/>
      <w:lvlJc w:val="left"/>
      <w:pPr>
        <w:tabs>
          <w:tab w:val="left" w:pos="4342"/>
        </w:tabs>
        <w:ind w:left="4342" w:hanging="420"/>
      </w:pPr>
      <w:rPr>
        <w:rFonts w:ascii="Wingdings" w:hAnsi="Wingdings" w:hint="default"/>
      </w:rPr>
    </w:lvl>
    <w:lvl w:ilvl="5">
      <w:start w:val="1"/>
      <w:numFmt w:val="bullet"/>
      <w:lvlText w:val=""/>
      <w:lvlJc w:val="left"/>
      <w:pPr>
        <w:tabs>
          <w:tab w:val="left" w:pos="4762"/>
        </w:tabs>
        <w:ind w:left="4762" w:hanging="420"/>
      </w:pPr>
      <w:rPr>
        <w:rFonts w:ascii="Wingdings" w:hAnsi="Wingdings" w:hint="default"/>
      </w:rPr>
    </w:lvl>
    <w:lvl w:ilvl="6">
      <w:start w:val="1"/>
      <w:numFmt w:val="bullet"/>
      <w:lvlText w:val=""/>
      <w:lvlJc w:val="left"/>
      <w:pPr>
        <w:tabs>
          <w:tab w:val="left" w:pos="5182"/>
        </w:tabs>
        <w:ind w:left="5182" w:hanging="420"/>
      </w:pPr>
      <w:rPr>
        <w:rFonts w:ascii="Wingdings" w:hAnsi="Wingdings" w:hint="default"/>
      </w:rPr>
    </w:lvl>
    <w:lvl w:ilvl="7">
      <w:start w:val="1"/>
      <w:numFmt w:val="bullet"/>
      <w:lvlText w:val=""/>
      <w:lvlJc w:val="left"/>
      <w:pPr>
        <w:tabs>
          <w:tab w:val="left" w:pos="5602"/>
        </w:tabs>
        <w:ind w:left="5602" w:hanging="420"/>
      </w:pPr>
      <w:rPr>
        <w:rFonts w:ascii="Wingdings" w:hAnsi="Wingdings" w:hint="default"/>
      </w:rPr>
    </w:lvl>
    <w:lvl w:ilvl="8">
      <w:start w:val="1"/>
      <w:numFmt w:val="bullet"/>
      <w:lvlText w:val=""/>
      <w:lvlJc w:val="left"/>
      <w:pPr>
        <w:tabs>
          <w:tab w:val="left" w:pos="6022"/>
        </w:tabs>
        <w:ind w:left="6022" w:hanging="420"/>
      </w:pPr>
      <w:rPr>
        <w:rFonts w:ascii="Wingdings" w:hAnsi="Wingdings" w:hint="default"/>
      </w:rPr>
    </w:lvl>
  </w:abstractNum>
  <w:abstractNum w:abstractNumId="8">
    <w:nsid w:val="18331B19"/>
    <w:multiLevelType w:val="multilevel"/>
    <w:tmpl w:val="18331B19"/>
    <w:lvl w:ilvl="0">
      <w:start w:val="1"/>
      <w:numFmt w:val="decimal"/>
      <w:lvlText w:val="%1、"/>
      <w:lvlJc w:val="left"/>
      <w:pPr>
        <w:tabs>
          <w:tab w:val="left" w:pos="1215"/>
        </w:tabs>
        <w:ind w:left="1215" w:hanging="360"/>
      </w:pPr>
      <w:rPr>
        <w:rFonts w:hint="default"/>
      </w:rPr>
    </w:lvl>
    <w:lvl w:ilvl="1">
      <w:start w:val="1"/>
      <w:numFmt w:val="decimal"/>
      <w:lvlText w:val="%2）"/>
      <w:lvlJc w:val="left"/>
      <w:pPr>
        <w:tabs>
          <w:tab w:val="left" w:pos="1635"/>
        </w:tabs>
        <w:ind w:left="1635" w:hanging="360"/>
      </w:pPr>
      <w:rPr>
        <w:rFonts w:hint="default"/>
      </w:rPr>
    </w:lvl>
    <w:lvl w:ilvl="2">
      <w:start w:val="1"/>
      <w:numFmt w:val="lowerRoman"/>
      <w:lvlText w:val="%3."/>
      <w:lvlJc w:val="right"/>
      <w:pPr>
        <w:tabs>
          <w:tab w:val="left" w:pos="2115"/>
        </w:tabs>
        <w:ind w:left="2115" w:hanging="420"/>
      </w:pPr>
    </w:lvl>
    <w:lvl w:ilvl="3">
      <w:start w:val="1"/>
      <w:numFmt w:val="decimal"/>
      <w:lvlText w:val="%4."/>
      <w:lvlJc w:val="left"/>
      <w:pPr>
        <w:tabs>
          <w:tab w:val="left" w:pos="2535"/>
        </w:tabs>
        <w:ind w:left="2535" w:hanging="420"/>
      </w:pPr>
    </w:lvl>
    <w:lvl w:ilvl="4">
      <w:start w:val="1"/>
      <w:numFmt w:val="lowerLetter"/>
      <w:lvlText w:val="%5)"/>
      <w:lvlJc w:val="left"/>
      <w:pPr>
        <w:tabs>
          <w:tab w:val="left" w:pos="2955"/>
        </w:tabs>
        <w:ind w:left="2955" w:hanging="420"/>
      </w:pPr>
    </w:lvl>
    <w:lvl w:ilvl="5">
      <w:start w:val="1"/>
      <w:numFmt w:val="lowerRoman"/>
      <w:lvlText w:val="%6."/>
      <w:lvlJc w:val="right"/>
      <w:pPr>
        <w:tabs>
          <w:tab w:val="left" w:pos="3375"/>
        </w:tabs>
        <w:ind w:left="3375" w:hanging="420"/>
      </w:pPr>
    </w:lvl>
    <w:lvl w:ilvl="6">
      <w:start w:val="1"/>
      <w:numFmt w:val="decimal"/>
      <w:lvlText w:val="%7."/>
      <w:lvlJc w:val="left"/>
      <w:pPr>
        <w:tabs>
          <w:tab w:val="left" w:pos="3795"/>
        </w:tabs>
        <w:ind w:left="3795" w:hanging="420"/>
      </w:pPr>
    </w:lvl>
    <w:lvl w:ilvl="7">
      <w:start w:val="1"/>
      <w:numFmt w:val="lowerLetter"/>
      <w:lvlText w:val="%8)"/>
      <w:lvlJc w:val="left"/>
      <w:pPr>
        <w:tabs>
          <w:tab w:val="left" w:pos="4215"/>
        </w:tabs>
        <w:ind w:left="4215" w:hanging="420"/>
      </w:pPr>
    </w:lvl>
    <w:lvl w:ilvl="8">
      <w:start w:val="1"/>
      <w:numFmt w:val="lowerRoman"/>
      <w:lvlText w:val="%9."/>
      <w:lvlJc w:val="right"/>
      <w:pPr>
        <w:tabs>
          <w:tab w:val="left" w:pos="4635"/>
        </w:tabs>
        <w:ind w:left="4635" w:hanging="420"/>
      </w:pPr>
    </w:lvl>
  </w:abstractNum>
  <w:abstractNum w:abstractNumId="9">
    <w:nsid w:val="21946CA1"/>
    <w:multiLevelType w:val="multilevel"/>
    <w:tmpl w:val="21946CA1"/>
    <w:lvl w:ilvl="0">
      <w:start w:val="1"/>
      <w:numFmt w:val="bullet"/>
      <w:lvlText w:val=""/>
      <w:lvlJc w:val="left"/>
      <w:pPr>
        <w:tabs>
          <w:tab w:val="left" w:pos="2662"/>
        </w:tabs>
        <w:ind w:left="2662" w:hanging="420"/>
      </w:pPr>
      <w:rPr>
        <w:rFonts w:ascii="Wingdings" w:hAnsi="Wingdings" w:hint="default"/>
      </w:rPr>
    </w:lvl>
    <w:lvl w:ilvl="1">
      <w:start w:val="1"/>
      <w:numFmt w:val="bullet"/>
      <w:lvlText w:val=""/>
      <w:lvlJc w:val="left"/>
      <w:pPr>
        <w:tabs>
          <w:tab w:val="left" w:pos="3082"/>
        </w:tabs>
        <w:ind w:left="3082" w:hanging="420"/>
      </w:pPr>
      <w:rPr>
        <w:rFonts w:ascii="Wingdings" w:hAnsi="Wingdings" w:hint="default"/>
      </w:rPr>
    </w:lvl>
    <w:lvl w:ilvl="2">
      <w:start w:val="1"/>
      <w:numFmt w:val="bullet"/>
      <w:lvlText w:val=""/>
      <w:lvlJc w:val="left"/>
      <w:pPr>
        <w:tabs>
          <w:tab w:val="left" w:pos="3502"/>
        </w:tabs>
        <w:ind w:left="3502" w:hanging="420"/>
      </w:pPr>
      <w:rPr>
        <w:rFonts w:ascii="Wingdings" w:hAnsi="Wingdings" w:hint="default"/>
      </w:rPr>
    </w:lvl>
    <w:lvl w:ilvl="3">
      <w:start w:val="1"/>
      <w:numFmt w:val="bullet"/>
      <w:lvlText w:val=""/>
      <w:lvlJc w:val="left"/>
      <w:pPr>
        <w:tabs>
          <w:tab w:val="left" w:pos="3922"/>
        </w:tabs>
        <w:ind w:left="3922" w:hanging="420"/>
      </w:pPr>
      <w:rPr>
        <w:rFonts w:ascii="Wingdings" w:hAnsi="Wingdings" w:hint="default"/>
      </w:rPr>
    </w:lvl>
    <w:lvl w:ilvl="4">
      <w:start w:val="1"/>
      <w:numFmt w:val="bullet"/>
      <w:lvlText w:val=""/>
      <w:lvlJc w:val="left"/>
      <w:pPr>
        <w:tabs>
          <w:tab w:val="left" w:pos="4342"/>
        </w:tabs>
        <w:ind w:left="4342" w:hanging="420"/>
      </w:pPr>
      <w:rPr>
        <w:rFonts w:ascii="Wingdings" w:hAnsi="Wingdings" w:hint="default"/>
      </w:rPr>
    </w:lvl>
    <w:lvl w:ilvl="5">
      <w:start w:val="1"/>
      <w:numFmt w:val="bullet"/>
      <w:lvlText w:val=""/>
      <w:lvlJc w:val="left"/>
      <w:pPr>
        <w:tabs>
          <w:tab w:val="left" w:pos="4762"/>
        </w:tabs>
        <w:ind w:left="4762" w:hanging="420"/>
      </w:pPr>
      <w:rPr>
        <w:rFonts w:ascii="Wingdings" w:hAnsi="Wingdings" w:hint="default"/>
      </w:rPr>
    </w:lvl>
    <w:lvl w:ilvl="6">
      <w:start w:val="1"/>
      <w:numFmt w:val="bullet"/>
      <w:lvlText w:val=""/>
      <w:lvlJc w:val="left"/>
      <w:pPr>
        <w:tabs>
          <w:tab w:val="left" w:pos="5182"/>
        </w:tabs>
        <w:ind w:left="5182" w:hanging="420"/>
      </w:pPr>
      <w:rPr>
        <w:rFonts w:ascii="Wingdings" w:hAnsi="Wingdings" w:hint="default"/>
      </w:rPr>
    </w:lvl>
    <w:lvl w:ilvl="7">
      <w:start w:val="1"/>
      <w:numFmt w:val="bullet"/>
      <w:lvlText w:val=""/>
      <w:lvlJc w:val="left"/>
      <w:pPr>
        <w:tabs>
          <w:tab w:val="left" w:pos="5602"/>
        </w:tabs>
        <w:ind w:left="5602" w:hanging="420"/>
      </w:pPr>
      <w:rPr>
        <w:rFonts w:ascii="Wingdings" w:hAnsi="Wingdings" w:hint="default"/>
      </w:rPr>
    </w:lvl>
    <w:lvl w:ilvl="8">
      <w:start w:val="1"/>
      <w:numFmt w:val="bullet"/>
      <w:lvlText w:val=""/>
      <w:lvlJc w:val="left"/>
      <w:pPr>
        <w:tabs>
          <w:tab w:val="left" w:pos="6022"/>
        </w:tabs>
        <w:ind w:left="6022" w:hanging="420"/>
      </w:pPr>
      <w:rPr>
        <w:rFonts w:ascii="Wingdings" w:hAnsi="Wingdings" w:hint="default"/>
      </w:rPr>
    </w:lvl>
  </w:abstractNum>
  <w:abstractNum w:abstractNumId="10">
    <w:nsid w:val="29D87699"/>
    <w:multiLevelType w:val="multilevel"/>
    <w:tmpl w:val="29D87699"/>
    <w:lvl w:ilvl="0">
      <w:start w:val="1"/>
      <w:numFmt w:val="bullet"/>
      <w:lvlText w:val=""/>
      <w:lvlJc w:val="left"/>
      <w:pPr>
        <w:tabs>
          <w:tab w:val="left" w:pos="2186"/>
        </w:tabs>
        <w:ind w:left="2186" w:hanging="420"/>
      </w:pPr>
      <w:rPr>
        <w:rFonts w:ascii="Wingdings" w:hAnsi="Wingdings" w:hint="default"/>
      </w:rPr>
    </w:lvl>
    <w:lvl w:ilvl="1">
      <w:start w:val="1"/>
      <w:numFmt w:val="bullet"/>
      <w:lvlText w:val=""/>
      <w:lvlJc w:val="left"/>
      <w:pPr>
        <w:tabs>
          <w:tab w:val="left" w:pos="2606"/>
        </w:tabs>
        <w:ind w:left="2606" w:hanging="420"/>
      </w:pPr>
      <w:rPr>
        <w:rFonts w:ascii="Wingdings" w:hAnsi="Wingdings" w:hint="default"/>
      </w:rPr>
    </w:lvl>
    <w:lvl w:ilvl="2">
      <w:start w:val="1"/>
      <w:numFmt w:val="bullet"/>
      <w:lvlText w:val=""/>
      <w:lvlJc w:val="left"/>
      <w:pPr>
        <w:tabs>
          <w:tab w:val="left" w:pos="3026"/>
        </w:tabs>
        <w:ind w:left="3026" w:hanging="420"/>
      </w:pPr>
      <w:rPr>
        <w:rFonts w:ascii="Wingdings" w:hAnsi="Wingdings" w:hint="default"/>
      </w:rPr>
    </w:lvl>
    <w:lvl w:ilvl="3">
      <w:start w:val="1"/>
      <w:numFmt w:val="bullet"/>
      <w:lvlText w:val=""/>
      <w:lvlJc w:val="left"/>
      <w:pPr>
        <w:tabs>
          <w:tab w:val="left" w:pos="3446"/>
        </w:tabs>
        <w:ind w:left="3446" w:hanging="420"/>
      </w:pPr>
      <w:rPr>
        <w:rFonts w:ascii="Wingdings" w:hAnsi="Wingdings" w:hint="default"/>
      </w:rPr>
    </w:lvl>
    <w:lvl w:ilvl="4">
      <w:start w:val="1"/>
      <w:numFmt w:val="bullet"/>
      <w:lvlText w:val=""/>
      <w:lvlJc w:val="left"/>
      <w:pPr>
        <w:tabs>
          <w:tab w:val="left" w:pos="3866"/>
        </w:tabs>
        <w:ind w:left="3866" w:hanging="420"/>
      </w:pPr>
      <w:rPr>
        <w:rFonts w:ascii="Wingdings" w:hAnsi="Wingdings" w:hint="default"/>
      </w:rPr>
    </w:lvl>
    <w:lvl w:ilvl="5">
      <w:start w:val="1"/>
      <w:numFmt w:val="bullet"/>
      <w:lvlText w:val=""/>
      <w:lvlJc w:val="left"/>
      <w:pPr>
        <w:tabs>
          <w:tab w:val="left" w:pos="4286"/>
        </w:tabs>
        <w:ind w:left="4286" w:hanging="420"/>
      </w:pPr>
      <w:rPr>
        <w:rFonts w:ascii="Wingdings" w:hAnsi="Wingdings" w:hint="default"/>
      </w:rPr>
    </w:lvl>
    <w:lvl w:ilvl="6">
      <w:start w:val="1"/>
      <w:numFmt w:val="bullet"/>
      <w:lvlText w:val=""/>
      <w:lvlJc w:val="left"/>
      <w:pPr>
        <w:tabs>
          <w:tab w:val="left" w:pos="4706"/>
        </w:tabs>
        <w:ind w:left="4706" w:hanging="420"/>
      </w:pPr>
      <w:rPr>
        <w:rFonts w:ascii="Wingdings" w:hAnsi="Wingdings" w:hint="default"/>
      </w:rPr>
    </w:lvl>
    <w:lvl w:ilvl="7">
      <w:start w:val="1"/>
      <w:numFmt w:val="bullet"/>
      <w:lvlText w:val=""/>
      <w:lvlJc w:val="left"/>
      <w:pPr>
        <w:tabs>
          <w:tab w:val="left" w:pos="5126"/>
        </w:tabs>
        <w:ind w:left="5126" w:hanging="420"/>
      </w:pPr>
      <w:rPr>
        <w:rFonts w:ascii="Wingdings" w:hAnsi="Wingdings" w:hint="default"/>
      </w:rPr>
    </w:lvl>
    <w:lvl w:ilvl="8">
      <w:start w:val="1"/>
      <w:numFmt w:val="bullet"/>
      <w:lvlText w:val=""/>
      <w:lvlJc w:val="left"/>
      <w:pPr>
        <w:tabs>
          <w:tab w:val="left" w:pos="5546"/>
        </w:tabs>
        <w:ind w:left="5546" w:hanging="420"/>
      </w:pPr>
      <w:rPr>
        <w:rFonts w:ascii="Wingdings" w:hAnsi="Wingdings" w:hint="default"/>
      </w:rPr>
    </w:lvl>
  </w:abstractNum>
  <w:abstractNum w:abstractNumId="11">
    <w:nsid w:val="2F8A7F52"/>
    <w:multiLevelType w:val="multilevel"/>
    <w:tmpl w:val="2F8A7F52"/>
    <w:lvl w:ilvl="0">
      <w:start w:val="1"/>
      <w:numFmt w:val="bullet"/>
      <w:lvlText w:val=""/>
      <w:lvlJc w:val="left"/>
      <w:pPr>
        <w:tabs>
          <w:tab w:val="left" w:pos="1742"/>
        </w:tabs>
        <w:ind w:left="1742" w:hanging="420"/>
      </w:pPr>
      <w:rPr>
        <w:rFonts w:ascii="Wingdings" w:hAnsi="Wingdings" w:hint="default"/>
      </w:rPr>
    </w:lvl>
    <w:lvl w:ilvl="1">
      <w:start w:val="1"/>
      <w:numFmt w:val="bullet"/>
      <w:lvlText w:val=""/>
      <w:lvlJc w:val="left"/>
      <w:pPr>
        <w:tabs>
          <w:tab w:val="left" w:pos="2162"/>
        </w:tabs>
        <w:ind w:left="2162" w:hanging="420"/>
      </w:pPr>
      <w:rPr>
        <w:rFonts w:ascii="Wingdings" w:hAnsi="Wingdings" w:hint="default"/>
      </w:rPr>
    </w:lvl>
    <w:lvl w:ilvl="2">
      <w:start w:val="1"/>
      <w:numFmt w:val="bullet"/>
      <w:lvlText w:val=""/>
      <w:lvlJc w:val="left"/>
      <w:pPr>
        <w:tabs>
          <w:tab w:val="left" w:pos="2582"/>
        </w:tabs>
        <w:ind w:left="2582"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3422"/>
        </w:tabs>
        <w:ind w:left="3422" w:hanging="420"/>
      </w:pPr>
      <w:rPr>
        <w:rFonts w:ascii="Wingdings" w:hAnsi="Wingdings" w:hint="default"/>
      </w:rPr>
    </w:lvl>
    <w:lvl w:ilvl="5">
      <w:start w:val="1"/>
      <w:numFmt w:val="bullet"/>
      <w:lvlText w:val=""/>
      <w:lvlJc w:val="left"/>
      <w:pPr>
        <w:tabs>
          <w:tab w:val="left" w:pos="3842"/>
        </w:tabs>
        <w:ind w:left="3842" w:hanging="420"/>
      </w:pPr>
      <w:rPr>
        <w:rFonts w:ascii="Wingdings" w:hAnsi="Wingdings" w:hint="default"/>
      </w:rPr>
    </w:lvl>
    <w:lvl w:ilvl="6">
      <w:start w:val="1"/>
      <w:numFmt w:val="bullet"/>
      <w:lvlText w:val=""/>
      <w:lvlJc w:val="left"/>
      <w:pPr>
        <w:tabs>
          <w:tab w:val="left" w:pos="4262"/>
        </w:tabs>
        <w:ind w:left="4262" w:hanging="420"/>
      </w:pPr>
      <w:rPr>
        <w:rFonts w:ascii="Wingdings" w:hAnsi="Wingdings" w:hint="default"/>
      </w:rPr>
    </w:lvl>
    <w:lvl w:ilvl="7">
      <w:start w:val="1"/>
      <w:numFmt w:val="bullet"/>
      <w:lvlText w:val=""/>
      <w:lvlJc w:val="left"/>
      <w:pPr>
        <w:tabs>
          <w:tab w:val="left" w:pos="4682"/>
        </w:tabs>
        <w:ind w:left="4682" w:hanging="420"/>
      </w:pPr>
      <w:rPr>
        <w:rFonts w:ascii="Wingdings" w:hAnsi="Wingdings" w:hint="default"/>
      </w:rPr>
    </w:lvl>
    <w:lvl w:ilvl="8">
      <w:start w:val="1"/>
      <w:numFmt w:val="bullet"/>
      <w:lvlText w:val=""/>
      <w:lvlJc w:val="left"/>
      <w:pPr>
        <w:tabs>
          <w:tab w:val="left" w:pos="5102"/>
        </w:tabs>
        <w:ind w:left="5102" w:hanging="420"/>
      </w:pPr>
      <w:rPr>
        <w:rFonts w:ascii="Wingdings" w:hAnsi="Wingdings" w:hint="default"/>
      </w:rPr>
    </w:lvl>
  </w:abstractNum>
  <w:abstractNum w:abstractNumId="12">
    <w:nsid w:val="3418C179"/>
    <w:multiLevelType w:val="multilevel"/>
    <w:tmpl w:val="7BC63613"/>
    <w:lvl w:ilvl="0">
      <w:start w:val="1"/>
      <w:numFmt w:val="decimal"/>
      <w:lvlText w:val="%1、"/>
      <w:lvlJc w:val="left"/>
      <w:pPr>
        <w:tabs>
          <w:tab w:val="left" w:pos="1215"/>
        </w:tabs>
        <w:ind w:left="1215" w:hanging="360"/>
      </w:pPr>
      <w:rPr>
        <w:rFonts w:hint="default"/>
      </w:rPr>
    </w:lvl>
    <w:lvl w:ilvl="1">
      <w:start w:val="1"/>
      <w:numFmt w:val="decimal"/>
      <w:lvlText w:val="%2）"/>
      <w:lvlJc w:val="left"/>
      <w:pPr>
        <w:tabs>
          <w:tab w:val="left" w:pos="1635"/>
        </w:tabs>
        <w:ind w:left="1635" w:hanging="360"/>
      </w:pPr>
      <w:rPr>
        <w:rFonts w:hint="default"/>
      </w:rPr>
    </w:lvl>
    <w:lvl w:ilvl="2">
      <w:start w:val="1"/>
      <w:numFmt w:val="bullet"/>
      <w:lvlText w:val=""/>
      <w:lvlJc w:val="left"/>
      <w:pPr>
        <w:tabs>
          <w:tab w:val="left" w:pos="2115"/>
        </w:tabs>
        <w:ind w:left="2115" w:hanging="420"/>
      </w:pPr>
      <w:rPr>
        <w:rFonts w:ascii="Wingdings" w:hAnsi="Wingdings" w:hint="default"/>
      </w:rPr>
    </w:lvl>
    <w:lvl w:ilvl="3">
      <w:start w:val="1"/>
      <w:numFmt w:val="bullet"/>
      <w:lvlText w:val=""/>
      <w:lvlJc w:val="left"/>
      <w:pPr>
        <w:tabs>
          <w:tab w:val="left" w:pos="2535"/>
        </w:tabs>
        <w:ind w:left="2535" w:hanging="420"/>
      </w:pPr>
      <w:rPr>
        <w:rFonts w:ascii="Wingdings" w:hAnsi="Wingdings" w:hint="default"/>
      </w:rPr>
    </w:lvl>
    <w:lvl w:ilvl="4">
      <w:start w:val="1"/>
      <w:numFmt w:val="lowerLetter"/>
      <w:lvlText w:val="%5)"/>
      <w:lvlJc w:val="left"/>
      <w:pPr>
        <w:tabs>
          <w:tab w:val="left" w:pos="2955"/>
        </w:tabs>
        <w:ind w:left="2955" w:hanging="420"/>
      </w:pPr>
    </w:lvl>
    <w:lvl w:ilvl="5">
      <w:start w:val="1"/>
      <w:numFmt w:val="lowerRoman"/>
      <w:lvlText w:val="%6."/>
      <w:lvlJc w:val="right"/>
      <w:pPr>
        <w:tabs>
          <w:tab w:val="left" w:pos="3375"/>
        </w:tabs>
        <w:ind w:left="3375" w:hanging="420"/>
      </w:pPr>
    </w:lvl>
    <w:lvl w:ilvl="6">
      <w:start w:val="1"/>
      <w:numFmt w:val="decimal"/>
      <w:lvlText w:val="%7."/>
      <w:lvlJc w:val="left"/>
      <w:pPr>
        <w:tabs>
          <w:tab w:val="left" w:pos="3795"/>
        </w:tabs>
        <w:ind w:left="3795" w:hanging="420"/>
      </w:pPr>
    </w:lvl>
    <w:lvl w:ilvl="7">
      <w:start w:val="1"/>
      <w:numFmt w:val="lowerLetter"/>
      <w:lvlText w:val="%8)"/>
      <w:lvlJc w:val="left"/>
      <w:pPr>
        <w:tabs>
          <w:tab w:val="left" w:pos="4215"/>
        </w:tabs>
        <w:ind w:left="4215" w:hanging="420"/>
      </w:pPr>
    </w:lvl>
    <w:lvl w:ilvl="8">
      <w:start w:val="1"/>
      <w:numFmt w:val="lowerRoman"/>
      <w:lvlText w:val="%9."/>
      <w:lvlJc w:val="right"/>
      <w:pPr>
        <w:tabs>
          <w:tab w:val="left" w:pos="4635"/>
        </w:tabs>
        <w:ind w:left="4635" w:hanging="420"/>
      </w:pPr>
    </w:lvl>
  </w:abstractNum>
  <w:abstractNum w:abstractNumId="13">
    <w:nsid w:val="35181AD7"/>
    <w:multiLevelType w:val="multilevel"/>
    <w:tmpl w:val="35181AD7"/>
    <w:lvl w:ilvl="0">
      <w:start w:val="1"/>
      <w:numFmt w:val="japaneseCounting"/>
      <w:lvlText w:val="%1、"/>
      <w:lvlJc w:val="left"/>
      <w:pPr>
        <w:tabs>
          <w:tab w:val="left" w:pos="420"/>
        </w:tabs>
        <w:ind w:left="420" w:hanging="420"/>
      </w:pPr>
      <w:rPr>
        <w:rFonts w:hint="default"/>
      </w:rPr>
    </w:lvl>
    <w:lvl w:ilvl="1">
      <w:start w:val="1"/>
      <w:numFmt w:val="japaneseCounting"/>
      <w:lvlText w:val="（%2）"/>
      <w:lvlJc w:val="left"/>
      <w:pPr>
        <w:tabs>
          <w:tab w:val="left" w:pos="1140"/>
        </w:tabs>
        <w:ind w:left="1140" w:hanging="7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35ABE875"/>
    <w:multiLevelType w:val="multilevel"/>
    <w:tmpl w:val="507D03DD"/>
    <w:lvl w:ilvl="0">
      <w:start w:val="1"/>
      <w:numFmt w:val="decimal"/>
      <w:lvlText w:val="%1）"/>
      <w:lvlJc w:val="left"/>
      <w:pPr>
        <w:tabs>
          <w:tab w:val="left" w:pos="1635"/>
        </w:tabs>
        <w:ind w:left="1635" w:hanging="360"/>
      </w:pPr>
      <w:rPr>
        <w:rFonts w:ascii="Times New Roman" w:hAnsi="Times New Roman" w:hint="default"/>
        <w:b/>
      </w:rPr>
    </w:lvl>
    <w:lvl w:ilvl="1">
      <w:start w:val="1"/>
      <w:numFmt w:val="bullet"/>
      <w:lvlText w:val=""/>
      <w:lvlJc w:val="left"/>
      <w:pPr>
        <w:tabs>
          <w:tab w:val="left" w:pos="2115"/>
        </w:tabs>
        <w:ind w:left="2115" w:hanging="420"/>
      </w:pPr>
      <w:rPr>
        <w:rFonts w:ascii="Wingdings" w:hAnsi="Wingdings" w:hint="default"/>
        <w:b/>
      </w:rPr>
    </w:lvl>
    <w:lvl w:ilvl="2">
      <w:start w:val="1"/>
      <w:numFmt w:val="lowerRoman"/>
      <w:lvlText w:val="%3."/>
      <w:lvlJc w:val="right"/>
      <w:pPr>
        <w:tabs>
          <w:tab w:val="left" w:pos="2535"/>
        </w:tabs>
        <w:ind w:left="2535" w:hanging="420"/>
      </w:pPr>
    </w:lvl>
    <w:lvl w:ilvl="3">
      <w:start w:val="1"/>
      <w:numFmt w:val="decimal"/>
      <w:lvlText w:val="%4."/>
      <w:lvlJc w:val="left"/>
      <w:pPr>
        <w:tabs>
          <w:tab w:val="left" w:pos="2955"/>
        </w:tabs>
        <w:ind w:left="2955" w:hanging="420"/>
      </w:pPr>
    </w:lvl>
    <w:lvl w:ilvl="4">
      <w:start w:val="1"/>
      <w:numFmt w:val="lowerLetter"/>
      <w:lvlText w:val="%5)"/>
      <w:lvlJc w:val="left"/>
      <w:pPr>
        <w:tabs>
          <w:tab w:val="left" w:pos="3375"/>
        </w:tabs>
        <w:ind w:left="3375" w:hanging="420"/>
      </w:pPr>
    </w:lvl>
    <w:lvl w:ilvl="5">
      <w:start w:val="1"/>
      <w:numFmt w:val="lowerRoman"/>
      <w:lvlText w:val="%6."/>
      <w:lvlJc w:val="right"/>
      <w:pPr>
        <w:tabs>
          <w:tab w:val="left" w:pos="3795"/>
        </w:tabs>
        <w:ind w:left="3795" w:hanging="420"/>
      </w:pPr>
    </w:lvl>
    <w:lvl w:ilvl="6">
      <w:start w:val="1"/>
      <w:numFmt w:val="decimal"/>
      <w:lvlText w:val="%7."/>
      <w:lvlJc w:val="left"/>
      <w:pPr>
        <w:tabs>
          <w:tab w:val="left" w:pos="4215"/>
        </w:tabs>
        <w:ind w:left="4215" w:hanging="420"/>
      </w:pPr>
    </w:lvl>
    <w:lvl w:ilvl="7">
      <w:start w:val="1"/>
      <w:numFmt w:val="lowerLetter"/>
      <w:lvlText w:val="%8)"/>
      <w:lvlJc w:val="left"/>
      <w:pPr>
        <w:tabs>
          <w:tab w:val="left" w:pos="4635"/>
        </w:tabs>
        <w:ind w:left="4635" w:hanging="420"/>
      </w:pPr>
    </w:lvl>
    <w:lvl w:ilvl="8">
      <w:start w:val="1"/>
      <w:numFmt w:val="lowerRoman"/>
      <w:lvlText w:val="%9."/>
      <w:lvlJc w:val="right"/>
      <w:pPr>
        <w:tabs>
          <w:tab w:val="left" w:pos="5055"/>
        </w:tabs>
        <w:ind w:left="5055" w:hanging="420"/>
      </w:pPr>
    </w:lvl>
  </w:abstractNum>
  <w:abstractNum w:abstractNumId="15">
    <w:nsid w:val="37283FD8"/>
    <w:multiLevelType w:val="multilevel"/>
    <w:tmpl w:val="37283FD8"/>
    <w:lvl w:ilvl="0">
      <w:start w:val="1"/>
      <w:numFmt w:val="bullet"/>
      <w:lvlText w:val=""/>
      <w:lvlJc w:val="left"/>
      <w:pPr>
        <w:tabs>
          <w:tab w:val="left" w:pos="2172"/>
        </w:tabs>
        <w:ind w:left="2172" w:hanging="420"/>
      </w:pPr>
      <w:rPr>
        <w:rFonts w:ascii="Wingdings" w:hAnsi="Wingdings" w:hint="default"/>
      </w:rPr>
    </w:lvl>
    <w:lvl w:ilvl="1">
      <w:start w:val="1"/>
      <w:numFmt w:val="bullet"/>
      <w:lvlText w:val=""/>
      <w:lvlJc w:val="left"/>
      <w:pPr>
        <w:tabs>
          <w:tab w:val="left" w:pos="2592"/>
        </w:tabs>
        <w:ind w:left="2592" w:hanging="420"/>
      </w:pPr>
      <w:rPr>
        <w:rFonts w:ascii="Wingdings" w:hAnsi="Wingdings" w:hint="default"/>
      </w:rPr>
    </w:lvl>
    <w:lvl w:ilvl="2">
      <w:start w:val="1"/>
      <w:numFmt w:val="bullet"/>
      <w:lvlText w:val=""/>
      <w:lvlJc w:val="left"/>
      <w:pPr>
        <w:tabs>
          <w:tab w:val="left" w:pos="3012"/>
        </w:tabs>
        <w:ind w:left="3012" w:hanging="420"/>
      </w:pPr>
      <w:rPr>
        <w:rFonts w:ascii="Wingdings" w:hAnsi="Wingdings" w:hint="default"/>
      </w:rPr>
    </w:lvl>
    <w:lvl w:ilvl="3">
      <w:start w:val="1"/>
      <w:numFmt w:val="bullet"/>
      <w:lvlText w:val=""/>
      <w:lvlJc w:val="left"/>
      <w:pPr>
        <w:tabs>
          <w:tab w:val="left" w:pos="3432"/>
        </w:tabs>
        <w:ind w:left="3432" w:hanging="420"/>
      </w:pPr>
      <w:rPr>
        <w:rFonts w:ascii="Wingdings" w:hAnsi="Wingdings" w:hint="default"/>
      </w:rPr>
    </w:lvl>
    <w:lvl w:ilvl="4">
      <w:start w:val="1"/>
      <w:numFmt w:val="bullet"/>
      <w:lvlText w:val=""/>
      <w:lvlJc w:val="left"/>
      <w:pPr>
        <w:tabs>
          <w:tab w:val="left" w:pos="3852"/>
        </w:tabs>
        <w:ind w:left="3852" w:hanging="420"/>
      </w:pPr>
      <w:rPr>
        <w:rFonts w:ascii="Wingdings" w:hAnsi="Wingdings" w:hint="default"/>
      </w:rPr>
    </w:lvl>
    <w:lvl w:ilvl="5">
      <w:start w:val="1"/>
      <w:numFmt w:val="bullet"/>
      <w:lvlText w:val=""/>
      <w:lvlJc w:val="left"/>
      <w:pPr>
        <w:tabs>
          <w:tab w:val="left" w:pos="4272"/>
        </w:tabs>
        <w:ind w:left="4272" w:hanging="420"/>
      </w:pPr>
      <w:rPr>
        <w:rFonts w:ascii="Wingdings" w:hAnsi="Wingdings" w:hint="default"/>
      </w:rPr>
    </w:lvl>
    <w:lvl w:ilvl="6">
      <w:start w:val="1"/>
      <w:numFmt w:val="bullet"/>
      <w:lvlText w:val=""/>
      <w:lvlJc w:val="left"/>
      <w:pPr>
        <w:tabs>
          <w:tab w:val="left" w:pos="4692"/>
        </w:tabs>
        <w:ind w:left="4692" w:hanging="420"/>
      </w:pPr>
      <w:rPr>
        <w:rFonts w:ascii="Wingdings" w:hAnsi="Wingdings" w:hint="default"/>
      </w:rPr>
    </w:lvl>
    <w:lvl w:ilvl="7">
      <w:start w:val="1"/>
      <w:numFmt w:val="bullet"/>
      <w:lvlText w:val=""/>
      <w:lvlJc w:val="left"/>
      <w:pPr>
        <w:tabs>
          <w:tab w:val="left" w:pos="5112"/>
        </w:tabs>
        <w:ind w:left="5112" w:hanging="420"/>
      </w:pPr>
      <w:rPr>
        <w:rFonts w:ascii="Wingdings" w:hAnsi="Wingdings" w:hint="default"/>
      </w:rPr>
    </w:lvl>
    <w:lvl w:ilvl="8">
      <w:start w:val="1"/>
      <w:numFmt w:val="bullet"/>
      <w:lvlText w:val=""/>
      <w:lvlJc w:val="left"/>
      <w:pPr>
        <w:tabs>
          <w:tab w:val="left" w:pos="5532"/>
        </w:tabs>
        <w:ind w:left="5532" w:hanging="420"/>
      </w:pPr>
      <w:rPr>
        <w:rFonts w:ascii="Wingdings" w:hAnsi="Wingdings" w:hint="default"/>
      </w:rPr>
    </w:lvl>
  </w:abstractNum>
  <w:abstractNum w:abstractNumId="16">
    <w:nsid w:val="3C8172F6"/>
    <w:multiLevelType w:val="multilevel"/>
    <w:tmpl w:val="3C8172F6"/>
    <w:lvl w:ilvl="0">
      <w:start w:val="1"/>
      <w:numFmt w:val="decimal"/>
      <w:lvlText w:val="%1）"/>
      <w:lvlJc w:val="left"/>
      <w:pPr>
        <w:tabs>
          <w:tab w:val="left" w:pos="1635"/>
        </w:tabs>
        <w:ind w:left="1635" w:hanging="360"/>
      </w:pPr>
      <w:rPr>
        <w:rFonts w:hint="default"/>
      </w:rPr>
    </w:lvl>
    <w:lvl w:ilvl="1">
      <w:start w:val="1"/>
      <w:numFmt w:val="bullet"/>
      <w:lvlText w:val=""/>
      <w:lvlJc w:val="left"/>
      <w:pPr>
        <w:tabs>
          <w:tab w:val="left" w:pos="2115"/>
        </w:tabs>
        <w:ind w:left="2115" w:hanging="420"/>
      </w:pPr>
      <w:rPr>
        <w:rFonts w:ascii="Wingdings" w:hAnsi="Wingdings" w:hint="default"/>
      </w:rPr>
    </w:lvl>
    <w:lvl w:ilvl="2">
      <w:start w:val="1"/>
      <w:numFmt w:val="lowerRoman"/>
      <w:lvlText w:val="%3."/>
      <w:lvlJc w:val="right"/>
      <w:pPr>
        <w:tabs>
          <w:tab w:val="left" w:pos="2535"/>
        </w:tabs>
        <w:ind w:left="2535" w:hanging="420"/>
      </w:pPr>
    </w:lvl>
    <w:lvl w:ilvl="3">
      <w:start w:val="1"/>
      <w:numFmt w:val="decimal"/>
      <w:lvlText w:val="%4."/>
      <w:lvlJc w:val="left"/>
      <w:pPr>
        <w:tabs>
          <w:tab w:val="left" w:pos="2955"/>
        </w:tabs>
        <w:ind w:left="2955" w:hanging="420"/>
      </w:pPr>
    </w:lvl>
    <w:lvl w:ilvl="4">
      <w:start w:val="1"/>
      <w:numFmt w:val="lowerLetter"/>
      <w:lvlText w:val="%5)"/>
      <w:lvlJc w:val="left"/>
      <w:pPr>
        <w:tabs>
          <w:tab w:val="left" w:pos="3375"/>
        </w:tabs>
        <w:ind w:left="3375" w:hanging="420"/>
      </w:pPr>
    </w:lvl>
    <w:lvl w:ilvl="5">
      <w:start w:val="1"/>
      <w:numFmt w:val="lowerRoman"/>
      <w:lvlText w:val="%6."/>
      <w:lvlJc w:val="right"/>
      <w:pPr>
        <w:tabs>
          <w:tab w:val="left" w:pos="3795"/>
        </w:tabs>
        <w:ind w:left="3795" w:hanging="420"/>
      </w:pPr>
    </w:lvl>
    <w:lvl w:ilvl="6">
      <w:start w:val="1"/>
      <w:numFmt w:val="decimal"/>
      <w:lvlText w:val="%7."/>
      <w:lvlJc w:val="left"/>
      <w:pPr>
        <w:tabs>
          <w:tab w:val="left" w:pos="4215"/>
        </w:tabs>
        <w:ind w:left="4215" w:hanging="420"/>
      </w:pPr>
    </w:lvl>
    <w:lvl w:ilvl="7">
      <w:start w:val="1"/>
      <w:numFmt w:val="lowerLetter"/>
      <w:lvlText w:val="%8)"/>
      <w:lvlJc w:val="left"/>
      <w:pPr>
        <w:tabs>
          <w:tab w:val="left" w:pos="4635"/>
        </w:tabs>
        <w:ind w:left="4635" w:hanging="420"/>
      </w:pPr>
    </w:lvl>
    <w:lvl w:ilvl="8">
      <w:start w:val="1"/>
      <w:numFmt w:val="lowerRoman"/>
      <w:lvlText w:val="%9."/>
      <w:lvlJc w:val="right"/>
      <w:pPr>
        <w:tabs>
          <w:tab w:val="left" w:pos="5055"/>
        </w:tabs>
        <w:ind w:left="5055" w:hanging="420"/>
      </w:pPr>
    </w:lvl>
  </w:abstractNum>
  <w:abstractNum w:abstractNumId="17">
    <w:nsid w:val="4732192A"/>
    <w:multiLevelType w:val="multilevel"/>
    <w:tmpl w:val="4732192A"/>
    <w:lvl w:ilvl="0">
      <w:start w:val="1"/>
      <w:numFmt w:val="decimal"/>
      <w:lvlText w:val="%1、"/>
      <w:lvlJc w:val="left"/>
      <w:pPr>
        <w:tabs>
          <w:tab w:val="left" w:pos="1215"/>
        </w:tabs>
        <w:ind w:left="1215" w:hanging="360"/>
      </w:pPr>
      <w:rPr>
        <w:rFonts w:hint="default"/>
      </w:rPr>
    </w:lvl>
    <w:lvl w:ilvl="1">
      <w:start w:val="1"/>
      <w:numFmt w:val="decimal"/>
      <w:lvlText w:val="%2）"/>
      <w:lvlJc w:val="left"/>
      <w:pPr>
        <w:tabs>
          <w:tab w:val="left" w:pos="1635"/>
        </w:tabs>
        <w:ind w:left="1635" w:hanging="360"/>
      </w:pPr>
      <w:rPr>
        <w:rFonts w:hint="default"/>
      </w:rPr>
    </w:lvl>
    <w:lvl w:ilvl="2">
      <w:start w:val="1"/>
      <w:numFmt w:val="bullet"/>
      <w:lvlText w:val=""/>
      <w:lvlJc w:val="left"/>
      <w:pPr>
        <w:tabs>
          <w:tab w:val="left" w:pos="2115"/>
        </w:tabs>
        <w:ind w:left="2115" w:hanging="420"/>
      </w:pPr>
      <w:rPr>
        <w:rFonts w:ascii="Wingdings" w:hAnsi="Wingdings" w:hint="default"/>
      </w:rPr>
    </w:lvl>
    <w:lvl w:ilvl="3">
      <w:start w:val="1"/>
      <w:numFmt w:val="decimal"/>
      <w:lvlText w:val="%4."/>
      <w:lvlJc w:val="left"/>
      <w:pPr>
        <w:tabs>
          <w:tab w:val="left" w:pos="2535"/>
        </w:tabs>
        <w:ind w:left="2535" w:hanging="420"/>
      </w:pPr>
    </w:lvl>
    <w:lvl w:ilvl="4">
      <w:start w:val="1"/>
      <w:numFmt w:val="lowerLetter"/>
      <w:lvlText w:val="%5)"/>
      <w:lvlJc w:val="left"/>
      <w:pPr>
        <w:tabs>
          <w:tab w:val="left" w:pos="2955"/>
        </w:tabs>
        <w:ind w:left="2955" w:hanging="420"/>
      </w:pPr>
    </w:lvl>
    <w:lvl w:ilvl="5">
      <w:start w:val="1"/>
      <w:numFmt w:val="lowerRoman"/>
      <w:lvlText w:val="%6."/>
      <w:lvlJc w:val="right"/>
      <w:pPr>
        <w:tabs>
          <w:tab w:val="left" w:pos="3375"/>
        </w:tabs>
        <w:ind w:left="3375" w:hanging="420"/>
      </w:pPr>
    </w:lvl>
    <w:lvl w:ilvl="6">
      <w:start w:val="1"/>
      <w:numFmt w:val="decimal"/>
      <w:lvlText w:val="%7."/>
      <w:lvlJc w:val="left"/>
      <w:pPr>
        <w:tabs>
          <w:tab w:val="left" w:pos="3795"/>
        </w:tabs>
        <w:ind w:left="3795" w:hanging="420"/>
      </w:pPr>
    </w:lvl>
    <w:lvl w:ilvl="7">
      <w:start w:val="1"/>
      <w:numFmt w:val="lowerLetter"/>
      <w:lvlText w:val="%8)"/>
      <w:lvlJc w:val="left"/>
      <w:pPr>
        <w:tabs>
          <w:tab w:val="left" w:pos="4215"/>
        </w:tabs>
        <w:ind w:left="4215" w:hanging="420"/>
      </w:pPr>
    </w:lvl>
    <w:lvl w:ilvl="8">
      <w:start w:val="1"/>
      <w:numFmt w:val="lowerRoman"/>
      <w:lvlText w:val="%9."/>
      <w:lvlJc w:val="right"/>
      <w:pPr>
        <w:tabs>
          <w:tab w:val="left" w:pos="4635"/>
        </w:tabs>
        <w:ind w:left="4635" w:hanging="420"/>
      </w:pPr>
    </w:lvl>
  </w:abstractNum>
  <w:abstractNum w:abstractNumId="18">
    <w:nsid w:val="507D03DD"/>
    <w:multiLevelType w:val="multilevel"/>
    <w:tmpl w:val="507D03DD"/>
    <w:lvl w:ilvl="0">
      <w:start w:val="1"/>
      <w:numFmt w:val="decimal"/>
      <w:lvlText w:val="%1）"/>
      <w:lvlJc w:val="left"/>
      <w:pPr>
        <w:tabs>
          <w:tab w:val="left" w:pos="1635"/>
        </w:tabs>
        <w:ind w:left="1635" w:hanging="360"/>
      </w:pPr>
      <w:rPr>
        <w:rFonts w:ascii="Times New Roman" w:hAnsi="Times New Roman" w:hint="default"/>
        <w:b/>
      </w:rPr>
    </w:lvl>
    <w:lvl w:ilvl="1">
      <w:start w:val="1"/>
      <w:numFmt w:val="bullet"/>
      <w:lvlText w:val=""/>
      <w:lvlJc w:val="left"/>
      <w:pPr>
        <w:tabs>
          <w:tab w:val="left" w:pos="2115"/>
        </w:tabs>
        <w:ind w:left="2115" w:hanging="420"/>
      </w:pPr>
      <w:rPr>
        <w:rFonts w:ascii="Wingdings" w:hAnsi="Wingdings" w:hint="default"/>
        <w:b/>
      </w:rPr>
    </w:lvl>
    <w:lvl w:ilvl="2">
      <w:start w:val="1"/>
      <w:numFmt w:val="lowerRoman"/>
      <w:lvlText w:val="%3."/>
      <w:lvlJc w:val="right"/>
      <w:pPr>
        <w:tabs>
          <w:tab w:val="left" w:pos="2535"/>
        </w:tabs>
        <w:ind w:left="2535" w:hanging="420"/>
      </w:pPr>
    </w:lvl>
    <w:lvl w:ilvl="3">
      <w:start w:val="1"/>
      <w:numFmt w:val="decimal"/>
      <w:lvlText w:val="%4."/>
      <w:lvlJc w:val="left"/>
      <w:pPr>
        <w:tabs>
          <w:tab w:val="left" w:pos="2955"/>
        </w:tabs>
        <w:ind w:left="2955" w:hanging="420"/>
      </w:pPr>
    </w:lvl>
    <w:lvl w:ilvl="4">
      <w:start w:val="1"/>
      <w:numFmt w:val="lowerLetter"/>
      <w:lvlText w:val="%5)"/>
      <w:lvlJc w:val="left"/>
      <w:pPr>
        <w:tabs>
          <w:tab w:val="left" w:pos="3375"/>
        </w:tabs>
        <w:ind w:left="3375" w:hanging="420"/>
      </w:pPr>
    </w:lvl>
    <w:lvl w:ilvl="5">
      <w:start w:val="1"/>
      <w:numFmt w:val="lowerRoman"/>
      <w:lvlText w:val="%6."/>
      <w:lvlJc w:val="right"/>
      <w:pPr>
        <w:tabs>
          <w:tab w:val="left" w:pos="3795"/>
        </w:tabs>
        <w:ind w:left="3795" w:hanging="420"/>
      </w:pPr>
    </w:lvl>
    <w:lvl w:ilvl="6">
      <w:start w:val="1"/>
      <w:numFmt w:val="decimal"/>
      <w:lvlText w:val="%7."/>
      <w:lvlJc w:val="left"/>
      <w:pPr>
        <w:tabs>
          <w:tab w:val="left" w:pos="4215"/>
        </w:tabs>
        <w:ind w:left="4215" w:hanging="420"/>
      </w:pPr>
    </w:lvl>
    <w:lvl w:ilvl="7">
      <w:start w:val="1"/>
      <w:numFmt w:val="lowerLetter"/>
      <w:lvlText w:val="%8)"/>
      <w:lvlJc w:val="left"/>
      <w:pPr>
        <w:tabs>
          <w:tab w:val="left" w:pos="4635"/>
        </w:tabs>
        <w:ind w:left="4635" w:hanging="420"/>
      </w:pPr>
    </w:lvl>
    <w:lvl w:ilvl="8">
      <w:start w:val="1"/>
      <w:numFmt w:val="lowerRoman"/>
      <w:lvlText w:val="%9."/>
      <w:lvlJc w:val="right"/>
      <w:pPr>
        <w:tabs>
          <w:tab w:val="left" w:pos="5055"/>
        </w:tabs>
        <w:ind w:left="5055" w:hanging="420"/>
      </w:pPr>
    </w:lvl>
  </w:abstractNum>
  <w:abstractNum w:abstractNumId="19">
    <w:nsid w:val="56E14BB7"/>
    <w:multiLevelType w:val="multilevel"/>
    <w:tmpl w:val="56E14BB7"/>
    <w:lvl w:ilvl="0">
      <w:start w:val="1"/>
      <w:numFmt w:val="decimal"/>
      <w:lvlText w:val="%1、"/>
      <w:lvlJc w:val="left"/>
      <w:pPr>
        <w:tabs>
          <w:tab w:val="left" w:pos="1215"/>
        </w:tabs>
        <w:ind w:left="1215" w:hanging="360"/>
      </w:pPr>
      <w:rPr>
        <w:rFonts w:hint="default"/>
      </w:rPr>
    </w:lvl>
    <w:lvl w:ilvl="1">
      <w:start w:val="1"/>
      <w:numFmt w:val="bullet"/>
      <w:lvlText w:val=""/>
      <w:lvlJc w:val="left"/>
      <w:pPr>
        <w:tabs>
          <w:tab w:val="left" w:pos="1695"/>
        </w:tabs>
        <w:ind w:left="1695" w:hanging="420"/>
      </w:pPr>
      <w:rPr>
        <w:rFonts w:ascii="Wingdings" w:hAnsi="Wingdings" w:hint="default"/>
      </w:rPr>
    </w:lvl>
    <w:lvl w:ilvl="2">
      <w:start w:val="1"/>
      <w:numFmt w:val="decimal"/>
      <w:lvlText w:val="%3）"/>
      <w:lvlJc w:val="left"/>
      <w:pPr>
        <w:tabs>
          <w:tab w:val="left" w:pos="2055"/>
        </w:tabs>
        <w:ind w:left="2055" w:hanging="360"/>
      </w:pPr>
      <w:rPr>
        <w:rFonts w:hint="default"/>
      </w:rPr>
    </w:lvl>
    <w:lvl w:ilvl="3">
      <w:start w:val="1"/>
      <w:numFmt w:val="bullet"/>
      <w:lvlText w:val=""/>
      <w:lvlJc w:val="left"/>
      <w:pPr>
        <w:tabs>
          <w:tab w:val="left" w:pos="2535"/>
        </w:tabs>
        <w:ind w:left="2535" w:hanging="420"/>
      </w:pPr>
      <w:rPr>
        <w:rFonts w:ascii="Wingdings" w:hAnsi="Wingdings" w:hint="default"/>
      </w:rPr>
    </w:lvl>
    <w:lvl w:ilvl="4">
      <w:start w:val="1"/>
      <w:numFmt w:val="lowerLetter"/>
      <w:lvlText w:val="%5)"/>
      <w:lvlJc w:val="left"/>
      <w:pPr>
        <w:tabs>
          <w:tab w:val="left" w:pos="2955"/>
        </w:tabs>
        <w:ind w:left="2955" w:hanging="420"/>
      </w:pPr>
    </w:lvl>
    <w:lvl w:ilvl="5">
      <w:start w:val="1"/>
      <w:numFmt w:val="lowerRoman"/>
      <w:lvlText w:val="%6."/>
      <w:lvlJc w:val="right"/>
      <w:pPr>
        <w:tabs>
          <w:tab w:val="left" w:pos="3375"/>
        </w:tabs>
        <w:ind w:left="3375" w:hanging="420"/>
      </w:pPr>
    </w:lvl>
    <w:lvl w:ilvl="6">
      <w:start w:val="1"/>
      <w:numFmt w:val="decimal"/>
      <w:lvlText w:val="%7."/>
      <w:lvlJc w:val="left"/>
      <w:pPr>
        <w:tabs>
          <w:tab w:val="left" w:pos="3795"/>
        </w:tabs>
        <w:ind w:left="3795" w:hanging="420"/>
      </w:pPr>
    </w:lvl>
    <w:lvl w:ilvl="7">
      <w:start w:val="1"/>
      <w:numFmt w:val="lowerLetter"/>
      <w:lvlText w:val="%8)"/>
      <w:lvlJc w:val="left"/>
      <w:pPr>
        <w:tabs>
          <w:tab w:val="left" w:pos="4215"/>
        </w:tabs>
        <w:ind w:left="4215" w:hanging="420"/>
      </w:pPr>
    </w:lvl>
    <w:lvl w:ilvl="8">
      <w:start w:val="1"/>
      <w:numFmt w:val="lowerRoman"/>
      <w:lvlText w:val="%9."/>
      <w:lvlJc w:val="right"/>
      <w:pPr>
        <w:tabs>
          <w:tab w:val="left" w:pos="4635"/>
        </w:tabs>
        <w:ind w:left="4635" w:hanging="420"/>
      </w:pPr>
    </w:lvl>
  </w:abstractNum>
  <w:abstractNum w:abstractNumId="20">
    <w:nsid w:val="60B84876"/>
    <w:multiLevelType w:val="multilevel"/>
    <w:tmpl w:val="60B84876"/>
    <w:lvl w:ilvl="0">
      <w:start w:val="1"/>
      <w:numFmt w:val="bullet"/>
      <w:lvlText w:val=""/>
      <w:lvlJc w:val="left"/>
      <w:pPr>
        <w:tabs>
          <w:tab w:val="left" w:pos="2662"/>
        </w:tabs>
        <w:ind w:left="2662" w:hanging="420"/>
      </w:pPr>
      <w:rPr>
        <w:rFonts w:ascii="Wingdings" w:hAnsi="Wingdings" w:hint="default"/>
      </w:rPr>
    </w:lvl>
    <w:lvl w:ilvl="1">
      <w:start w:val="1"/>
      <w:numFmt w:val="bullet"/>
      <w:lvlText w:val=""/>
      <w:lvlJc w:val="left"/>
      <w:pPr>
        <w:tabs>
          <w:tab w:val="left" w:pos="3082"/>
        </w:tabs>
        <w:ind w:left="3082" w:hanging="420"/>
      </w:pPr>
      <w:rPr>
        <w:rFonts w:ascii="Wingdings" w:hAnsi="Wingdings" w:hint="default"/>
      </w:rPr>
    </w:lvl>
    <w:lvl w:ilvl="2">
      <w:start w:val="1"/>
      <w:numFmt w:val="bullet"/>
      <w:lvlText w:val=""/>
      <w:lvlJc w:val="left"/>
      <w:pPr>
        <w:tabs>
          <w:tab w:val="left" w:pos="3502"/>
        </w:tabs>
        <w:ind w:left="3502" w:hanging="420"/>
      </w:pPr>
      <w:rPr>
        <w:rFonts w:ascii="Wingdings" w:hAnsi="Wingdings" w:hint="default"/>
      </w:rPr>
    </w:lvl>
    <w:lvl w:ilvl="3">
      <w:start w:val="1"/>
      <w:numFmt w:val="bullet"/>
      <w:lvlText w:val=""/>
      <w:lvlJc w:val="left"/>
      <w:pPr>
        <w:tabs>
          <w:tab w:val="left" w:pos="3922"/>
        </w:tabs>
        <w:ind w:left="3922" w:hanging="420"/>
      </w:pPr>
      <w:rPr>
        <w:rFonts w:ascii="Wingdings" w:hAnsi="Wingdings" w:hint="default"/>
      </w:rPr>
    </w:lvl>
    <w:lvl w:ilvl="4">
      <w:start w:val="1"/>
      <w:numFmt w:val="bullet"/>
      <w:lvlText w:val=""/>
      <w:lvlJc w:val="left"/>
      <w:pPr>
        <w:tabs>
          <w:tab w:val="left" w:pos="4342"/>
        </w:tabs>
        <w:ind w:left="4342" w:hanging="420"/>
      </w:pPr>
      <w:rPr>
        <w:rFonts w:ascii="Wingdings" w:hAnsi="Wingdings" w:hint="default"/>
      </w:rPr>
    </w:lvl>
    <w:lvl w:ilvl="5">
      <w:start w:val="1"/>
      <w:numFmt w:val="bullet"/>
      <w:lvlText w:val=""/>
      <w:lvlJc w:val="left"/>
      <w:pPr>
        <w:tabs>
          <w:tab w:val="left" w:pos="4762"/>
        </w:tabs>
        <w:ind w:left="4762" w:hanging="420"/>
      </w:pPr>
      <w:rPr>
        <w:rFonts w:ascii="Wingdings" w:hAnsi="Wingdings" w:hint="default"/>
      </w:rPr>
    </w:lvl>
    <w:lvl w:ilvl="6">
      <w:start w:val="1"/>
      <w:numFmt w:val="bullet"/>
      <w:lvlText w:val=""/>
      <w:lvlJc w:val="left"/>
      <w:pPr>
        <w:tabs>
          <w:tab w:val="left" w:pos="5182"/>
        </w:tabs>
        <w:ind w:left="5182" w:hanging="420"/>
      </w:pPr>
      <w:rPr>
        <w:rFonts w:ascii="Wingdings" w:hAnsi="Wingdings" w:hint="default"/>
      </w:rPr>
    </w:lvl>
    <w:lvl w:ilvl="7">
      <w:start w:val="1"/>
      <w:numFmt w:val="bullet"/>
      <w:lvlText w:val=""/>
      <w:lvlJc w:val="left"/>
      <w:pPr>
        <w:tabs>
          <w:tab w:val="left" w:pos="5602"/>
        </w:tabs>
        <w:ind w:left="5602" w:hanging="420"/>
      </w:pPr>
      <w:rPr>
        <w:rFonts w:ascii="Wingdings" w:hAnsi="Wingdings" w:hint="default"/>
      </w:rPr>
    </w:lvl>
    <w:lvl w:ilvl="8">
      <w:start w:val="1"/>
      <w:numFmt w:val="bullet"/>
      <w:lvlText w:val=""/>
      <w:lvlJc w:val="left"/>
      <w:pPr>
        <w:tabs>
          <w:tab w:val="left" w:pos="6022"/>
        </w:tabs>
        <w:ind w:left="6022" w:hanging="420"/>
      </w:pPr>
      <w:rPr>
        <w:rFonts w:ascii="Wingdings" w:hAnsi="Wingdings" w:hint="default"/>
      </w:rPr>
    </w:lvl>
  </w:abstractNum>
  <w:abstractNum w:abstractNumId="21">
    <w:nsid w:val="62CBC627"/>
    <w:multiLevelType w:val="multilevel"/>
    <w:tmpl w:val="29D87699"/>
    <w:lvl w:ilvl="0">
      <w:start w:val="1"/>
      <w:numFmt w:val="bullet"/>
      <w:lvlText w:val=""/>
      <w:lvlJc w:val="left"/>
      <w:pPr>
        <w:tabs>
          <w:tab w:val="left" w:pos="2186"/>
        </w:tabs>
        <w:ind w:left="2186" w:hanging="420"/>
      </w:pPr>
      <w:rPr>
        <w:rFonts w:ascii="Wingdings" w:hAnsi="Wingdings" w:hint="default"/>
      </w:rPr>
    </w:lvl>
    <w:lvl w:ilvl="1">
      <w:start w:val="1"/>
      <w:numFmt w:val="bullet"/>
      <w:lvlText w:val=""/>
      <w:lvlJc w:val="left"/>
      <w:pPr>
        <w:tabs>
          <w:tab w:val="left" w:pos="2606"/>
        </w:tabs>
        <w:ind w:left="2606" w:hanging="420"/>
      </w:pPr>
      <w:rPr>
        <w:rFonts w:ascii="Wingdings" w:hAnsi="Wingdings" w:hint="default"/>
      </w:rPr>
    </w:lvl>
    <w:lvl w:ilvl="2">
      <w:start w:val="1"/>
      <w:numFmt w:val="bullet"/>
      <w:lvlText w:val=""/>
      <w:lvlJc w:val="left"/>
      <w:pPr>
        <w:tabs>
          <w:tab w:val="left" w:pos="3026"/>
        </w:tabs>
        <w:ind w:left="3026" w:hanging="420"/>
      </w:pPr>
      <w:rPr>
        <w:rFonts w:ascii="Wingdings" w:hAnsi="Wingdings" w:hint="default"/>
      </w:rPr>
    </w:lvl>
    <w:lvl w:ilvl="3">
      <w:start w:val="1"/>
      <w:numFmt w:val="bullet"/>
      <w:lvlText w:val=""/>
      <w:lvlJc w:val="left"/>
      <w:pPr>
        <w:tabs>
          <w:tab w:val="left" w:pos="3446"/>
        </w:tabs>
        <w:ind w:left="3446" w:hanging="420"/>
      </w:pPr>
      <w:rPr>
        <w:rFonts w:ascii="Wingdings" w:hAnsi="Wingdings" w:hint="default"/>
      </w:rPr>
    </w:lvl>
    <w:lvl w:ilvl="4">
      <w:start w:val="1"/>
      <w:numFmt w:val="bullet"/>
      <w:lvlText w:val=""/>
      <w:lvlJc w:val="left"/>
      <w:pPr>
        <w:tabs>
          <w:tab w:val="left" w:pos="3866"/>
        </w:tabs>
        <w:ind w:left="3866" w:hanging="420"/>
      </w:pPr>
      <w:rPr>
        <w:rFonts w:ascii="Wingdings" w:hAnsi="Wingdings" w:hint="default"/>
      </w:rPr>
    </w:lvl>
    <w:lvl w:ilvl="5">
      <w:start w:val="1"/>
      <w:numFmt w:val="bullet"/>
      <w:lvlText w:val=""/>
      <w:lvlJc w:val="left"/>
      <w:pPr>
        <w:tabs>
          <w:tab w:val="left" w:pos="4286"/>
        </w:tabs>
        <w:ind w:left="4286" w:hanging="420"/>
      </w:pPr>
      <w:rPr>
        <w:rFonts w:ascii="Wingdings" w:hAnsi="Wingdings" w:hint="default"/>
      </w:rPr>
    </w:lvl>
    <w:lvl w:ilvl="6">
      <w:start w:val="1"/>
      <w:numFmt w:val="bullet"/>
      <w:lvlText w:val=""/>
      <w:lvlJc w:val="left"/>
      <w:pPr>
        <w:tabs>
          <w:tab w:val="left" w:pos="4706"/>
        </w:tabs>
        <w:ind w:left="4706" w:hanging="420"/>
      </w:pPr>
      <w:rPr>
        <w:rFonts w:ascii="Wingdings" w:hAnsi="Wingdings" w:hint="default"/>
      </w:rPr>
    </w:lvl>
    <w:lvl w:ilvl="7">
      <w:start w:val="1"/>
      <w:numFmt w:val="bullet"/>
      <w:lvlText w:val=""/>
      <w:lvlJc w:val="left"/>
      <w:pPr>
        <w:tabs>
          <w:tab w:val="left" w:pos="5126"/>
        </w:tabs>
        <w:ind w:left="5126" w:hanging="420"/>
      </w:pPr>
      <w:rPr>
        <w:rFonts w:ascii="Wingdings" w:hAnsi="Wingdings" w:hint="default"/>
      </w:rPr>
    </w:lvl>
    <w:lvl w:ilvl="8">
      <w:start w:val="1"/>
      <w:numFmt w:val="bullet"/>
      <w:lvlText w:val=""/>
      <w:lvlJc w:val="left"/>
      <w:pPr>
        <w:tabs>
          <w:tab w:val="left" w:pos="5546"/>
        </w:tabs>
        <w:ind w:left="5546" w:hanging="420"/>
      </w:pPr>
      <w:rPr>
        <w:rFonts w:ascii="Wingdings" w:hAnsi="Wingdings" w:hint="default"/>
      </w:rPr>
    </w:lvl>
  </w:abstractNum>
  <w:abstractNum w:abstractNumId="22">
    <w:nsid w:val="636A3329"/>
    <w:multiLevelType w:val="multilevel"/>
    <w:tmpl w:val="636A3329"/>
    <w:lvl w:ilvl="0">
      <w:start w:val="1"/>
      <w:numFmt w:val="japaneseCounting"/>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3">
    <w:nsid w:val="637A0BDA"/>
    <w:multiLevelType w:val="multilevel"/>
    <w:tmpl w:val="637A0BDA"/>
    <w:lvl w:ilvl="0">
      <w:start w:val="1"/>
      <w:numFmt w:val="bullet"/>
      <w:lvlText w:val=""/>
      <w:lvlJc w:val="left"/>
      <w:pPr>
        <w:tabs>
          <w:tab w:val="left" w:pos="2662"/>
        </w:tabs>
        <w:ind w:left="2662" w:hanging="420"/>
      </w:pPr>
      <w:rPr>
        <w:rFonts w:ascii="Wingdings" w:hAnsi="Wingdings" w:hint="default"/>
      </w:rPr>
    </w:lvl>
    <w:lvl w:ilvl="1">
      <w:start w:val="1"/>
      <w:numFmt w:val="decimal"/>
      <w:lvlText w:val="%2）"/>
      <w:lvlJc w:val="left"/>
      <w:pPr>
        <w:tabs>
          <w:tab w:val="left" w:pos="1635"/>
        </w:tabs>
        <w:ind w:left="1635" w:hanging="360"/>
      </w:pPr>
      <w:rPr>
        <w:rFonts w:hint="default"/>
      </w:rPr>
    </w:lvl>
    <w:lvl w:ilvl="2">
      <w:start w:val="1"/>
      <w:numFmt w:val="bullet"/>
      <w:lvlText w:val=""/>
      <w:lvlJc w:val="left"/>
      <w:pPr>
        <w:tabs>
          <w:tab w:val="left" w:pos="2115"/>
        </w:tabs>
        <w:ind w:left="2115" w:hanging="420"/>
      </w:pPr>
      <w:rPr>
        <w:rFonts w:ascii="Wingdings" w:hAnsi="Wingdings" w:hint="default"/>
      </w:rPr>
    </w:lvl>
    <w:lvl w:ilvl="3">
      <w:start w:val="1"/>
      <w:numFmt w:val="decimal"/>
      <w:lvlText w:val="%4."/>
      <w:lvlJc w:val="left"/>
      <w:pPr>
        <w:tabs>
          <w:tab w:val="left" w:pos="2535"/>
        </w:tabs>
        <w:ind w:left="2535" w:hanging="420"/>
      </w:pPr>
    </w:lvl>
    <w:lvl w:ilvl="4">
      <w:start w:val="1"/>
      <w:numFmt w:val="lowerLetter"/>
      <w:lvlText w:val="%5)"/>
      <w:lvlJc w:val="left"/>
      <w:pPr>
        <w:tabs>
          <w:tab w:val="left" w:pos="2955"/>
        </w:tabs>
        <w:ind w:left="2955" w:hanging="420"/>
      </w:pPr>
    </w:lvl>
    <w:lvl w:ilvl="5">
      <w:start w:val="1"/>
      <w:numFmt w:val="lowerRoman"/>
      <w:lvlText w:val="%6."/>
      <w:lvlJc w:val="right"/>
      <w:pPr>
        <w:tabs>
          <w:tab w:val="left" w:pos="3375"/>
        </w:tabs>
        <w:ind w:left="3375" w:hanging="420"/>
      </w:pPr>
    </w:lvl>
    <w:lvl w:ilvl="6">
      <w:start w:val="1"/>
      <w:numFmt w:val="decimal"/>
      <w:lvlText w:val="%7."/>
      <w:lvlJc w:val="left"/>
      <w:pPr>
        <w:tabs>
          <w:tab w:val="left" w:pos="3795"/>
        </w:tabs>
        <w:ind w:left="3795" w:hanging="420"/>
      </w:pPr>
    </w:lvl>
    <w:lvl w:ilvl="7">
      <w:start w:val="1"/>
      <w:numFmt w:val="lowerLetter"/>
      <w:lvlText w:val="%8)"/>
      <w:lvlJc w:val="left"/>
      <w:pPr>
        <w:tabs>
          <w:tab w:val="left" w:pos="4215"/>
        </w:tabs>
        <w:ind w:left="4215" w:hanging="420"/>
      </w:pPr>
    </w:lvl>
    <w:lvl w:ilvl="8">
      <w:start w:val="1"/>
      <w:numFmt w:val="lowerRoman"/>
      <w:lvlText w:val="%9."/>
      <w:lvlJc w:val="right"/>
      <w:pPr>
        <w:tabs>
          <w:tab w:val="left" w:pos="4635"/>
        </w:tabs>
        <w:ind w:left="4635" w:hanging="420"/>
      </w:pPr>
    </w:lvl>
  </w:abstractNum>
  <w:abstractNum w:abstractNumId="24">
    <w:nsid w:val="70F40489"/>
    <w:multiLevelType w:val="multilevel"/>
    <w:tmpl w:val="70F40489"/>
    <w:lvl w:ilvl="0">
      <w:start w:val="1"/>
      <w:numFmt w:val="japaneseCounting"/>
      <w:lvlText w:val="（%1）"/>
      <w:lvlJc w:val="left"/>
      <w:pPr>
        <w:tabs>
          <w:tab w:val="left" w:pos="1140"/>
        </w:tabs>
        <w:ind w:left="1140" w:hanging="720"/>
      </w:pPr>
      <w:rPr>
        <w:rFonts w:hint="default"/>
      </w:rPr>
    </w:lvl>
    <w:lvl w:ilvl="1">
      <w:start w:val="1"/>
      <w:numFmt w:val="bullet"/>
      <w:lvlText w:val=""/>
      <w:lvlJc w:val="left"/>
      <w:pPr>
        <w:tabs>
          <w:tab w:val="left" w:pos="1260"/>
        </w:tabs>
        <w:ind w:left="1260" w:hanging="420"/>
      </w:pPr>
      <w:rPr>
        <w:rFonts w:ascii="Wingdings" w:hAnsi="Wingdings" w:hint="default"/>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5">
    <w:nsid w:val="722076A1"/>
    <w:multiLevelType w:val="multilevel"/>
    <w:tmpl w:val="722076A1"/>
    <w:lvl w:ilvl="0">
      <w:start w:val="1"/>
      <w:numFmt w:val="bullet"/>
      <w:lvlText w:val=""/>
      <w:lvlJc w:val="left"/>
      <w:pPr>
        <w:tabs>
          <w:tab w:val="left" w:pos="2172"/>
        </w:tabs>
        <w:ind w:left="2172" w:hanging="420"/>
      </w:pPr>
      <w:rPr>
        <w:rFonts w:ascii="Wingdings" w:hAnsi="Wingdings" w:hint="default"/>
      </w:rPr>
    </w:lvl>
    <w:lvl w:ilvl="1">
      <w:start w:val="1"/>
      <w:numFmt w:val="bullet"/>
      <w:lvlText w:val=""/>
      <w:lvlJc w:val="left"/>
      <w:pPr>
        <w:tabs>
          <w:tab w:val="left" w:pos="2592"/>
        </w:tabs>
        <w:ind w:left="2592" w:hanging="420"/>
      </w:pPr>
      <w:rPr>
        <w:rFonts w:ascii="Wingdings" w:hAnsi="Wingdings" w:hint="default"/>
      </w:rPr>
    </w:lvl>
    <w:lvl w:ilvl="2">
      <w:start w:val="1"/>
      <w:numFmt w:val="bullet"/>
      <w:lvlText w:val=""/>
      <w:lvlJc w:val="left"/>
      <w:pPr>
        <w:tabs>
          <w:tab w:val="left" w:pos="3012"/>
        </w:tabs>
        <w:ind w:left="3012" w:hanging="420"/>
      </w:pPr>
      <w:rPr>
        <w:rFonts w:ascii="Wingdings" w:hAnsi="Wingdings" w:hint="default"/>
      </w:rPr>
    </w:lvl>
    <w:lvl w:ilvl="3">
      <w:start w:val="1"/>
      <w:numFmt w:val="bullet"/>
      <w:lvlText w:val=""/>
      <w:lvlJc w:val="left"/>
      <w:pPr>
        <w:tabs>
          <w:tab w:val="left" w:pos="3432"/>
        </w:tabs>
        <w:ind w:left="3432" w:hanging="420"/>
      </w:pPr>
      <w:rPr>
        <w:rFonts w:ascii="Wingdings" w:hAnsi="Wingdings" w:hint="default"/>
      </w:rPr>
    </w:lvl>
    <w:lvl w:ilvl="4">
      <w:start w:val="1"/>
      <w:numFmt w:val="bullet"/>
      <w:lvlText w:val=""/>
      <w:lvlJc w:val="left"/>
      <w:pPr>
        <w:tabs>
          <w:tab w:val="left" w:pos="3852"/>
        </w:tabs>
        <w:ind w:left="3852" w:hanging="420"/>
      </w:pPr>
      <w:rPr>
        <w:rFonts w:ascii="Wingdings" w:hAnsi="Wingdings" w:hint="default"/>
      </w:rPr>
    </w:lvl>
    <w:lvl w:ilvl="5">
      <w:start w:val="1"/>
      <w:numFmt w:val="bullet"/>
      <w:lvlText w:val=""/>
      <w:lvlJc w:val="left"/>
      <w:pPr>
        <w:tabs>
          <w:tab w:val="left" w:pos="4272"/>
        </w:tabs>
        <w:ind w:left="4272" w:hanging="420"/>
      </w:pPr>
      <w:rPr>
        <w:rFonts w:ascii="Wingdings" w:hAnsi="Wingdings" w:hint="default"/>
      </w:rPr>
    </w:lvl>
    <w:lvl w:ilvl="6">
      <w:start w:val="1"/>
      <w:numFmt w:val="bullet"/>
      <w:lvlText w:val=""/>
      <w:lvlJc w:val="left"/>
      <w:pPr>
        <w:tabs>
          <w:tab w:val="left" w:pos="4692"/>
        </w:tabs>
        <w:ind w:left="4692" w:hanging="420"/>
      </w:pPr>
      <w:rPr>
        <w:rFonts w:ascii="Wingdings" w:hAnsi="Wingdings" w:hint="default"/>
      </w:rPr>
    </w:lvl>
    <w:lvl w:ilvl="7">
      <w:start w:val="1"/>
      <w:numFmt w:val="bullet"/>
      <w:lvlText w:val=""/>
      <w:lvlJc w:val="left"/>
      <w:pPr>
        <w:tabs>
          <w:tab w:val="left" w:pos="5112"/>
        </w:tabs>
        <w:ind w:left="5112" w:hanging="420"/>
      </w:pPr>
      <w:rPr>
        <w:rFonts w:ascii="Wingdings" w:hAnsi="Wingdings" w:hint="default"/>
      </w:rPr>
    </w:lvl>
    <w:lvl w:ilvl="8">
      <w:start w:val="1"/>
      <w:numFmt w:val="bullet"/>
      <w:lvlText w:val=""/>
      <w:lvlJc w:val="left"/>
      <w:pPr>
        <w:tabs>
          <w:tab w:val="left" w:pos="5532"/>
        </w:tabs>
        <w:ind w:left="5532" w:hanging="420"/>
      </w:pPr>
      <w:rPr>
        <w:rFonts w:ascii="Wingdings" w:hAnsi="Wingdings" w:hint="default"/>
      </w:rPr>
    </w:lvl>
  </w:abstractNum>
  <w:abstractNum w:abstractNumId="26">
    <w:nsid w:val="739C02CC"/>
    <w:multiLevelType w:val="multilevel"/>
    <w:tmpl w:val="739C02CC"/>
    <w:lvl w:ilvl="0">
      <w:start w:val="1"/>
      <w:numFmt w:val="bullet"/>
      <w:lvlText w:val=""/>
      <w:lvlJc w:val="left"/>
      <w:pPr>
        <w:tabs>
          <w:tab w:val="left" w:pos="2172"/>
        </w:tabs>
        <w:ind w:left="2172" w:hanging="420"/>
      </w:pPr>
      <w:rPr>
        <w:rFonts w:ascii="Wingdings" w:hAnsi="Wingdings" w:hint="default"/>
      </w:rPr>
    </w:lvl>
    <w:lvl w:ilvl="1">
      <w:start w:val="1"/>
      <w:numFmt w:val="bullet"/>
      <w:lvlText w:val=""/>
      <w:lvlJc w:val="left"/>
      <w:pPr>
        <w:tabs>
          <w:tab w:val="left" w:pos="2592"/>
        </w:tabs>
        <w:ind w:left="2592" w:hanging="420"/>
      </w:pPr>
      <w:rPr>
        <w:rFonts w:ascii="Wingdings" w:hAnsi="Wingdings" w:hint="default"/>
      </w:rPr>
    </w:lvl>
    <w:lvl w:ilvl="2">
      <w:start w:val="1"/>
      <w:numFmt w:val="bullet"/>
      <w:lvlText w:val=""/>
      <w:lvlJc w:val="left"/>
      <w:pPr>
        <w:tabs>
          <w:tab w:val="left" w:pos="3012"/>
        </w:tabs>
        <w:ind w:left="3012" w:hanging="420"/>
      </w:pPr>
      <w:rPr>
        <w:rFonts w:ascii="Wingdings" w:hAnsi="Wingdings" w:hint="default"/>
      </w:rPr>
    </w:lvl>
    <w:lvl w:ilvl="3">
      <w:start w:val="1"/>
      <w:numFmt w:val="bullet"/>
      <w:lvlText w:val=""/>
      <w:lvlJc w:val="left"/>
      <w:pPr>
        <w:tabs>
          <w:tab w:val="left" w:pos="3432"/>
        </w:tabs>
        <w:ind w:left="3432" w:hanging="420"/>
      </w:pPr>
      <w:rPr>
        <w:rFonts w:ascii="Wingdings" w:hAnsi="Wingdings" w:hint="default"/>
      </w:rPr>
    </w:lvl>
    <w:lvl w:ilvl="4">
      <w:start w:val="1"/>
      <w:numFmt w:val="bullet"/>
      <w:lvlText w:val=""/>
      <w:lvlJc w:val="left"/>
      <w:pPr>
        <w:tabs>
          <w:tab w:val="left" w:pos="3852"/>
        </w:tabs>
        <w:ind w:left="3852" w:hanging="420"/>
      </w:pPr>
      <w:rPr>
        <w:rFonts w:ascii="Wingdings" w:hAnsi="Wingdings" w:hint="default"/>
      </w:rPr>
    </w:lvl>
    <w:lvl w:ilvl="5">
      <w:start w:val="1"/>
      <w:numFmt w:val="bullet"/>
      <w:lvlText w:val=""/>
      <w:lvlJc w:val="left"/>
      <w:pPr>
        <w:tabs>
          <w:tab w:val="left" w:pos="4272"/>
        </w:tabs>
        <w:ind w:left="4272" w:hanging="420"/>
      </w:pPr>
      <w:rPr>
        <w:rFonts w:ascii="Wingdings" w:hAnsi="Wingdings" w:hint="default"/>
      </w:rPr>
    </w:lvl>
    <w:lvl w:ilvl="6">
      <w:start w:val="1"/>
      <w:numFmt w:val="bullet"/>
      <w:lvlText w:val=""/>
      <w:lvlJc w:val="left"/>
      <w:pPr>
        <w:tabs>
          <w:tab w:val="left" w:pos="4692"/>
        </w:tabs>
        <w:ind w:left="4692" w:hanging="420"/>
      </w:pPr>
      <w:rPr>
        <w:rFonts w:ascii="Wingdings" w:hAnsi="Wingdings" w:hint="default"/>
      </w:rPr>
    </w:lvl>
    <w:lvl w:ilvl="7">
      <w:start w:val="1"/>
      <w:numFmt w:val="bullet"/>
      <w:lvlText w:val=""/>
      <w:lvlJc w:val="left"/>
      <w:pPr>
        <w:tabs>
          <w:tab w:val="left" w:pos="5112"/>
        </w:tabs>
        <w:ind w:left="5112" w:hanging="420"/>
      </w:pPr>
      <w:rPr>
        <w:rFonts w:ascii="Wingdings" w:hAnsi="Wingdings" w:hint="default"/>
      </w:rPr>
    </w:lvl>
    <w:lvl w:ilvl="8">
      <w:start w:val="1"/>
      <w:numFmt w:val="bullet"/>
      <w:lvlText w:val=""/>
      <w:lvlJc w:val="left"/>
      <w:pPr>
        <w:tabs>
          <w:tab w:val="left" w:pos="5532"/>
        </w:tabs>
        <w:ind w:left="5532" w:hanging="420"/>
      </w:pPr>
      <w:rPr>
        <w:rFonts w:ascii="Wingdings" w:hAnsi="Wingdings" w:hint="default"/>
      </w:rPr>
    </w:lvl>
  </w:abstractNum>
  <w:abstractNum w:abstractNumId="27">
    <w:nsid w:val="759D5723"/>
    <w:multiLevelType w:val="multilevel"/>
    <w:tmpl w:val="759D5723"/>
    <w:lvl w:ilvl="0">
      <w:start w:val="1"/>
      <w:numFmt w:val="decimal"/>
      <w:lvlText w:val="%1、"/>
      <w:lvlJc w:val="left"/>
      <w:pPr>
        <w:tabs>
          <w:tab w:val="left" w:pos="1215"/>
        </w:tabs>
        <w:ind w:left="1215" w:hanging="360"/>
      </w:pPr>
      <w:rPr>
        <w:rFonts w:hint="default"/>
      </w:rPr>
    </w:lvl>
    <w:lvl w:ilvl="1">
      <w:start w:val="1"/>
      <w:numFmt w:val="decimal"/>
      <w:lvlText w:val="%2)"/>
      <w:lvlJc w:val="left"/>
      <w:pPr>
        <w:tabs>
          <w:tab w:val="left" w:pos="1695"/>
        </w:tabs>
        <w:ind w:left="1695" w:hanging="420"/>
      </w:pPr>
      <w:rPr>
        <w:rFonts w:hint="default"/>
      </w:rPr>
    </w:lvl>
    <w:lvl w:ilvl="2">
      <w:start w:val="1"/>
      <w:numFmt w:val="bullet"/>
      <w:lvlText w:val=""/>
      <w:lvlJc w:val="left"/>
      <w:pPr>
        <w:tabs>
          <w:tab w:val="left" w:pos="2115"/>
        </w:tabs>
        <w:ind w:left="2115" w:hanging="420"/>
      </w:pPr>
      <w:rPr>
        <w:rFonts w:ascii="Wingdings" w:hAnsi="Wingdings" w:hint="default"/>
      </w:rPr>
    </w:lvl>
    <w:lvl w:ilvl="3">
      <w:start w:val="1"/>
      <w:numFmt w:val="decimal"/>
      <w:lvlText w:val="%4."/>
      <w:lvlJc w:val="left"/>
      <w:pPr>
        <w:tabs>
          <w:tab w:val="left" w:pos="2535"/>
        </w:tabs>
        <w:ind w:left="2535" w:hanging="420"/>
      </w:pPr>
    </w:lvl>
    <w:lvl w:ilvl="4">
      <w:start w:val="1"/>
      <w:numFmt w:val="lowerLetter"/>
      <w:lvlText w:val="%5)"/>
      <w:lvlJc w:val="left"/>
      <w:pPr>
        <w:tabs>
          <w:tab w:val="left" w:pos="2955"/>
        </w:tabs>
        <w:ind w:left="2955" w:hanging="420"/>
      </w:pPr>
    </w:lvl>
    <w:lvl w:ilvl="5">
      <w:start w:val="1"/>
      <w:numFmt w:val="lowerRoman"/>
      <w:lvlText w:val="%6."/>
      <w:lvlJc w:val="right"/>
      <w:pPr>
        <w:tabs>
          <w:tab w:val="left" w:pos="3375"/>
        </w:tabs>
        <w:ind w:left="3375" w:hanging="420"/>
      </w:pPr>
    </w:lvl>
    <w:lvl w:ilvl="6">
      <w:start w:val="1"/>
      <w:numFmt w:val="decimal"/>
      <w:lvlText w:val="%7."/>
      <w:lvlJc w:val="left"/>
      <w:pPr>
        <w:tabs>
          <w:tab w:val="left" w:pos="3795"/>
        </w:tabs>
        <w:ind w:left="3795" w:hanging="420"/>
      </w:pPr>
    </w:lvl>
    <w:lvl w:ilvl="7">
      <w:start w:val="1"/>
      <w:numFmt w:val="lowerLetter"/>
      <w:lvlText w:val="%8)"/>
      <w:lvlJc w:val="left"/>
      <w:pPr>
        <w:tabs>
          <w:tab w:val="left" w:pos="4215"/>
        </w:tabs>
        <w:ind w:left="4215" w:hanging="420"/>
      </w:pPr>
    </w:lvl>
    <w:lvl w:ilvl="8">
      <w:start w:val="1"/>
      <w:numFmt w:val="lowerRoman"/>
      <w:lvlText w:val="%9."/>
      <w:lvlJc w:val="right"/>
      <w:pPr>
        <w:tabs>
          <w:tab w:val="left" w:pos="4635"/>
        </w:tabs>
        <w:ind w:left="4635" w:hanging="420"/>
      </w:pPr>
    </w:lvl>
  </w:abstractNum>
  <w:abstractNum w:abstractNumId="28">
    <w:nsid w:val="783B3AA7"/>
    <w:multiLevelType w:val="multilevel"/>
    <w:tmpl w:val="783B3AA7"/>
    <w:lvl w:ilvl="0">
      <w:start w:val="1"/>
      <w:numFmt w:val="bullet"/>
      <w:lvlText w:val=""/>
      <w:lvlJc w:val="left"/>
      <w:pPr>
        <w:tabs>
          <w:tab w:val="left" w:pos="2662"/>
        </w:tabs>
        <w:ind w:left="2662" w:hanging="420"/>
      </w:pPr>
      <w:rPr>
        <w:rFonts w:ascii="Wingdings" w:hAnsi="Wingdings" w:hint="default"/>
      </w:rPr>
    </w:lvl>
    <w:lvl w:ilvl="1">
      <w:start w:val="1"/>
      <w:numFmt w:val="bullet"/>
      <w:lvlText w:val=""/>
      <w:lvlJc w:val="left"/>
      <w:pPr>
        <w:tabs>
          <w:tab w:val="left" w:pos="3082"/>
        </w:tabs>
        <w:ind w:left="3082" w:hanging="420"/>
      </w:pPr>
      <w:rPr>
        <w:rFonts w:ascii="Wingdings" w:hAnsi="Wingdings" w:hint="default"/>
      </w:rPr>
    </w:lvl>
    <w:lvl w:ilvl="2">
      <w:start w:val="1"/>
      <w:numFmt w:val="bullet"/>
      <w:lvlText w:val=""/>
      <w:lvlJc w:val="left"/>
      <w:pPr>
        <w:tabs>
          <w:tab w:val="left" w:pos="3502"/>
        </w:tabs>
        <w:ind w:left="3502" w:hanging="420"/>
      </w:pPr>
      <w:rPr>
        <w:rFonts w:ascii="Wingdings" w:hAnsi="Wingdings" w:hint="default"/>
      </w:rPr>
    </w:lvl>
    <w:lvl w:ilvl="3">
      <w:start w:val="1"/>
      <w:numFmt w:val="bullet"/>
      <w:lvlText w:val=""/>
      <w:lvlJc w:val="left"/>
      <w:pPr>
        <w:tabs>
          <w:tab w:val="left" w:pos="3922"/>
        </w:tabs>
        <w:ind w:left="3922" w:hanging="420"/>
      </w:pPr>
      <w:rPr>
        <w:rFonts w:ascii="Wingdings" w:hAnsi="Wingdings" w:hint="default"/>
      </w:rPr>
    </w:lvl>
    <w:lvl w:ilvl="4">
      <w:start w:val="1"/>
      <w:numFmt w:val="bullet"/>
      <w:lvlText w:val=""/>
      <w:lvlJc w:val="left"/>
      <w:pPr>
        <w:tabs>
          <w:tab w:val="left" w:pos="4342"/>
        </w:tabs>
        <w:ind w:left="4342" w:hanging="420"/>
      </w:pPr>
      <w:rPr>
        <w:rFonts w:ascii="Wingdings" w:hAnsi="Wingdings" w:hint="default"/>
      </w:rPr>
    </w:lvl>
    <w:lvl w:ilvl="5">
      <w:start w:val="1"/>
      <w:numFmt w:val="bullet"/>
      <w:lvlText w:val=""/>
      <w:lvlJc w:val="left"/>
      <w:pPr>
        <w:tabs>
          <w:tab w:val="left" w:pos="4762"/>
        </w:tabs>
        <w:ind w:left="4762" w:hanging="420"/>
      </w:pPr>
      <w:rPr>
        <w:rFonts w:ascii="Wingdings" w:hAnsi="Wingdings" w:hint="default"/>
      </w:rPr>
    </w:lvl>
    <w:lvl w:ilvl="6">
      <w:start w:val="1"/>
      <w:numFmt w:val="bullet"/>
      <w:lvlText w:val=""/>
      <w:lvlJc w:val="left"/>
      <w:pPr>
        <w:tabs>
          <w:tab w:val="left" w:pos="5182"/>
        </w:tabs>
        <w:ind w:left="5182" w:hanging="420"/>
      </w:pPr>
      <w:rPr>
        <w:rFonts w:ascii="Wingdings" w:hAnsi="Wingdings" w:hint="default"/>
      </w:rPr>
    </w:lvl>
    <w:lvl w:ilvl="7">
      <w:start w:val="1"/>
      <w:numFmt w:val="bullet"/>
      <w:lvlText w:val=""/>
      <w:lvlJc w:val="left"/>
      <w:pPr>
        <w:tabs>
          <w:tab w:val="left" w:pos="5602"/>
        </w:tabs>
        <w:ind w:left="5602" w:hanging="420"/>
      </w:pPr>
      <w:rPr>
        <w:rFonts w:ascii="Wingdings" w:hAnsi="Wingdings" w:hint="default"/>
      </w:rPr>
    </w:lvl>
    <w:lvl w:ilvl="8">
      <w:start w:val="1"/>
      <w:numFmt w:val="bullet"/>
      <w:lvlText w:val=""/>
      <w:lvlJc w:val="left"/>
      <w:pPr>
        <w:tabs>
          <w:tab w:val="left" w:pos="6022"/>
        </w:tabs>
        <w:ind w:left="6022" w:hanging="420"/>
      </w:pPr>
      <w:rPr>
        <w:rFonts w:ascii="Wingdings" w:hAnsi="Wingdings" w:hint="default"/>
      </w:rPr>
    </w:lvl>
  </w:abstractNum>
  <w:abstractNum w:abstractNumId="29">
    <w:nsid w:val="7BC63613"/>
    <w:multiLevelType w:val="multilevel"/>
    <w:tmpl w:val="7BC63613"/>
    <w:lvl w:ilvl="0">
      <w:start w:val="1"/>
      <w:numFmt w:val="decimal"/>
      <w:lvlText w:val="%1、"/>
      <w:lvlJc w:val="left"/>
      <w:pPr>
        <w:tabs>
          <w:tab w:val="left" w:pos="1215"/>
        </w:tabs>
        <w:ind w:left="1215" w:hanging="360"/>
      </w:pPr>
      <w:rPr>
        <w:rFonts w:hint="default"/>
      </w:rPr>
    </w:lvl>
    <w:lvl w:ilvl="1">
      <w:start w:val="1"/>
      <w:numFmt w:val="decimal"/>
      <w:lvlText w:val="%2）"/>
      <w:lvlJc w:val="left"/>
      <w:pPr>
        <w:tabs>
          <w:tab w:val="left" w:pos="1635"/>
        </w:tabs>
        <w:ind w:left="1635" w:hanging="360"/>
      </w:pPr>
      <w:rPr>
        <w:rFonts w:hint="default"/>
      </w:rPr>
    </w:lvl>
    <w:lvl w:ilvl="2">
      <w:start w:val="1"/>
      <w:numFmt w:val="bullet"/>
      <w:lvlText w:val=""/>
      <w:lvlJc w:val="left"/>
      <w:pPr>
        <w:tabs>
          <w:tab w:val="left" w:pos="2115"/>
        </w:tabs>
        <w:ind w:left="2115" w:hanging="420"/>
      </w:pPr>
      <w:rPr>
        <w:rFonts w:ascii="Wingdings" w:hAnsi="Wingdings" w:hint="default"/>
      </w:rPr>
    </w:lvl>
    <w:lvl w:ilvl="3">
      <w:start w:val="1"/>
      <w:numFmt w:val="bullet"/>
      <w:lvlText w:val=""/>
      <w:lvlJc w:val="left"/>
      <w:pPr>
        <w:tabs>
          <w:tab w:val="left" w:pos="2535"/>
        </w:tabs>
        <w:ind w:left="2535" w:hanging="420"/>
      </w:pPr>
      <w:rPr>
        <w:rFonts w:ascii="Wingdings" w:hAnsi="Wingdings" w:hint="default"/>
      </w:rPr>
    </w:lvl>
    <w:lvl w:ilvl="4">
      <w:start w:val="1"/>
      <w:numFmt w:val="lowerLetter"/>
      <w:lvlText w:val="%5)"/>
      <w:lvlJc w:val="left"/>
      <w:pPr>
        <w:tabs>
          <w:tab w:val="left" w:pos="2955"/>
        </w:tabs>
        <w:ind w:left="2955" w:hanging="420"/>
      </w:pPr>
    </w:lvl>
    <w:lvl w:ilvl="5">
      <w:start w:val="1"/>
      <w:numFmt w:val="lowerRoman"/>
      <w:lvlText w:val="%6."/>
      <w:lvlJc w:val="right"/>
      <w:pPr>
        <w:tabs>
          <w:tab w:val="left" w:pos="3375"/>
        </w:tabs>
        <w:ind w:left="3375" w:hanging="420"/>
      </w:pPr>
    </w:lvl>
    <w:lvl w:ilvl="6">
      <w:start w:val="1"/>
      <w:numFmt w:val="decimal"/>
      <w:lvlText w:val="%7."/>
      <w:lvlJc w:val="left"/>
      <w:pPr>
        <w:tabs>
          <w:tab w:val="left" w:pos="3795"/>
        </w:tabs>
        <w:ind w:left="3795" w:hanging="420"/>
      </w:pPr>
    </w:lvl>
    <w:lvl w:ilvl="7">
      <w:start w:val="1"/>
      <w:numFmt w:val="lowerLetter"/>
      <w:lvlText w:val="%8)"/>
      <w:lvlJc w:val="left"/>
      <w:pPr>
        <w:tabs>
          <w:tab w:val="left" w:pos="4215"/>
        </w:tabs>
        <w:ind w:left="4215" w:hanging="420"/>
      </w:pPr>
    </w:lvl>
    <w:lvl w:ilvl="8">
      <w:start w:val="1"/>
      <w:numFmt w:val="lowerRoman"/>
      <w:lvlText w:val="%9."/>
      <w:lvlJc w:val="right"/>
      <w:pPr>
        <w:tabs>
          <w:tab w:val="left" w:pos="4635"/>
        </w:tabs>
        <w:ind w:left="4635" w:hanging="420"/>
      </w:pPr>
    </w:lvl>
  </w:abstractNum>
  <w:abstractNum w:abstractNumId="30">
    <w:nsid w:val="7E083A5D"/>
    <w:multiLevelType w:val="multilevel"/>
    <w:tmpl w:val="7E083A5D"/>
    <w:lvl w:ilvl="0">
      <w:start w:val="1"/>
      <w:numFmt w:val="bullet"/>
      <w:lvlText w:val=""/>
      <w:lvlJc w:val="left"/>
      <w:pPr>
        <w:tabs>
          <w:tab w:val="left" w:pos="2594"/>
        </w:tabs>
        <w:ind w:left="2594" w:hanging="420"/>
      </w:pPr>
      <w:rPr>
        <w:rFonts w:ascii="Wingdings" w:hAnsi="Wingdings" w:hint="default"/>
      </w:rPr>
    </w:lvl>
    <w:lvl w:ilvl="1">
      <w:start w:val="1"/>
      <w:numFmt w:val="bullet"/>
      <w:lvlText w:val=""/>
      <w:lvlJc w:val="left"/>
      <w:pPr>
        <w:tabs>
          <w:tab w:val="left" w:pos="3014"/>
        </w:tabs>
        <w:ind w:left="3014" w:hanging="420"/>
      </w:pPr>
      <w:rPr>
        <w:rFonts w:ascii="Wingdings" w:hAnsi="Wingdings" w:hint="default"/>
      </w:rPr>
    </w:lvl>
    <w:lvl w:ilvl="2">
      <w:start w:val="1"/>
      <w:numFmt w:val="bullet"/>
      <w:lvlText w:val=""/>
      <w:lvlJc w:val="left"/>
      <w:pPr>
        <w:tabs>
          <w:tab w:val="left" w:pos="3434"/>
        </w:tabs>
        <w:ind w:left="3434" w:hanging="420"/>
      </w:pPr>
      <w:rPr>
        <w:rFonts w:ascii="Wingdings" w:hAnsi="Wingdings" w:hint="default"/>
      </w:rPr>
    </w:lvl>
    <w:lvl w:ilvl="3">
      <w:start w:val="1"/>
      <w:numFmt w:val="bullet"/>
      <w:lvlText w:val=""/>
      <w:lvlJc w:val="left"/>
      <w:pPr>
        <w:tabs>
          <w:tab w:val="left" w:pos="3854"/>
        </w:tabs>
        <w:ind w:left="3854" w:hanging="420"/>
      </w:pPr>
      <w:rPr>
        <w:rFonts w:ascii="Wingdings" w:hAnsi="Wingdings" w:hint="default"/>
      </w:rPr>
    </w:lvl>
    <w:lvl w:ilvl="4">
      <w:start w:val="1"/>
      <w:numFmt w:val="bullet"/>
      <w:lvlText w:val=""/>
      <w:lvlJc w:val="left"/>
      <w:pPr>
        <w:tabs>
          <w:tab w:val="left" w:pos="4274"/>
        </w:tabs>
        <w:ind w:left="4274" w:hanging="420"/>
      </w:pPr>
      <w:rPr>
        <w:rFonts w:ascii="Wingdings" w:hAnsi="Wingdings" w:hint="default"/>
      </w:rPr>
    </w:lvl>
    <w:lvl w:ilvl="5">
      <w:start w:val="1"/>
      <w:numFmt w:val="bullet"/>
      <w:lvlText w:val=""/>
      <w:lvlJc w:val="left"/>
      <w:pPr>
        <w:tabs>
          <w:tab w:val="left" w:pos="4694"/>
        </w:tabs>
        <w:ind w:left="4694" w:hanging="420"/>
      </w:pPr>
      <w:rPr>
        <w:rFonts w:ascii="Wingdings" w:hAnsi="Wingdings" w:hint="default"/>
      </w:rPr>
    </w:lvl>
    <w:lvl w:ilvl="6">
      <w:start w:val="1"/>
      <w:numFmt w:val="bullet"/>
      <w:lvlText w:val=""/>
      <w:lvlJc w:val="left"/>
      <w:pPr>
        <w:tabs>
          <w:tab w:val="left" w:pos="5114"/>
        </w:tabs>
        <w:ind w:left="5114" w:hanging="420"/>
      </w:pPr>
      <w:rPr>
        <w:rFonts w:ascii="Wingdings" w:hAnsi="Wingdings" w:hint="default"/>
      </w:rPr>
    </w:lvl>
    <w:lvl w:ilvl="7">
      <w:start w:val="1"/>
      <w:numFmt w:val="bullet"/>
      <w:lvlText w:val=""/>
      <w:lvlJc w:val="left"/>
      <w:pPr>
        <w:tabs>
          <w:tab w:val="left" w:pos="5534"/>
        </w:tabs>
        <w:ind w:left="5534" w:hanging="420"/>
      </w:pPr>
      <w:rPr>
        <w:rFonts w:ascii="Wingdings" w:hAnsi="Wingdings" w:hint="default"/>
      </w:rPr>
    </w:lvl>
    <w:lvl w:ilvl="8">
      <w:start w:val="1"/>
      <w:numFmt w:val="bullet"/>
      <w:lvlText w:val=""/>
      <w:lvlJc w:val="left"/>
      <w:pPr>
        <w:tabs>
          <w:tab w:val="left" w:pos="5954"/>
        </w:tabs>
        <w:ind w:left="5954" w:hanging="420"/>
      </w:pPr>
      <w:rPr>
        <w:rFonts w:ascii="Wingdings" w:hAnsi="Wingdings" w:hint="default"/>
      </w:rPr>
    </w:lvl>
  </w:abstractNum>
  <w:abstractNum w:abstractNumId="31">
    <w:nsid w:val="7E1427B6"/>
    <w:multiLevelType w:val="multilevel"/>
    <w:tmpl w:val="7E1427B6"/>
    <w:lvl w:ilvl="0">
      <w:start w:val="1"/>
      <w:numFmt w:val="bullet"/>
      <w:lvlText w:val=""/>
      <w:lvlJc w:val="left"/>
      <w:pPr>
        <w:tabs>
          <w:tab w:val="left" w:pos="2662"/>
        </w:tabs>
        <w:ind w:left="2662" w:hanging="420"/>
      </w:pPr>
      <w:rPr>
        <w:rFonts w:ascii="Wingdings" w:hAnsi="Wingdings" w:hint="default"/>
      </w:rPr>
    </w:lvl>
    <w:lvl w:ilvl="1">
      <w:start w:val="1"/>
      <w:numFmt w:val="bullet"/>
      <w:lvlText w:val=""/>
      <w:lvlJc w:val="left"/>
      <w:pPr>
        <w:tabs>
          <w:tab w:val="left" w:pos="3082"/>
        </w:tabs>
        <w:ind w:left="3082" w:hanging="420"/>
      </w:pPr>
      <w:rPr>
        <w:rFonts w:ascii="Wingdings" w:hAnsi="Wingdings" w:hint="default"/>
      </w:rPr>
    </w:lvl>
    <w:lvl w:ilvl="2">
      <w:start w:val="1"/>
      <w:numFmt w:val="bullet"/>
      <w:lvlText w:val=""/>
      <w:lvlJc w:val="left"/>
      <w:pPr>
        <w:tabs>
          <w:tab w:val="left" w:pos="3502"/>
        </w:tabs>
        <w:ind w:left="3502" w:hanging="420"/>
      </w:pPr>
      <w:rPr>
        <w:rFonts w:ascii="Wingdings" w:hAnsi="Wingdings" w:hint="default"/>
      </w:rPr>
    </w:lvl>
    <w:lvl w:ilvl="3">
      <w:start w:val="1"/>
      <w:numFmt w:val="bullet"/>
      <w:lvlText w:val=""/>
      <w:lvlJc w:val="left"/>
      <w:pPr>
        <w:tabs>
          <w:tab w:val="left" w:pos="3922"/>
        </w:tabs>
        <w:ind w:left="3922" w:hanging="420"/>
      </w:pPr>
      <w:rPr>
        <w:rFonts w:ascii="Wingdings" w:hAnsi="Wingdings" w:hint="default"/>
      </w:rPr>
    </w:lvl>
    <w:lvl w:ilvl="4">
      <w:start w:val="1"/>
      <w:numFmt w:val="bullet"/>
      <w:lvlText w:val=""/>
      <w:lvlJc w:val="left"/>
      <w:pPr>
        <w:tabs>
          <w:tab w:val="left" w:pos="4342"/>
        </w:tabs>
        <w:ind w:left="4342" w:hanging="420"/>
      </w:pPr>
      <w:rPr>
        <w:rFonts w:ascii="Wingdings" w:hAnsi="Wingdings" w:hint="default"/>
      </w:rPr>
    </w:lvl>
    <w:lvl w:ilvl="5">
      <w:start w:val="1"/>
      <w:numFmt w:val="bullet"/>
      <w:lvlText w:val=""/>
      <w:lvlJc w:val="left"/>
      <w:pPr>
        <w:tabs>
          <w:tab w:val="left" w:pos="4762"/>
        </w:tabs>
        <w:ind w:left="4762" w:hanging="420"/>
      </w:pPr>
      <w:rPr>
        <w:rFonts w:ascii="Wingdings" w:hAnsi="Wingdings" w:hint="default"/>
      </w:rPr>
    </w:lvl>
    <w:lvl w:ilvl="6">
      <w:start w:val="1"/>
      <w:numFmt w:val="bullet"/>
      <w:lvlText w:val=""/>
      <w:lvlJc w:val="left"/>
      <w:pPr>
        <w:tabs>
          <w:tab w:val="left" w:pos="5182"/>
        </w:tabs>
        <w:ind w:left="5182" w:hanging="420"/>
      </w:pPr>
      <w:rPr>
        <w:rFonts w:ascii="Wingdings" w:hAnsi="Wingdings" w:hint="default"/>
      </w:rPr>
    </w:lvl>
    <w:lvl w:ilvl="7">
      <w:start w:val="1"/>
      <w:numFmt w:val="bullet"/>
      <w:lvlText w:val=""/>
      <w:lvlJc w:val="left"/>
      <w:pPr>
        <w:tabs>
          <w:tab w:val="left" w:pos="5602"/>
        </w:tabs>
        <w:ind w:left="5602" w:hanging="420"/>
      </w:pPr>
      <w:rPr>
        <w:rFonts w:ascii="Wingdings" w:hAnsi="Wingdings" w:hint="default"/>
      </w:rPr>
    </w:lvl>
    <w:lvl w:ilvl="8">
      <w:start w:val="1"/>
      <w:numFmt w:val="bullet"/>
      <w:lvlText w:val=""/>
      <w:lvlJc w:val="left"/>
      <w:pPr>
        <w:tabs>
          <w:tab w:val="left" w:pos="6022"/>
        </w:tabs>
        <w:ind w:left="6022" w:hanging="420"/>
      </w:pPr>
      <w:rPr>
        <w:rFonts w:ascii="Wingdings" w:hAnsi="Wingdings" w:hint="default"/>
      </w:rPr>
    </w:lvl>
  </w:abstractNum>
  <w:abstractNum w:abstractNumId="32">
    <w:nsid w:val="7E2E03B1"/>
    <w:multiLevelType w:val="multilevel"/>
    <w:tmpl w:val="7E2E03B1"/>
    <w:lvl w:ilvl="0">
      <w:start w:val="1"/>
      <w:numFmt w:val="japaneseCounting"/>
      <w:lvlText w:val="（%1）"/>
      <w:lvlJc w:val="left"/>
      <w:pPr>
        <w:tabs>
          <w:tab w:val="left" w:pos="1140"/>
        </w:tabs>
        <w:ind w:left="1140" w:hanging="720"/>
      </w:pPr>
      <w:rPr>
        <w:rFonts w:hint="default"/>
      </w:rPr>
    </w:lvl>
    <w:lvl w:ilvl="1">
      <w:start w:val="1"/>
      <w:numFmt w:val="decimal"/>
      <w:lvlText w:val="%2、"/>
      <w:lvlJc w:val="left"/>
      <w:pPr>
        <w:tabs>
          <w:tab w:val="left" w:pos="1200"/>
        </w:tabs>
        <w:ind w:left="1200" w:hanging="360"/>
      </w:pPr>
      <w:rPr>
        <w:rFonts w:hint="eastAsia"/>
      </w:rPr>
    </w:lvl>
    <w:lvl w:ilvl="2">
      <w:start w:val="1"/>
      <w:numFmt w:val="decimal"/>
      <w:lvlText w:val="%3）"/>
      <w:lvlJc w:val="left"/>
      <w:pPr>
        <w:tabs>
          <w:tab w:val="left" w:pos="1620"/>
        </w:tabs>
        <w:ind w:left="1620" w:hanging="360"/>
      </w:pPr>
      <w:rPr>
        <w:rFonts w:ascii="Times New Roman" w:eastAsia="宋体" w:hAnsi="Times New Roman" w:cs="Times New Roman"/>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3">
    <w:nsid w:val="7EAA0B0C"/>
    <w:multiLevelType w:val="multilevel"/>
    <w:tmpl w:val="7EAA0B0C"/>
    <w:lvl w:ilvl="0">
      <w:start w:val="1"/>
      <w:numFmt w:val="japaneseCounting"/>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4">
    <w:nsid w:val="7FB52A5C"/>
    <w:multiLevelType w:val="multilevel"/>
    <w:tmpl w:val="7FB52A5C"/>
    <w:lvl w:ilvl="0">
      <w:start w:val="1"/>
      <w:numFmt w:val="decimal"/>
      <w:lvlText w:val="%1、"/>
      <w:lvlJc w:val="left"/>
      <w:pPr>
        <w:tabs>
          <w:tab w:val="left" w:pos="1215"/>
        </w:tabs>
        <w:ind w:left="1215" w:hanging="360"/>
      </w:pPr>
      <w:rPr>
        <w:rFonts w:hint="default"/>
      </w:rPr>
    </w:lvl>
    <w:lvl w:ilvl="1">
      <w:start w:val="1"/>
      <w:numFmt w:val="bullet"/>
      <w:lvlText w:val=""/>
      <w:lvlJc w:val="left"/>
      <w:pPr>
        <w:tabs>
          <w:tab w:val="left" w:pos="1695"/>
        </w:tabs>
        <w:ind w:left="1695" w:hanging="420"/>
      </w:pPr>
      <w:rPr>
        <w:rFonts w:ascii="Wingdings" w:hAnsi="Wingdings" w:hint="default"/>
      </w:rPr>
    </w:lvl>
    <w:lvl w:ilvl="2">
      <w:start w:val="1"/>
      <w:numFmt w:val="lowerRoman"/>
      <w:lvlText w:val="%3."/>
      <w:lvlJc w:val="right"/>
      <w:pPr>
        <w:tabs>
          <w:tab w:val="left" w:pos="2115"/>
        </w:tabs>
        <w:ind w:left="2115" w:hanging="420"/>
      </w:pPr>
    </w:lvl>
    <w:lvl w:ilvl="3">
      <w:start w:val="1"/>
      <w:numFmt w:val="decimal"/>
      <w:lvlText w:val="%4."/>
      <w:lvlJc w:val="left"/>
      <w:pPr>
        <w:tabs>
          <w:tab w:val="left" w:pos="2535"/>
        </w:tabs>
        <w:ind w:left="2535" w:hanging="420"/>
      </w:pPr>
    </w:lvl>
    <w:lvl w:ilvl="4">
      <w:start w:val="1"/>
      <w:numFmt w:val="lowerLetter"/>
      <w:lvlText w:val="%5)"/>
      <w:lvlJc w:val="left"/>
      <w:pPr>
        <w:tabs>
          <w:tab w:val="left" w:pos="2955"/>
        </w:tabs>
        <w:ind w:left="2955" w:hanging="420"/>
      </w:pPr>
    </w:lvl>
    <w:lvl w:ilvl="5">
      <w:start w:val="1"/>
      <w:numFmt w:val="lowerRoman"/>
      <w:lvlText w:val="%6."/>
      <w:lvlJc w:val="right"/>
      <w:pPr>
        <w:tabs>
          <w:tab w:val="left" w:pos="3375"/>
        </w:tabs>
        <w:ind w:left="3375" w:hanging="420"/>
      </w:pPr>
    </w:lvl>
    <w:lvl w:ilvl="6">
      <w:start w:val="1"/>
      <w:numFmt w:val="decimal"/>
      <w:lvlText w:val="%7."/>
      <w:lvlJc w:val="left"/>
      <w:pPr>
        <w:tabs>
          <w:tab w:val="left" w:pos="3795"/>
        </w:tabs>
        <w:ind w:left="3795" w:hanging="420"/>
      </w:pPr>
    </w:lvl>
    <w:lvl w:ilvl="7">
      <w:start w:val="1"/>
      <w:numFmt w:val="lowerLetter"/>
      <w:lvlText w:val="%8)"/>
      <w:lvlJc w:val="left"/>
      <w:pPr>
        <w:tabs>
          <w:tab w:val="left" w:pos="4215"/>
        </w:tabs>
        <w:ind w:left="4215" w:hanging="420"/>
      </w:pPr>
    </w:lvl>
    <w:lvl w:ilvl="8">
      <w:start w:val="1"/>
      <w:numFmt w:val="lowerRoman"/>
      <w:lvlText w:val="%9."/>
      <w:lvlJc w:val="right"/>
      <w:pPr>
        <w:tabs>
          <w:tab w:val="left" w:pos="4635"/>
        </w:tabs>
        <w:ind w:left="4635" w:hanging="420"/>
      </w:pPr>
    </w:lvl>
  </w:abstractNum>
  <w:num w:numId="1">
    <w:abstractNumId w:val="13"/>
  </w:num>
  <w:num w:numId="2">
    <w:abstractNumId w:val="6"/>
  </w:num>
  <w:num w:numId="3">
    <w:abstractNumId w:val="19"/>
  </w:num>
  <w:num w:numId="4">
    <w:abstractNumId w:val="16"/>
  </w:num>
  <w:num w:numId="5">
    <w:abstractNumId w:val="10"/>
  </w:num>
  <w:num w:numId="6">
    <w:abstractNumId w:val="34"/>
  </w:num>
  <w:num w:numId="7">
    <w:abstractNumId w:val="24"/>
  </w:num>
  <w:num w:numId="8">
    <w:abstractNumId w:val="29"/>
  </w:num>
  <w:num w:numId="9">
    <w:abstractNumId w:val="18"/>
  </w:num>
  <w:num w:numId="10">
    <w:abstractNumId w:val="0"/>
  </w:num>
  <w:num w:numId="11">
    <w:abstractNumId w:val="2"/>
  </w:num>
  <w:num w:numId="12">
    <w:abstractNumId w:val="27"/>
  </w:num>
  <w:num w:numId="13">
    <w:abstractNumId w:val="33"/>
  </w:num>
  <w:num w:numId="14">
    <w:abstractNumId w:val="8"/>
  </w:num>
  <w:num w:numId="15">
    <w:abstractNumId w:val="17"/>
  </w:num>
  <w:num w:numId="16">
    <w:abstractNumId w:val="22"/>
  </w:num>
  <w:num w:numId="17">
    <w:abstractNumId w:val="32"/>
  </w:num>
  <w:num w:numId="18">
    <w:abstractNumId w:val="26"/>
  </w:num>
  <w:num w:numId="19">
    <w:abstractNumId w:val="15"/>
  </w:num>
  <w:num w:numId="20">
    <w:abstractNumId w:val="25"/>
  </w:num>
  <w:num w:numId="21">
    <w:abstractNumId w:val="28"/>
  </w:num>
  <w:num w:numId="22">
    <w:abstractNumId w:val="20"/>
  </w:num>
  <w:num w:numId="23">
    <w:abstractNumId w:val="7"/>
  </w:num>
  <w:num w:numId="24">
    <w:abstractNumId w:val="31"/>
  </w:num>
  <w:num w:numId="25">
    <w:abstractNumId w:val="5"/>
  </w:num>
  <w:num w:numId="26">
    <w:abstractNumId w:val="23"/>
  </w:num>
  <w:num w:numId="27">
    <w:abstractNumId w:val="9"/>
  </w:num>
  <w:num w:numId="28">
    <w:abstractNumId w:val="30"/>
  </w:num>
  <w:num w:numId="29">
    <w:abstractNumId w:val="11"/>
  </w:num>
  <w:num w:numId="30">
    <w:abstractNumId w:val="3"/>
  </w:num>
  <w:num w:numId="31">
    <w:abstractNumId w:val="21"/>
  </w:num>
  <w:num w:numId="32">
    <w:abstractNumId w:val="4"/>
  </w:num>
  <w:num w:numId="33">
    <w:abstractNumId w:val="12"/>
  </w:num>
  <w:num w:numId="34">
    <w:abstractNumId w:val="1"/>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0F4"/>
    <w:rsid w:val="00000896"/>
    <w:rsid w:val="0000176D"/>
    <w:rsid w:val="000033CF"/>
    <w:rsid w:val="00004FDC"/>
    <w:rsid w:val="00016352"/>
    <w:rsid w:val="00020A91"/>
    <w:rsid w:val="000248DD"/>
    <w:rsid w:val="00025288"/>
    <w:rsid w:val="000319C5"/>
    <w:rsid w:val="000357F2"/>
    <w:rsid w:val="00040186"/>
    <w:rsid w:val="00044F81"/>
    <w:rsid w:val="00047A52"/>
    <w:rsid w:val="00051DD3"/>
    <w:rsid w:val="00052250"/>
    <w:rsid w:val="00057B8E"/>
    <w:rsid w:val="0006679A"/>
    <w:rsid w:val="000729DF"/>
    <w:rsid w:val="000749D5"/>
    <w:rsid w:val="00076B65"/>
    <w:rsid w:val="000972F5"/>
    <w:rsid w:val="000A6A23"/>
    <w:rsid w:val="000A6B51"/>
    <w:rsid w:val="000A702E"/>
    <w:rsid w:val="000B1000"/>
    <w:rsid w:val="000B5C3F"/>
    <w:rsid w:val="000C21B9"/>
    <w:rsid w:val="000C41A6"/>
    <w:rsid w:val="000C470A"/>
    <w:rsid w:val="000E162C"/>
    <w:rsid w:val="000F0811"/>
    <w:rsid w:val="000F5743"/>
    <w:rsid w:val="0010274C"/>
    <w:rsid w:val="00103CCF"/>
    <w:rsid w:val="00106B78"/>
    <w:rsid w:val="001102DC"/>
    <w:rsid w:val="00115B42"/>
    <w:rsid w:val="00117CDE"/>
    <w:rsid w:val="00120DBD"/>
    <w:rsid w:val="001355D1"/>
    <w:rsid w:val="0014399E"/>
    <w:rsid w:val="001449D8"/>
    <w:rsid w:val="00147C95"/>
    <w:rsid w:val="00156DF0"/>
    <w:rsid w:val="00171EBD"/>
    <w:rsid w:val="00181826"/>
    <w:rsid w:val="00181989"/>
    <w:rsid w:val="00182EA2"/>
    <w:rsid w:val="001858DF"/>
    <w:rsid w:val="001863DE"/>
    <w:rsid w:val="00191607"/>
    <w:rsid w:val="001A1A8F"/>
    <w:rsid w:val="001A527D"/>
    <w:rsid w:val="001A5A99"/>
    <w:rsid w:val="001A6898"/>
    <w:rsid w:val="001B13AF"/>
    <w:rsid w:val="001B66F8"/>
    <w:rsid w:val="001E2B11"/>
    <w:rsid w:val="001E55E8"/>
    <w:rsid w:val="001E6DF1"/>
    <w:rsid w:val="001E769C"/>
    <w:rsid w:val="001F072F"/>
    <w:rsid w:val="001F40E2"/>
    <w:rsid w:val="001F7BCE"/>
    <w:rsid w:val="002100FC"/>
    <w:rsid w:val="002123A9"/>
    <w:rsid w:val="002149C9"/>
    <w:rsid w:val="002366E0"/>
    <w:rsid w:val="00236DA1"/>
    <w:rsid w:val="002415B2"/>
    <w:rsid w:val="00243AE1"/>
    <w:rsid w:val="00245AE6"/>
    <w:rsid w:val="00247427"/>
    <w:rsid w:val="00252059"/>
    <w:rsid w:val="00252B25"/>
    <w:rsid w:val="00255C24"/>
    <w:rsid w:val="00260695"/>
    <w:rsid w:val="002702FB"/>
    <w:rsid w:val="00272048"/>
    <w:rsid w:val="002723C3"/>
    <w:rsid w:val="00273391"/>
    <w:rsid w:val="0028002C"/>
    <w:rsid w:val="002814E5"/>
    <w:rsid w:val="00286ED0"/>
    <w:rsid w:val="0028751C"/>
    <w:rsid w:val="00292768"/>
    <w:rsid w:val="002A2456"/>
    <w:rsid w:val="002B77B9"/>
    <w:rsid w:val="002C2779"/>
    <w:rsid w:val="002D13CD"/>
    <w:rsid w:val="002D3D02"/>
    <w:rsid w:val="002F24B2"/>
    <w:rsid w:val="002F4315"/>
    <w:rsid w:val="00302B2C"/>
    <w:rsid w:val="00302E54"/>
    <w:rsid w:val="00317AC3"/>
    <w:rsid w:val="00322CA4"/>
    <w:rsid w:val="00334194"/>
    <w:rsid w:val="00351B8E"/>
    <w:rsid w:val="00356D1B"/>
    <w:rsid w:val="00365BA1"/>
    <w:rsid w:val="00366B09"/>
    <w:rsid w:val="00372ADB"/>
    <w:rsid w:val="00373EB5"/>
    <w:rsid w:val="0038210F"/>
    <w:rsid w:val="00384A3A"/>
    <w:rsid w:val="003856A3"/>
    <w:rsid w:val="00390A17"/>
    <w:rsid w:val="003961E5"/>
    <w:rsid w:val="003A7BF7"/>
    <w:rsid w:val="003B1606"/>
    <w:rsid w:val="003C0479"/>
    <w:rsid w:val="003C17A8"/>
    <w:rsid w:val="003C3153"/>
    <w:rsid w:val="003C4DF8"/>
    <w:rsid w:val="003D0A91"/>
    <w:rsid w:val="003D1303"/>
    <w:rsid w:val="003D43F2"/>
    <w:rsid w:val="003E04C0"/>
    <w:rsid w:val="003E3C14"/>
    <w:rsid w:val="003E4701"/>
    <w:rsid w:val="003E64BA"/>
    <w:rsid w:val="003E74F8"/>
    <w:rsid w:val="003F082E"/>
    <w:rsid w:val="003F0A3F"/>
    <w:rsid w:val="00403341"/>
    <w:rsid w:val="0041080A"/>
    <w:rsid w:val="004156A3"/>
    <w:rsid w:val="00424ED7"/>
    <w:rsid w:val="00432748"/>
    <w:rsid w:val="00434CF3"/>
    <w:rsid w:val="00435114"/>
    <w:rsid w:val="00435ED5"/>
    <w:rsid w:val="00436617"/>
    <w:rsid w:val="00447BFF"/>
    <w:rsid w:val="00455B95"/>
    <w:rsid w:val="00457C65"/>
    <w:rsid w:val="004604A3"/>
    <w:rsid w:val="004707BE"/>
    <w:rsid w:val="00472CCD"/>
    <w:rsid w:val="00474B1E"/>
    <w:rsid w:val="00483929"/>
    <w:rsid w:val="004873D7"/>
    <w:rsid w:val="00487E54"/>
    <w:rsid w:val="004908A7"/>
    <w:rsid w:val="004979C2"/>
    <w:rsid w:val="004B0F8B"/>
    <w:rsid w:val="004B1343"/>
    <w:rsid w:val="004B1498"/>
    <w:rsid w:val="004B14B7"/>
    <w:rsid w:val="004B648D"/>
    <w:rsid w:val="004B7090"/>
    <w:rsid w:val="004C266F"/>
    <w:rsid w:val="004C68B8"/>
    <w:rsid w:val="004D5A81"/>
    <w:rsid w:val="004D6319"/>
    <w:rsid w:val="004D79A7"/>
    <w:rsid w:val="004E23FC"/>
    <w:rsid w:val="004E7244"/>
    <w:rsid w:val="004F6977"/>
    <w:rsid w:val="00502BF1"/>
    <w:rsid w:val="00502FD4"/>
    <w:rsid w:val="005040B4"/>
    <w:rsid w:val="005077B1"/>
    <w:rsid w:val="0050785A"/>
    <w:rsid w:val="005124CE"/>
    <w:rsid w:val="005140FA"/>
    <w:rsid w:val="00521D98"/>
    <w:rsid w:val="0052672E"/>
    <w:rsid w:val="00543787"/>
    <w:rsid w:val="00546DB7"/>
    <w:rsid w:val="00556FB4"/>
    <w:rsid w:val="00562C03"/>
    <w:rsid w:val="0057458D"/>
    <w:rsid w:val="0057492F"/>
    <w:rsid w:val="00577527"/>
    <w:rsid w:val="00582A7F"/>
    <w:rsid w:val="005B09AC"/>
    <w:rsid w:val="005B2161"/>
    <w:rsid w:val="005B7158"/>
    <w:rsid w:val="005D165A"/>
    <w:rsid w:val="005D65A8"/>
    <w:rsid w:val="005E0FBC"/>
    <w:rsid w:val="005E46B5"/>
    <w:rsid w:val="005F2243"/>
    <w:rsid w:val="005F3D98"/>
    <w:rsid w:val="00611347"/>
    <w:rsid w:val="00611A97"/>
    <w:rsid w:val="006120C6"/>
    <w:rsid w:val="0061247F"/>
    <w:rsid w:val="0061350B"/>
    <w:rsid w:val="00616048"/>
    <w:rsid w:val="0063243E"/>
    <w:rsid w:val="00635796"/>
    <w:rsid w:val="00636BE1"/>
    <w:rsid w:val="00637603"/>
    <w:rsid w:val="00646E04"/>
    <w:rsid w:val="00646F97"/>
    <w:rsid w:val="00647CEF"/>
    <w:rsid w:val="00652704"/>
    <w:rsid w:val="0065356A"/>
    <w:rsid w:val="00656BFA"/>
    <w:rsid w:val="006654F3"/>
    <w:rsid w:val="00666433"/>
    <w:rsid w:val="00670C94"/>
    <w:rsid w:val="00671E93"/>
    <w:rsid w:val="00674384"/>
    <w:rsid w:val="006746DF"/>
    <w:rsid w:val="00677277"/>
    <w:rsid w:val="006805A2"/>
    <w:rsid w:val="00682CB4"/>
    <w:rsid w:val="0068514B"/>
    <w:rsid w:val="00686FA6"/>
    <w:rsid w:val="00687148"/>
    <w:rsid w:val="006902E0"/>
    <w:rsid w:val="0069442E"/>
    <w:rsid w:val="0069639C"/>
    <w:rsid w:val="00696E2D"/>
    <w:rsid w:val="006A4D4F"/>
    <w:rsid w:val="006A621C"/>
    <w:rsid w:val="006A6417"/>
    <w:rsid w:val="006A79A1"/>
    <w:rsid w:val="006B4276"/>
    <w:rsid w:val="006C24BA"/>
    <w:rsid w:val="006C45D2"/>
    <w:rsid w:val="006C582D"/>
    <w:rsid w:val="006C776D"/>
    <w:rsid w:val="006D011A"/>
    <w:rsid w:val="006D24EC"/>
    <w:rsid w:val="006D3340"/>
    <w:rsid w:val="006D5AF3"/>
    <w:rsid w:val="006E35C1"/>
    <w:rsid w:val="006E5BC2"/>
    <w:rsid w:val="006E644D"/>
    <w:rsid w:val="006F42EC"/>
    <w:rsid w:val="006F7CF6"/>
    <w:rsid w:val="007010F6"/>
    <w:rsid w:val="007116BC"/>
    <w:rsid w:val="00711C83"/>
    <w:rsid w:val="00713414"/>
    <w:rsid w:val="007230A4"/>
    <w:rsid w:val="00725BFA"/>
    <w:rsid w:val="00731616"/>
    <w:rsid w:val="007378C1"/>
    <w:rsid w:val="00743B08"/>
    <w:rsid w:val="0074409C"/>
    <w:rsid w:val="00750190"/>
    <w:rsid w:val="00754B55"/>
    <w:rsid w:val="007604E8"/>
    <w:rsid w:val="00762484"/>
    <w:rsid w:val="00770E09"/>
    <w:rsid w:val="007855FC"/>
    <w:rsid w:val="00795074"/>
    <w:rsid w:val="007A0AB2"/>
    <w:rsid w:val="007A169A"/>
    <w:rsid w:val="007B3C91"/>
    <w:rsid w:val="007B5740"/>
    <w:rsid w:val="007B6AEC"/>
    <w:rsid w:val="007B7B9A"/>
    <w:rsid w:val="007C05F9"/>
    <w:rsid w:val="007C403E"/>
    <w:rsid w:val="007C4A98"/>
    <w:rsid w:val="007C6911"/>
    <w:rsid w:val="007C7C7A"/>
    <w:rsid w:val="007D1BB9"/>
    <w:rsid w:val="007D27DF"/>
    <w:rsid w:val="007D5A7A"/>
    <w:rsid w:val="007D7574"/>
    <w:rsid w:val="007E1184"/>
    <w:rsid w:val="007E3466"/>
    <w:rsid w:val="007E35E4"/>
    <w:rsid w:val="007E48A3"/>
    <w:rsid w:val="007E53CD"/>
    <w:rsid w:val="00803CA3"/>
    <w:rsid w:val="00815D82"/>
    <w:rsid w:val="00827642"/>
    <w:rsid w:val="00837AEF"/>
    <w:rsid w:val="00853AD4"/>
    <w:rsid w:val="00863FD7"/>
    <w:rsid w:val="0086545B"/>
    <w:rsid w:val="008655D1"/>
    <w:rsid w:val="00865D07"/>
    <w:rsid w:val="00867DF3"/>
    <w:rsid w:val="00882081"/>
    <w:rsid w:val="00884B7F"/>
    <w:rsid w:val="008859F0"/>
    <w:rsid w:val="0089135A"/>
    <w:rsid w:val="00892F1A"/>
    <w:rsid w:val="00895D79"/>
    <w:rsid w:val="00896D36"/>
    <w:rsid w:val="008A057E"/>
    <w:rsid w:val="008A5740"/>
    <w:rsid w:val="008B2539"/>
    <w:rsid w:val="008B550E"/>
    <w:rsid w:val="008C1354"/>
    <w:rsid w:val="008C55B9"/>
    <w:rsid w:val="008D0C1A"/>
    <w:rsid w:val="008D1688"/>
    <w:rsid w:val="008D40FC"/>
    <w:rsid w:val="008D76A6"/>
    <w:rsid w:val="008E2AC6"/>
    <w:rsid w:val="008E31B7"/>
    <w:rsid w:val="008E678C"/>
    <w:rsid w:val="008F046F"/>
    <w:rsid w:val="009031B0"/>
    <w:rsid w:val="00904543"/>
    <w:rsid w:val="00906984"/>
    <w:rsid w:val="009162EB"/>
    <w:rsid w:val="0091688D"/>
    <w:rsid w:val="00921DDD"/>
    <w:rsid w:val="00922DBC"/>
    <w:rsid w:val="0092402F"/>
    <w:rsid w:val="00932800"/>
    <w:rsid w:val="00934549"/>
    <w:rsid w:val="00946D2F"/>
    <w:rsid w:val="0094719B"/>
    <w:rsid w:val="009473A7"/>
    <w:rsid w:val="00947A6F"/>
    <w:rsid w:val="00950711"/>
    <w:rsid w:val="00951141"/>
    <w:rsid w:val="00961C3C"/>
    <w:rsid w:val="00963332"/>
    <w:rsid w:val="00970306"/>
    <w:rsid w:val="00971A80"/>
    <w:rsid w:val="00972EEC"/>
    <w:rsid w:val="00981F8A"/>
    <w:rsid w:val="009838C7"/>
    <w:rsid w:val="00985B2C"/>
    <w:rsid w:val="009866A3"/>
    <w:rsid w:val="00986774"/>
    <w:rsid w:val="00987EAA"/>
    <w:rsid w:val="0099088C"/>
    <w:rsid w:val="009914CB"/>
    <w:rsid w:val="00991584"/>
    <w:rsid w:val="0099207B"/>
    <w:rsid w:val="009C747F"/>
    <w:rsid w:val="009D10A3"/>
    <w:rsid w:val="009D3004"/>
    <w:rsid w:val="009D7AEC"/>
    <w:rsid w:val="009E3069"/>
    <w:rsid w:val="009F54A6"/>
    <w:rsid w:val="009F632D"/>
    <w:rsid w:val="00A00CF8"/>
    <w:rsid w:val="00A028D4"/>
    <w:rsid w:val="00A04413"/>
    <w:rsid w:val="00A11F4C"/>
    <w:rsid w:val="00A12AFC"/>
    <w:rsid w:val="00A31CB4"/>
    <w:rsid w:val="00A34CBB"/>
    <w:rsid w:val="00A35351"/>
    <w:rsid w:val="00A40F7A"/>
    <w:rsid w:val="00A50947"/>
    <w:rsid w:val="00A52244"/>
    <w:rsid w:val="00A52E1B"/>
    <w:rsid w:val="00A603EE"/>
    <w:rsid w:val="00A64E3D"/>
    <w:rsid w:val="00A65C11"/>
    <w:rsid w:val="00A6612A"/>
    <w:rsid w:val="00A705E1"/>
    <w:rsid w:val="00A710EA"/>
    <w:rsid w:val="00A7272E"/>
    <w:rsid w:val="00A75086"/>
    <w:rsid w:val="00A76E44"/>
    <w:rsid w:val="00A77CE4"/>
    <w:rsid w:val="00A8351A"/>
    <w:rsid w:val="00A837B8"/>
    <w:rsid w:val="00A9204F"/>
    <w:rsid w:val="00A93714"/>
    <w:rsid w:val="00A93CB3"/>
    <w:rsid w:val="00A945A5"/>
    <w:rsid w:val="00A9503D"/>
    <w:rsid w:val="00A96C49"/>
    <w:rsid w:val="00A97E89"/>
    <w:rsid w:val="00AB0305"/>
    <w:rsid w:val="00AB52D9"/>
    <w:rsid w:val="00AB6BB4"/>
    <w:rsid w:val="00AB7654"/>
    <w:rsid w:val="00AC7F6A"/>
    <w:rsid w:val="00AE12F9"/>
    <w:rsid w:val="00AE7DC5"/>
    <w:rsid w:val="00AF355A"/>
    <w:rsid w:val="00AF3AE0"/>
    <w:rsid w:val="00AF6197"/>
    <w:rsid w:val="00AF6812"/>
    <w:rsid w:val="00AF7317"/>
    <w:rsid w:val="00B0437A"/>
    <w:rsid w:val="00B0456A"/>
    <w:rsid w:val="00B10886"/>
    <w:rsid w:val="00B112FC"/>
    <w:rsid w:val="00B11359"/>
    <w:rsid w:val="00B11B02"/>
    <w:rsid w:val="00B2000B"/>
    <w:rsid w:val="00B3157A"/>
    <w:rsid w:val="00B3709B"/>
    <w:rsid w:val="00B404E2"/>
    <w:rsid w:val="00B4068A"/>
    <w:rsid w:val="00B41103"/>
    <w:rsid w:val="00B41710"/>
    <w:rsid w:val="00B45A2E"/>
    <w:rsid w:val="00B47D9B"/>
    <w:rsid w:val="00B50AE9"/>
    <w:rsid w:val="00B56EC3"/>
    <w:rsid w:val="00B74A71"/>
    <w:rsid w:val="00B76DE2"/>
    <w:rsid w:val="00B84BD4"/>
    <w:rsid w:val="00B87D88"/>
    <w:rsid w:val="00B94807"/>
    <w:rsid w:val="00BA00E6"/>
    <w:rsid w:val="00BA49CC"/>
    <w:rsid w:val="00BA651F"/>
    <w:rsid w:val="00BC077D"/>
    <w:rsid w:val="00BC1F08"/>
    <w:rsid w:val="00BD6CD4"/>
    <w:rsid w:val="00BE4D74"/>
    <w:rsid w:val="00BF1994"/>
    <w:rsid w:val="00BF2789"/>
    <w:rsid w:val="00BF3513"/>
    <w:rsid w:val="00BF400A"/>
    <w:rsid w:val="00BF4AB8"/>
    <w:rsid w:val="00BF51B0"/>
    <w:rsid w:val="00BF561A"/>
    <w:rsid w:val="00C00449"/>
    <w:rsid w:val="00C01343"/>
    <w:rsid w:val="00C02A60"/>
    <w:rsid w:val="00C0325E"/>
    <w:rsid w:val="00C068BE"/>
    <w:rsid w:val="00C104CF"/>
    <w:rsid w:val="00C142B8"/>
    <w:rsid w:val="00C1729B"/>
    <w:rsid w:val="00C3033D"/>
    <w:rsid w:val="00C303EB"/>
    <w:rsid w:val="00C30E51"/>
    <w:rsid w:val="00C3480A"/>
    <w:rsid w:val="00C364A2"/>
    <w:rsid w:val="00C40D7F"/>
    <w:rsid w:val="00C430CF"/>
    <w:rsid w:val="00C47FB0"/>
    <w:rsid w:val="00C528A7"/>
    <w:rsid w:val="00C62B55"/>
    <w:rsid w:val="00C66D6B"/>
    <w:rsid w:val="00C67B13"/>
    <w:rsid w:val="00C862A2"/>
    <w:rsid w:val="00C8657A"/>
    <w:rsid w:val="00C86A65"/>
    <w:rsid w:val="00C90284"/>
    <w:rsid w:val="00C953A2"/>
    <w:rsid w:val="00CA1F6B"/>
    <w:rsid w:val="00CA52AD"/>
    <w:rsid w:val="00CA7675"/>
    <w:rsid w:val="00CA7701"/>
    <w:rsid w:val="00CB32CB"/>
    <w:rsid w:val="00CB36E8"/>
    <w:rsid w:val="00CB5A41"/>
    <w:rsid w:val="00CC4739"/>
    <w:rsid w:val="00CD5EB9"/>
    <w:rsid w:val="00CD6386"/>
    <w:rsid w:val="00CE51AF"/>
    <w:rsid w:val="00CF413E"/>
    <w:rsid w:val="00D05FBD"/>
    <w:rsid w:val="00D10AC6"/>
    <w:rsid w:val="00D16826"/>
    <w:rsid w:val="00D20E91"/>
    <w:rsid w:val="00D30280"/>
    <w:rsid w:val="00D32529"/>
    <w:rsid w:val="00D378F0"/>
    <w:rsid w:val="00D5721D"/>
    <w:rsid w:val="00D6118B"/>
    <w:rsid w:val="00D62690"/>
    <w:rsid w:val="00D65C9A"/>
    <w:rsid w:val="00D7611D"/>
    <w:rsid w:val="00D83844"/>
    <w:rsid w:val="00D83FD1"/>
    <w:rsid w:val="00D87981"/>
    <w:rsid w:val="00D92B42"/>
    <w:rsid w:val="00D93809"/>
    <w:rsid w:val="00D94641"/>
    <w:rsid w:val="00DA087E"/>
    <w:rsid w:val="00DA71D7"/>
    <w:rsid w:val="00DB1213"/>
    <w:rsid w:val="00DB1CEA"/>
    <w:rsid w:val="00DC08C9"/>
    <w:rsid w:val="00DD25B8"/>
    <w:rsid w:val="00DD2756"/>
    <w:rsid w:val="00DD5E45"/>
    <w:rsid w:val="00DF0F5F"/>
    <w:rsid w:val="00DF3544"/>
    <w:rsid w:val="00E03DFC"/>
    <w:rsid w:val="00E06A79"/>
    <w:rsid w:val="00E1073E"/>
    <w:rsid w:val="00E10AFA"/>
    <w:rsid w:val="00E11DFE"/>
    <w:rsid w:val="00E1713A"/>
    <w:rsid w:val="00E2350C"/>
    <w:rsid w:val="00E35ABC"/>
    <w:rsid w:val="00E36F60"/>
    <w:rsid w:val="00E44617"/>
    <w:rsid w:val="00E52CE1"/>
    <w:rsid w:val="00E65707"/>
    <w:rsid w:val="00E66128"/>
    <w:rsid w:val="00E66938"/>
    <w:rsid w:val="00E72CF2"/>
    <w:rsid w:val="00E73211"/>
    <w:rsid w:val="00E767CF"/>
    <w:rsid w:val="00E8116E"/>
    <w:rsid w:val="00E81B2A"/>
    <w:rsid w:val="00E83676"/>
    <w:rsid w:val="00E85CC0"/>
    <w:rsid w:val="00E90912"/>
    <w:rsid w:val="00EA260D"/>
    <w:rsid w:val="00EA2C75"/>
    <w:rsid w:val="00EA37A2"/>
    <w:rsid w:val="00EA7106"/>
    <w:rsid w:val="00EB75EC"/>
    <w:rsid w:val="00EC10FB"/>
    <w:rsid w:val="00EC1178"/>
    <w:rsid w:val="00EC430E"/>
    <w:rsid w:val="00EC6048"/>
    <w:rsid w:val="00EC6EA2"/>
    <w:rsid w:val="00EC7196"/>
    <w:rsid w:val="00ED20F1"/>
    <w:rsid w:val="00EE20BD"/>
    <w:rsid w:val="00EF07B5"/>
    <w:rsid w:val="00EF12D0"/>
    <w:rsid w:val="00EF3036"/>
    <w:rsid w:val="00EF34AA"/>
    <w:rsid w:val="00EF64DB"/>
    <w:rsid w:val="00F011FF"/>
    <w:rsid w:val="00F05CCB"/>
    <w:rsid w:val="00F11DDC"/>
    <w:rsid w:val="00F14085"/>
    <w:rsid w:val="00F14157"/>
    <w:rsid w:val="00F154A1"/>
    <w:rsid w:val="00F20B1B"/>
    <w:rsid w:val="00F2437A"/>
    <w:rsid w:val="00F27FA8"/>
    <w:rsid w:val="00F334DD"/>
    <w:rsid w:val="00F421AB"/>
    <w:rsid w:val="00F4568F"/>
    <w:rsid w:val="00F51172"/>
    <w:rsid w:val="00F522CA"/>
    <w:rsid w:val="00F649E8"/>
    <w:rsid w:val="00F677F4"/>
    <w:rsid w:val="00F718DC"/>
    <w:rsid w:val="00F815DA"/>
    <w:rsid w:val="00F823B1"/>
    <w:rsid w:val="00F8343F"/>
    <w:rsid w:val="00F84761"/>
    <w:rsid w:val="00F87E8E"/>
    <w:rsid w:val="00F918E6"/>
    <w:rsid w:val="00F91B9B"/>
    <w:rsid w:val="00F92CDD"/>
    <w:rsid w:val="00F94B3C"/>
    <w:rsid w:val="00F96388"/>
    <w:rsid w:val="00FA1004"/>
    <w:rsid w:val="00FB1520"/>
    <w:rsid w:val="00FB1EAE"/>
    <w:rsid w:val="00FB31AB"/>
    <w:rsid w:val="00FB7CE1"/>
    <w:rsid w:val="00FC0BF8"/>
    <w:rsid w:val="00FC25C7"/>
    <w:rsid w:val="00FC7955"/>
    <w:rsid w:val="00FD1165"/>
    <w:rsid w:val="00FD28AC"/>
    <w:rsid w:val="00FD33C8"/>
    <w:rsid w:val="00FD54E7"/>
    <w:rsid w:val="00FD63A2"/>
    <w:rsid w:val="00FE0D93"/>
    <w:rsid w:val="00FE2BF4"/>
    <w:rsid w:val="00FE4F71"/>
    <w:rsid w:val="00FF33DD"/>
    <w:rsid w:val="00FF5D7D"/>
    <w:rsid w:val="00FF6889"/>
    <w:rsid w:val="1B775F20"/>
    <w:rsid w:val="49B755B6"/>
    <w:rsid w:val="53D629E8"/>
    <w:rsid w:val="5E280D51"/>
    <w:rsid w:val="6F5A3C93"/>
    <w:rsid w:val="772A6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Indent">
    <w:name w:val="Body Text Indent"/>
    <w:basedOn w:val="Normal"/>
    <w:pPr>
      <w:ind w:left="840"/>
    </w:pPr>
    <w:rPr>
      <w:rFonts w:ascii="宋体" w:hAnsi="宋体"/>
      <w:sz w:val="24"/>
      <w:szCs w:val="21"/>
    </w:rPr>
  </w:style>
  <w:style w:type="paragraph" w:styleId="BodyTextIndent2">
    <w:name w:val="Body Text Indent 2"/>
    <w:basedOn w:val="Normal"/>
    <w:qFormat/>
    <w:pPr>
      <w:ind w:left="840" w:firstLine="480" w:leftChars="400" w:firstLineChars="200"/>
    </w:pPr>
    <w:rPr>
      <w:rFonts w:ascii="Times New Roman" w:hAnsi="Times New Roman"/>
      <w:sz w:val="24"/>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qFormat/>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Normal0">
    <w:name w:val="Normal_0"/>
    <w:autoRedefine/>
    <w:qFormat/>
    <w:pPr>
      <w:widowControl w:val="0"/>
      <w:jc w:val="both"/>
    </w:pPr>
    <w:rPr>
      <w:rFonts w:ascii="Times New Roman" w:eastAsia="宋体" w:hAnsi="Times New Roman" w:cstheme="minorBidi"/>
      <w:kern w:val="2"/>
      <w:sz w:val="21"/>
      <w:szCs w:val="24"/>
      <w:lang w:val="en-US" w:eastAsia="zh-CN" w:bidi="ar-SA"/>
    </w:rPr>
  </w:style>
  <w:style w:type="paragraph" w:customStyle="1" w:styleId="Footer0">
    <w:name w:val="Footer_0"/>
    <w:basedOn w:val="Normal0"/>
    <w:autoRedefine/>
    <w:qFormat/>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yperlink" Target="https://d.book118.com/175020323202011113" TargetMode="Externa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theme" Target="theme/theme1.xml" /><Relationship Id="rId69" Type="http://schemas.openxmlformats.org/officeDocument/2006/relationships/numbering" Target="numbering.xml" /><Relationship Id="rId7" Type="http://schemas.openxmlformats.org/officeDocument/2006/relationships/header" Target="header2.xml" /><Relationship Id="rId70"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38</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2024-02-23T15:03:46Z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4363240199A8473F92885EEA2CA7077F_12</vt:lpwstr>
  </property>
  <property fmtid="{D5CDD505-2E9C-101B-9397-08002B2CF9AE}" pid="3" name="KSOProductBuildVer">
    <vt:lpwstr>2052-12.1.0.16388</vt:lpwstr>
  </property>
</Properties>
</file>