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spacing w:after="0" w:line="300" w:lineRule="auto"/>
        <w:jc w:val="center"/>
        <w:rPr>
          <w:rFonts w:ascii="Times New Roman" w:eastAsia="楷体_GB2312" w:hAnsi="Times New Roman"/>
          <w:kern w:val="2"/>
          <w:sz w:val="44"/>
          <w:szCs w:val="24"/>
        </w:rPr>
      </w:pPr>
    </w:p>
    <w:p>
      <w:pPr>
        <w:widowControl w:val="0"/>
        <w:spacing w:after="0" w:line="300" w:lineRule="auto"/>
        <w:jc w:val="center"/>
        <w:rPr>
          <w:rFonts w:ascii="Times New Roman" w:eastAsia="楷体_GB2312" w:hAnsi="Times New Roman"/>
          <w:kern w:val="2"/>
          <w:sz w:val="44"/>
          <w:szCs w:val="24"/>
        </w:rPr>
      </w:pPr>
    </w:p>
    <w:p>
      <w:pPr>
        <w:widowControl w:val="0"/>
        <w:spacing w:after="0" w:line="300" w:lineRule="auto"/>
        <w:jc w:val="center"/>
        <w:rPr>
          <w:rFonts w:ascii="Times New Roman" w:eastAsia="楷体_GB2312" w:hAnsi="Times New Roman"/>
          <w:kern w:val="2"/>
          <w:sz w:val="44"/>
          <w:szCs w:val="24"/>
        </w:rPr>
      </w:pPr>
    </w:p>
    <w:p>
      <w:pPr>
        <w:widowControl w:val="0"/>
        <w:spacing w:after="0" w:line="300" w:lineRule="auto"/>
        <w:jc w:val="both"/>
        <w:rPr>
          <w:rFonts w:ascii="黑体" w:eastAsia="黑体" w:hAnsi="黑体"/>
          <w:kern w:val="2"/>
          <w:sz w:val="21"/>
          <w:szCs w:val="21"/>
        </w:rPr>
      </w:pPr>
      <w:r>
        <w:rPr>
          <w:rFonts w:ascii="黑体" w:eastAsia="黑体" w:hAnsi="黑体" w:hint="eastAsia"/>
          <w:kern w:val="2"/>
          <w:sz w:val="21"/>
          <w:szCs w:val="21"/>
        </w:rPr>
        <w:t>沈阳市农业保险发展问题研究</w:t>
      </w:r>
      <w:r>
        <w:rPr>
          <w:rFonts w:ascii="Times New Roman" w:eastAsia="黑体" w:hAnsi="Times New Roman"/>
          <w:kern w:val="2"/>
          <w:sz w:val="21"/>
          <w:szCs w:val="21"/>
        </w:rPr>
        <w:t>——</w:t>
      </w:r>
      <w:r>
        <w:rPr>
          <w:rFonts w:ascii="黑体" w:eastAsia="黑体" w:hAnsi="黑体" w:hint="eastAsia"/>
          <w:kern w:val="2"/>
          <w:sz w:val="21"/>
          <w:szCs w:val="21"/>
        </w:rPr>
        <w:t>以安华农业保险股份有限公司沈阳分公司为例</w:t>
      </w:r>
    </w:p>
    <w:p>
      <w:pPr>
        <w:widowControl w:val="0"/>
        <w:tabs>
          <w:tab w:val="left" w:pos="6804"/>
          <w:tab w:val="left" w:pos="6946"/>
          <w:tab w:val="left" w:pos="7088"/>
        </w:tabs>
        <w:spacing w:after="0" w:line="300" w:lineRule="auto"/>
        <w:jc w:val="both"/>
        <w:rPr>
          <w:rFonts w:ascii="Times New Roman" w:eastAsia="宋体" w:hAnsi="Times New Roman"/>
          <w:color w:val="00CCFF"/>
          <w:kern w:val="2"/>
          <w:sz w:val="28"/>
          <w:szCs w:val="24"/>
        </w:rPr>
      </w:pPr>
    </w:p>
    <w:p>
      <w:pPr>
        <w:widowControl w:val="0"/>
        <w:spacing w:after="0" w:line="300" w:lineRule="auto"/>
        <w:ind w:left="360" w:firstLine="1470"/>
        <w:jc w:val="center"/>
        <w:rPr>
          <w:rFonts w:ascii="Times New Roman" w:eastAsia="宋体" w:hAnsi="Times New Roman"/>
          <w:color w:val="00CCFF"/>
          <w:kern w:val="2"/>
          <w:sz w:val="28"/>
          <w:szCs w:val="24"/>
        </w:rPr>
      </w:pPr>
    </w:p>
    <w:p>
      <w:pPr>
        <w:widowControl w:val="0"/>
        <w:adjustRightInd/>
        <w:snapToGrid/>
        <w:spacing w:after="0"/>
        <w:ind w:firstLine="360" w:firstLineChars="150"/>
        <w:jc w:val="both"/>
        <w:rPr>
          <w:rFonts w:ascii="Times New Roman" w:eastAsia="宋体" w:hAnsi="Times New Roman"/>
          <w:color w:val="FF0000"/>
          <w:kern w:val="2"/>
          <w:sz w:val="24"/>
          <w:szCs w:val="24"/>
        </w:rPr>
      </w:pPr>
      <w:r>
        <w:rPr>
          <w:rFonts w:ascii="仿宋_GB2312" w:eastAsia="仿宋_GB2312" w:hAnsi="宋体" w:hint="eastAsia"/>
          <w:color w:val="000000"/>
          <w:kern w:val="2"/>
          <w:sz w:val="24"/>
          <w:szCs w:val="24"/>
          <w:u w:val="single"/>
        </w:rPr>
        <w:t xml:space="preserve">      </w:t>
      </w:r>
    </w:p>
    <w:p>
      <w:pPr>
        <w:widowControl w:val="0"/>
        <w:adjustRightInd/>
        <w:snapToGrid/>
        <w:spacing w:after="0"/>
        <w:jc w:val="both"/>
        <w:rPr>
          <w:rFonts w:ascii="黑体" w:eastAsia="黑体" w:hAnsi="黑体"/>
          <w:color w:val="00CCFF"/>
          <w:kern w:val="2"/>
          <w:sz w:val="32"/>
          <w:szCs w:val="32"/>
        </w:rPr>
        <w:sectPr>
          <w:headerReference w:type="default" r:id="rId4"/>
          <w:footerReference w:type="default" r:id="rId5"/>
          <w:pgSz w:w="11907" w:h="16840"/>
          <w:pgMar w:top="1418" w:right="1134" w:bottom="1418" w:left="1418" w:header="851" w:footer="1134" w:gutter="0"/>
          <w:pgNumType w:fmt="numberInDash" w:start="1"/>
          <w:cols w:space="708"/>
          <w:docGrid w:type="lines" w:linePitch="312"/>
        </w:sectPr>
      </w:pPr>
    </w:p>
    <w:p>
      <w:pPr>
        <w:keepNext/>
        <w:keepLines/>
        <w:adjustRightInd/>
        <w:snapToGrid/>
        <w:spacing w:before="480" w:after="0" w:line="276" w:lineRule="auto"/>
        <w:jc w:val="center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/>
          <w:bCs/>
          <w:sz w:val="32"/>
          <w:szCs w:val="32"/>
          <w:lang w:val="zh-CN"/>
        </w:rPr>
        <w:t>目</w:t>
      </w:r>
      <w:r>
        <w:rPr>
          <w:rFonts w:ascii="黑体" w:eastAsia="黑体" w:hAnsi="黑体"/>
          <w:bCs/>
          <w:sz w:val="32"/>
          <w:szCs w:val="32"/>
        </w:rPr>
        <w:t xml:space="preserve">    </w:t>
      </w:r>
      <w:r>
        <w:rPr>
          <w:rFonts w:ascii="黑体" w:eastAsia="黑体" w:hAnsi="黑体"/>
          <w:bCs/>
          <w:sz w:val="32"/>
          <w:szCs w:val="32"/>
          <w:lang w:val="zh-CN"/>
        </w:rPr>
        <w:t>录</w:t>
      </w:r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r>
        <w:rPr>
          <w:rFonts w:ascii="Times New Roman" w:eastAsia="宋体" w:hAnsi="Times New Roman"/>
          <w:kern w:val="2"/>
          <w:sz w:val="28"/>
          <w:szCs w:val="24"/>
        </w:rPr>
        <w:fldChar w:fldCharType="begin"/>
      </w:r>
      <w:r>
        <w:rPr>
          <w:rFonts w:ascii="Times New Roman" w:eastAsia="宋体" w:hAnsi="Times New Roman"/>
          <w:kern w:val="2"/>
          <w:sz w:val="28"/>
          <w:szCs w:val="24"/>
        </w:rPr>
        <w:instrText xml:space="preserve"> TOC \o "1-3" \h \z \u </w:instrText>
      </w:r>
      <w:r>
        <w:rPr>
          <w:rFonts w:ascii="Times New Roman" w:eastAsia="宋体" w:hAnsi="Times New Roman"/>
          <w:kern w:val="2"/>
          <w:sz w:val="28"/>
          <w:szCs w:val="24"/>
        </w:rPr>
        <w:fldChar w:fldCharType="separate"/>
      </w:r>
      <w:hyperlink w:anchor="_Toc9423708" w:history="1">
        <w:r>
          <w:rPr>
            <w:rFonts w:ascii="黑体" w:eastAsia="宋体" w:hAnsi="黑体" w:hint="eastAsia"/>
            <w:kern w:val="2"/>
            <w:sz w:val="28"/>
            <w:szCs w:val="24"/>
          </w:rPr>
          <w:t>摘</w:t>
        </w:r>
        <w:r>
          <w:rPr>
            <w:rFonts w:ascii="黑体" w:eastAsia="宋体" w:hAnsi="黑体"/>
            <w:kern w:val="2"/>
            <w:sz w:val="28"/>
            <w:szCs w:val="24"/>
          </w:rPr>
          <w:t xml:space="preserve">    </w:t>
        </w:r>
        <w:r>
          <w:rPr>
            <w:rFonts w:ascii="黑体" w:eastAsia="宋体" w:hAnsi="黑体" w:hint="eastAsia"/>
            <w:kern w:val="2"/>
            <w:sz w:val="28"/>
            <w:szCs w:val="24"/>
          </w:rPr>
          <w:t>要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_Toc9423708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I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09" w:history="1">
        <w:r>
          <w:rPr>
            <w:rFonts w:ascii="Times New Roman" w:eastAsia="黑体" w:hAnsi="Times New Roman"/>
            <w:kern w:val="44"/>
            <w:sz w:val="28"/>
            <w:szCs w:val="24"/>
          </w:rPr>
          <w:t>Abstract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</w:hyperlink>
      <w:r>
        <w:rPr>
          <w:rFonts w:ascii="Times New Roman" w:eastAsia="宋体" w:hAnsi="Times New Roman"/>
          <w:kern w:val="2"/>
          <w:sz w:val="28"/>
          <w:szCs w:val="24"/>
        </w:rPr>
        <w:t>II</w:t>
      </w:r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10" w:history="1">
        <w:r>
          <w:rPr>
            <w:rFonts w:ascii="黑体" w:eastAsia="宋体" w:hAnsi="黑体" w:hint="eastAsia"/>
            <w:kern w:val="2"/>
            <w:sz w:val="28"/>
            <w:szCs w:val="24"/>
          </w:rPr>
          <w:t>引</w:t>
        </w:r>
        <w:r>
          <w:rPr>
            <w:rFonts w:ascii="黑体" w:eastAsia="宋体" w:hAnsi="黑体"/>
            <w:kern w:val="2"/>
            <w:sz w:val="28"/>
            <w:szCs w:val="24"/>
          </w:rPr>
          <w:t xml:space="preserve">    </w:t>
        </w:r>
        <w:r>
          <w:rPr>
            <w:rFonts w:ascii="黑体" w:eastAsia="宋体" w:hAnsi="黑体" w:hint="eastAsia"/>
            <w:kern w:val="2"/>
            <w:sz w:val="28"/>
            <w:szCs w:val="24"/>
          </w:rPr>
          <w:t>言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_Toc9423710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11" w:history="1">
        <w:r>
          <w:rPr>
            <w:rFonts w:ascii="黑体" w:eastAsia="黑体" w:hAnsi="黑体"/>
            <w:kern w:val="2"/>
            <w:sz w:val="28"/>
            <w:szCs w:val="24"/>
          </w:rPr>
          <w:t>1</w:t>
        </w:r>
        <w:r>
          <w:rPr>
            <w:rFonts w:ascii="Times New Roman" w:eastAsia="宋体" w:hAnsi="Times New Roman"/>
            <w:kern w:val="2"/>
            <w:sz w:val="28"/>
            <w:szCs w:val="24"/>
          </w:rPr>
          <w:t xml:space="preserve"> 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沈阳市农业保险发展概述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_Toc9423711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3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2" w:history="1">
        <w:r>
          <w:rPr>
            <w:rFonts w:ascii="Times New Roman" w:eastAsia="宋体" w:hAnsi="Times New Roman"/>
            <w:kern w:val="2"/>
            <w:sz w:val="28"/>
            <w:szCs w:val="24"/>
          </w:rPr>
          <w:t>1.1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农业保险概述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_Toc9423712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3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3" w:history="1">
        <w:r>
          <w:rPr>
            <w:rFonts w:ascii="Times New Roman" w:eastAsia="宋体" w:hAnsi="Times New Roman"/>
            <w:kern w:val="2"/>
            <w:sz w:val="28"/>
            <w:szCs w:val="24"/>
          </w:rPr>
          <w:t>1.2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沈阳市农业保险发展历程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_Toc9423713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3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4" w:history="1">
        <w:r>
          <w:rPr>
            <w:rFonts w:ascii="Times New Roman" w:eastAsia="宋体" w:hAnsi="Times New Roman"/>
            <w:kern w:val="2"/>
            <w:sz w:val="28"/>
            <w:szCs w:val="24"/>
          </w:rPr>
          <w:t>1.3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沈阳农业保险发展现状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_Toc9423714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4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5" w:history="1">
        <w:r>
          <w:rPr>
            <w:rFonts w:ascii="Times New Roman" w:eastAsia="宋体" w:hAnsi="Times New Roman"/>
            <w:kern w:val="2"/>
            <w:sz w:val="28"/>
            <w:szCs w:val="24"/>
          </w:rPr>
          <w:t>1.4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安华农业保险公司沈阳分公司概况及业务现状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_Toc9423715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5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16" w:history="1">
        <w:r>
          <w:rPr>
            <w:rFonts w:ascii="黑体" w:eastAsia="黑体" w:hAnsi="黑体"/>
            <w:kern w:val="2"/>
            <w:sz w:val="28"/>
            <w:szCs w:val="24"/>
          </w:rPr>
          <w:t>2</w:t>
        </w:r>
        <w:r>
          <w:rPr>
            <w:rFonts w:ascii="黑体" w:eastAsia="黑体" w:hAnsi="黑体" w:hint="eastAsia"/>
            <w:kern w:val="2"/>
            <w:sz w:val="28"/>
            <w:szCs w:val="24"/>
          </w:rPr>
          <w:t xml:space="preserve"> 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>沈阳市农业保险业务</w:t>
        </w:r>
        <w:r>
          <w:rPr>
            <w:rFonts w:ascii="Times New Roman" w:eastAsia="宋体" w:hAnsi="Times New Roman"/>
            <w:kern w:val="2"/>
            <w:sz w:val="28"/>
            <w:szCs w:val="24"/>
          </w:rPr>
          <w:t>SWOT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>分析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_Toc9423716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6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7" w:history="1">
        <w:r>
          <w:rPr>
            <w:rFonts w:ascii="Times New Roman" w:eastAsia="宋体" w:hAnsi="Times New Roman"/>
            <w:kern w:val="2"/>
            <w:sz w:val="28"/>
            <w:szCs w:val="24"/>
          </w:rPr>
          <w:t xml:space="preserve">2.1 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优势（S）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_Toc9423717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6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8" w:history="1">
        <w:r>
          <w:rPr>
            <w:rFonts w:ascii="Times New Roman" w:eastAsia="宋体" w:hAnsi="Times New Roman"/>
            <w:kern w:val="2"/>
            <w:sz w:val="28"/>
            <w:szCs w:val="24"/>
          </w:rPr>
          <w:t xml:space="preserve">2.2 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劣势（W）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_Toc9423718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6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19" w:history="1">
        <w:r>
          <w:rPr>
            <w:rFonts w:ascii="Times New Roman" w:eastAsia="宋体" w:hAnsi="Times New Roman"/>
            <w:kern w:val="2"/>
            <w:sz w:val="28"/>
            <w:szCs w:val="24"/>
          </w:rPr>
          <w:t xml:space="preserve">2.3 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机会（</w:t>
        </w:r>
        <w:r>
          <w:rPr>
            <w:rFonts w:ascii="Times New Roman" w:eastAsia="宋体" w:hAnsi="Times New Roman"/>
            <w:kern w:val="2"/>
            <w:sz w:val="28"/>
            <w:szCs w:val="24"/>
          </w:rPr>
          <w:t>O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>）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_Toc9423719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6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left" w:pos="993"/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0" w:history="1">
        <w:r>
          <w:rPr>
            <w:rFonts w:ascii="Times New Roman" w:eastAsia="宋体" w:hAnsi="Times New Roman"/>
            <w:kern w:val="2"/>
            <w:sz w:val="28"/>
            <w:szCs w:val="24"/>
          </w:rPr>
          <w:t xml:space="preserve">2.4 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挑战（</w:t>
        </w:r>
        <w:r>
          <w:rPr>
            <w:rFonts w:ascii="Times New Roman" w:eastAsia="宋体" w:hAnsi="Times New Roman"/>
            <w:kern w:val="2"/>
            <w:sz w:val="28"/>
            <w:szCs w:val="24"/>
          </w:rPr>
          <w:t>T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>）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_Toc9423720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6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21" w:history="1">
        <w:r>
          <w:rPr>
            <w:rFonts w:ascii="黑体" w:eastAsia="黑体" w:hAnsi="黑体"/>
            <w:kern w:val="2"/>
            <w:sz w:val="28"/>
            <w:szCs w:val="24"/>
          </w:rPr>
          <w:t>3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沈阳市农业保险发展面临主要问题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_Toc9423721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8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left" w:pos="993"/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2" w:history="1">
        <w:r>
          <w:rPr>
            <w:rFonts w:ascii="Times New Roman" w:eastAsia="宋体" w:hAnsi="Times New Roman"/>
            <w:kern w:val="2"/>
            <w:sz w:val="28"/>
            <w:szCs w:val="24"/>
          </w:rPr>
          <w:t>3.1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信息不对称问题突出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_Toc9423722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8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3" w:history="1">
        <w:r>
          <w:rPr>
            <w:rFonts w:ascii="Times New Roman" w:eastAsia="宋体" w:hAnsi="Times New Roman"/>
            <w:kern w:val="2"/>
            <w:sz w:val="28"/>
            <w:szCs w:val="24"/>
          </w:rPr>
          <w:t>3.2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巨灾风险分散机制不健全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_Toc9423723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8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4" w:history="1">
        <w:r>
          <w:rPr>
            <w:rFonts w:ascii="Times New Roman" w:eastAsia="宋体" w:hAnsi="Times New Roman"/>
            <w:kern w:val="2"/>
            <w:sz w:val="28"/>
            <w:szCs w:val="24"/>
          </w:rPr>
          <w:t>3.3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从业人员专业性差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_Toc9423724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9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5" w:history="1">
        <w:r>
          <w:rPr>
            <w:rFonts w:ascii="Times New Roman" w:eastAsia="宋体" w:hAnsi="Times New Roman"/>
            <w:kern w:val="2"/>
            <w:sz w:val="28"/>
            <w:szCs w:val="24"/>
          </w:rPr>
          <w:t>3.4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法律法规及补贴政策力度有限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_Toc9423725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10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Times New Roman" w:eastAsia="宋体" w:hAnsi="Times New Roman"/>
          <w:kern w:val="2"/>
          <w:sz w:val="21"/>
        </w:rPr>
      </w:pPr>
      <w:hyperlink w:anchor="_Toc9423726" w:history="1">
        <w:r>
          <w:rPr>
            <w:rFonts w:ascii="黑体" w:eastAsia="黑体" w:hAnsi="黑体"/>
            <w:kern w:val="2"/>
            <w:sz w:val="28"/>
            <w:szCs w:val="24"/>
          </w:rPr>
          <w:t>4</w:t>
        </w:r>
        <w:r>
          <w:rPr>
            <w:rFonts w:ascii="黑体" w:eastAsia="黑体" w:hAnsi="黑体" w:hint="eastAsia"/>
            <w:kern w:val="2"/>
            <w:sz w:val="28"/>
            <w:szCs w:val="24"/>
          </w:rPr>
          <w:t xml:space="preserve"> </w:t>
        </w:r>
        <w:r>
          <w:rPr>
            <w:rFonts w:ascii="Times New Roman" w:eastAsia="宋体" w:hAnsi="黑体"/>
            <w:kern w:val="2"/>
            <w:sz w:val="28"/>
            <w:szCs w:val="24"/>
          </w:rPr>
          <w:t>沈阳市农业保险发展问题的解决对策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_Toc9423726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11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0"/>
        </w:tabs>
        <w:spacing w:after="0" w:line="300" w:lineRule="auto"/>
        <w:ind w:firstLine="442" w:firstLineChars="201"/>
        <w:jc w:val="both"/>
        <w:rPr>
          <w:rFonts w:ascii="Calibri" w:eastAsia="宋体" w:hAnsi="Calibri"/>
          <w:kern w:val="2"/>
          <w:sz w:val="21"/>
        </w:rPr>
      </w:pPr>
      <w:hyperlink w:anchor="_Toc9423727" w:history="1">
        <w:r>
          <w:rPr>
            <w:rFonts w:ascii="Times New Roman" w:eastAsia="宋体" w:hAnsi="Times New Roman"/>
            <w:kern w:val="2"/>
            <w:sz w:val="28"/>
            <w:szCs w:val="24"/>
          </w:rPr>
          <w:t>4.1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降低信息不对称风险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_Toc9423727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11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8" w:history="1">
        <w:r>
          <w:rPr>
            <w:rFonts w:ascii="Times New Roman" w:eastAsia="宋体" w:hAnsi="Times New Roman"/>
            <w:kern w:val="2"/>
            <w:sz w:val="28"/>
            <w:szCs w:val="24"/>
          </w:rPr>
          <w:t>4.2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健全农业保险巨灾风险分散机制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_Toc9423728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11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29" w:history="1">
        <w:r>
          <w:rPr>
            <w:rFonts w:ascii="Times New Roman" w:eastAsia="宋体" w:hAnsi="Times New Roman"/>
            <w:kern w:val="2"/>
            <w:sz w:val="28"/>
            <w:szCs w:val="24"/>
          </w:rPr>
          <w:t>4.3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提升从业人员专业知识培训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_Toc9423729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12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5"/>
        </w:tabs>
        <w:spacing w:after="0" w:line="300" w:lineRule="auto"/>
        <w:ind w:left="440" w:leftChars="200"/>
        <w:jc w:val="both"/>
        <w:rPr>
          <w:rFonts w:ascii="Calibri" w:eastAsia="宋体" w:hAnsi="Calibri"/>
          <w:kern w:val="2"/>
          <w:sz w:val="21"/>
        </w:rPr>
      </w:pPr>
      <w:hyperlink w:anchor="_Toc9423730" w:history="1">
        <w:r>
          <w:rPr>
            <w:rFonts w:ascii="Times New Roman" w:eastAsia="宋体" w:hAnsi="Times New Roman"/>
            <w:kern w:val="2"/>
            <w:sz w:val="28"/>
            <w:szCs w:val="24"/>
          </w:rPr>
          <w:t>4.4</w:t>
        </w:r>
        <w:r>
          <w:rPr>
            <w:rFonts w:ascii="Times New Roman" w:eastAsia="宋体" w:hAnsi="Times New Roman" w:hint="eastAsia"/>
            <w:kern w:val="2"/>
            <w:sz w:val="28"/>
            <w:szCs w:val="24"/>
          </w:rPr>
          <w:t xml:space="preserve">  加强完善农业保险相关法律法规及补贴政策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_Toc9423730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13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31" w:history="1">
        <w:r>
          <w:rPr>
            <w:rFonts w:ascii="黑体" w:eastAsia="宋体" w:hAnsi="黑体" w:hint="eastAsia"/>
            <w:kern w:val="2"/>
            <w:sz w:val="28"/>
            <w:szCs w:val="24"/>
          </w:rPr>
          <w:t>结</w:t>
        </w:r>
        <w:r>
          <w:rPr>
            <w:rFonts w:ascii="黑体" w:eastAsia="宋体" w:hAnsi="黑体"/>
            <w:kern w:val="2"/>
            <w:sz w:val="28"/>
            <w:szCs w:val="24"/>
          </w:rPr>
          <w:t xml:space="preserve">    </w:t>
        </w:r>
        <w:r>
          <w:rPr>
            <w:rFonts w:ascii="黑体" w:eastAsia="宋体" w:hAnsi="黑体" w:hint="eastAsia"/>
            <w:kern w:val="2"/>
            <w:sz w:val="28"/>
            <w:szCs w:val="24"/>
          </w:rPr>
          <w:t>论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_Toc9423731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13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32" w:history="1">
        <w:r>
          <w:rPr>
            <w:rFonts w:ascii="黑体" w:eastAsia="宋体" w:hAnsi="黑体" w:hint="eastAsia"/>
            <w:kern w:val="2"/>
            <w:sz w:val="28"/>
            <w:szCs w:val="24"/>
          </w:rPr>
          <w:t>参考文献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_Toc9423732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15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tabs>
          <w:tab w:val="right" w:leader="dot" w:pos="9340"/>
        </w:tabs>
        <w:spacing w:after="0" w:line="300" w:lineRule="auto"/>
        <w:jc w:val="both"/>
        <w:rPr>
          <w:rFonts w:ascii="Calibri" w:eastAsia="宋体" w:hAnsi="Calibri"/>
          <w:kern w:val="2"/>
          <w:sz w:val="21"/>
        </w:rPr>
      </w:pPr>
      <w:hyperlink w:anchor="_Toc9423733" w:history="1">
        <w:r>
          <w:rPr>
            <w:rFonts w:ascii="黑体" w:eastAsia="宋体" w:hAnsi="黑体" w:hint="eastAsia"/>
            <w:kern w:val="2"/>
            <w:sz w:val="28"/>
            <w:szCs w:val="24"/>
          </w:rPr>
          <w:t>致</w:t>
        </w:r>
        <w:r>
          <w:rPr>
            <w:rFonts w:ascii="黑体" w:eastAsia="宋体" w:hAnsi="黑体"/>
            <w:kern w:val="2"/>
            <w:sz w:val="28"/>
            <w:szCs w:val="24"/>
          </w:rPr>
          <w:t xml:space="preserve">    </w:t>
        </w:r>
        <w:r>
          <w:rPr>
            <w:rFonts w:ascii="黑体" w:eastAsia="宋体" w:hAnsi="黑体" w:hint="eastAsia"/>
            <w:kern w:val="2"/>
            <w:sz w:val="28"/>
            <w:szCs w:val="24"/>
          </w:rPr>
          <w:t>谢</w:t>
        </w:r>
        <w:r>
          <w:rPr>
            <w:rFonts w:ascii="Times New Roman" w:eastAsia="宋体" w:hAnsi="Times New Roman"/>
            <w:kern w:val="2"/>
            <w:sz w:val="28"/>
            <w:szCs w:val="24"/>
          </w:rPr>
          <w:tab/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begin"/>
        </w:r>
        <w:r>
          <w:rPr>
            <w:rFonts w:ascii="Times New Roman" w:eastAsia="宋体" w:hAnsi="Times New Roman"/>
            <w:kern w:val="2"/>
            <w:sz w:val="28"/>
            <w:szCs w:val="24"/>
          </w:rPr>
          <w:instrText xml:space="preserve"> PAGEREF _Toc9423733 \h </w:instrTex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separate"/>
        </w:r>
        <w:r>
          <w:rPr>
            <w:rFonts w:ascii="Times New Roman" w:eastAsia="宋体" w:hAnsi="Times New Roman"/>
            <w:kern w:val="2"/>
            <w:sz w:val="28"/>
            <w:szCs w:val="24"/>
          </w:rPr>
          <w:t>17</w:t>
        </w:r>
        <w:r>
          <w:rPr>
            <w:rFonts w:ascii="Times New Roman" w:eastAsia="宋体" w:hAnsi="Times New Roman"/>
            <w:kern w:val="2"/>
            <w:sz w:val="28"/>
            <w:szCs w:val="24"/>
          </w:rPr>
          <w:fldChar w:fldCharType="end"/>
        </w:r>
      </w:hyperlink>
    </w:p>
    <w:p>
      <w:pPr>
        <w:widowControl w:val="0"/>
        <w:adjustRightInd/>
        <w:snapToGrid/>
        <w:spacing w:after="0"/>
        <w:jc w:val="both"/>
        <w:rPr>
          <w:rFonts w:ascii="Times New Roman" w:eastAsia="宋体" w:hAnsi="Times New Roman"/>
          <w:kern w:val="2"/>
          <w:sz w:val="21"/>
          <w:szCs w:val="24"/>
        </w:rPr>
      </w:pPr>
      <w:r>
        <w:rPr>
          <w:rFonts w:ascii="Times New Roman" w:eastAsia="宋体" w:hAnsi="Times New Roman"/>
          <w:b/>
          <w:bCs/>
          <w:kern w:val="2"/>
          <w:sz w:val="21"/>
          <w:szCs w:val="24"/>
          <w:lang w:val="zh-CN"/>
        </w:rPr>
        <w:fldChar w:fldCharType="end"/>
      </w:r>
    </w:p>
    <w:p>
      <w:pPr>
        <w:widowControl w:val="0"/>
        <w:spacing w:after="0" w:line="300" w:lineRule="auto"/>
        <w:jc w:val="center"/>
        <w:rPr>
          <w:rFonts w:ascii="Times New Roman" w:eastAsia="宋体" w:hAnsi="Times New Roman"/>
          <w:kern w:val="2"/>
          <w:sz w:val="21"/>
          <w:szCs w:val="24"/>
        </w:rPr>
      </w:pPr>
    </w:p>
    <w:p>
      <w:pPr>
        <w:widowControl w:val="0"/>
        <w:spacing w:after="0" w:line="300" w:lineRule="auto"/>
        <w:jc w:val="both"/>
        <w:rPr>
          <w:rFonts w:ascii="Times New Roman" w:eastAsia="宋体" w:hAnsi="Times New Roman"/>
          <w:color w:val="00B0F0"/>
          <w:kern w:val="2"/>
          <w:sz w:val="21"/>
          <w:szCs w:val="24"/>
        </w:rPr>
      </w:pPr>
      <w:r>
        <w:rPr>
          <w:rFonts w:ascii="Times New Roman" w:eastAsia="宋体" w:hAnsi="Times New Roman"/>
          <w:color w:val="00B0F0"/>
          <w:kern w:val="2"/>
          <w:sz w:val="21"/>
          <w:szCs w:val="24"/>
        </w:rPr>
        <w:br/>
      </w:r>
      <w:r>
        <w:rPr>
          <w:rFonts w:ascii="Times New Roman" w:eastAsia="宋体" w:hAnsi="Times New Roman"/>
          <w:color w:val="00B0F0"/>
          <w:kern w:val="2"/>
          <w:sz w:val="21"/>
          <w:szCs w:val="24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https://d.book118.com/175122223142011112</w:t>
        </w:r>
      </w:hyperlink>
    </w:p>
    <w:p>
      <w:pPr>
        <w:widowControl w:val="0"/>
        <w:spacing w:after="0" w:line="300" w:lineRule="auto"/>
        <w:jc w:val="both"/>
        <w:rPr>
          <w:rFonts w:ascii="Times New Roman" w:eastAsia="宋体" w:hAnsi="Times New Roman"/>
          <w:color w:val="00B0F0"/>
          <w:kern w:val="2"/>
          <w:sz w:val="21"/>
          <w:szCs w:val="24"/>
        </w:rPr>
      </w:pPr>
    </w:p>
    <w:sectPr>
      <w:headerReference w:type="default" r:id="rId7"/>
      <w:footerReference w:type="default" r:id="rId8"/>
      <w:pgSz w:w="11907" w:h="16840"/>
      <w:pgMar w:top="1418" w:right="1134" w:bottom="1418" w:left="1418" w:header="851" w:footer="1134" w:gutter="0"/>
      <w:pgNumType w:fmt="numberInDash"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1" w:usb1="080E0000" w:usb2="00000000" w:usb3="00000000" w:csb0="00040000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/>
      <w:rPr>
        <w:rFonts w:eastAsia="楷体_GB231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60D1884"/>
    <w:multiLevelType w:val="multilevel"/>
    <w:tmpl w:val="460D18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720"/>
  <w:characterSpacingControl w:val="doNotCompress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1D50"/>
    <w:rsid w:val="000224B6"/>
    <w:rsid w:val="0002466A"/>
    <w:rsid w:val="00034AE8"/>
    <w:rsid w:val="00036EDB"/>
    <w:rsid w:val="000405B0"/>
    <w:rsid w:val="000600A9"/>
    <w:rsid w:val="00060D8E"/>
    <w:rsid w:val="00075501"/>
    <w:rsid w:val="000A4366"/>
    <w:rsid w:val="001351C8"/>
    <w:rsid w:val="00154DEC"/>
    <w:rsid w:val="001A36E4"/>
    <w:rsid w:val="00211124"/>
    <w:rsid w:val="00242DAF"/>
    <w:rsid w:val="00266891"/>
    <w:rsid w:val="002758D3"/>
    <w:rsid w:val="00296FC3"/>
    <w:rsid w:val="002C4CB0"/>
    <w:rsid w:val="002E410B"/>
    <w:rsid w:val="00300537"/>
    <w:rsid w:val="00310302"/>
    <w:rsid w:val="00323B43"/>
    <w:rsid w:val="003345D7"/>
    <w:rsid w:val="00351FB7"/>
    <w:rsid w:val="0038300C"/>
    <w:rsid w:val="00387D69"/>
    <w:rsid w:val="003B56D8"/>
    <w:rsid w:val="003B571E"/>
    <w:rsid w:val="003C412C"/>
    <w:rsid w:val="003D37D8"/>
    <w:rsid w:val="003E6A46"/>
    <w:rsid w:val="00426133"/>
    <w:rsid w:val="0042683F"/>
    <w:rsid w:val="00427392"/>
    <w:rsid w:val="004358AB"/>
    <w:rsid w:val="00445798"/>
    <w:rsid w:val="004536E4"/>
    <w:rsid w:val="004710A8"/>
    <w:rsid w:val="0047239A"/>
    <w:rsid w:val="00473C05"/>
    <w:rsid w:val="004A2796"/>
    <w:rsid w:val="004B259D"/>
    <w:rsid w:val="004E4E4E"/>
    <w:rsid w:val="004F5231"/>
    <w:rsid w:val="004F554F"/>
    <w:rsid w:val="0050526B"/>
    <w:rsid w:val="00506B2E"/>
    <w:rsid w:val="005754CA"/>
    <w:rsid w:val="005A1A5B"/>
    <w:rsid w:val="005E1A2F"/>
    <w:rsid w:val="005E4EB0"/>
    <w:rsid w:val="0060778D"/>
    <w:rsid w:val="00621ED3"/>
    <w:rsid w:val="00666324"/>
    <w:rsid w:val="00687A46"/>
    <w:rsid w:val="006B2452"/>
    <w:rsid w:val="006B5F3C"/>
    <w:rsid w:val="006D0998"/>
    <w:rsid w:val="006D7336"/>
    <w:rsid w:val="006E0880"/>
    <w:rsid w:val="006E0998"/>
    <w:rsid w:val="006E2D83"/>
    <w:rsid w:val="00702389"/>
    <w:rsid w:val="00727177"/>
    <w:rsid w:val="00727B71"/>
    <w:rsid w:val="00732907"/>
    <w:rsid w:val="00740BFA"/>
    <w:rsid w:val="0079558B"/>
    <w:rsid w:val="007B1A37"/>
    <w:rsid w:val="007B4C37"/>
    <w:rsid w:val="007C62EF"/>
    <w:rsid w:val="007C7448"/>
    <w:rsid w:val="008345A8"/>
    <w:rsid w:val="00857D1B"/>
    <w:rsid w:val="0086382D"/>
    <w:rsid w:val="0087426D"/>
    <w:rsid w:val="0087603D"/>
    <w:rsid w:val="00880005"/>
    <w:rsid w:val="00886D3D"/>
    <w:rsid w:val="008B0D11"/>
    <w:rsid w:val="008B7726"/>
    <w:rsid w:val="008C37F6"/>
    <w:rsid w:val="008F551E"/>
    <w:rsid w:val="009015EE"/>
    <w:rsid w:val="00913D77"/>
    <w:rsid w:val="0093496D"/>
    <w:rsid w:val="0095426B"/>
    <w:rsid w:val="00966604"/>
    <w:rsid w:val="009725DA"/>
    <w:rsid w:val="0098753E"/>
    <w:rsid w:val="009A7099"/>
    <w:rsid w:val="009B5277"/>
    <w:rsid w:val="009F3FF5"/>
    <w:rsid w:val="00AB1F3E"/>
    <w:rsid w:val="00AC3A37"/>
    <w:rsid w:val="00AC7A29"/>
    <w:rsid w:val="00AE23FF"/>
    <w:rsid w:val="00AF056E"/>
    <w:rsid w:val="00AF280F"/>
    <w:rsid w:val="00B17FAB"/>
    <w:rsid w:val="00B239FD"/>
    <w:rsid w:val="00B26800"/>
    <w:rsid w:val="00B40E74"/>
    <w:rsid w:val="00B43D30"/>
    <w:rsid w:val="00B77759"/>
    <w:rsid w:val="00B83109"/>
    <w:rsid w:val="00B97678"/>
    <w:rsid w:val="00BE3395"/>
    <w:rsid w:val="00C00BC3"/>
    <w:rsid w:val="00C00E88"/>
    <w:rsid w:val="00C10D4F"/>
    <w:rsid w:val="00C23899"/>
    <w:rsid w:val="00C3336B"/>
    <w:rsid w:val="00C43F59"/>
    <w:rsid w:val="00C47CD1"/>
    <w:rsid w:val="00C579A2"/>
    <w:rsid w:val="00C72A45"/>
    <w:rsid w:val="00C74286"/>
    <w:rsid w:val="00C7736D"/>
    <w:rsid w:val="00C91811"/>
    <w:rsid w:val="00CB12F1"/>
    <w:rsid w:val="00CB2EBA"/>
    <w:rsid w:val="00D100D3"/>
    <w:rsid w:val="00D31D50"/>
    <w:rsid w:val="00D367B5"/>
    <w:rsid w:val="00D36BA1"/>
    <w:rsid w:val="00D571D1"/>
    <w:rsid w:val="00D607E3"/>
    <w:rsid w:val="00D7068F"/>
    <w:rsid w:val="00D74475"/>
    <w:rsid w:val="00D91361"/>
    <w:rsid w:val="00D96AF9"/>
    <w:rsid w:val="00DA08F9"/>
    <w:rsid w:val="00DE2E05"/>
    <w:rsid w:val="00DF19E7"/>
    <w:rsid w:val="00E15284"/>
    <w:rsid w:val="00E36DF5"/>
    <w:rsid w:val="00EB45BE"/>
    <w:rsid w:val="00EB7FA0"/>
    <w:rsid w:val="00EC24B7"/>
    <w:rsid w:val="00EC2C64"/>
    <w:rsid w:val="00ED2923"/>
    <w:rsid w:val="00ED3D7F"/>
    <w:rsid w:val="00EF411F"/>
    <w:rsid w:val="00F05A19"/>
    <w:rsid w:val="00F11747"/>
    <w:rsid w:val="00F12624"/>
    <w:rsid w:val="00F306E3"/>
    <w:rsid w:val="00F31CB8"/>
    <w:rsid w:val="00FD2DDF"/>
    <w:rsid w:val="34CF5B54"/>
    <w:rsid w:val="3BD32833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软雅黑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adjustRightInd w:val="0"/>
      <w:snapToGrid w:val="0"/>
      <w:spacing w:after="200"/>
    </w:pPr>
    <w:rPr>
      <w:rFonts w:ascii="Tahoma" w:hAnsi="Tahoma"/>
      <w:sz w:val="22"/>
      <w:szCs w:val="22"/>
      <w:lang w:val="en-US" w:eastAsia="zh-CN" w:bidi="ar-SA"/>
    </w:rPr>
  </w:style>
  <w:style w:type="paragraph" w:styleId="Heading2">
    <w:name w:val="heading 2"/>
    <w:basedOn w:val="Normal"/>
    <w:next w:val="Normal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="Cambria" w:eastAsia="黑体" w:hAnsi="Cambria" w:cs="Times New Roman"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link w:val="Heading2"/>
    <w:uiPriority w:val="9"/>
    <w:semiHidden/>
    <w:rPr>
      <w:rFonts w:ascii="Cambria" w:eastAsia="黑体" w:hAnsi="Cambria" w:cs="Times New Roman"/>
      <w:bCs/>
      <w:sz w:val="32"/>
      <w:szCs w:val="32"/>
    </w:rPr>
  </w:style>
  <w:style w:type="paragraph" w:styleId="BalloonText">
    <w:name w:val="Balloon Text"/>
    <w:basedOn w:val="Normal"/>
    <w:link w:val="Char"/>
    <w:uiPriority w:val="99"/>
    <w:unhideWhenUsed/>
    <w:pPr>
      <w:spacing w:after="0"/>
    </w:pPr>
    <w:rPr>
      <w:sz w:val="18"/>
      <w:szCs w:val="18"/>
    </w:rPr>
  </w:style>
  <w:style w:type="character" w:customStyle="1" w:styleId="Char">
    <w:name w:val="批注框文本 Char"/>
    <w:link w:val="BalloonText"/>
    <w:uiPriority w:val="99"/>
    <w:semiHidden/>
    <w:rPr>
      <w:rFonts w:ascii="Tahoma" w:hAnsi="Tahoma"/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link w:val="Footer"/>
    <w:uiPriority w:val="99"/>
    <w:qFormat/>
    <w:rPr>
      <w:rFonts w:ascii="Tahoma" w:hAnsi="Tahoma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1">
    <w:name w:val="页眉 Char"/>
    <w:link w:val="Header"/>
    <w:uiPriority w:val="99"/>
    <w:rPr>
      <w:rFonts w:ascii="Tahoma" w:hAnsi="Tahoma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175122223142011112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2776</Words>
  <Characters>15827</Characters>
  <Application>Microsoft Office Word</Application>
  <DocSecurity>0</DocSecurity>
  <Lines>131</Lines>
  <Paragraphs>37</Paragraphs>
  <ScaleCrop>false</ScaleCrop>
  <Company>Sky123.Org</Company>
  <LinksUpToDate>false</LinksUpToDate>
  <CharactersWithSpaces>18566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张老师</cp:lastModifiedBy>
  <cp:revision>17</cp:revision>
  <cp:lastPrinted>2021-05-20T02:22:00Z</cp:lastPrinted>
  <dcterms:created xsi:type="dcterms:W3CDTF">2019-06-14T22:47:00Z</dcterms:created>
  <dcterms:modified xsi:type="dcterms:W3CDTF">2023-11-04T12:18:04Z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2A98F90F50404D0CB48E85B605DFD96C_12</vt:lpwstr>
  </property>
  <property fmtid="{D5CDD505-2E9C-101B-9397-08002B2CF9AE}" pid="3" name="KSOProductBuildVer">
    <vt:lpwstr>2052-12.1.0.15712</vt:lpwstr>
  </property>
</Properties>
</file>