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03E1A" w14:paraId="1A1C1F9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03E1A" w14:paraId="05CC2AF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03E1A" w14:paraId="02A786D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03E1A" w:rsidRPr="00F03E1A" w14:paraId="58069E96" w14:textId="628BA954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03E1A">
        <w:rPr>
          <w:rFonts w:ascii="宋体" w:eastAsia="宋体" w:hAnsi="宋体" w:hint="eastAsia"/>
          <w:b/>
          <w:sz w:val="60"/>
        </w:rPr>
        <w:t>阴极铜企业风险管理与内控</w:t>
      </w:r>
    </w:p>
    <w:p w:rsidR="00F03E1A" w:rsidP="00F03E1A" w14:paraId="35B6E851" w14:textId="5263C19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03E1A">
        <w:rPr>
          <w:rFonts w:ascii="仿宋" w:eastAsia="仿宋" w:hAnsi="仿宋" w:hint="eastAsia"/>
          <w:b/>
          <w:sz w:val="40"/>
        </w:rPr>
        <w:t>目录</w:t>
      </w:r>
    </w:p>
    <w:p w:rsidR="00F03E1A" w14:paraId="3F003CC7" w14:textId="6B600CA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03E1A" w14:paraId="0728634E" w14:textId="105C801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一、流程风险的识别和评估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03E1A" w14:paraId="337665FA" w14:textId="565B2A6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(一)、风险清单识别法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_Toc159018186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03E1A" w14:paraId="6032FBF7" w14:textId="031ABA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(二)、流程图法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_Toc159018187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03E1A" w14:paraId="1EF90BE6" w14:textId="68786E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(三)、风险矩阵评估法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_Toc159018188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03E1A" w14:paraId="534A2FE0" w14:textId="5F4511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(四)、内部威胁分析法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_Toc159018189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03E1A" w14:paraId="601B7C7D" w14:textId="298F555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二、发展规划分析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03E1A" w14:paraId="1983B8A1" w14:textId="5F2198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03E1A" w14:paraId="6D4EBD92" w14:textId="24D9FC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03E1A" w14:paraId="00CB7604" w14:textId="39B0B59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三、运营风险的含义及其主要内容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03E1A" w14:paraId="187B2131" w14:textId="4C2C8D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03E1A" w14:paraId="46B50EF2" w14:textId="55487C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03E1A" w14:paraId="2B0B3D75" w14:textId="257BEB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(三)、人力资源风险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03E1A" w14:paraId="69418413" w14:textId="4CC875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(四)、内部技术风险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_Toc159018197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F03E1A" w14:paraId="1174AD30" w14:textId="0AD72D0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03E1A" w14:paraId="4424CD93" w14:textId="44647C0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_Toc159018199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03E1A" w14:paraId="52EF50A6" w14:textId="6154657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_Toc159018200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03E1A" w14:paraId="41F5DEC0" w14:textId="19CC0E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_Toc159018201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03E1A" w14:paraId="106F3B8D" w14:textId="612C01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_Toc159018202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03E1A" w14:paraId="164C54DC" w14:textId="0DC76C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_Toc159018203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F03E1A" w14:paraId="09603E16" w14:textId="72B53343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_Toc159018204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03E1A" w14:paraId="4C3A9461" w14:textId="28B1F03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_Toc159018205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03E1A" w14:paraId="7E5B2487" w14:textId="142E4D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_Toc159018206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03E1A" w14:paraId="09954057" w14:textId="528B230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七、员工培训与绩效提升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_Toc159018207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03E1A" w14:paraId="3DD1EF4B" w14:textId="1E7A09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(一)、培训需求分析与计划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_Toc159018208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03E1A" w14:paraId="39D5F819" w14:textId="7D004A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(二)、绩效评价体系与激励机制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_Toc159018209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F03E1A" w14:paraId="609BA77A" w14:textId="4437C7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(三)、职业发展规划与晋升通道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F03E1A" w14:paraId="4E74EFB3" w14:textId="063CB7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(四)、员工满意度与团队凝聚力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_Toc159018211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F03E1A" w14:paraId="771C93F2" w14:textId="71D787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八、运营风险管理的一般程序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_Toc159018212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F03E1A" w14:paraId="1E6496AA" w14:textId="5C17A6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(一)、运营风险的识别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F03E1A" w14:paraId="13F4B307" w14:textId="12A742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(二)、运营风险的评估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_Toc159018214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F03E1A" w14:paraId="2D84E105" w14:textId="083450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(三)、运营风险的应对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_Toc159018215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03E1A" w14:paraId="5DB94F9C" w14:textId="299DC2E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九、阴极铜项目风险对策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_Toc159018216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F03E1A" w14:paraId="293008DD" w14:textId="739768C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_Toc159018217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F03E1A" w14:paraId="32D0BD0F" w14:textId="0A33E2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_Toc159018218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F03E1A" w14:paraId="0CF1B9D3" w14:textId="3AB813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_Toc159018219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F03E1A" w14:paraId="3072912B" w14:textId="2E8536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_Toc159018220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F03E1A" w14:paraId="3637FD55" w14:textId="5C3766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_Toc159018221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03E1A" w14:paraId="1CFE7023" w14:textId="221B0D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_Toc159018222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03E1A" w14:paraId="6820A26A" w14:textId="0B6770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_Toc159018223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03E1A" w14:paraId="4703A316" w14:textId="11BDE8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_Toc159018224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03E1A" w14:paraId="71945004" w14:textId="52BE740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_Toc159018225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F03E1A" w14:paraId="61CE9F2A" w14:textId="5E6F0D51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(一)、产业环境分析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_Toc159018226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F03E1A" w14:paraId="4EBCF5E2" w14:textId="530A23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十一、阴极铜项目基本情况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_Toc159018227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F03E1A" w14:paraId="4231C0F5" w14:textId="51B9BE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(一)、阴极铜项目投资人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_Toc159018228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F03E1A" w14:paraId="09C45963" w14:textId="2951EE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(二)、阴极铜项目选址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_Toc159018229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F03E1A" w14:paraId="4CA5F166" w14:textId="7269FE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(三)、阴极铜项目实施进度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_Toc159018230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03E1A" w14:paraId="152AA602" w14:textId="51EB7C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_Toc159018231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03E1A" w14:paraId="202F46F0" w14:textId="793737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_Toc159018232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03E1A" w14:paraId="50C11F1B" w14:textId="3F7BCD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_Toc159018233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03E1A" w14:paraId="1BD3384F" w14:textId="069DE6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_Toc159018234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03E1A" w14:paraId="1123FEF3" w14:textId="507EC25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F03E1A" w14:paraId="2CF8785C" w14:textId="7EEBCC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F03E1A" w14:paraId="532E3138" w14:textId="51681A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F03E1A" w14:paraId="2E231C58" w14:textId="726078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_Toc159018238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F03E1A" w14:paraId="14031E22" w14:textId="4CCBE4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_Toc159018239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F03E1A" w14:paraId="56A7C0BD" w14:textId="3CBD6AA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_Toc159018240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F03E1A" w14:paraId="7C99E9F3" w14:textId="170A85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F03E1A" w14:paraId="37B10092" w14:textId="21AFA5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_Toc159018242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F03E1A" w14:paraId="1C6FAD18" w14:textId="0B40A66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_Toc159018243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F03E1A" w14:paraId="03503336" w14:textId="074B9D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_Toc159018244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F03E1A" w14:paraId="36C948A7" w14:textId="21CEE1D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_Toc159018245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F03E1A" w14:paraId="62F504B0" w14:textId="42696E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(一)、阴极铜行业企业在确定愿景及使命时的风险识别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_Toc159018246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F03E1A" w14:paraId="6CC1B27F" w14:textId="10B672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(二)、制定阴极铜行业企业战略目标的风险识别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_Toc159018247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F03E1A" w14:paraId="5DE994D1" w14:textId="6FD30C9D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(三)、阴极铜行业企业战略分析的风险识别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_Toc159018248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F03E1A" w14:paraId="64FEF84E" w14:textId="066928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(四)、阴极铜行业企业战略选择的风险识别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_Toc159018249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F03E1A" w14:paraId="2488B522" w14:textId="6AE189F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(五)、阴极铜行业企业战略实施的风险识别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_Toc159018250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F03E1A" w14:paraId="2B99A94D" w14:textId="63F13AD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_Toc159018251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F03E1A" w14:paraId="4100C18B" w14:textId="416947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_Toc159018252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F03E1A" w14:paraId="550DD1C7" w14:textId="0FA09DB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十六、危机管理与应急响应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_Toc159018253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F03E1A" w14:paraId="0E35A8CC" w14:textId="13A8B5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(一)、危机预警与监测机制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_Toc159018254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F03E1A" w14:paraId="3B9943FF" w14:textId="44D9A7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(二)、灾难恢复与业务连续性计划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_Toc159018255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F03E1A" w14:paraId="01D255B9" w14:textId="7C0848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(三)、公关与媒体管理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_Toc159018256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F03E1A" w14:paraId="7D2F43A4" w14:textId="31FEAB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(四)、社会责任危机管理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_Toc159018257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F03E1A" w14:paraId="1942D595" w14:textId="2AEA843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十七、社会责任管理与可持续发展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_Toc159018258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F03E1A" w14:paraId="34086802" w14:textId="1B2386C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(一)、社会责任战略与执行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_Toc159018259 \h </w:instrText>
      </w:r>
      <w:r>
        <w:rPr>
          <w:noProof/>
        </w:rPr>
        <w:fldChar w:fldCharType="separate"/>
      </w:r>
      <w:r>
        <w:rPr>
          <w:noProof/>
        </w:rPr>
        <w:t>67</w:t>
      </w:r>
      <w:r>
        <w:rPr>
          <w:noProof/>
        </w:rPr>
        <w:fldChar w:fldCharType="end"/>
      </w:r>
    </w:p>
    <w:p w:rsidR="00F03E1A" w14:paraId="418AD504" w14:textId="3563995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(二)、环保与可持续经济发展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_Toc159018260 \h </w:instrText>
      </w:r>
      <w:r>
        <w:rPr>
          <w:noProof/>
        </w:rPr>
        <w:fldChar w:fldCharType="separate"/>
      </w:r>
      <w:r>
        <w:rPr>
          <w:noProof/>
        </w:rPr>
        <w:t>68</w:t>
      </w:r>
      <w:r>
        <w:rPr>
          <w:noProof/>
        </w:rPr>
        <w:fldChar w:fldCharType="end"/>
      </w:r>
    </w:p>
    <w:p w:rsidR="00F03E1A" w14:paraId="061ACE74" w14:textId="6CD49F1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(三)、员工权益与劳工标准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_Toc159018261 \h </w:instrText>
      </w:r>
      <w:r>
        <w:rPr>
          <w:noProof/>
        </w:rPr>
        <w:fldChar w:fldCharType="separate"/>
      </w:r>
      <w:r>
        <w:rPr>
          <w:noProof/>
        </w:rPr>
        <w:t>70</w:t>
      </w:r>
      <w:r>
        <w:rPr>
          <w:noProof/>
        </w:rPr>
        <w:fldChar w:fldCharType="end"/>
      </w:r>
    </w:p>
    <w:p w:rsidR="00F03E1A" w14:paraId="4D6EDD01" w14:textId="7FC891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(四)、社会参与与公益事业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_Toc159018262 \h </w:instrText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:rsidR="00F03E1A" w14:paraId="3121574A" w14:textId="1C076D1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_Toc159018263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F03E1A" w14:paraId="671E893F" w14:textId="07EAB6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_Toc159018264 \h </w:instrText>
      </w:r>
      <w:r>
        <w:rPr>
          <w:noProof/>
        </w:rPr>
        <w:fldChar w:fldCharType="separate"/>
      </w:r>
      <w:r>
        <w:rPr>
          <w:noProof/>
        </w:rPr>
        <w:t>73</w:t>
      </w:r>
      <w:r>
        <w:rPr>
          <w:noProof/>
        </w:rPr>
        <w:fldChar w:fldCharType="end"/>
      </w:r>
    </w:p>
    <w:p w:rsidR="00F03E1A" w:rsidP="00F03E1A" w14:paraId="5C361064" w14:textId="19842E26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https://d.book118.com/175123314024011123</w:t>
        </w:r>
      </w:hyperlink>
    </w:p>
    <w:p w:rsidR="00F03E1A" w:rsidP="00F03E1A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paraId="2EAFE51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03E1A" w14:paraId="277DC1A2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03E1A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textId="3CBD5D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F03E1A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03E1A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textId="3CBD5D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F03E1A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paraId="2CF40336" w14:textId="3CBD5D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03E1A" w14:paraId="51C5EA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paraId="032D73E4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03E1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textId="3CBD5D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03E1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03E1A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P="003A2FC0" w14:textId="3CBD5D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03E1A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paraId="5EBFE5AF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RPr="00F03E1A" w:rsidP="00F03E1A" w14:textId="01C392F3">
    <w:pPr>
      <w:pStyle w:val="Header"/>
      <w:rPr>
        <w:rFonts w:ascii="仿宋" w:eastAsia="仿宋" w:hAnsi="仿宋"/>
      </w:rPr>
    </w:pPr>
    <w:r w:rsidRPr="00F03E1A">
      <w:rPr>
        <w:rFonts w:ascii="仿宋" w:eastAsia="仿宋" w:hAnsi="仿宋" w:hint="eastAsia"/>
      </w:rPr>
      <w:t>阴极铜企业风险管理与内控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RPr="00F03E1A" w:rsidP="00F03E1A" w14:textId="01C392F3">
    <w:pPr>
      <w:pStyle w:val="Header"/>
      <w:rPr>
        <w:rFonts w:ascii="仿宋" w:eastAsia="仿宋" w:hAnsi="仿宋"/>
      </w:rPr>
    </w:pPr>
    <w:r w:rsidRPr="00F03E1A">
      <w:rPr>
        <w:rFonts w:ascii="仿宋" w:eastAsia="仿宋" w:hAnsi="仿宋" w:hint="eastAsia"/>
      </w:rPr>
      <w:t>阴极铜企业风险管理与内控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RPr="00F03E1A" w:rsidP="00F03E1A" w14:paraId="33210E0F" w14:textId="01C392F3">
    <w:pPr>
      <w:pStyle w:val="Header"/>
      <w:rPr>
        <w:rFonts w:ascii="仿宋" w:eastAsia="仿宋" w:hAnsi="仿宋"/>
      </w:rPr>
    </w:pPr>
    <w:r w:rsidRPr="00F03E1A">
      <w:rPr>
        <w:rFonts w:ascii="仿宋" w:eastAsia="仿宋" w:hAnsi="仿宋" w:hint="eastAsia"/>
      </w:rPr>
      <w:t>阴极铜企业风险管理与内控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paraId="1C4A38D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RPr="00F03E1A" w:rsidP="00F03E1A" w14:textId="01C392F3">
    <w:pPr>
      <w:pStyle w:val="Header"/>
      <w:rPr>
        <w:rFonts w:ascii="仿宋" w:eastAsia="仿宋" w:hAnsi="仿宋"/>
      </w:rPr>
    </w:pPr>
    <w:r w:rsidRPr="00F03E1A">
      <w:rPr>
        <w:rFonts w:ascii="仿宋" w:eastAsia="仿宋" w:hAnsi="仿宋" w:hint="eastAsia"/>
      </w:rPr>
      <w:t>阴极铜企业风险管理与内控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:rsidRPr="00F03E1A" w:rsidP="00F03E1A" w14:textId="01C392F3">
    <w:pPr>
      <w:pStyle w:val="Header"/>
      <w:rPr>
        <w:rFonts w:ascii="仿宋" w:eastAsia="仿宋" w:hAnsi="仿宋"/>
      </w:rPr>
    </w:pPr>
    <w:r w:rsidRPr="00F03E1A">
      <w:rPr>
        <w:rFonts w:ascii="仿宋" w:eastAsia="仿宋" w:hAnsi="仿宋" w:hint="eastAsia"/>
      </w:rPr>
      <w:t>阴极铜企业风险管理与内控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3E1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1A"/>
    <w:rsid w:val="003A2FC0"/>
    <w:rsid w:val="00F03E1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C8DC91"/>
  <w15:chartTrackingRefBased/>
  <w15:docId w15:val="{E62FA74A-15AE-46C5-9403-E6A44EBA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03E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03E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03E1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03E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03E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03E1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03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03E1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03E1A"/>
  </w:style>
  <w:style w:type="paragraph" w:styleId="TOC1">
    <w:name w:val="toc 1"/>
    <w:basedOn w:val="Normal"/>
    <w:next w:val="Normal"/>
    <w:autoRedefine/>
    <w:uiPriority w:val="39"/>
    <w:unhideWhenUsed/>
    <w:rsid w:val="00F03E1A"/>
  </w:style>
  <w:style w:type="paragraph" w:styleId="TOC2">
    <w:name w:val="toc 2"/>
    <w:basedOn w:val="Normal"/>
    <w:next w:val="Normal"/>
    <w:autoRedefine/>
    <w:uiPriority w:val="39"/>
    <w:unhideWhenUsed/>
    <w:rsid w:val="00F03E1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175123314024011123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5940</Words>
  <Characters>33864</Characters>
  <Application>Microsoft Office Word</Application>
  <DocSecurity>0</DocSecurity>
  <Lines>282</Lines>
  <Paragraphs>79</Paragraphs>
  <ScaleCrop>false</ScaleCrop>
  <Company/>
  <LinksUpToDate>false</LinksUpToDate>
  <CharactersWithSpaces>39725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2024-02-16T15:22:00Z</dcterms:created>
  <dcterms:modified xsi:type="dcterms:W3CDTF">2024-02-16T15:22:00Z</dcterms:modified>
</cp:coreProperties>
</file>