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5"/>
          <w:footerReference w:type="default" r:id="rId6"/>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红参提取物相关项目可行性研究报告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1" w:history="1">
        <w:r>
          <w:rPr>
            <w:rFonts w:ascii="仿宋" w:eastAsia="仿宋" w:hAnsi="仿宋" w:cs="仿宋" w:hint="eastAsia"/>
            <w:lang w:eastAsia="zh-CN"/>
          </w:rPr>
          <w:t>绪论</w:t>
        </w:r>
        <w:r>
          <w:tab/>
        </w:r>
        <w:r>
          <w:fldChar w:fldCharType="begin"/>
        </w:r>
        <w:r>
          <w:instrText xml:space="preserve"> PAGEREF _Toc371 \h </w:instrText>
        </w:r>
        <w:r>
          <w:fldChar w:fldCharType="separate"/>
        </w:r>
        <w:r>
          <w:t>3</w:t>
        </w:r>
        <w:r>
          <w:fldChar w:fldCharType="end"/>
        </w:r>
      </w:hyperlink>
    </w:p>
    <w:p>
      <w:pPr>
        <w:pStyle w:val="TOC1"/>
        <w:tabs>
          <w:tab w:val="right" w:leader="dot" w:pos="8306"/>
        </w:tabs>
      </w:pPr>
      <w:hyperlink w:anchor="_Toc22713" w:history="1">
        <w:r>
          <w:rPr>
            <w:rFonts w:ascii="仿宋" w:eastAsia="仿宋" w:hAnsi="仿宋" w:cs="仿宋" w:hint="eastAsia"/>
            <w:lang w:eastAsia="zh-CN"/>
          </w:rPr>
          <w:t>一、品牌建设和管理</w:t>
        </w:r>
        <w:r>
          <w:tab/>
        </w:r>
        <w:r>
          <w:fldChar w:fldCharType="begin"/>
        </w:r>
        <w:r>
          <w:instrText xml:space="preserve"> PAGEREF _Toc22713 \h </w:instrText>
        </w:r>
        <w:r>
          <w:fldChar w:fldCharType="separate"/>
        </w:r>
        <w:r>
          <w:t>3</w:t>
        </w:r>
        <w:r>
          <w:fldChar w:fldCharType="end"/>
        </w:r>
      </w:hyperlink>
    </w:p>
    <w:p>
      <w:pPr>
        <w:pStyle w:val="TOC2"/>
        <w:tabs>
          <w:tab w:val="right" w:leader="dot" w:pos="8306"/>
        </w:tabs>
      </w:pPr>
      <w:hyperlink w:anchor="_Toc8375" w:history="1">
        <w:r>
          <w:rPr>
            <w:rFonts w:ascii="仿宋" w:eastAsia="仿宋" w:hAnsi="仿宋" w:cs="仿宋" w:hint="eastAsia"/>
            <w:lang w:eastAsia="zh-CN"/>
          </w:rPr>
          <w:t>(一)、红参提取物项目品牌定位和形象设计</w:t>
        </w:r>
        <w:r>
          <w:tab/>
        </w:r>
        <w:r>
          <w:fldChar w:fldCharType="begin"/>
        </w:r>
        <w:r>
          <w:instrText xml:space="preserve"> PAGEREF _Toc8375 \h </w:instrText>
        </w:r>
        <w:r>
          <w:fldChar w:fldCharType="separate"/>
        </w:r>
        <w:r>
          <w:t>3</w:t>
        </w:r>
        <w:r>
          <w:fldChar w:fldCharType="end"/>
        </w:r>
      </w:hyperlink>
    </w:p>
    <w:p>
      <w:pPr>
        <w:pStyle w:val="TOC2"/>
        <w:tabs>
          <w:tab w:val="right" w:leader="dot" w:pos="8306"/>
        </w:tabs>
      </w:pPr>
      <w:hyperlink w:anchor="_Toc32063" w:history="1">
        <w:r>
          <w:rPr>
            <w:rFonts w:ascii="仿宋" w:eastAsia="仿宋" w:hAnsi="仿宋" w:cs="仿宋" w:hint="eastAsia"/>
            <w:lang w:eastAsia="zh-CN"/>
          </w:rPr>
          <w:t>(二)、品牌传播和推广策略</w:t>
        </w:r>
        <w:r>
          <w:tab/>
        </w:r>
        <w:r>
          <w:fldChar w:fldCharType="begin"/>
        </w:r>
        <w:r>
          <w:instrText xml:space="preserve"> PAGEREF _Toc32063 \h </w:instrText>
        </w:r>
        <w:r>
          <w:fldChar w:fldCharType="separate"/>
        </w:r>
        <w:r>
          <w:t>4</w:t>
        </w:r>
        <w:r>
          <w:fldChar w:fldCharType="end"/>
        </w:r>
      </w:hyperlink>
    </w:p>
    <w:p>
      <w:pPr>
        <w:pStyle w:val="TOC2"/>
        <w:tabs>
          <w:tab w:val="right" w:leader="dot" w:pos="8306"/>
        </w:tabs>
      </w:pPr>
      <w:hyperlink w:anchor="_Toc12365" w:history="1">
        <w:r>
          <w:rPr>
            <w:rFonts w:ascii="仿宋" w:eastAsia="仿宋" w:hAnsi="仿宋" w:cs="仿宋" w:hint="eastAsia"/>
            <w:lang w:eastAsia="zh-CN"/>
          </w:rPr>
          <w:t>(三)、品牌保护和危机管理</w:t>
        </w:r>
        <w:r>
          <w:tab/>
        </w:r>
        <w:r>
          <w:fldChar w:fldCharType="begin"/>
        </w:r>
        <w:r>
          <w:instrText xml:space="preserve"> PAGEREF _Toc12365 \h </w:instrText>
        </w:r>
        <w:r>
          <w:fldChar w:fldCharType="separate"/>
        </w:r>
        <w:r>
          <w:t>4</w:t>
        </w:r>
        <w:r>
          <w:fldChar w:fldCharType="end"/>
        </w:r>
      </w:hyperlink>
    </w:p>
    <w:p>
      <w:pPr>
        <w:pStyle w:val="TOC1"/>
        <w:tabs>
          <w:tab w:val="right" w:leader="dot" w:pos="8306"/>
        </w:tabs>
      </w:pPr>
      <w:hyperlink w:anchor="_Toc19107" w:history="1">
        <w:r>
          <w:rPr>
            <w:rFonts w:ascii="仿宋" w:eastAsia="仿宋" w:hAnsi="仿宋" w:cs="仿宋" w:hint="eastAsia"/>
            <w:lang w:eastAsia="zh-CN"/>
          </w:rPr>
          <w:t>二、红参提取物行业社会文化影响评估</w:t>
        </w:r>
        <w:r>
          <w:tab/>
        </w:r>
        <w:r>
          <w:fldChar w:fldCharType="begin"/>
        </w:r>
        <w:r>
          <w:instrText xml:space="preserve"> PAGEREF _Toc19107 \h </w:instrText>
        </w:r>
        <w:r>
          <w:fldChar w:fldCharType="separate"/>
        </w:r>
        <w:r>
          <w:t>5</w:t>
        </w:r>
        <w:r>
          <w:fldChar w:fldCharType="end"/>
        </w:r>
      </w:hyperlink>
    </w:p>
    <w:p>
      <w:pPr>
        <w:pStyle w:val="TOC2"/>
        <w:tabs>
          <w:tab w:val="right" w:leader="dot" w:pos="8306"/>
        </w:tabs>
      </w:pPr>
      <w:hyperlink w:anchor="_Toc30923" w:history="1">
        <w:r>
          <w:rPr>
            <w:rFonts w:ascii="仿宋" w:eastAsia="仿宋" w:hAnsi="仿宋" w:cs="仿宋" w:hint="eastAsia"/>
            <w:lang w:eastAsia="zh-CN"/>
          </w:rPr>
          <w:t>(一)、红参提取物在文化和艺术中的地位</w:t>
        </w:r>
        <w:r>
          <w:tab/>
        </w:r>
        <w:r>
          <w:fldChar w:fldCharType="begin"/>
        </w:r>
        <w:r>
          <w:instrText xml:space="preserve"> PAGEREF _Toc30923 \h </w:instrText>
        </w:r>
        <w:r>
          <w:fldChar w:fldCharType="separate"/>
        </w:r>
        <w:r>
          <w:t>5</w:t>
        </w:r>
        <w:r>
          <w:fldChar w:fldCharType="end"/>
        </w:r>
      </w:hyperlink>
    </w:p>
    <w:p>
      <w:pPr>
        <w:pStyle w:val="TOC2"/>
        <w:tabs>
          <w:tab w:val="right" w:leader="dot" w:pos="8306"/>
        </w:tabs>
      </w:pPr>
      <w:hyperlink w:anchor="_Toc28615" w:history="1">
        <w:r>
          <w:rPr>
            <w:rFonts w:ascii="仿宋" w:eastAsia="仿宋" w:hAnsi="仿宋" w:cs="仿宋" w:hint="eastAsia"/>
            <w:lang w:eastAsia="zh-CN"/>
          </w:rPr>
          <w:t>(二)、文化趋势对红参提取物需求的影响</w:t>
        </w:r>
        <w:r>
          <w:tab/>
        </w:r>
        <w:r>
          <w:fldChar w:fldCharType="begin"/>
        </w:r>
        <w:r>
          <w:instrText xml:space="preserve"> PAGEREF _Toc28615 \h </w:instrText>
        </w:r>
        <w:r>
          <w:fldChar w:fldCharType="separate"/>
        </w:r>
        <w:r>
          <w:t>6</w:t>
        </w:r>
        <w:r>
          <w:fldChar w:fldCharType="end"/>
        </w:r>
      </w:hyperlink>
    </w:p>
    <w:p>
      <w:pPr>
        <w:pStyle w:val="TOC2"/>
        <w:tabs>
          <w:tab w:val="right" w:leader="dot" w:pos="8306"/>
        </w:tabs>
      </w:pPr>
      <w:hyperlink w:anchor="_Toc23464" w:history="1">
        <w:r>
          <w:rPr>
            <w:rFonts w:ascii="仿宋" w:eastAsia="仿宋" w:hAnsi="仿宋" w:cs="仿宋" w:hint="eastAsia"/>
            <w:lang w:eastAsia="zh-CN"/>
          </w:rPr>
          <w:t>(三)、社会文化因素的可行性分析</w:t>
        </w:r>
        <w:r>
          <w:tab/>
        </w:r>
        <w:r>
          <w:fldChar w:fldCharType="begin"/>
        </w:r>
        <w:r>
          <w:instrText xml:space="preserve"> PAGEREF _Toc23464 \h </w:instrText>
        </w:r>
        <w:r>
          <w:fldChar w:fldCharType="separate"/>
        </w:r>
        <w:r>
          <w:t>7</w:t>
        </w:r>
        <w:r>
          <w:fldChar w:fldCharType="end"/>
        </w:r>
      </w:hyperlink>
    </w:p>
    <w:p>
      <w:pPr>
        <w:pStyle w:val="TOC1"/>
        <w:tabs>
          <w:tab w:val="right" w:leader="dot" w:pos="8306"/>
        </w:tabs>
      </w:pPr>
      <w:hyperlink w:anchor="_Toc26101" w:history="1">
        <w:r>
          <w:rPr>
            <w:rFonts w:ascii="仿宋" w:eastAsia="仿宋" w:hAnsi="仿宋" w:cs="仿宋" w:hint="eastAsia"/>
            <w:lang w:eastAsia="zh-CN"/>
          </w:rPr>
          <w:t>三、红参提取物项目概论</w:t>
        </w:r>
        <w:r>
          <w:tab/>
        </w:r>
        <w:r>
          <w:fldChar w:fldCharType="begin"/>
        </w:r>
        <w:r>
          <w:instrText xml:space="preserve"> PAGEREF _Toc26101 \h </w:instrText>
        </w:r>
        <w:r>
          <w:fldChar w:fldCharType="separate"/>
        </w:r>
        <w:r>
          <w:t>8</w:t>
        </w:r>
        <w:r>
          <w:fldChar w:fldCharType="end"/>
        </w:r>
      </w:hyperlink>
    </w:p>
    <w:p>
      <w:pPr>
        <w:pStyle w:val="TOC2"/>
        <w:tabs>
          <w:tab w:val="right" w:leader="dot" w:pos="8306"/>
        </w:tabs>
      </w:pPr>
      <w:hyperlink w:anchor="_Toc23535" w:history="1">
        <w:r>
          <w:rPr>
            <w:rFonts w:ascii="仿宋" w:eastAsia="仿宋" w:hAnsi="仿宋" w:cs="仿宋" w:hint="eastAsia"/>
            <w:lang w:eastAsia="zh-CN"/>
          </w:rPr>
          <w:t>(一)、红参提取物项目名称及承办单位</w:t>
        </w:r>
        <w:r>
          <w:tab/>
        </w:r>
        <w:r>
          <w:fldChar w:fldCharType="begin"/>
        </w:r>
        <w:r>
          <w:instrText xml:space="preserve"> PAGEREF _Toc23535 \h </w:instrText>
        </w:r>
        <w:r>
          <w:fldChar w:fldCharType="separate"/>
        </w:r>
        <w:r>
          <w:t>8</w:t>
        </w:r>
        <w:r>
          <w:fldChar w:fldCharType="end"/>
        </w:r>
      </w:hyperlink>
    </w:p>
    <w:p>
      <w:pPr>
        <w:pStyle w:val="TOC2"/>
        <w:tabs>
          <w:tab w:val="right" w:leader="dot" w:pos="8306"/>
        </w:tabs>
      </w:pPr>
      <w:hyperlink w:anchor="_Toc32593" w:history="1">
        <w:r>
          <w:rPr>
            <w:rFonts w:ascii="仿宋" w:eastAsia="仿宋" w:hAnsi="仿宋" w:cs="仿宋" w:hint="eastAsia"/>
            <w:lang w:eastAsia="zh-CN"/>
          </w:rPr>
          <w:t>(二)、红参提取物项目拟建地址</w:t>
        </w:r>
        <w:r>
          <w:tab/>
        </w:r>
        <w:r>
          <w:fldChar w:fldCharType="begin"/>
        </w:r>
        <w:r>
          <w:instrText xml:space="preserve"> PAGEREF _Toc32593 \h </w:instrText>
        </w:r>
        <w:r>
          <w:fldChar w:fldCharType="separate"/>
        </w:r>
        <w:r>
          <w:t>8</w:t>
        </w:r>
        <w:r>
          <w:fldChar w:fldCharType="end"/>
        </w:r>
      </w:hyperlink>
    </w:p>
    <w:p>
      <w:pPr>
        <w:pStyle w:val="TOC2"/>
        <w:tabs>
          <w:tab w:val="right" w:leader="dot" w:pos="8306"/>
        </w:tabs>
      </w:pPr>
      <w:hyperlink w:anchor="_Toc31084" w:history="1">
        <w:r>
          <w:rPr>
            <w:rFonts w:ascii="仿宋" w:eastAsia="仿宋" w:hAnsi="仿宋" w:cs="仿宋" w:hint="eastAsia"/>
            <w:lang w:eastAsia="zh-CN"/>
          </w:rPr>
          <w:t>(三)、红参提取物项目提出的背景</w:t>
        </w:r>
        <w:r>
          <w:tab/>
        </w:r>
        <w:r>
          <w:fldChar w:fldCharType="begin"/>
        </w:r>
        <w:r>
          <w:instrText xml:space="preserve"> PAGEREF _Toc31084 \h </w:instrText>
        </w:r>
        <w:r>
          <w:fldChar w:fldCharType="separate"/>
        </w:r>
        <w:r>
          <w:t>10</w:t>
        </w:r>
        <w:r>
          <w:fldChar w:fldCharType="end"/>
        </w:r>
      </w:hyperlink>
    </w:p>
    <w:p>
      <w:pPr>
        <w:pStyle w:val="TOC2"/>
        <w:tabs>
          <w:tab w:val="right" w:leader="dot" w:pos="8306"/>
        </w:tabs>
      </w:pPr>
      <w:hyperlink w:anchor="_Toc16838" w:history="1">
        <w:r>
          <w:rPr>
            <w:rFonts w:ascii="仿宋" w:eastAsia="仿宋" w:hAnsi="仿宋" w:cs="仿宋" w:hint="eastAsia"/>
            <w:lang w:eastAsia="zh-CN"/>
          </w:rPr>
          <w:t>(四)、报告研究范围</w:t>
        </w:r>
        <w:r>
          <w:tab/>
        </w:r>
        <w:r>
          <w:fldChar w:fldCharType="begin"/>
        </w:r>
        <w:r>
          <w:instrText xml:space="preserve"> PAGEREF _Toc16838 \h </w:instrText>
        </w:r>
        <w:r>
          <w:fldChar w:fldCharType="separate"/>
        </w:r>
        <w:r>
          <w:t>11</w:t>
        </w:r>
        <w:r>
          <w:fldChar w:fldCharType="end"/>
        </w:r>
      </w:hyperlink>
    </w:p>
    <w:p>
      <w:pPr>
        <w:pStyle w:val="TOC2"/>
        <w:tabs>
          <w:tab w:val="right" w:leader="dot" w:pos="8306"/>
        </w:tabs>
      </w:pPr>
      <w:hyperlink w:anchor="_Toc23146" w:history="1">
        <w:r>
          <w:rPr>
            <w:rFonts w:ascii="仿宋" w:eastAsia="仿宋" w:hAnsi="仿宋" w:cs="仿宋" w:hint="eastAsia"/>
            <w:lang w:eastAsia="zh-CN"/>
          </w:rPr>
          <w:t>(五)、红参提取物项目建设必要性分析</w:t>
        </w:r>
        <w:r>
          <w:tab/>
        </w:r>
        <w:r>
          <w:fldChar w:fldCharType="begin"/>
        </w:r>
        <w:r>
          <w:instrText xml:space="preserve"> PAGEREF _Toc23146 \h </w:instrText>
        </w:r>
        <w:r>
          <w:fldChar w:fldCharType="separate"/>
        </w:r>
        <w:r>
          <w:t>11</w:t>
        </w:r>
        <w:r>
          <w:fldChar w:fldCharType="end"/>
        </w:r>
      </w:hyperlink>
    </w:p>
    <w:p>
      <w:pPr>
        <w:pStyle w:val="TOC2"/>
        <w:tabs>
          <w:tab w:val="right" w:leader="dot" w:pos="8306"/>
        </w:tabs>
      </w:pPr>
      <w:hyperlink w:anchor="_Toc14934" w:history="1">
        <w:r>
          <w:rPr>
            <w:rFonts w:ascii="仿宋" w:eastAsia="仿宋" w:hAnsi="仿宋" w:cs="仿宋" w:hint="eastAsia"/>
            <w:lang w:eastAsia="zh-CN"/>
          </w:rPr>
          <w:t>(六)、产品方案</w:t>
        </w:r>
        <w:r>
          <w:tab/>
        </w:r>
        <w:r>
          <w:fldChar w:fldCharType="begin"/>
        </w:r>
        <w:r>
          <w:instrText xml:space="preserve"> PAGEREF _Toc14934 \h </w:instrText>
        </w:r>
        <w:r>
          <w:fldChar w:fldCharType="separate"/>
        </w:r>
        <w:r>
          <w:t>12</w:t>
        </w:r>
        <w:r>
          <w:fldChar w:fldCharType="end"/>
        </w:r>
      </w:hyperlink>
    </w:p>
    <w:p>
      <w:pPr>
        <w:pStyle w:val="TOC2"/>
        <w:tabs>
          <w:tab w:val="right" w:leader="dot" w:pos="8306"/>
        </w:tabs>
      </w:pPr>
      <w:hyperlink w:anchor="_Toc24636" w:history="1">
        <w:r>
          <w:rPr>
            <w:rFonts w:ascii="仿宋" w:eastAsia="仿宋" w:hAnsi="仿宋" w:cs="仿宋" w:hint="eastAsia"/>
            <w:lang w:eastAsia="zh-CN"/>
          </w:rPr>
          <w:t>(七)、红参提取物项目总投资估算</w:t>
        </w:r>
        <w:r>
          <w:tab/>
        </w:r>
        <w:r>
          <w:fldChar w:fldCharType="begin"/>
        </w:r>
        <w:r>
          <w:instrText xml:space="preserve"> PAGEREF _Toc24636 \h </w:instrText>
        </w:r>
        <w:r>
          <w:fldChar w:fldCharType="separate"/>
        </w:r>
        <w:r>
          <w:t>12</w:t>
        </w:r>
        <w:r>
          <w:fldChar w:fldCharType="end"/>
        </w:r>
      </w:hyperlink>
    </w:p>
    <w:p>
      <w:pPr>
        <w:pStyle w:val="TOC2"/>
        <w:tabs>
          <w:tab w:val="right" w:leader="dot" w:pos="8306"/>
        </w:tabs>
      </w:pPr>
      <w:hyperlink w:anchor="_Toc5114" w:history="1">
        <w:r>
          <w:rPr>
            <w:rFonts w:ascii="仿宋" w:eastAsia="仿宋" w:hAnsi="仿宋" w:cs="仿宋" w:hint="eastAsia"/>
            <w:lang w:eastAsia="zh-CN"/>
          </w:rPr>
          <w:t>(八)、红参提取物项目工艺技术装备方案的选择</w:t>
        </w:r>
        <w:r>
          <w:tab/>
        </w:r>
        <w:r>
          <w:fldChar w:fldCharType="begin"/>
        </w:r>
        <w:r>
          <w:instrText xml:space="preserve"> PAGEREF _Toc5114 \h </w:instrText>
        </w:r>
        <w:r>
          <w:fldChar w:fldCharType="separate"/>
        </w:r>
        <w:r>
          <w:t>12</w:t>
        </w:r>
        <w:r>
          <w:fldChar w:fldCharType="end"/>
        </w:r>
      </w:hyperlink>
    </w:p>
    <w:p>
      <w:pPr>
        <w:pStyle w:val="TOC2"/>
        <w:tabs>
          <w:tab w:val="right" w:leader="dot" w:pos="8306"/>
        </w:tabs>
      </w:pPr>
      <w:hyperlink w:anchor="_Toc25890" w:history="1">
        <w:r>
          <w:rPr>
            <w:rFonts w:ascii="仿宋" w:eastAsia="仿宋" w:hAnsi="仿宋" w:cs="仿宋" w:hint="eastAsia"/>
            <w:lang w:eastAsia="zh-CN"/>
          </w:rPr>
          <w:t>(九)、红参提取物项目实施进度建议</w:t>
        </w:r>
        <w:r>
          <w:tab/>
        </w:r>
        <w:r>
          <w:fldChar w:fldCharType="begin"/>
        </w:r>
        <w:r>
          <w:instrText xml:space="preserve"> PAGEREF _Toc25890 \h </w:instrText>
        </w:r>
        <w:r>
          <w:fldChar w:fldCharType="separate"/>
        </w:r>
        <w:r>
          <w:t>13</w:t>
        </w:r>
        <w:r>
          <w:fldChar w:fldCharType="end"/>
        </w:r>
      </w:hyperlink>
    </w:p>
    <w:p>
      <w:pPr>
        <w:pStyle w:val="TOC2"/>
        <w:tabs>
          <w:tab w:val="right" w:leader="dot" w:pos="8306"/>
        </w:tabs>
      </w:pPr>
      <w:hyperlink w:anchor="_Toc22132" w:history="1">
        <w:r>
          <w:rPr>
            <w:rFonts w:ascii="仿宋" w:eastAsia="仿宋" w:hAnsi="仿宋" w:cs="仿宋" w:hint="eastAsia"/>
            <w:lang w:eastAsia="zh-CN"/>
          </w:rPr>
          <w:t>(十)、红参提取物相关研究结论</w:t>
        </w:r>
        <w:r>
          <w:tab/>
        </w:r>
        <w:r>
          <w:fldChar w:fldCharType="begin"/>
        </w:r>
        <w:r>
          <w:instrText xml:space="preserve"> PAGEREF _Toc22132 \h </w:instrText>
        </w:r>
        <w:r>
          <w:fldChar w:fldCharType="separate"/>
        </w:r>
        <w:r>
          <w:t>13</w:t>
        </w:r>
        <w:r>
          <w:fldChar w:fldCharType="end"/>
        </w:r>
      </w:hyperlink>
    </w:p>
    <w:p>
      <w:pPr>
        <w:pStyle w:val="TOC2"/>
        <w:tabs>
          <w:tab w:val="right" w:leader="dot" w:pos="8306"/>
        </w:tabs>
      </w:pPr>
      <w:hyperlink w:anchor="_Toc5709" w:history="1">
        <w:r>
          <w:rPr>
            <w:rFonts w:ascii="仿宋" w:eastAsia="仿宋" w:hAnsi="仿宋" w:cs="仿宋" w:hint="eastAsia"/>
            <w:lang w:eastAsia="zh-CN"/>
          </w:rPr>
          <w:t>(十一)、红参提取物项目规划及市场分析</w:t>
        </w:r>
        <w:r>
          <w:tab/>
        </w:r>
        <w:r>
          <w:fldChar w:fldCharType="begin"/>
        </w:r>
        <w:r>
          <w:instrText xml:space="preserve"> PAGEREF _Toc5709 \h </w:instrText>
        </w:r>
        <w:r>
          <w:fldChar w:fldCharType="separate"/>
        </w:r>
        <w:r>
          <w:t>14</w:t>
        </w:r>
        <w:r>
          <w:fldChar w:fldCharType="end"/>
        </w:r>
      </w:hyperlink>
    </w:p>
    <w:p>
      <w:pPr>
        <w:pStyle w:val="TOC1"/>
        <w:tabs>
          <w:tab w:val="right" w:leader="dot" w:pos="8306"/>
        </w:tabs>
      </w:pPr>
      <w:hyperlink w:anchor="_Toc5315" w:history="1">
        <w:r>
          <w:rPr>
            <w:rFonts w:ascii="仿宋" w:eastAsia="仿宋" w:hAnsi="仿宋" w:cs="仿宋" w:hint="eastAsia"/>
            <w:lang w:eastAsia="zh-CN"/>
          </w:rPr>
          <w:t>四、红参提取物项目综合评价</w:t>
        </w:r>
        <w:r>
          <w:tab/>
        </w:r>
        <w:r>
          <w:fldChar w:fldCharType="begin"/>
        </w:r>
        <w:r>
          <w:instrText xml:space="preserve"> PAGEREF _Toc5315 \h </w:instrText>
        </w:r>
        <w:r>
          <w:fldChar w:fldCharType="separate"/>
        </w:r>
        <w:r>
          <w:t>14</w:t>
        </w:r>
        <w:r>
          <w:fldChar w:fldCharType="end"/>
        </w:r>
      </w:hyperlink>
    </w:p>
    <w:p>
      <w:pPr>
        <w:pStyle w:val="TOC2"/>
        <w:tabs>
          <w:tab w:val="right" w:leader="dot" w:pos="8306"/>
        </w:tabs>
      </w:pPr>
      <w:hyperlink w:anchor="_Toc13072" w:history="1">
        <w:r>
          <w:rPr>
            <w:rFonts w:ascii="仿宋" w:eastAsia="仿宋" w:hAnsi="仿宋" w:cs="仿宋" w:hint="eastAsia"/>
            <w:lang w:eastAsia="zh-CN"/>
          </w:rPr>
          <w:t>(一)、红参提取物项目建设期总体设计</w:t>
        </w:r>
        <w:r>
          <w:tab/>
        </w:r>
        <w:r>
          <w:fldChar w:fldCharType="begin"/>
        </w:r>
        <w:r>
          <w:instrText xml:space="preserve"> PAGEREF _Toc13072 \h </w:instrText>
        </w:r>
        <w:r>
          <w:fldChar w:fldCharType="separate"/>
        </w:r>
        <w:r>
          <w:t>15</w:t>
        </w:r>
        <w:r>
          <w:fldChar w:fldCharType="end"/>
        </w:r>
      </w:hyperlink>
    </w:p>
    <w:p>
      <w:pPr>
        <w:pStyle w:val="TOC2"/>
        <w:tabs>
          <w:tab w:val="right" w:leader="dot" w:pos="8306"/>
        </w:tabs>
      </w:pPr>
      <w:hyperlink w:anchor="_Toc20499" w:history="1">
        <w:r>
          <w:rPr>
            <w:rFonts w:ascii="仿宋" w:eastAsia="仿宋" w:hAnsi="仿宋" w:cs="仿宋" w:hint="eastAsia"/>
            <w:lang w:eastAsia="zh-CN"/>
          </w:rPr>
          <w:t>(二)、红参提取物项目实施保障措施</w:t>
        </w:r>
        <w:r>
          <w:tab/>
        </w:r>
        <w:r>
          <w:fldChar w:fldCharType="begin"/>
        </w:r>
        <w:r>
          <w:instrText xml:space="preserve"> PAGEREF _Toc20499 \h </w:instrText>
        </w:r>
        <w:r>
          <w:fldChar w:fldCharType="separate"/>
        </w:r>
        <w:r>
          <w:t>15</w:t>
        </w:r>
        <w:r>
          <w:fldChar w:fldCharType="end"/>
        </w:r>
      </w:hyperlink>
    </w:p>
    <w:p>
      <w:pPr>
        <w:pStyle w:val="TOC1"/>
        <w:tabs>
          <w:tab w:val="right" w:leader="dot" w:pos="8306"/>
        </w:tabs>
      </w:pPr>
      <w:hyperlink w:anchor="_Toc633" w:history="1">
        <w:r>
          <w:rPr>
            <w:rFonts w:ascii="仿宋" w:eastAsia="仿宋" w:hAnsi="仿宋" w:cs="仿宋" w:hint="eastAsia"/>
            <w:lang w:eastAsia="zh-CN"/>
          </w:rPr>
          <w:t>五、物资采购和管理</w:t>
        </w:r>
        <w:r>
          <w:tab/>
        </w:r>
        <w:r>
          <w:fldChar w:fldCharType="begin"/>
        </w:r>
        <w:r>
          <w:instrText xml:space="preserve"> PAGEREF _Toc633 \h </w:instrText>
        </w:r>
        <w:r>
          <w:fldChar w:fldCharType="separate"/>
        </w:r>
        <w:r>
          <w:t>16</w:t>
        </w:r>
        <w:r>
          <w:fldChar w:fldCharType="end"/>
        </w:r>
      </w:hyperlink>
    </w:p>
    <w:p>
      <w:pPr>
        <w:pStyle w:val="TOC2"/>
        <w:tabs>
          <w:tab w:val="right" w:leader="dot" w:pos="8306"/>
        </w:tabs>
      </w:pPr>
      <w:hyperlink w:anchor="_Toc15206" w:history="1">
        <w:r>
          <w:rPr>
            <w:rFonts w:ascii="仿宋" w:eastAsia="仿宋" w:hAnsi="仿宋" w:cs="仿宋" w:hint="eastAsia"/>
            <w:lang w:eastAsia="zh-CN"/>
          </w:rPr>
          <w:t>(一)、物资采购的程序和标准</w:t>
        </w:r>
        <w:r>
          <w:tab/>
        </w:r>
        <w:r>
          <w:fldChar w:fldCharType="begin"/>
        </w:r>
        <w:r>
          <w:instrText xml:space="preserve"> PAGEREF _Toc15206 \h </w:instrText>
        </w:r>
        <w:r>
          <w:fldChar w:fldCharType="separate"/>
        </w:r>
        <w:r>
          <w:t>16</w:t>
        </w:r>
        <w:r>
          <w:fldChar w:fldCharType="end"/>
        </w:r>
      </w:hyperlink>
    </w:p>
    <w:p>
      <w:pPr>
        <w:pStyle w:val="TOC2"/>
        <w:tabs>
          <w:tab w:val="right" w:leader="dot" w:pos="8306"/>
        </w:tabs>
      </w:pPr>
      <w:hyperlink w:anchor="_Toc6897" w:history="1">
        <w:r>
          <w:rPr>
            <w:rFonts w:ascii="仿宋" w:eastAsia="仿宋" w:hAnsi="仿宋" w:cs="仿宋" w:hint="eastAsia"/>
            <w:lang w:eastAsia="zh-CN"/>
          </w:rPr>
          <w:t>(二)、物资管理的措施和办法</w:t>
        </w:r>
        <w:r>
          <w:tab/>
        </w:r>
        <w:r>
          <w:fldChar w:fldCharType="begin"/>
        </w:r>
        <w:r>
          <w:instrText xml:space="preserve"> PAGEREF _Toc6897 \h </w:instrText>
        </w:r>
        <w:r>
          <w:fldChar w:fldCharType="separate"/>
        </w:r>
        <w:r>
          <w:t>18</w:t>
        </w:r>
        <w:r>
          <w:fldChar w:fldCharType="end"/>
        </w:r>
      </w:hyperlink>
    </w:p>
    <w:p>
      <w:pPr>
        <w:pStyle w:val="TOC2"/>
        <w:tabs>
          <w:tab w:val="right" w:leader="dot" w:pos="8306"/>
        </w:tabs>
      </w:pPr>
      <w:hyperlink w:anchor="_Toc11592" w:history="1">
        <w:r>
          <w:rPr>
            <w:rFonts w:ascii="仿宋" w:eastAsia="仿宋" w:hAnsi="仿宋" w:cs="仿宋" w:hint="eastAsia"/>
            <w:lang w:eastAsia="zh-CN"/>
          </w:rPr>
          <w:t>(三)、物资质量和库存的控制和监督</w:t>
        </w:r>
        <w:r>
          <w:tab/>
        </w:r>
        <w:r>
          <w:fldChar w:fldCharType="begin"/>
        </w:r>
        <w:r>
          <w:instrText xml:space="preserve"> PAGEREF _Toc11592 \h </w:instrText>
        </w:r>
        <w:r>
          <w:fldChar w:fldCharType="separate"/>
        </w:r>
        <w:r>
          <w:t>19</w:t>
        </w:r>
        <w:r>
          <w:fldChar w:fldCharType="end"/>
        </w:r>
      </w:hyperlink>
    </w:p>
    <w:p>
      <w:pPr>
        <w:pStyle w:val="TOC1"/>
        <w:tabs>
          <w:tab w:val="right" w:leader="dot" w:pos="8306"/>
        </w:tabs>
      </w:pPr>
      <w:hyperlink w:anchor="_Toc13199" w:history="1">
        <w:r>
          <w:rPr>
            <w:rFonts w:ascii="仿宋" w:eastAsia="仿宋" w:hAnsi="仿宋" w:cs="仿宋" w:hint="eastAsia"/>
            <w:lang w:eastAsia="zh-CN"/>
          </w:rPr>
          <w:t>六、数字化转型和智能化升级</w:t>
        </w:r>
        <w:r>
          <w:tab/>
        </w:r>
        <w:r>
          <w:fldChar w:fldCharType="begin"/>
        </w:r>
        <w:r>
          <w:instrText xml:space="preserve"> PAGEREF _Toc13199 \h </w:instrText>
        </w:r>
        <w:r>
          <w:fldChar w:fldCharType="separate"/>
        </w:r>
        <w:r>
          <w:t>21</w:t>
        </w:r>
        <w:r>
          <w:fldChar w:fldCharType="end"/>
        </w:r>
      </w:hyperlink>
    </w:p>
    <w:p>
      <w:pPr>
        <w:pStyle w:val="TOC2"/>
        <w:tabs>
          <w:tab w:val="right" w:leader="dot" w:pos="8306"/>
        </w:tabs>
      </w:pPr>
      <w:hyperlink w:anchor="_Toc14403" w:history="1">
        <w:r>
          <w:rPr>
            <w:rFonts w:ascii="仿宋" w:eastAsia="仿宋" w:hAnsi="仿宋" w:cs="仿宋" w:hint="eastAsia"/>
            <w:lang w:eastAsia="zh-CN"/>
          </w:rPr>
          <w:t>(一)、数字化转型和智能化升级的概念和实践</w:t>
        </w:r>
        <w:r>
          <w:tab/>
        </w:r>
        <w:r>
          <w:fldChar w:fldCharType="begin"/>
        </w:r>
        <w:r>
          <w:instrText xml:space="preserve"> PAGEREF _Toc14403 \h </w:instrText>
        </w:r>
        <w:r>
          <w:fldChar w:fldCharType="separate"/>
        </w:r>
        <w:r>
          <w:t>21</w:t>
        </w:r>
        <w:r>
          <w:fldChar w:fldCharType="end"/>
        </w:r>
      </w:hyperlink>
    </w:p>
    <w:p>
      <w:pPr>
        <w:pStyle w:val="TOC2"/>
        <w:tabs>
          <w:tab w:val="right" w:leader="dot" w:pos="8306"/>
        </w:tabs>
      </w:pPr>
      <w:hyperlink w:anchor="_Toc13630" w:history="1">
        <w:r>
          <w:rPr>
            <w:rFonts w:ascii="仿宋" w:eastAsia="仿宋" w:hAnsi="仿宋" w:cs="仿宋" w:hint="eastAsia"/>
            <w:lang w:eastAsia="zh-CN"/>
          </w:rPr>
          <w:t>(二)、数字化和智能化对红参提取物项目发展的影响和前景</w:t>
        </w:r>
        <w:r>
          <w:tab/>
        </w:r>
        <w:r>
          <w:fldChar w:fldCharType="begin"/>
        </w:r>
        <w:r>
          <w:instrText xml:space="preserve"> PAGEREF _Toc13630 \h </w:instrText>
        </w:r>
        <w:r>
          <w:fldChar w:fldCharType="separate"/>
        </w:r>
        <w:r>
          <w:t>22</w:t>
        </w:r>
        <w:r>
          <w:fldChar w:fldCharType="end"/>
        </w:r>
      </w:hyperlink>
    </w:p>
    <w:p>
      <w:pPr>
        <w:pStyle w:val="TOC1"/>
        <w:tabs>
          <w:tab w:val="right" w:leader="dot" w:pos="8306"/>
        </w:tabs>
      </w:pPr>
      <w:hyperlink w:anchor="_Toc26618" w:history="1">
        <w:r>
          <w:rPr>
            <w:rFonts w:ascii="仿宋" w:eastAsia="仿宋" w:hAnsi="仿宋" w:cs="仿宋" w:hint="eastAsia"/>
            <w:lang w:eastAsia="zh-CN"/>
          </w:rPr>
          <w:t>七、工程设计方案</w:t>
        </w:r>
        <w:r>
          <w:tab/>
        </w:r>
        <w:r>
          <w:fldChar w:fldCharType="begin"/>
        </w:r>
        <w:r>
          <w:instrText xml:space="preserve"> PAGEREF _Toc26618 \h </w:instrText>
        </w:r>
        <w:r>
          <w:fldChar w:fldCharType="separate"/>
        </w:r>
        <w:r>
          <w:t>23</w:t>
        </w:r>
        <w:r>
          <w:fldChar w:fldCharType="end"/>
        </w:r>
      </w:hyperlink>
    </w:p>
    <w:p>
      <w:pPr>
        <w:pStyle w:val="TOC2"/>
        <w:tabs>
          <w:tab w:val="right" w:leader="dot" w:pos="8306"/>
        </w:tabs>
      </w:pPr>
      <w:hyperlink w:anchor="_Toc12782" w:history="1">
        <w:r>
          <w:rPr>
            <w:rFonts w:ascii="仿宋" w:eastAsia="仿宋" w:hAnsi="仿宋" w:cs="仿宋" w:hint="eastAsia"/>
            <w:lang w:eastAsia="zh-CN"/>
          </w:rPr>
          <w:t>(一)、总图布置</w:t>
        </w:r>
        <w:r>
          <w:tab/>
        </w:r>
        <w:r>
          <w:fldChar w:fldCharType="begin"/>
        </w:r>
        <w:r>
          <w:instrText xml:space="preserve"> PAGEREF _Toc12782 \h </w:instrText>
        </w:r>
        <w:r>
          <w:fldChar w:fldCharType="separate"/>
        </w:r>
        <w:r>
          <w:t>23</w:t>
        </w:r>
        <w:r>
          <w:fldChar w:fldCharType="end"/>
        </w:r>
      </w:hyperlink>
    </w:p>
    <w:p>
      <w:pPr>
        <w:pStyle w:val="TOC2"/>
        <w:tabs>
          <w:tab w:val="right" w:leader="dot" w:pos="8306"/>
        </w:tabs>
      </w:pPr>
      <w:hyperlink w:anchor="_Toc20496" w:history="1">
        <w:r>
          <w:rPr>
            <w:rFonts w:ascii="仿宋" w:eastAsia="仿宋" w:hAnsi="仿宋" w:cs="仿宋" w:hint="eastAsia"/>
            <w:lang w:eastAsia="zh-CN"/>
          </w:rPr>
          <w:t>(二)、建筑设计</w:t>
        </w:r>
        <w:r>
          <w:tab/>
        </w:r>
        <w:r>
          <w:fldChar w:fldCharType="begin"/>
        </w:r>
        <w:r>
          <w:instrText xml:space="preserve"> PAGEREF _Toc20496 \h </w:instrText>
        </w:r>
        <w:r>
          <w:fldChar w:fldCharType="separate"/>
        </w:r>
        <w:r>
          <w:t>25</w:t>
        </w:r>
        <w:r>
          <w:fldChar w:fldCharType="end"/>
        </w:r>
      </w:hyperlink>
    </w:p>
    <w:p>
      <w:pPr>
        <w:pStyle w:val="TOC2"/>
        <w:tabs>
          <w:tab w:val="right" w:leader="dot" w:pos="8306"/>
        </w:tabs>
      </w:pPr>
      <w:hyperlink w:anchor="_Toc23135" w:history="1">
        <w:r>
          <w:rPr>
            <w:rFonts w:ascii="仿宋" w:eastAsia="仿宋" w:hAnsi="仿宋" w:cs="仿宋" w:hint="eastAsia"/>
            <w:lang w:eastAsia="zh-CN"/>
          </w:rPr>
          <w:t>(三)、结构设计</w:t>
        </w:r>
        <w:r>
          <w:tab/>
        </w:r>
        <w:r>
          <w:fldChar w:fldCharType="begin"/>
        </w:r>
        <w:r>
          <w:instrText xml:space="preserve"> PAGEREF _Toc23135 \h </w:instrText>
        </w:r>
        <w:r>
          <w:fldChar w:fldCharType="separate"/>
        </w:r>
        <w:r>
          <w:t>26</w:t>
        </w:r>
        <w:r>
          <w:fldChar w:fldCharType="end"/>
        </w:r>
      </w:hyperlink>
    </w:p>
    <w:p>
      <w:pPr>
        <w:pStyle w:val="TOC2"/>
        <w:tabs>
          <w:tab w:val="right" w:leader="dot" w:pos="8306"/>
        </w:tabs>
      </w:pPr>
      <w:hyperlink w:anchor="_Toc17219" w:history="1">
        <w:r>
          <w:rPr>
            <w:rFonts w:ascii="仿宋" w:eastAsia="仿宋" w:hAnsi="仿宋" w:cs="仿宋" w:hint="eastAsia"/>
            <w:lang w:eastAsia="zh-CN"/>
          </w:rPr>
          <w:t>(四)、给排水设计</w:t>
        </w:r>
        <w:r>
          <w:tab/>
        </w:r>
        <w:r>
          <w:fldChar w:fldCharType="begin"/>
        </w:r>
        <w:r>
          <w:instrText xml:space="preserve"> PAGEREF _Toc17219 \h </w:instrText>
        </w:r>
        <w:r>
          <w:fldChar w:fldCharType="separate"/>
        </w:r>
        <w:r>
          <w:t>28</w:t>
        </w:r>
        <w:r>
          <w:fldChar w:fldCharType="end"/>
        </w:r>
      </w:hyperlink>
    </w:p>
    <w:p>
      <w:pPr>
        <w:pStyle w:val="TOC2"/>
        <w:tabs>
          <w:tab w:val="right" w:leader="dot" w:pos="8306"/>
        </w:tabs>
      </w:pPr>
      <w:hyperlink w:anchor="_Toc3922" w:history="1">
        <w:r>
          <w:rPr>
            <w:rFonts w:ascii="仿宋" w:eastAsia="仿宋" w:hAnsi="仿宋" w:cs="仿宋" w:hint="eastAsia"/>
            <w:lang w:eastAsia="zh-CN"/>
          </w:rPr>
          <w:t>(五)、电气设计</w:t>
        </w:r>
        <w:r>
          <w:tab/>
        </w:r>
        <w:r>
          <w:fldChar w:fldCharType="begin"/>
        </w:r>
        <w:r>
          <w:instrText xml:space="preserve"> PAGEREF _Toc3922 \h </w:instrText>
        </w:r>
        <w:r>
          <w:fldChar w:fldCharType="separate"/>
        </w:r>
        <w:r>
          <w:t>29</w:t>
        </w:r>
        <w:r>
          <w:fldChar w:fldCharType="end"/>
        </w:r>
      </w:hyperlink>
    </w:p>
    <w:p>
      <w:pPr>
        <w:pStyle w:val="TOC2"/>
        <w:tabs>
          <w:tab w:val="right" w:leader="dot" w:pos="8306"/>
        </w:tabs>
      </w:pPr>
      <w:hyperlink w:anchor="_Toc31845" w:history="1">
        <w:r>
          <w:rPr>
            <w:rFonts w:ascii="仿宋" w:eastAsia="仿宋" w:hAnsi="仿宋" w:cs="仿宋" w:hint="eastAsia"/>
            <w:lang w:eastAsia="zh-CN"/>
          </w:rPr>
          <w:t>(六)、空调通风设计</w:t>
        </w:r>
        <w:r>
          <w:tab/>
        </w:r>
        <w:r>
          <w:fldChar w:fldCharType="begin"/>
        </w:r>
        <w:r>
          <w:instrText xml:space="preserve"> PAGEREF _Toc31845 \h </w:instrText>
        </w:r>
        <w:r>
          <w:fldChar w:fldCharType="separate"/>
        </w:r>
        <w:r>
          <w:t>30</w:t>
        </w:r>
        <w:r>
          <w:fldChar w:fldCharType="end"/>
        </w:r>
      </w:hyperlink>
    </w:p>
    <w:p>
      <w:pPr>
        <w:pStyle w:val="TOC2"/>
        <w:tabs>
          <w:tab w:val="right" w:leader="dot" w:pos="8306"/>
        </w:tabs>
      </w:pPr>
      <w:hyperlink w:anchor="_Toc20764" w:history="1">
        <w:r>
          <w:rPr>
            <w:rFonts w:ascii="仿宋" w:eastAsia="仿宋" w:hAnsi="仿宋" w:cs="仿宋" w:hint="eastAsia"/>
            <w:lang w:eastAsia="zh-CN"/>
          </w:rPr>
          <w:t>(七)、其他专业设计</w:t>
        </w:r>
        <w:r>
          <w:tab/>
        </w:r>
        <w:r>
          <w:fldChar w:fldCharType="begin"/>
        </w:r>
        <w:r>
          <w:instrText xml:space="preserve"> PAGEREF _Toc20764 \h </w:instrText>
        </w:r>
        <w:r>
          <w:fldChar w:fldCharType="separate"/>
        </w:r>
        <w:r>
          <w:t>32</w:t>
        </w:r>
        <w:r>
          <w:fldChar w:fldCharType="end"/>
        </w:r>
      </w:hyperlink>
    </w:p>
    <w:p>
      <w:pPr>
        <w:pStyle w:val="TOC1"/>
        <w:tabs>
          <w:tab w:val="right" w:leader="dot" w:pos="8306"/>
        </w:tabs>
      </w:pPr>
      <w:hyperlink w:anchor="_Toc4120" w:history="1">
        <w:r>
          <w:rPr>
            <w:rFonts w:ascii="仿宋" w:eastAsia="仿宋" w:hAnsi="仿宋" w:cs="仿宋" w:hint="eastAsia"/>
            <w:lang w:eastAsia="zh-CN"/>
          </w:rPr>
          <w:t>八、人力资源管理和开发计划</w:t>
        </w:r>
        <w:r>
          <w:tab/>
        </w:r>
        <w:r>
          <w:fldChar w:fldCharType="begin"/>
        </w:r>
        <w:r>
          <w:instrText xml:space="preserve"> PAGEREF _Toc4120 \h </w:instrText>
        </w:r>
        <w:r>
          <w:fldChar w:fldCharType="separate"/>
        </w:r>
        <w:r>
          <w:t>33</w:t>
        </w:r>
        <w:r>
          <w:fldChar w:fldCharType="end"/>
        </w:r>
      </w:hyperlink>
    </w:p>
    <w:p>
      <w:pPr>
        <w:pStyle w:val="TOC2"/>
        <w:tabs>
          <w:tab w:val="right" w:leader="dot" w:pos="8306"/>
        </w:tabs>
      </w:pPr>
      <w:hyperlink w:anchor="_Toc10477" w:history="1">
        <w:r>
          <w:rPr>
            <w:rFonts w:ascii="仿宋" w:eastAsia="仿宋" w:hAnsi="仿宋" w:cs="仿宋" w:hint="eastAsia"/>
            <w:lang w:eastAsia="zh-CN"/>
          </w:rPr>
          <w:t>(一)、人力资源管理的目标和原则</w:t>
        </w:r>
        <w:r>
          <w:tab/>
        </w:r>
        <w:r>
          <w:fldChar w:fldCharType="begin"/>
        </w:r>
        <w:r>
          <w:instrText xml:space="preserve"> PAGEREF _Toc10477 \h </w:instrText>
        </w:r>
        <w:r>
          <w:fldChar w:fldCharType="separate"/>
        </w:r>
        <w:r>
          <w:t>33</w:t>
        </w:r>
        <w:r>
          <w:fldChar w:fldCharType="end"/>
        </w:r>
      </w:hyperlink>
    </w:p>
    <w:p>
      <w:pPr>
        <w:pStyle w:val="TOC2"/>
        <w:tabs>
          <w:tab w:val="right" w:leader="dot" w:pos="8306"/>
        </w:tabs>
        <w:sectPr>
          <w:headerReference w:type="default" r:id="rId7"/>
          <w:footerReference w:type="default" r:id="rId8"/>
          <w:type w:val="nextPage"/>
          <w:pgSz w:w="11906" w:h="16838"/>
          <w:pgMar w:top="1440" w:right="1800" w:bottom="1440" w:left="1800" w:header="851" w:footer="992" w:gutter="0"/>
          <w:pgNumType w:start="2"/>
          <w:cols w:num="1" w:space="425"/>
          <w:titlePg w:val="0"/>
          <w:docGrid w:type="lines" w:linePitch="312" w:charSpace="0"/>
        </w:sectPr>
      </w:pPr>
      <w:hyperlink w:anchor="_Toc30077" w:history="1">
        <w:r>
          <w:rPr>
            <w:rFonts w:ascii="仿宋" w:eastAsia="仿宋" w:hAnsi="仿宋" w:cs="仿宋" w:hint="eastAsia"/>
            <w:lang w:eastAsia="zh-CN"/>
          </w:rPr>
          <w:t>(二)、人力资源开发的方案和实施</w:t>
        </w:r>
        <w:r>
          <w:tab/>
        </w:r>
        <w:r>
          <w:fldChar w:fldCharType="begin"/>
        </w:r>
        <w:r>
          <w:instrText xml:space="preserve"> PAGEREF _Toc30077 \h </w:instrText>
        </w:r>
        <w:r>
          <w:fldChar w:fldCharType="separate"/>
        </w:r>
        <w:r>
          <w:t>35</w:t>
        </w:r>
        <w:r>
          <w:fldChar w:fldCharType="end"/>
        </w:r>
      </w:hyperlink>
    </w:p>
    <w:p>
      <w:pPr>
        <w:pStyle w:val="TOC2"/>
        <w:tabs>
          <w:tab w:val="right" w:leader="dot" w:pos="8306"/>
        </w:tabs>
      </w:pPr>
      <w:hyperlink w:anchor="_Toc16724" w:history="1">
        <w:r>
          <w:rPr>
            <w:rFonts w:ascii="仿宋" w:eastAsia="仿宋" w:hAnsi="仿宋" w:cs="仿宋" w:hint="eastAsia"/>
            <w:lang w:eastAsia="zh-CN"/>
          </w:rPr>
          <w:t>(三)、人力资源考核和激励机制的建立</w:t>
        </w:r>
        <w:r>
          <w:tab/>
        </w:r>
        <w:r>
          <w:fldChar w:fldCharType="begin"/>
        </w:r>
        <w:r>
          <w:instrText xml:space="preserve"> PAGEREF _Toc16724 \h </w:instrText>
        </w:r>
        <w:r>
          <w:fldChar w:fldCharType="separate"/>
        </w:r>
        <w:r>
          <w:t>37</w:t>
        </w:r>
        <w:r>
          <w:fldChar w:fldCharType="end"/>
        </w:r>
      </w:hyperlink>
    </w:p>
    <w:p>
      <w:pPr>
        <w:pStyle w:val="TOC1"/>
        <w:tabs>
          <w:tab w:val="right" w:leader="dot" w:pos="8306"/>
        </w:tabs>
      </w:pPr>
      <w:hyperlink w:anchor="_Toc9517" w:history="1">
        <w:r>
          <w:rPr>
            <w:rFonts w:ascii="仿宋" w:eastAsia="仿宋" w:hAnsi="仿宋" w:cs="仿宋" w:hint="eastAsia"/>
            <w:lang w:eastAsia="zh-CN"/>
          </w:rPr>
          <w:t>九、跨行业合作与创新</w:t>
        </w:r>
        <w:r>
          <w:tab/>
        </w:r>
        <w:r>
          <w:fldChar w:fldCharType="begin"/>
        </w:r>
        <w:r>
          <w:instrText xml:space="preserve"> PAGEREF _Toc9517 \h </w:instrText>
        </w:r>
        <w:r>
          <w:fldChar w:fldCharType="separate"/>
        </w:r>
        <w:r>
          <w:t>38</w:t>
        </w:r>
        <w:r>
          <w:fldChar w:fldCharType="end"/>
        </w:r>
      </w:hyperlink>
    </w:p>
    <w:p>
      <w:pPr>
        <w:pStyle w:val="TOC2"/>
        <w:tabs>
          <w:tab w:val="right" w:leader="dot" w:pos="8306"/>
        </w:tabs>
      </w:pPr>
      <w:hyperlink w:anchor="_Toc20410" w:history="1">
        <w:r>
          <w:rPr>
            <w:rFonts w:ascii="仿宋" w:eastAsia="仿宋" w:hAnsi="仿宋" w:cs="仿宋" w:hint="eastAsia"/>
            <w:lang w:eastAsia="zh-CN"/>
          </w:rPr>
          <w:t>(一)、与其他行业合作的潜力</w:t>
        </w:r>
        <w:r>
          <w:tab/>
        </w:r>
        <w:r>
          <w:fldChar w:fldCharType="begin"/>
        </w:r>
        <w:r>
          <w:instrText xml:space="preserve"> PAGEREF _Toc20410 \h </w:instrText>
        </w:r>
        <w:r>
          <w:fldChar w:fldCharType="separate"/>
        </w:r>
        <w:r>
          <w:t>38</w:t>
        </w:r>
        <w:r>
          <w:fldChar w:fldCharType="end"/>
        </w:r>
      </w:hyperlink>
    </w:p>
    <w:p>
      <w:pPr>
        <w:pStyle w:val="TOC2"/>
        <w:tabs>
          <w:tab w:val="right" w:leader="dot" w:pos="8306"/>
        </w:tabs>
      </w:pPr>
      <w:hyperlink w:anchor="_Toc2363" w:history="1">
        <w:r>
          <w:rPr>
            <w:rFonts w:ascii="仿宋" w:eastAsia="仿宋" w:hAnsi="仿宋" w:cs="仿宋" w:hint="eastAsia"/>
            <w:lang w:eastAsia="zh-CN"/>
          </w:rPr>
          <w:t>(二)、交叉行业创新和合作策略</w:t>
        </w:r>
        <w:r>
          <w:tab/>
        </w:r>
        <w:r>
          <w:fldChar w:fldCharType="begin"/>
        </w:r>
        <w:r>
          <w:instrText xml:space="preserve"> PAGEREF _Toc2363 \h </w:instrText>
        </w:r>
        <w:r>
          <w:fldChar w:fldCharType="separate"/>
        </w:r>
        <w:r>
          <w:t>40</w:t>
        </w:r>
        <w:r>
          <w:fldChar w:fldCharType="end"/>
        </w:r>
      </w:hyperlink>
    </w:p>
    <w:p>
      <w:pPr>
        <w:pStyle w:val="TOC2"/>
        <w:tabs>
          <w:tab w:val="right" w:leader="dot" w:pos="8306"/>
        </w:tabs>
      </w:pPr>
      <w:hyperlink w:anchor="_Toc16113" w:history="1">
        <w:r>
          <w:rPr>
            <w:rFonts w:ascii="仿宋" w:eastAsia="仿宋" w:hAnsi="仿宋" w:cs="仿宋" w:hint="eastAsia"/>
            <w:lang w:eastAsia="zh-CN"/>
          </w:rPr>
          <w:t>(三)、产业生态系统的参与和合作机会</w:t>
        </w:r>
        <w:r>
          <w:tab/>
        </w:r>
        <w:r>
          <w:fldChar w:fldCharType="begin"/>
        </w:r>
        <w:r>
          <w:instrText xml:space="preserve"> PAGEREF _Toc16113 \h </w:instrText>
        </w:r>
        <w:r>
          <w:fldChar w:fldCharType="separate"/>
        </w:r>
        <w:r>
          <w:t>41</w:t>
        </w:r>
        <w:r>
          <w:fldChar w:fldCharType="end"/>
        </w:r>
      </w:hyperlink>
    </w:p>
    <w:p>
      <w:pPr>
        <w:pStyle w:val="TOC1"/>
        <w:tabs>
          <w:tab w:val="right" w:leader="dot" w:pos="8306"/>
        </w:tabs>
      </w:pPr>
      <w:hyperlink w:anchor="_Toc3603" w:history="1">
        <w:r>
          <w:rPr>
            <w:rFonts w:ascii="仿宋" w:eastAsia="仿宋" w:hAnsi="仿宋" w:cs="仿宋" w:hint="eastAsia"/>
            <w:lang w:eastAsia="zh-CN"/>
          </w:rPr>
          <w:t>十、红参提取物项目管理和协调机制</w:t>
        </w:r>
        <w:r>
          <w:tab/>
        </w:r>
        <w:r>
          <w:fldChar w:fldCharType="begin"/>
        </w:r>
        <w:r>
          <w:instrText xml:space="preserve"> PAGEREF _Toc3603 \h </w:instrText>
        </w:r>
        <w:r>
          <w:fldChar w:fldCharType="separate"/>
        </w:r>
        <w:r>
          <w:t>42</w:t>
        </w:r>
        <w:r>
          <w:fldChar w:fldCharType="end"/>
        </w:r>
      </w:hyperlink>
    </w:p>
    <w:p>
      <w:pPr>
        <w:pStyle w:val="TOC2"/>
        <w:tabs>
          <w:tab w:val="right" w:leader="dot" w:pos="8306"/>
        </w:tabs>
      </w:pPr>
      <w:hyperlink w:anchor="_Toc19214" w:history="1">
        <w:r>
          <w:rPr>
            <w:rFonts w:ascii="仿宋" w:eastAsia="仿宋" w:hAnsi="仿宋" w:cs="仿宋" w:hint="eastAsia"/>
            <w:lang w:eastAsia="zh-CN"/>
          </w:rPr>
          <w:t>(一)、红参提取物项目管理和协调的方法和工具</w:t>
        </w:r>
        <w:r>
          <w:tab/>
        </w:r>
        <w:r>
          <w:fldChar w:fldCharType="begin"/>
        </w:r>
        <w:r>
          <w:instrText xml:space="preserve"> PAGEREF _Toc19214 \h </w:instrText>
        </w:r>
        <w:r>
          <w:fldChar w:fldCharType="separate"/>
        </w:r>
        <w:r>
          <w:t>42</w:t>
        </w:r>
        <w:r>
          <w:fldChar w:fldCharType="end"/>
        </w:r>
      </w:hyperlink>
    </w:p>
    <w:p>
      <w:pPr>
        <w:pStyle w:val="TOC2"/>
        <w:tabs>
          <w:tab w:val="right" w:leader="dot" w:pos="8306"/>
        </w:tabs>
      </w:pPr>
      <w:hyperlink w:anchor="_Toc25451" w:history="1">
        <w:r>
          <w:rPr>
            <w:rFonts w:ascii="仿宋" w:eastAsia="仿宋" w:hAnsi="仿宋" w:cs="仿宋" w:hint="eastAsia"/>
            <w:lang w:eastAsia="zh-CN"/>
          </w:rPr>
          <w:t>(二)、红参提取物项目团队成员之间的协调和沟通</w:t>
        </w:r>
        <w:r>
          <w:tab/>
        </w:r>
        <w:r>
          <w:fldChar w:fldCharType="begin"/>
        </w:r>
        <w:r>
          <w:instrText xml:space="preserve"> PAGEREF _Toc25451 \h </w:instrText>
        </w:r>
        <w:r>
          <w:fldChar w:fldCharType="separate"/>
        </w:r>
        <w:r>
          <w:t>43</w:t>
        </w:r>
        <w:r>
          <w:fldChar w:fldCharType="end"/>
        </w:r>
      </w:hyperlink>
    </w:p>
    <w:p>
      <w:pPr>
        <w:pStyle w:val="TOC2"/>
        <w:tabs>
          <w:tab w:val="right" w:leader="dot" w:pos="8306"/>
        </w:tabs>
      </w:pPr>
      <w:hyperlink w:anchor="_Toc283" w:history="1">
        <w:r>
          <w:rPr>
            <w:rFonts w:ascii="仿宋" w:eastAsia="仿宋" w:hAnsi="仿宋" w:cs="仿宋" w:hint="eastAsia"/>
            <w:lang w:eastAsia="zh-CN"/>
          </w:rPr>
          <w:t>(三)、红参提取物项目进度和质量控制的管理和监督</w:t>
        </w:r>
        <w:r>
          <w:tab/>
        </w:r>
        <w:r>
          <w:fldChar w:fldCharType="begin"/>
        </w:r>
        <w:r>
          <w:instrText xml:space="preserve"> PAGEREF _Toc283 \h </w:instrText>
        </w:r>
        <w:r>
          <w:fldChar w:fldCharType="separate"/>
        </w:r>
        <w:r>
          <w:t>44</w:t>
        </w:r>
        <w:r>
          <w:fldChar w:fldCharType="end"/>
        </w:r>
      </w:hyperlink>
    </w:p>
    <w:p>
      <w:pPr>
        <w:pStyle w:val="TOC1"/>
        <w:tabs>
          <w:tab w:val="right" w:leader="dot" w:pos="8306"/>
        </w:tabs>
      </w:pPr>
      <w:hyperlink w:anchor="_Toc13731" w:history="1">
        <w:r>
          <w:rPr>
            <w:rFonts w:ascii="仿宋" w:eastAsia="仿宋" w:hAnsi="仿宋" w:cs="仿宋" w:hint="eastAsia"/>
            <w:lang w:eastAsia="zh-CN"/>
          </w:rPr>
          <w:t>十一、社会投资和慈善计划</w:t>
        </w:r>
        <w:r>
          <w:tab/>
        </w:r>
        <w:r>
          <w:fldChar w:fldCharType="begin"/>
        </w:r>
        <w:r>
          <w:instrText xml:space="preserve"> PAGEREF _Toc13731 \h </w:instrText>
        </w:r>
        <w:r>
          <w:fldChar w:fldCharType="separate"/>
        </w:r>
        <w:r>
          <w:t>45</w:t>
        </w:r>
        <w:r>
          <w:fldChar w:fldCharType="end"/>
        </w:r>
      </w:hyperlink>
    </w:p>
    <w:p>
      <w:pPr>
        <w:pStyle w:val="TOC2"/>
        <w:tabs>
          <w:tab w:val="right" w:leader="dot" w:pos="8306"/>
        </w:tabs>
      </w:pPr>
      <w:hyperlink w:anchor="_Toc26992" w:history="1">
        <w:r>
          <w:rPr>
            <w:rFonts w:ascii="仿宋" w:eastAsia="仿宋" w:hAnsi="仿宋" w:cs="仿宋" w:hint="eastAsia"/>
            <w:lang w:eastAsia="zh-CN"/>
          </w:rPr>
          <w:t>(一)、社会责任投资和捐赠计划</w:t>
        </w:r>
        <w:r>
          <w:tab/>
        </w:r>
        <w:r>
          <w:fldChar w:fldCharType="begin"/>
        </w:r>
        <w:r>
          <w:instrText xml:space="preserve"> PAGEREF _Toc26992 \h </w:instrText>
        </w:r>
        <w:r>
          <w:fldChar w:fldCharType="separate"/>
        </w:r>
        <w:r>
          <w:t>45</w:t>
        </w:r>
        <w:r>
          <w:fldChar w:fldCharType="end"/>
        </w:r>
      </w:hyperlink>
    </w:p>
    <w:p>
      <w:pPr>
        <w:pStyle w:val="TOC2"/>
        <w:tabs>
          <w:tab w:val="right" w:leader="dot" w:pos="8306"/>
        </w:tabs>
      </w:pPr>
      <w:hyperlink w:anchor="_Toc11083" w:history="1">
        <w:r>
          <w:rPr>
            <w:rFonts w:ascii="仿宋" w:eastAsia="仿宋" w:hAnsi="仿宋" w:cs="仿宋" w:hint="eastAsia"/>
            <w:lang w:eastAsia="zh-CN"/>
          </w:rPr>
          <w:t>(二)、社会慈善红参提取物项目的可行性</w:t>
        </w:r>
        <w:r>
          <w:tab/>
        </w:r>
        <w:r>
          <w:fldChar w:fldCharType="begin"/>
        </w:r>
        <w:r>
          <w:instrText xml:space="preserve"> PAGEREF _Toc11083 \h </w:instrText>
        </w:r>
        <w:r>
          <w:fldChar w:fldCharType="separate"/>
        </w:r>
        <w:r>
          <w:t>46</w:t>
        </w:r>
        <w:r>
          <w:fldChar w:fldCharType="end"/>
        </w:r>
      </w:hyperlink>
    </w:p>
    <w:p>
      <w:pPr>
        <w:pStyle w:val="TOC2"/>
        <w:tabs>
          <w:tab w:val="right" w:leader="dot" w:pos="8306"/>
        </w:tabs>
      </w:pPr>
      <w:hyperlink w:anchor="_Toc6572" w:history="1">
        <w:r>
          <w:rPr>
            <w:rFonts w:ascii="仿宋" w:eastAsia="仿宋" w:hAnsi="仿宋" w:cs="仿宋" w:hint="eastAsia"/>
            <w:lang w:eastAsia="zh-CN"/>
          </w:rPr>
          <w:t>(三)、社会影响投资的测量和报告</w:t>
        </w:r>
        <w:r>
          <w:tab/>
        </w:r>
        <w:r>
          <w:fldChar w:fldCharType="begin"/>
        </w:r>
        <w:r>
          <w:instrText xml:space="preserve"> PAGEREF _Toc6572 \h </w:instrText>
        </w:r>
        <w:r>
          <w:fldChar w:fldCharType="separate"/>
        </w:r>
        <w:r>
          <w:t>48</w:t>
        </w:r>
        <w:r>
          <w:fldChar w:fldCharType="end"/>
        </w:r>
      </w:hyperlink>
    </w:p>
    <w:p>
      <w:pPr>
        <w:pStyle w:val="TOC1"/>
        <w:tabs>
          <w:tab w:val="right" w:leader="dot" w:pos="8306"/>
        </w:tabs>
      </w:pPr>
      <w:hyperlink w:anchor="_Toc4000" w:history="1">
        <w:r>
          <w:rPr>
            <w:rFonts w:ascii="仿宋" w:eastAsia="仿宋" w:hAnsi="仿宋" w:cs="仿宋" w:hint="eastAsia"/>
            <w:lang w:eastAsia="zh-CN"/>
          </w:rPr>
          <w:t>十二、企业社会责任和公益活动</w:t>
        </w:r>
        <w:r>
          <w:tab/>
        </w:r>
        <w:r>
          <w:fldChar w:fldCharType="begin"/>
        </w:r>
        <w:r>
          <w:instrText xml:space="preserve"> PAGEREF _Toc4000 \h </w:instrText>
        </w:r>
        <w:r>
          <w:fldChar w:fldCharType="separate"/>
        </w:r>
        <w:r>
          <w:t>49</w:t>
        </w:r>
        <w:r>
          <w:fldChar w:fldCharType="end"/>
        </w:r>
      </w:hyperlink>
    </w:p>
    <w:p>
      <w:pPr>
        <w:pStyle w:val="TOC2"/>
        <w:tabs>
          <w:tab w:val="right" w:leader="dot" w:pos="8306"/>
        </w:tabs>
      </w:pPr>
      <w:hyperlink w:anchor="_Toc5034" w:history="1">
        <w:r>
          <w:rPr>
            <w:rFonts w:ascii="仿宋" w:eastAsia="仿宋" w:hAnsi="仿宋" w:cs="仿宋" w:hint="eastAsia"/>
            <w:lang w:eastAsia="zh-CN"/>
          </w:rPr>
          <w:t>(一)、企业社会责任的内涵和履行</w:t>
        </w:r>
        <w:r>
          <w:tab/>
        </w:r>
        <w:r>
          <w:fldChar w:fldCharType="begin"/>
        </w:r>
        <w:r>
          <w:instrText xml:space="preserve"> PAGEREF _Toc5034 \h </w:instrText>
        </w:r>
        <w:r>
          <w:fldChar w:fldCharType="separate"/>
        </w:r>
        <w:r>
          <w:t>49</w:t>
        </w:r>
        <w:r>
          <w:fldChar w:fldCharType="end"/>
        </w:r>
      </w:hyperlink>
    </w:p>
    <w:p>
      <w:pPr>
        <w:pStyle w:val="TOC2"/>
        <w:tabs>
          <w:tab w:val="right" w:leader="dot" w:pos="8306"/>
        </w:tabs>
      </w:pPr>
      <w:hyperlink w:anchor="_Toc6729" w:history="1">
        <w:r>
          <w:rPr>
            <w:rFonts w:ascii="仿宋" w:eastAsia="仿宋" w:hAnsi="仿宋" w:cs="仿宋" w:hint="eastAsia"/>
            <w:lang w:eastAsia="zh-CN"/>
          </w:rPr>
          <w:t>(二)、公益活动的策划和实施</w:t>
        </w:r>
        <w:r>
          <w:tab/>
        </w:r>
        <w:r>
          <w:fldChar w:fldCharType="begin"/>
        </w:r>
        <w:r>
          <w:instrText xml:space="preserve"> PAGEREF _Toc6729 \h </w:instrText>
        </w:r>
        <w:r>
          <w:fldChar w:fldCharType="separate"/>
        </w:r>
        <w:r>
          <w:t>50</w:t>
        </w:r>
        <w:r>
          <w:fldChar w:fldCharType="end"/>
        </w:r>
      </w:hyperlink>
    </w:p>
    <w:p>
      <w:pPr>
        <w:pStyle w:val="TOC2"/>
        <w:tabs>
          <w:tab w:val="right" w:leader="dot" w:pos="8306"/>
        </w:tabs>
      </w:pPr>
      <w:hyperlink w:anchor="_Toc16612" w:history="1">
        <w:r>
          <w:rPr>
            <w:rFonts w:ascii="仿宋" w:eastAsia="仿宋" w:hAnsi="仿宋" w:cs="仿宋" w:hint="eastAsia"/>
            <w:lang w:eastAsia="zh-CN"/>
          </w:rPr>
          <w:t>(三)、企业社会责任和公益活动的宣传和推广</w:t>
        </w:r>
        <w:r>
          <w:tab/>
        </w:r>
        <w:r>
          <w:fldChar w:fldCharType="begin"/>
        </w:r>
        <w:r>
          <w:instrText xml:space="preserve"> PAGEREF _Toc16612 \h </w:instrText>
        </w:r>
        <w:r>
          <w:fldChar w:fldCharType="separate"/>
        </w:r>
        <w:r>
          <w:t>51</w:t>
        </w:r>
        <w:r>
          <w:fldChar w:fldCharType="end"/>
        </w:r>
      </w:hyperlink>
    </w:p>
    <w:p>
      <w:pPr>
        <w:pStyle w:val="TOC1"/>
        <w:tabs>
          <w:tab w:val="right" w:leader="dot" w:pos="8306"/>
        </w:tabs>
      </w:pPr>
      <w:hyperlink w:anchor="_Toc1432" w:history="1">
        <w:r>
          <w:rPr>
            <w:rFonts w:ascii="仿宋" w:eastAsia="仿宋" w:hAnsi="仿宋" w:cs="仿宋" w:hint="eastAsia"/>
            <w:lang w:eastAsia="zh-CN"/>
          </w:rPr>
          <w:t>十三、企业形象和品牌传播</w:t>
        </w:r>
        <w:r>
          <w:tab/>
        </w:r>
        <w:r>
          <w:fldChar w:fldCharType="begin"/>
        </w:r>
        <w:r>
          <w:instrText xml:space="preserve"> PAGEREF _Toc1432 \h </w:instrText>
        </w:r>
        <w:r>
          <w:fldChar w:fldCharType="separate"/>
        </w:r>
        <w:r>
          <w:t>53</w:t>
        </w:r>
        <w:r>
          <w:fldChar w:fldCharType="end"/>
        </w:r>
      </w:hyperlink>
    </w:p>
    <w:p>
      <w:pPr>
        <w:pStyle w:val="TOC2"/>
        <w:tabs>
          <w:tab w:val="right" w:leader="dot" w:pos="8306"/>
        </w:tabs>
      </w:pPr>
      <w:hyperlink w:anchor="_Toc5664" w:history="1">
        <w:r>
          <w:rPr>
            <w:rFonts w:ascii="仿宋" w:eastAsia="仿宋" w:hAnsi="仿宋" w:cs="仿宋" w:hint="eastAsia"/>
            <w:lang w:eastAsia="zh-CN"/>
          </w:rPr>
          <w:t>(一)、企业形象的策划和设计</w:t>
        </w:r>
        <w:r>
          <w:tab/>
        </w:r>
        <w:r>
          <w:fldChar w:fldCharType="begin"/>
        </w:r>
        <w:r>
          <w:instrText xml:space="preserve"> PAGEREF _Toc5664 \h </w:instrText>
        </w:r>
        <w:r>
          <w:fldChar w:fldCharType="separate"/>
        </w:r>
        <w:r>
          <w:t>53</w:t>
        </w:r>
        <w:r>
          <w:fldChar w:fldCharType="end"/>
        </w:r>
      </w:hyperlink>
    </w:p>
    <w:p>
      <w:pPr>
        <w:pStyle w:val="TOC2"/>
        <w:tabs>
          <w:tab w:val="right" w:leader="dot" w:pos="8306"/>
        </w:tabs>
      </w:pPr>
      <w:hyperlink w:anchor="_Toc28687" w:history="1">
        <w:r>
          <w:rPr>
            <w:rFonts w:ascii="仿宋" w:eastAsia="仿宋" w:hAnsi="仿宋" w:cs="仿宋" w:hint="eastAsia"/>
            <w:lang w:eastAsia="zh-CN"/>
          </w:rPr>
          <w:t>(二)、品牌传播的策略和渠道</w:t>
        </w:r>
        <w:r>
          <w:tab/>
        </w:r>
        <w:r>
          <w:fldChar w:fldCharType="begin"/>
        </w:r>
        <w:r>
          <w:instrText xml:space="preserve"> PAGEREF _Toc28687 \h </w:instrText>
        </w:r>
        <w:r>
          <w:fldChar w:fldCharType="separate"/>
        </w:r>
        <w:r>
          <w:t>54</w:t>
        </w:r>
        <w:r>
          <w:fldChar w:fldCharType="end"/>
        </w:r>
      </w:hyperlink>
    </w:p>
    <w:p>
      <w:pPr>
        <w:pStyle w:val="TOC2"/>
        <w:tabs>
          <w:tab w:val="right" w:leader="dot" w:pos="8306"/>
        </w:tabs>
      </w:pPr>
      <w:hyperlink w:anchor="_Toc2399" w:history="1">
        <w:r>
          <w:rPr>
            <w:rFonts w:ascii="仿宋" w:eastAsia="仿宋" w:hAnsi="仿宋" w:cs="仿宋" w:hint="eastAsia"/>
            <w:lang w:eastAsia="zh-CN"/>
          </w:rPr>
          <w:t>(三)、品牌传播效果的评估和反馈</w:t>
        </w:r>
        <w:r>
          <w:tab/>
        </w:r>
        <w:r>
          <w:fldChar w:fldCharType="begin"/>
        </w:r>
        <w:r>
          <w:instrText xml:space="preserve"> PAGEREF _Toc2399 \h </w:instrText>
        </w:r>
        <w:r>
          <w:fldChar w:fldCharType="separate"/>
        </w:r>
        <w:r>
          <w:t>55</w:t>
        </w:r>
        <w:r>
          <w:fldChar w:fldCharType="end"/>
        </w:r>
      </w:hyperlink>
    </w:p>
    <w:p>
      <w:pPr>
        <w:pStyle w:val="TOC1"/>
        <w:tabs>
          <w:tab w:val="right" w:leader="dot" w:pos="8306"/>
        </w:tabs>
      </w:pPr>
      <w:hyperlink w:anchor="_Toc11019" w:history="1">
        <w:r>
          <w:rPr>
            <w:rFonts w:ascii="仿宋" w:eastAsia="仿宋" w:hAnsi="仿宋" w:cs="仿宋" w:hint="eastAsia"/>
            <w:lang w:eastAsia="zh-CN"/>
          </w:rPr>
          <w:t>十四、绿色建筑和生态环保设计</w:t>
        </w:r>
        <w:r>
          <w:tab/>
        </w:r>
        <w:r>
          <w:fldChar w:fldCharType="begin"/>
        </w:r>
        <w:r>
          <w:instrText xml:space="preserve"> PAGEREF _Toc11019 \h </w:instrText>
        </w:r>
        <w:r>
          <w:fldChar w:fldCharType="separate"/>
        </w:r>
        <w:r>
          <w:t>57</w:t>
        </w:r>
        <w:r>
          <w:fldChar w:fldCharType="end"/>
        </w:r>
      </w:hyperlink>
    </w:p>
    <w:p>
      <w:pPr>
        <w:pStyle w:val="TOC2"/>
        <w:tabs>
          <w:tab w:val="right" w:leader="dot" w:pos="8306"/>
        </w:tabs>
      </w:pPr>
      <w:hyperlink w:anchor="_Toc5217" w:history="1">
        <w:r>
          <w:rPr>
            <w:rFonts w:ascii="仿宋" w:eastAsia="仿宋" w:hAnsi="仿宋" w:cs="仿宋" w:hint="eastAsia"/>
            <w:lang w:eastAsia="zh-CN"/>
          </w:rPr>
          <w:t>(一)、绿色建筑和生态环保设计的理念和实践</w:t>
        </w:r>
        <w:r>
          <w:tab/>
        </w:r>
        <w:r>
          <w:fldChar w:fldCharType="begin"/>
        </w:r>
        <w:r>
          <w:instrText xml:space="preserve"> PAGEREF _Toc5217 \h </w:instrText>
        </w:r>
        <w:r>
          <w:fldChar w:fldCharType="separate"/>
        </w:r>
        <w:r>
          <w:t>57</w:t>
        </w:r>
        <w:r>
          <w:fldChar w:fldCharType="end"/>
        </w:r>
      </w:hyperlink>
    </w:p>
    <w:p>
      <w:pPr>
        <w:pStyle w:val="TOC2"/>
        <w:tabs>
          <w:tab w:val="right" w:leader="dot" w:pos="8306"/>
        </w:tabs>
      </w:pPr>
      <w:hyperlink w:anchor="_Toc26557" w:history="1">
        <w:r>
          <w:rPr>
            <w:rFonts w:ascii="仿宋" w:eastAsia="仿宋" w:hAnsi="仿宋" w:cs="仿宋" w:hint="eastAsia"/>
            <w:lang w:eastAsia="zh-CN"/>
          </w:rPr>
          <w:t>(二)、红参提取物项目如何应用绿色建筑和生态环保设计</w:t>
        </w:r>
        <w:r>
          <w:tab/>
        </w:r>
        <w:r>
          <w:fldChar w:fldCharType="begin"/>
        </w:r>
        <w:r>
          <w:instrText xml:space="preserve"> PAGEREF _Toc26557 \h </w:instrText>
        </w:r>
        <w:r>
          <w:fldChar w:fldCharType="separate"/>
        </w:r>
        <w:r>
          <w:t>58</w:t>
        </w:r>
        <w:r>
          <w:fldChar w:fldCharType="end"/>
        </w:r>
      </w:hyperlink>
    </w:p>
    <w:p>
      <w:pPr>
        <w:pStyle w:val="TOC2"/>
        <w:tabs>
          <w:tab w:val="right" w:leader="dot" w:pos="8306"/>
        </w:tabs>
      </w:pPr>
      <w:hyperlink w:anchor="_Toc4163" w:history="1">
        <w:r>
          <w:rPr>
            <w:rFonts w:ascii="仿宋" w:eastAsia="仿宋" w:hAnsi="仿宋" w:cs="仿宋" w:hint="eastAsia"/>
            <w:lang w:eastAsia="zh-CN"/>
          </w:rPr>
          <w:t>(三)、绿色建筑和生态环保设计对红参提取物项目的影响和价值</w:t>
        </w:r>
        <w:r>
          <w:tab/>
        </w:r>
        <w:r>
          <w:fldChar w:fldCharType="begin"/>
        </w:r>
        <w:r>
          <w:instrText xml:space="preserve"> PAGEREF _Toc4163 \h </w:instrText>
        </w:r>
        <w:r>
          <w:fldChar w:fldCharType="separate"/>
        </w:r>
        <w:r>
          <w:t>59</w:t>
        </w:r>
        <w:r>
          <w:fldChar w:fldCharType="end"/>
        </w:r>
      </w:hyperlink>
    </w:p>
    <w:p>
      <w:pPr>
        <w:sectPr>
          <w:headerReference w:type="default" r:id="rId9"/>
          <w:footerReference w:type="default" r:id="rId10"/>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1"/>
      <w:r>
        <w:rPr>
          <w:rFonts w:ascii="仿宋" w:eastAsia="仿宋" w:hAnsi="仿宋" w:cs="仿宋" w:hint="eastAsia"/>
          <w:lang w:eastAsia="zh-CN"/>
        </w:rPr>
        <w:t>绪论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本研究的主要目的是评估 [项目/决策名称] 的可行性。我们将对该项目的各个方面进行全面分析，包括市场潜力、技术可行性、财务可行性、法律和法规合规性、环境和社会可行性等。通过这些评估，我们旨在为您提供决策支持，使您能够在决定是否继续前进之前拥有充分的信息。</w:t>
      </w:r>
    </w:p>
    <w:p>
      <w:pPr>
        <w:pStyle w:val="Heading1"/>
        <w:ind w:firstLine="560" w:firstLineChars="200"/>
        <w:rPr>
          <w:rFonts w:ascii="仿宋" w:eastAsia="仿宋" w:hAnsi="仿宋" w:cs="仿宋" w:hint="eastAsia"/>
          <w:sz w:val="28"/>
          <w:lang w:eastAsia="zh-CN"/>
        </w:rPr>
      </w:pPr>
      <w:bookmarkStart w:id="2" w:name="_Toc22713"/>
      <w:r>
        <w:rPr>
          <w:rFonts w:ascii="仿宋" w:eastAsia="仿宋" w:hAnsi="仿宋" w:cs="仿宋" w:hint="eastAsia"/>
          <w:sz w:val="28"/>
          <w:lang w:eastAsia="zh-CN"/>
        </w:rPr>
        <w:t>一、品牌建设和管理</w:t>
      </w:r>
      <w:bookmarkEnd w:id="2"/>
    </w:p>
    <w:p>
      <w:pPr>
        <w:pStyle w:val="Heading2"/>
        <w:rPr>
          <w:rFonts w:ascii="仿宋" w:eastAsia="仿宋" w:hAnsi="仿宋" w:cs="仿宋" w:hint="eastAsia"/>
          <w:lang w:eastAsia="zh-CN"/>
        </w:rPr>
      </w:pPr>
      <w:bookmarkStart w:id="3" w:name="_Toc8375"/>
      <w:r>
        <w:rPr>
          <w:rFonts w:ascii="仿宋" w:eastAsia="仿宋" w:hAnsi="仿宋" w:cs="仿宋" w:hint="eastAsia"/>
          <w:lang w:eastAsia="zh-CN"/>
        </w:rPr>
        <w:t>(一)、红参提取物项目品牌定位和形象设计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形象设计方面，我们建议注重红参提取物项目的艺术价值和文化内涵，同时要体现红参提取物项目的创新性和现代感。形象设计应该与品牌定位相一致，符合目标受众的需求和喜好。在形象设计的过程中，我们建议加强与艺术设计领域的合作和交流，吸收优秀的艺术设计资源和创意灵感，提升红参提取物项目的形象设计水平和艺术价值。</w:t>
      </w:r>
    </w:p>
    <w:p>
      <w:pPr>
        <w:ind w:firstLine="560" w:firstLineChars="200"/>
        <w:rPr>
          <w:rFonts w:ascii="仿宋" w:eastAsia="仿宋" w:hAnsi="仿宋" w:cs="仿宋" w:hint="eastAsia"/>
          <w:sz w:val="28"/>
        </w:rPr>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品牌定位和形象设计需要结合起来，才能实现红参提取物项目的成功。我们建议将红参提取物项目的文化内涵和艺术价值融入到品牌定位和形象设计中，打造具有独特性和艺术感的红参提取物项目形象。同时，我们建议通过市场宣传和推广等形式，加强红参提取物项目的品牌宣传和形象推广，提升红参提取物项目的知名度和美誉度。</w:t>
      </w:r>
    </w:p>
    <w:p>
      <w:pPr>
        <w:pStyle w:val="Heading2"/>
        <w:ind w:firstLine="560" w:firstLineChars="200"/>
        <w:rPr>
          <w:rFonts w:ascii="仿宋" w:eastAsia="仿宋" w:hAnsi="仿宋" w:cs="仿宋" w:hint="eastAsia"/>
          <w:sz w:val="28"/>
          <w:lang w:eastAsia="zh-CN"/>
        </w:rPr>
      </w:pPr>
      <w:bookmarkStart w:id="4" w:name="_Toc32063"/>
      <w:r>
        <w:rPr>
          <w:rFonts w:ascii="仿宋" w:eastAsia="仿宋" w:hAnsi="仿宋" w:cs="仿宋" w:hint="eastAsia"/>
          <w:sz w:val="28"/>
          <w:lang w:eastAsia="zh-CN"/>
        </w:rPr>
        <w:t>(二)、品牌传播和推广策略</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品牌传播的内容方面，我们建议注重内容的创新和多样化，制作有吸引力的视频、图片、文字等内容，通过有趣的故事和互动性强的形式，吸引目标受众的关注和参与。同时，我们建议加强与媒体的合作和交流，扩大红参提取物项目的曝光度和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品牌传播的方式方面，我们建议注重社交化和口碑营销，通过社交媒体、微信公众号等平台，加强与目标受众的互动和交流，建立品牌与目标受众之间的情感联系和信任关系。同时，我们建议加强与品牌代言人和意见领袖的合作和交流，通过他们的影响力和口碑，推动红参提取物项目的品牌传播和推广。</w:t>
      </w:r>
    </w:p>
    <w:p>
      <w:pPr>
        <w:pStyle w:val="Heading2"/>
        <w:ind w:firstLine="560" w:firstLineChars="200"/>
        <w:rPr>
          <w:rFonts w:ascii="仿宋" w:eastAsia="仿宋" w:hAnsi="仿宋" w:cs="仿宋" w:hint="eastAsia"/>
          <w:sz w:val="28"/>
          <w:lang w:eastAsia="zh-CN"/>
        </w:rPr>
      </w:pPr>
      <w:bookmarkStart w:id="5" w:name="_Toc12365"/>
      <w:r>
        <w:rPr>
          <w:rFonts w:ascii="仿宋" w:eastAsia="仿宋" w:hAnsi="仿宋" w:cs="仿宋" w:hint="eastAsia"/>
          <w:sz w:val="28"/>
          <w:lang w:eastAsia="zh-CN"/>
        </w:rPr>
        <w:t>(三)、品牌保护和危机管理</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加强知识产权的保护，包括商标、专利、版权等方面的保护。同时，注重品牌形象的塑造和维护，制定相应的品牌形象管理制度，加强对品牌形象的监管和维护。建立长期稳定的合作关系，共同维护红参提取物项目的品牌形象和声誉。</w:t>
      </w:r>
    </w:p>
    <w:p>
      <w:pPr>
        <w:ind w:firstLine="560" w:firstLineChars="200"/>
        <w:rPr>
          <w:rFonts w:ascii="仿宋" w:eastAsia="仿宋" w:hAnsi="仿宋" w:cs="仿宋" w:hint="eastAsia"/>
          <w:sz w:val="28"/>
        </w:rPr>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危机管理方面，我们建议制定完善的应急预案和危机公关方案，加强对危机事件的预测和预警，及时采取相应的措施和应对方案，有效地控制危机事件的影响和损失。加强与媒体和公众的沟通和交流，及时发布危机事件的处理情况和进展，建立公众信任和支持，减轻危机事件对红参提取物项目的负面影响。</w:t>
      </w:r>
    </w:p>
    <w:p>
      <w:pPr>
        <w:pStyle w:val="Heading1"/>
        <w:ind w:firstLine="560" w:firstLineChars="200"/>
        <w:rPr>
          <w:rFonts w:ascii="仿宋" w:eastAsia="仿宋" w:hAnsi="仿宋" w:cs="仿宋" w:hint="eastAsia"/>
          <w:sz w:val="28"/>
          <w:lang w:eastAsia="zh-CN"/>
        </w:rPr>
      </w:pPr>
      <w:bookmarkStart w:id="6" w:name="_Toc19107"/>
      <w:r>
        <w:rPr>
          <w:rFonts w:ascii="仿宋" w:eastAsia="仿宋" w:hAnsi="仿宋" w:cs="仿宋" w:hint="eastAsia"/>
          <w:sz w:val="28"/>
          <w:lang w:eastAsia="zh-CN"/>
        </w:rPr>
        <w:t>二、红参提取物行业社会文化影响评估</w:t>
      </w:r>
      <w:bookmarkEnd w:id="6"/>
    </w:p>
    <w:p>
      <w:pPr>
        <w:pStyle w:val="Heading2"/>
        <w:rPr>
          <w:rFonts w:ascii="仿宋" w:eastAsia="仿宋" w:hAnsi="仿宋" w:cs="仿宋" w:hint="eastAsia"/>
          <w:lang w:eastAsia="zh-CN"/>
        </w:rPr>
      </w:pPr>
      <w:bookmarkStart w:id="7" w:name="_Toc30923"/>
      <w:r>
        <w:rPr>
          <w:rFonts w:ascii="仿宋" w:eastAsia="仿宋" w:hAnsi="仿宋" w:cs="仿宋" w:hint="eastAsia"/>
          <w:lang w:eastAsia="zh-CN"/>
        </w:rPr>
        <w:t>(一)、红参提取物在文化和艺术中的地位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创造力的拓展：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红参提取物为艺术家和创作者提供了新的工具和媒介，可以拓展他们的创造力和表达方式。通过红参提取物，艺术家可以探索新的艺术形式、交互式作品和沉浸式体验，从而为观众带来全新的视听感受。</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艺术作品的互动性：</w:t>
      </w:r>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的技术特性使得观众可以积极参与艺术作品的创作和演示过程。例如，虚拟现实和增强现实技术可以创造出与观众互动的艺术装置和展览，使观众成为艺术作品的一部分，提升了艺术体验的参与度和个性化。</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艺术品的数字化保存和传播：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技术可以用于数字化保存和传播艺术品，为文化遗产的保护和传承提供了新的途径。通过数字化技术，艺术品可以以高保真度的形式被保存下来，并通过互联网和虚拟展览等方式向全球观众展示，促进了艺术的跨地域传播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艺术与科技的融合：</w:t>
      </w:r>
    </w:p>
    <w:p>
      <w:pPr>
        <w:ind w:firstLine="560" w:firstLineChars="200"/>
        <w:rPr>
          <w:rFonts w:ascii="仿宋" w:eastAsia="仿宋" w:hAnsi="仿宋" w:cs="仿宋" w:hint="eastAsia"/>
          <w:sz w:val="28"/>
        </w:rPr>
        <w:sectPr>
          <w:headerReference w:type="default" r:id="rId15"/>
          <w:footerReference w:type="default" r:id="rId16"/>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红参提取物在文化和艺术中的应用推动了艺术与科技的融合。艺术家和科技专家可以共同合作，创造出结合艺术和科技元素的作品，探索人类与技术的关系，挑战传统艺术形式的边界，以及探索新的艺术语言和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文化创意产业的发展：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为文化创意产业的发展提供了新的机遇。通过将红参提取物技术与文化创意产业相结合，可以创造出具有艺术价值和商业潜力的产品和服务。这有助于推动文化创意产业的创新和增长，并为经济发展带来积极的影响。</w:t>
      </w:r>
    </w:p>
    <w:p>
      <w:pPr>
        <w:pStyle w:val="Heading2"/>
        <w:ind w:firstLine="560" w:firstLineChars="200"/>
        <w:rPr>
          <w:rFonts w:ascii="仿宋" w:eastAsia="仿宋" w:hAnsi="仿宋" w:cs="仿宋" w:hint="eastAsia"/>
          <w:sz w:val="28"/>
          <w:lang w:eastAsia="zh-CN"/>
        </w:rPr>
      </w:pPr>
      <w:bookmarkStart w:id="8" w:name="_Toc28615"/>
      <w:r>
        <w:rPr>
          <w:rFonts w:ascii="仿宋" w:eastAsia="仿宋" w:hAnsi="仿宋" w:cs="仿宋" w:hint="eastAsia"/>
          <w:sz w:val="28"/>
          <w:lang w:eastAsia="zh-CN"/>
        </w:rPr>
        <w:t>(二)、文化趋势对红参提取物需求的影响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数字化生活方式的普及：</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数字化技术的普及，人们的生活方式发生了巨大变化。人们越来越依赖于数字设备和互联网来获取信息、进行交流和娱乐。这种数字化生活方式对红参提取物的需求产生了影响，人们对于更好的用户体验、个性化定制和互动性的期望也在增加。</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多元化和个性化的文化表达：</w:t>
      </w:r>
    </w:p>
    <w:p>
      <w:pPr>
        <w:ind w:firstLine="560" w:firstLineChars="200"/>
        <w:rPr>
          <w:rFonts w:ascii="仿宋" w:eastAsia="仿宋" w:hAnsi="仿宋" w:cs="仿宋" w:hint="eastAsia"/>
          <w:sz w:val="28"/>
        </w:rPr>
      </w:pPr>
      <w:r>
        <w:rPr>
          <w:rFonts w:ascii="仿宋" w:eastAsia="仿宋" w:hAnsi="仿宋" w:cs="仿宋" w:hint="eastAsia"/>
          <w:sz w:val="28"/>
          <w:lang w:eastAsia="zh-CN"/>
        </w:rPr>
        <w:t>当今社会，多元化和个性化的文化表达方式得到了广泛关注。人们对于独特、个性化的艺术和文化体验的需求不断增加。红参提取物技术能够提供创新的艺术形式和个性化的文化产品，满足人们对于多样化文化表达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参与性文化的兴起：</w:t>
      </w:r>
    </w:p>
    <w:p>
      <w:pPr>
        <w:ind w:firstLine="560" w:firstLineChars="200"/>
        <w:rPr>
          <w:rFonts w:ascii="仿宋" w:eastAsia="仿宋" w:hAnsi="仿宋" w:cs="仿宋" w:hint="eastAsia"/>
          <w:sz w:val="28"/>
        </w:rPr>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参与性文化是指观众和用户参与到文化和艺术创作中的趋势。人们不再满足于被动地接受文化产品，而是希望积极参与其中，成为创作者或共同创造者。红参提取物技术的互动性和参与性特点与参与性文化的需求相契合，为人们提供了更具参与性的文化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可持续发展和环保意识的崛起：</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和环保意识是当今社会的重要议题。人们对于环境保护和可持续性的关注不断增加，对于环保型的技术和产品的需求也在上升。在红参提取物的应用中，注重环境友好性和可持续性的设计和开发将受到更多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跨文化交流和文化融合：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全球化和跨文化交流的加强促进了不同文化之间的交流和融合。人们对于了解和体验其他文化的需求增加，对于能够促进跨文化交流的技术和产品的需求也在上升。红参提取物技术可以通过虚拟现实、语言翻译等功能，促进跨文化交流和文化融合。</w:t>
      </w:r>
    </w:p>
    <w:p>
      <w:pPr>
        <w:pStyle w:val="Heading2"/>
        <w:ind w:firstLine="560" w:firstLineChars="200"/>
        <w:rPr>
          <w:rFonts w:ascii="仿宋" w:eastAsia="仿宋" w:hAnsi="仿宋" w:cs="仿宋" w:hint="eastAsia"/>
          <w:sz w:val="28"/>
          <w:lang w:eastAsia="zh-CN"/>
        </w:rPr>
      </w:pPr>
      <w:bookmarkStart w:id="9" w:name="_Toc23464"/>
      <w:r>
        <w:rPr>
          <w:rFonts w:ascii="仿宋" w:eastAsia="仿宋" w:hAnsi="仿宋" w:cs="仿宋" w:hint="eastAsia"/>
          <w:sz w:val="28"/>
          <w:lang w:eastAsia="zh-CN"/>
        </w:rPr>
        <w:t>(三)、社会文化因素的可行性分析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社会价值观念的影响：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观念是指社会对于道德、伦理和文化价值的认知和评价。社会价值观念对技术的需求和应用提出了要求。例如，在艺术和文化领域，社会价值观念对于艺术品的审美标准、文化传承和保护等方面产生影响。在红参提取物技术的应用中，需要考虑社会价值观念对于技术应用的影响，确保技术的应用符合社会的伦理和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文化传统和文化政策的影响：</w:t>
      </w:r>
    </w:p>
    <w:p>
      <w:pPr>
        <w:ind w:firstLine="560" w:firstLineChars="200"/>
        <w:rPr>
          <w:rFonts w:ascii="仿宋" w:eastAsia="仿宋" w:hAnsi="仿宋" w:cs="仿宋" w:hint="eastAsia"/>
          <w:sz w:val="28"/>
        </w:rPr>
        <w:sectPr>
          <w:headerReference w:type="default" r:id="rId19"/>
          <w:footerReference w:type="default" r:id="rId20"/>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传统和文化政策对于文化和艺术的发展和创新具有重要意义。在红参提取物技术的应用中，需要考虑文化传统和文化政策对于技术应用的影响，确保技术的应用符合文化传统和文化政策的要求。例如，在文化遗产保护和传承方面，需要考虑文化传统的保护和传承，同时结合红参提取物技术的应用，推动文化遗产的数字化保存和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社会需求和市场趋势的分析：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需求和市场趋势是评估技术可行性的重要因素。在红参提取物技术的应用中，需要考虑社会需求和市场趋势的变化，以及技术应用的市场前景和商业模式。通过对市场需求和趋势的分析，可以确定技术应用的商业模式和市场定位，提高红参提取物项目的商业价值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文化多样性和文化交流的促进：</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多样性和文化交流是当今社会的重要趋势。在红参提取物技术的应用中，需要考虑如何促进文化多样性和文化交流，创造出具有跨文化特色和价值的文化和艺术产品。通过结合文化多样性和文化交流的特点，可以推动文化和艺术的创新和发展，提高红参提取物项目的社会价值和文化影响力。</w:t>
      </w:r>
    </w:p>
    <w:p>
      <w:pPr>
        <w:pStyle w:val="Heading1"/>
        <w:ind w:firstLine="560" w:firstLineChars="200"/>
        <w:rPr>
          <w:rFonts w:ascii="仿宋" w:eastAsia="仿宋" w:hAnsi="仿宋" w:cs="仿宋" w:hint="eastAsia"/>
          <w:sz w:val="28"/>
          <w:lang w:eastAsia="zh-CN"/>
        </w:rPr>
      </w:pPr>
      <w:bookmarkStart w:id="10" w:name="_Toc26101"/>
      <w:r>
        <w:rPr>
          <w:rFonts w:ascii="仿宋" w:eastAsia="仿宋" w:hAnsi="仿宋" w:cs="仿宋" w:hint="eastAsia"/>
          <w:sz w:val="28"/>
          <w:lang w:eastAsia="zh-CN"/>
        </w:rPr>
        <w:t>三、红参提取物项目概论</w:t>
      </w:r>
      <w:bookmarkEnd w:id="10"/>
    </w:p>
    <w:p>
      <w:pPr>
        <w:pStyle w:val="Heading2"/>
        <w:rPr>
          <w:rFonts w:ascii="仿宋" w:eastAsia="仿宋" w:hAnsi="仿宋" w:cs="仿宋" w:hint="eastAsia"/>
          <w:lang w:eastAsia="zh-CN"/>
        </w:rPr>
      </w:pPr>
      <w:bookmarkStart w:id="11" w:name="_Toc23535"/>
      <w:r>
        <w:rPr>
          <w:rFonts w:ascii="仿宋" w:eastAsia="仿宋" w:hAnsi="仿宋" w:cs="仿宋" w:hint="eastAsia"/>
          <w:lang w:eastAsia="zh-CN"/>
        </w:rPr>
        <w:t>(一)、红参提取物项目名称及承办单位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红参提取物项目名称：红参提取物建设项目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2、红参提取物项目建设性质：新建</w:t>
      </w:r>
    </w:p>
    <w:p>
      <w:pPr>
        <w:pStyle w:val="Heading2"/>
        <w:ind w:firstLine="560" w:firstLineChars="200"/>
        <w:rPr>
          <w:rFonts w:ascii="仿宋" w:eastAsia="仿宋" w:hAnsi="仿宋" w:cs="仿宋" w:hint="eastAsia"/>
          <w:sz w:val="28"/>
          <w:lang w:eastAsia="zh-CN"/>
        </w:rPr>
      </w:pPr>
      <w:bookmarkStart w:id="12" w:name="_Toc32593"/>
      <w:r>
        <w:rPr>
          <w:rFonts w:ascii="仿宋" w:eastAsia="仿宋" w:hAnsi="仿宋" w:cs="仿宋" w:hint="eastAsia"/>
          <w:sz w:val="28"/>
          <w:lang w:eastAsia="zh-CN"/>
        </w:rPr>
        <w:t>(二)、红参提取物项目拟建地址</w:t>
      </w:r>
      <w:bookmarkEnd w:id="12"/>
    </w:p>
    <w:p>
      <w:pPr>
        <w:ind w:firstLine="560" w:firstLineChars="200"/>
        <w:rPr>
          <w:rFonts w:ascii="仿宋" w:eastAsia="仿宋" w:hAnsi="仿宋" w:cs="仿宋" w:hint="eastAsia"/>
          <w:sz w:val="28"/>
        </w:rPr>
        <w:sectPr>
          <w:headerReference w:type="default" r:id="rId21"/>
          <w:footerReference w:type="default" r:id="rId22"/>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红参提取物项目规划位置位于某某某某经济开发区。</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红参提取物项目建设地的社会经济分析过程中，我们将遵循《中国制造2025》等相关实施意见的具体要求。我们坚持以创新、协调、绿色、开放和共享的发展理念为指导，积极适应并引领经济发展的新常态。同时，我们将抓住全球制造业格局的重大调整以及我国实施制造强国战略的有利时机，充分发挥当地制造业和信息化的基础优势。我们以先进装备制造业为突破口，将智能制造作为核心和主攻方向，以新一代信息技术与制造业深度融合作为切入点，推动先进装备制造业的快速发展，带动当地制造业的升级转型。最终，我们的目标是将该地区打造成为“中国制造2025”的典范示范区，以及世界先进制造业的新兴高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基于当地市场先进装备制造业的基础上，我们将实施有针对性的支持和控制措施。通过采取结构性和差异化的土地供应策略，我们将规划和完善多层次、全方位的产业空间载体，促进产业的集聚化和高端化发展。通过改革创新，我们将提高土地利用效率，在土地整备、二次开发利用以及产业用地用房供应等方面取得突破，从而释放产业发展的空间，推动产业的转型升级。同时，通过社会化和市场化的运作，我们还将加强工业园区的基础配套设施建设，包括物流、文化、生活、医疗和教育等方面，为企业提供良好的发展环境，助力产业稳步发展。我们的目标是将重点工业园区打造成为设施完善、功能齐备、环境优美、产业布局合理、经济发展强劲的现代化工业园区。</w:t>
      </w:r>
    </w:p>
    <w:p>
      <w:pPr>
        <w:ind w:firstLine="560" w:firstLineChars="200"/>
        <w:rPr>
          <w:rFonts w:ascii="仿宋" w:eastAsia="仿宋" w:hAnsi="仿宋" w:cs="仿宋" w:hint="eastAsia"/>
          <w:sz w:val="28"/>
        </w:rPr>
        <w:sectPr>
          <w:headerReference w:type="default" r:id="rId23"/>
          <w:footerReference w:type="default" r:id="rId24"/>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进一步推广“互联网+制造”的模式，推动制造业实现数字化、网络化和智能化的转型。通过这一转变，我们将提高制造业的质量和效益，实现从制造大国向制造强国的跨越。同时，我们也将高度重视环境保护和可持续发展，推动绿色制造和循环经济的发展，以确保在经济发展的同时，也能保护和维护良好的生态环境。我们将追求经济、社会和环境的协调发展。</w:t>
      </w:r>
    </w:p>
    <w:p>
      <w:pPr>
        <w:pStyle w:val="Heading2"/>
        <w:ind w:firstLine="560" w:firstLineChars="200"/>
        <w:rPr>
          <w:rFonts w:ascii="仿宋" w:eastAsia="仿宋" w:hAnsi="仿宋" w:cs="仿宋" w:hint="eastAsia"/>
          <w:sz w:val="28"/>
          <w:lang w:eastAsia="zh-CN"/>
        </w:rPr>
      </w:pPr>
      <w:bookmarkStart w:id="13" w:name="_Toc31084"/>
      <w:r>
        <w:rPr>
          <w:rFonts w:ascii="仿宋" w:eastAsia="仿宋" w:hAnsi="仿宋" w:cs="仿宋" w:hint="eastAsia"/>
          <w:sz w:val="28"/>
          <w:lang w:eastAsia="zh-CN"/>
        </w:rPr>
        <w:t>(三)、红参提取物项目提出的背景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许多公司在当今的红参提取物行业中寻求创新的方法来提高效率和降低成本。这个红参提取物项目旨在解决这一需求，为红参提取物相关企业提供全新的解决方案，以帮助他们提高生产效率、降低成本并获得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红参提取物行业的快速发展，竞争也日益激烈。红参提取物相关企业需要不断创新才能在市场上取得成功。这个红参提取物项目旨在为行业提供一种创新的解决方案，以帮助企业提高生产效率、降低成本并获得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的红参提取物行业中，许多企业面临着一些共同的问题，如高成本、低效率、资源浪费等等。这些问题不仅影响了红参提取物相关企业的盈利能力，还限制了他们的发展潜力。这个红参提取物项目旨在解决这些问题，并为企业提供一种创新的解决方案，以帮助他们提高生产效率、降低成本并获得竞争优势。</w:t>
      </w:r>
    </w:p>
    <w:p>
      <w:pPr>
        <w:ind w:firstLine="560" w:firstLineChars="200"/>
        <w:rPr>
          <w:rFonts w:ascii="仿宋" w:eastAsia="仿宋" w:hAnsi="仿宋" w:cs="仿宋" w:hint="eastAsia"/>
          <w:sz w:val="28"/>
        </w:rPr>
        <w:sectPr>
          <w:headerReference w:type="default" r:id="rId25"/>
          <w:footerReference w:type="default" r:id="rId26"/>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快速发展，红参提取物行业也在不断变化。企业需要不断更新他们的技术以跟上市场的变化。这个红参提取物项目旨在为行业提供一种创新的解决方案，以帮助企业利用最新的技术来提高生产效率、降低成本并获得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作为一个处于转型期的国家，在经济发展方面长期保持着良好的基本面。然而，在前进的道路上，我们面临着一些长期积累的结构性和体制性问题，需要解决。供给侧和需求侧是我国经济增长的两个重要方面，只有通过改革才能解决发展中的问题。另外，《中国制造2025》的发布不仅有利于推动我国传统制造业的转型升级，还进一步明确了未来我国具有发展潜力和空间的战略性新兴产业。这为我国未来产业经济的发展指明了方向，有利于优化资源配置，提高经济效率和经济质量。它对于保障我国经济的平稳、健康发展起到了关键性的作用。我们通过实施《中国制造2025》，能够推动产业结构升级，提高科技创新能力，增强企业竞争力，促进经济的可持续发展。</w:t>
      </w:r>
    </w:p>
    <w:p>
      <w:pPr>
        <w:pStyle w:val="Heading2"/>
        <w:ind w:firstLine="560" w:firstLineChars="200"/>
        <w:rPr>
          <w:rFonts w:ascii="仿宋" w:eastAsia="仿宋" w:hAnsi="仿宋" w:cs="仿宋" w:hint="eastAsia"/>
          <w:sz w:val="28"/>
          <w:lang w:eastAsia="zh-CN"/>
        </w:rPr>
      </w:pPr>
      <w:bookmarkStart w:id="14" w:name="_Toc16838"/>
      <w:r>
        <w:rPr>
          <w:rFonts w:ascii="仿宋" w:eastAsia="仿宋" w:hAnsi="仿宋" w:cs="仿宋" w:hint="eastAsia"/>
          <w:sz w:val="28"/>
          <w:lang w:eastAsia="zh-CN"/>
        </w:rPr>
        <w:t>(四)、报告研究范围</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该报告的主要研究内容包括对国内外红参提取物相关市场供需情况及建设规模进行分析和预测，同时提出主要的技术经济指标。这些内容将会为红参提取物项目的实施提供一个比较科学的评价，但仅供参考。</w:t>
      </w:r>
    </w:p>
    <w:p>
      <w:pPr>
        <w:pStyle w:val="Heading2"/>
        <w:ind w:firstLine="560" w:firstLineChars="200"/>
        <w:rPr>
          <w:rFonts w:ascii="仿宋" w:eastAsia="仿宋" w:hAnsi="仿宋" w:cs="仿宋" w:hint="eastAsia"/>
          <w:sz w:val="28"/>
          <w:lang w:eastAsia="zh-CN"/>
        </w:rPr>
      </w:pPr>
      <w:bookmarkStart w:id="15" w:name="_Toc23146"/>
      <w:r>
        <w:rPr>
          <w:rFonts w:ascii="仿宋" w:eastAsia="仿宋" w:hAnsi="仿宋" w:cs="仿宋" w:hint="eastAsia"/>
          <w:sz w:val="28"/>
          <w:lang w:eastAsia="zh-CN"/>
        </w:rPr>
        <w:t>(五)、红参提取物项目建设必要性分析</w:t>
      </w:r>
      <w:bookmarkEnd w:id="15"/>
    </w:p>
    <w:p>
      <w:pPr>
        <w:ind w:firstLine="560" w:firstLineChars="200"/>
        <w:rPr>
          <w:rFonts w:ascii="仿宋" w:eastAsia="仿宋" w:hAnsi="仿宋" w:cs="仿宋" w:hint="eastAsia"/>
          <w:sz w:val="28"/>
        </w:rPr>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当前，关键领域和前沿方向的信息技术、新能源、新材料、生物技术等正经历着革命性的突破，同时这些领域之间也正在发生交叉融合。这将引发一场全新的产业变革，对全球制造业带来颠覆性的影响，逐步改变着全球制造业的格局。尤其值得注意的是，新一代信息技术与制造业的深度融合将推动制造模式、生产组织方式以及产业形态的彻底变革。发达国家如德国的工业4.0、美国的工业互联网、法国的新工业等，都以建立制造业竞争优势为目标，正在加快在信息基础设施、核心技术产业、数据战略资产以及以智能制造为核心的网络经济体系等领域进行战略布局，以保持技术和产业领域的领先地位，稳占全球价值链高端制造领域的有利地位。这无疑对我国的产业结构升级提出了挑战，然而与此同时，也为我国制造业的发展提供了重要的契机。</w:t>
      </w:r>
    </w:p>
    <w:p>
      <w:pPr>
        <w:pStyle w:val="Heading2"/>
        <w:ind w:firstLine="560" w:firstLineChars="200"/>
        <w:rPr>
          <w:rFonts w:ascii="仿宋" w:eastAsia="仿宋" w:hAnsi="仿宋" w:cs="仿宋" w:hint="eastAsia"/>
          <w:sz w:val="28"/>
          <w:lang w:eastAsia="zh-CN"/>
        </w:rPr>
      </w:pPr>
      <w:bookmarkStart w:id="16" w:name="_Toc14934"/>
      <w:r>
        <w:rPr>
          <w:rFonts w:ascii="仿宋" w:eastAsia="仿宋" w:hAnsi="仿宋" w:cs="仿宋" w:hint="eastAsia"/>
          <w:sz w:val="28"/>
          <w:lang w:eastAsia="zh-CN"/>
        </w:rPr>
        <w:t>(六)、产品方案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本红参提取物项目投产后的生产经营范围是：红参提取物相关行业及衍生产业。</w:t>
      </w:r>
    </w:p>
    <w:p>
      <w:pPr>
        <w:pStyle w:val="Heading2"/>
        <w:ind w:firstLine="560" w:firstLineChars="200"/>
        <w:rPr>
          <w:rFonts w:ascii="仿宋" w:eastAsia="仿宋" w:hAnsi="仿宋" w:cs="仿宋" w:hint="eastAsia"/>
          <w:sz w:val="28"/>
          <w:lang w:eastAsia="zh-CN"/>
        </w:rPr>
      </w:pPr>
      <w:bookmarkStart w:id="17" w:name="_Toc24636"/>
      <w:r>
        <w:rPr>
          <w:rFonts w:ascii="仿宋" w:eastAsia="仿宋" w:hAnsi="仿宋" w:cs="仿宋" w:hint="eastAsia"/>
          <w:sz w:val="28"/>
          <w:lang w:eastAsia="zh-CN"/>
        </w:rPr>
        <w:t>(七)、红参提取物项目总投资估算</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红参提取物相关项目固定资产投资：XXXXX万元。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流动资金：XXXXX万元。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红参提取物项目总投资：XXXXX万元人。</w:t>
      </w:r>
    </w:p>
    <w:p>
      <w:pPr>
        <w:pStyle w:val="Heading2"/>
        <w:ind w:firstLine="560" w:firstLineChars="200"/>
        <w:rPr>
          <w:rFonts w:ascii="仿宋" w:eastAsia="仿宋" w:hAnsi="仿宋" w:cs="仿宋" w:hint="eastAsia"/>
          <w:sz w:val="28"/>
          <w:lang w:eastAsia="zh-CN"/>
        </w:rPr>
      </w:pPr>
      <w:bookmarkStart w:id="18" w:name="_Toc5114"/>
      <w:r>
        <w:rPr>
          <w:rFonts w:ascii="仿宋" w:eastAsia="仿宋" w:hAnsi="仿宋" w:cs="仿宋" w:hint="eastAsia"/>
          <w:sz w:val="28"/>
          <w:lang w:eastAsia="zh-CN"/>
        </w:rPr>
        <w:t>(八)、红参提取物项目工艺技术装备方案的选择</w:t>
      </w:r>
      <w:bookmarkEnd w:id="18"/>
    </w:p>
    <w:p>
      <w:pPr>
        <w:ind w:firstLine="560" w:firstLineChars="200"/>
        <w:rPr>
          <w:rFonts w:ascii="仿宋" w:eastAsia="仿宋" w:hAnsi="仿宋" w:cs="仿宋" w:hint="eastAsia"/>
          <w:sz w:val="28"/>
        </w:rPr>
        <w:sectPr>
          <w:headerReference w:type="default" r:id="rId29"/>
          <w:footerReference w:type="default" r:id="rId30"/>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本方案已经达到目前国内较为先进的水平，是根据“保护环境和节约能源”的原则，在调研分析的基础上综合考虑而得出的。</w:t>
      </w:r>
    </w:p>
    <w:p>
      <w:pPr>
        <w:pStyle w:val="Heading2"/>
        <w:ind w:firstLine="560" w:firstLineChars="200"/>
        <w:rPr>
          <w:rFonts w:ascii="仿宋" w:eastAsia="仿宋" w:hAnsi="仿宋" w:cs="仿宋" w:hint="eastAsia"/>
          <w:sz w:val="28"/>
          <w:lang w:eastAsia="zh-CN"/>
        </w:rPr>
      </w:pPr>
      <w:bookmarkStart w:id="19" w:name="_Toc25890"/>
      <w:r>
        <w:rPr>
          <w:rFonts w:ascii="仿宋" w:eastAsia="仿宋" w:hAnsi="仿宋" w:cs="仿宋" w:hint="eastAsia"/>
          <w:sz w:val="28"/>
          <w:lang w:eastAsia="zh-CN"/>
        </w:rPr>
        <w:t>(九)、红参提取物项目实施进度建议</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红参提取物项目建设期：XX个月。</w:t>
      </w:r>
    </w:p>
    <w:p>
      <w:pPr>
        <w:pStyle w:val="Heading2"/>
        <w:ind w:firstLine="560" w:firstLineChars="200"/>
        <w:rPr>
          <w:rFonts w:ascii="仿宋" w:eastAsia="仿宋" w:hAnsi="仿宋" w:cs="仿宋" w:hint="eastAsia"/>
          <w:sz w:val="28"/>
          <w:lang w:eastAsia="zh-CN"/>
        </w:rPr>
      </w:pPr>
      <w:bookmarkStart w:id="20" w:name="_Toc22132"/>
      <w:r>
        <w:rPr>
          <w:rFonts w:ascii="仿宋" w:eastAsia="仿宋" w:hAnsi="仿宋" w:cs="仿宋" w:hint="eastAsia"/>
          <w:sz w:val="28"/>
          <w:lang w:eastAsia="zh-CN"/>
        </w:rPr>
        <w:t>(十)、红参提取物相关研究结论</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随着我国国民经济持续高速发展，市场对于红参提取物的需求正呈现持续增长的态势。本红参提取物项目的构建不仅契合国家产业政策和行业发展蓝图，同时也在预测中显示，红参提取物在国内市场上将拥有广阔的销售空间。这为红参提取物项目的前景描绘了一幅充满希望的画卷，市场潜力则显得十分巨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我们计划在位于xxx开发区进行红参提取物项目建设，这一选址决策严格遵循了工业红参提取物项目用地规划。而且，开发区交通运输便利，为红参提取物项目的顺利推进提供了有力的支持。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本红参提取物项目拟投资总额预计为xxxxx万元。其中，固定资产投资占据xxxxx万元，而流动资金方面预计达到xxxxx万元。一旦红参提取物项目启动实施，预测企业年销售收入将达到xxxxx万元，年利税收入将达到xxxxx万元。具体分析表明，年度预期纯利润将达到xxxxx万元，而预计纳税总额则可达到xxxxx万元。从经济角度来看，红参提取物项目税后平均投资利润率预计将达到xxxxx%，税后平均投资利税率将为xxxxx%，而全部投资回报率有望达到xxxxx%。此外，全部投资回收期预计将在（含建设期）年内完成。</w:t>
      </w:r>
    </w:p>
    <w:p>
      <w:pPr>
        <w:ind w:firstLine="560" w:firstLineChars="200"/>
        <w:rPr>
          <w:rFonts w:ascii="仿宋" w:eastAsia="仿宋" w:hAnsi="仿宋" w:cs="仿宋" w:hint="eastAsia"/>
          <w:sz w:val="28"/>
        </w:rPr>
        <w:sectPr>
          <w:headerReference w:type="default" r:id="rId31"/>
          <w:footerReference w:type="default" r:id="rId32"/>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以上数据的分析和综合，清楚地揭示了红参提取物项目实施的巨大潜力和较佳的经济效益。综合上述因素，我们可以得出结论，红参提取物项目的可行性充分验证。</w:t>
      </w:r>
    </w:p>
    <w:p>
      <w:pPr>
        <w:pStyle w:val="Heading2"/>
        <w:ind w:firstLine="560" w:firstLineChars="200"/>
        <w:rPr>
          <w:rFonts w:ascii="仿宋" w:eastAsia="仿宋" w:hAnsi="仿宋" w:cs="仿宋" w:hint="eastAsia"/>
          <w:sz w:val="28"/>
          <w:lang w:eastAsia="zh-CN"/>
        </w:rPr>
      </w:pPr>
      <w:bookmarkStart w:id="21" w:name="_Toc5709"/>
      <w:r>
        <w:rPr>
          <w:rFonts w:ascii="仿宋" w:eastAsia="仿宋" w:hAnsi="仿宋" w:cs="仿宋" w:hint="eastAsia"/>
          <w:sz w:val="28"/>
          <w:lang w:eastAsia="zh-CN"/>
        </w:rPr>
        <w:t>(十一)、红参提取物项目规划及市场分析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根据国内市场需求状况，本红参提取物项目的规划产品为红参提取物。该产品主要应用于XXXX领域。我国是人口大国，近几年对红参提取物的消费量迅速增长，为红参提取物提供了更为广阔的市场前景，同时也为该领域的发展做出了积极的贡献。</w:t>
      </w:r>
    </w:p>
    <w:p>
      <w:pPr>
        <w:pStyle w:val="Heading1"/>
        <w:ind w:firstLine="560" w:firstLineChars="200"/>
        <w:rPr>
          <w:rFonts w:ascii="仿宋" w:eastAsia="仿宋" w:hAnsi="仿宋" w:cs="仿宋" w:hint="eastAsia"/>
          <w:sz w:val="28"/>
          <w:lang w:eastAsia="zh-CN"/>
        </w:rPr>
      </w:pPr>
      <w:bookmarkStart w:id="22" w:name="_Toc5315"/>
      <w:r>
        <w:rPr>
          <w:rFonts w:ascii="仿宋" w:eastAsia="仿宋" w:hAnsi="仿宋" w:cs="仿宋" w:hint="eastAsia"/>
          <w:sz w:val="28"/>
          <w:lang w:eastAsia="zh-CN"/>
        </w:rPr>
        <w:t>四、红参提取物项目综合评价</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经过深入、细致的市场调查和政策咨询，充分了解了当前市场和政策环境后，认定红参提取物项目不仅符合国家的产业政策，与地方产品规划相吻合，同时也符合公司经营发展的长远宗旨，具有广阔的市场空间和良好的发展前景，有望成为公司未来的主要利润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的生产所需原料易于获取，技术成熟可靠，市场广阔，可以确保产品的销售渠道畅通和价格稳定。不仅有望为公司带来丰厚的经济效益，同时还将产生显著的社会效益，为地方经济发展和人民生活水平提升做出积极贡献。</w:t>
      </w:r>
    </w:p>
    <w:p>
      <w:pPr>
        <w:ind w:firstLine="560" w:firstLineChars="200"/>
        <w:rPr>
          <w:rFonts w:ascii="仿宋" w:eastAsia="仿宋" w:hAnsi="仿宋" w:cs="仿宋" w:hint="eastAsia"/>
          <w:sz w:val="28"/>
        </w:rPr>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经过市场调查和分析，本红参提取物项目具有清晰的市场定位和目标客户群体，能够满足消费者的需求和预期。同时，环境保护分析表明，本红参提取物项目的生产过程符合环保要求，不会对环境造成不良影响。投资分析表明，本红参提取物项目的投资回报率高，投资回收期短，具有较高的投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本红参提取物项目所需的水、电、气等公用工程及配套设施齐全，能够满足红参提取物项目生产的需要。工艺技术和主要设备选型方案分析表明，本红参提取物项目采用的技术和设备成熟、可靠，能够保证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红参提取物项目具有明显的市场优势和良好的经济效益和社会效益，是一个值得投资和发展的红参提取物项目。</w:t>
      </w:r>
    </w:p>
    <w:p>
      <w:pPr>
        <w:pStyle w:val="Heading2"/>
        <w:ind w:firstLine="560" w:firstLineChars="200"/>
        <w:rPr>
          <w:rFonts w:ascii="仿宋" w:eastAsia="仿宋" w:hAnsi="仿宋" w:cs="仿宋" w:hint="eastAsia"/>
          <w:sz w:val="28"/>
          <w:lang w:eastAsia="zh-CN"/>
        </w:rPr>
      </w:pPr>
      <w:bookmarkStart w:id="23" w:name="_Toc13072"/>
      <w:r>
        <w:rPr>
          <w:rFonts w:ascii="仿宋" w:eastAsia="仿宋" w:hAnsi="仿宋" w:cs="仿宋" w:hint="eastAsia"/>
          <w:sz w:val="28"/>
          <w:lang w:eastAsia="zh-CN"/>
        </w:rPr>
        <w:t>(一)、红参提取物项目建设期总体设计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红参提取物项目的计划时间跨度为XXX个月。从红参提取物项目可行性研究报告的编制起，一直延伸到工程竣工验收并投入运营，预计整个过程将耗时约XXX个月。在这期间，我们将同时进行土建施工和设备安装，同时紧密关注施工计划的制定、人员的招聘与培训等各项关键工作。所有这些步骤都将有序进行，以确保工程完成后能够顺利投产并正常运营。</w:t>
      </w:r>
    </w:p>
    <w:p>
      <w:pPr>
        <w:pStyle w:val="Heading2"/>
        <w:ind w:firstLine="560" w:firstLineChars="200"/>
        <w:rPr>
          <w:rFonts w:ascii="仿宋" w:eastAsia="仿宋" w:hAnsi="仿宋" w:cs="仿宋" w:hint="eastAsia"/>
          <w:sz w:val="28"/>
          <w:lang w:eastAsia="zh-CN"/>
        </w:rPr>
      </w:pPr>
      <w:bookmarkStart w:id="24" w:name="_Toc20499"/>
      <w:r>
        <w:rPr>
          <w:rFonts w:ascii="仿宋" w:eastAsia="仿宋" w:hAnsi="仿宋" w:cs="仿宋" w:hint="eastAsia"/>
          <w:sz w:val="28"/>
          <w:lang w:eastAsia="zh-CN"/>
        </w:rPr>
        <w:t>(二)、红参提取物项目实施保障措施</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实施红参提取物项目的保障措施如下：</w:t>
      </w:r>
    </w:p>
    <w:p>
      <w:pPr>
        <w:ind w:firstLine="560" w:firstLineChars="200"/>
        <w:rPr>
          <w:rFonts w:ascii="仿宋" w:eastAsia="仿宋" w:hAnsi="仿宋" w:cs="仿宋" w:hint="eastAsia"/>
          <w:sz w:val="28"/>
        </w:rPr>
        <w:sectPr>
          <w:headerReference w:type="default" r:id="rId35"/>
          <w:footerReference w:type="default" r:id="rId36"/>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组织管理保障：我们将建立完善的组织管理体系，制定详细的红参提取物项目实施计划和时间表，并明确每个成员的职责和任务。同时，定期召开红参提取物项目进展会议，及时了解红参提取物项目进展情况并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2、技术支持保障：我们将提供专业的技术支持，包括相关领域的专家指导和解决方案，以确保红参提取物项目的技术实现和稳定运行。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3、人力资源保障：我们将提供充足的人力资源，确保红参提取物项目团队成员具备必要的技能和经验，并定期进行培训和技能提升。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4、资金保障：我们将为红参提取物项目提供充足的资金支持，确保及时支付红参提取物项目的各项开支。</w:t>
      </w:r>
    </w:p>
    <w:p>
      <w:pPr>
        <w:ind w:firstLine="560" w:firstLineChars="200"/>
        <w:rPr>
          <w:rFonts w:ascii="仿宋" w:eastAsia="仿宋" w:hAnsi="仿宋" w:cs="仿宋" w:hint="eastAsia"/>
          <w:sz w:val="28"/>
        </w:rPr>
      </w:pPr>
      <w:r>
        <w:rPr>
          <w:rFonts w:ascii="仿宋" w:eastAsia="仿宋" w:hAnsi="仿宋" w:cs="仿宋" w:hint="eastAsia"/>
          <w:sz w:val="28"/>
          <w:lang w:eastAsia="zh-CN"/>
        </w:rPr>
        <w:t>5、风险管理保障：我们将制定完善的风险管理计划，预测并应对红参提取物项目实施过程中可能出现的问题，确保红参提取物项目的稳定进行。</w:t>
      </w:r>
    </w:p>
    <w:p>
      <w:pPr>
        <w:pStyle w:val="Heading1"/>
        <w:ind w:firstLine="560" w:firstLineChars="200"/>
        <w:rPr>
          <w:rFonts w:ascii="仿宋" w:eastAsia="仿宋" w:hAnsi="仿宋" w:cs="仿宋" w:hint="eastAsia"/>
          <w:sz w:val="28"/>
          <w:lang w:eastAsia="zh-CN"/>
        </w:rPr>
      </w:pPr>
      <w:bookmarkStart w:id="25" w:name="_Toc633"/>
      <w:r>
        <w:rPr>
          <w:rFonts w:ascii="仿宋" w:eastAsia="仿宋" w:hAnsi="仿宋" w:cs="仿宋" w:hint="eastAsia"/>
          <w:sz w:val="28"/>
          <w:lang w:eastAsia="zh-CN"/>
        </w:rPr>
        <w:t>五、物资采购和管理</w:t>
      </w:r>
      <w:bookmarkEnd w:id="25"/>
    </w:p>
    <w:p>
      <w:pPr>
        <w:pStyle w:val="Heading2"/>
        <w:rPr>
          <w:rFonts w:ascii="仿宋" w:eastAsia="仿宋" w:hAnsi="仿宋" w:cs="仿宋" w:hint="eastAsia"/>
          <w:lang w:eastAsia="zh-CN"/>
        </w:rPr>
      </w:pPr>
      <w:bookmarkStart w:id="26" w:name="_Toc15206"/>
      <w:r>
        <w:rPr>
          <w:rFonts w:ascii="仿宋" w:eastAsia="仿宋" w:hAnsi="仿宋" w:cs="仿宋" w:hint="eastAsia"/>
          <w:lang w:eastAsia="zh-CN"/>
        </w:rPr>
        <w:t>(一)、物资采购的程序和标准</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采购程序：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需求确认：明确物资采购的需求，包括数量、规格、质量要求等，与相关部门和人员进行沟通和确认，确保采购的准确性和满足性。</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供应商选择：根据采购需求，进行供应商的筛选和评估，考虑供应商的信誉、价格、交货能力等因素，选择合适的供应商进行采购。</w:t>
      </w:r>
    </w:p>
    <w:p>
      <w:pPr>
        <w:ind w:firstLine="560" w:firstLineChars="200"/>
        <w:rPr>
          <w:rFonts w:ascii="仿宋" w:eastAsia="仿宋" w:hAnsi="仿宋" w:cs="仿宋" w:hint="eastAsia"/>
          <w:sz w:val="28"/>
        </w:rPr>
      </w:pPr>
      <w:r>
        <w:rPr>
          <w:rFonts w:ascii="仿宋" w:eastAsia="仿宋" w:hAnsi="仿宋" w:cs="仿宋" w:hint="eastAsia"/>
          <w:sz w:val="28"/>
          <w:lang w:eastAsia="zh-CN"/>
        </w:rPr>
        <w:t>报价和谈判：向供应商索取报价，进行价格谈判和合同条款的商议，确保采购的价格合理和合同条款明确。</w:t>
      </w:r>
    </w:p>
    <w:p>
      <w:pPr>
        <w:ind w:firstLine="560" w:firstLineChars="200"/>
        <w:rPr>
          <w:rFonts w:ascii="仿宋" w:eastAsia="仿宋" w:hAnsi="仿宋" w:cs="仿宋" w:hint="eastAsia"/>
          <w:sz w:val="28"/>
        </w:rPr>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订单确认：根据谈判结果，与供应商签订采购订单，明确物资的数量、价格、交货时间等，确保采购的准确性和合法性。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交货和验收：监督供应商按照订单要求进行物资的交货，进行验收和质量检查，确保物资的质量和符合要求。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结算和支付：根据供应商提供的发票和交货单据，进行结算和支付，确保采购的合规性和及时性。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质量标准：明确物资采购的质量标准和要求，包括产品的质量认证、检验标准、合规要求等，确保采购的物资符合质量标准。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价格标准：根据市场行情和供需情况，制定合理的价格标准，确保采购的价格合理和公平。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交货期标准：明确物资采购的交货期要求，与供应商协商确定合理的交货时间，确保采购的及时性和供应链的顺畅性。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合规标准：遵守相关法律法规和政策要求，包括环境保护、劳工权益、知识产权等方面的合规标准，确保采购的合法性和道德性。</w:t>
      </w:r>
    </w:p>
    <w:p>
      <w:pPr>
        <w:ind w:firstLine="560" w:firstLineChars="200"/>
        <w:rPr>
          <w:rFonts w:ascii="仿宋" w:eastAsia="仿宋" w:hAnsi="仿宋" w:cs="仿宋" w:hint="eastAsia"/>
          <w:sz w:val="28"/>
        </w:rPr>
      </w:pPr>
      <w:r>
        <w:rPr>
          <w:rFonts w:ascii="仿宋" w:eastAsia="仿宋" w:hAnsi="仿宋" w:cs="仿宋" w:hint="eastAsia"/>
          <w:sz w:val="28"/>
          <w:lang w:eastAsia="zh-CN"/>
        </w:rPr>
        <w:t>注意事项和建议：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供应商评估：建立供应商评估机制，定期对供应商进行评估和监督，确保供应商的稳定性和可靠性。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合同管理：建立健全的合同管理制度，明确合同条款和责任，加强对合同履行的监督和管理。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风险管理：识别和评估采购过程中的风险，制定相应的风险管理措施，减少采购风险对红参提取物项目的影响。</w:t>
      </w:r>
    </w:p>
    <w:p>
      <w:pPr>
        <w:ind w:firstLine="560" w:firstLineChars="200"/>
        <w:rPr>
          <w:rFonts w:ascii="仿宋" w:eastAsia="仿宋" w:hAnsi="仿宋" w:cs="仿宋" w:hint="eastAsia"/>
          <w:sz w:val="28"/>
        </w:rPr>
        <w:sectPr>
          <w:headerReference w:type="default" r:id="rId39"/>
          <w:footerReference w:type="default" r:id="rId40"/>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信息化支持：利用信息化技术，建立物资采购的信息管理系统，提高采购流程的效率和透明度。</w:t>
      </w:r>
    </w:p>
    <w:p>
      <w:pPr>
        <w:pStyle w:val="Heading2"/>
        <w:ind w:firstLine="560" w:firstLineChars="200"/>
        <w:rPr>
          <w:rFonts w:ascii="仿宋" w:eastAsia="仿宋" w:hAnsi="仿宋" w:cs="仿宋" w:hint="eastAsia"/>
          <w:sz w:val="28"/>
          <w:lang w:eastAsia="zh-CN"/>
        </w:rPr>
      </w:pPr>
      <w:bookmarkStart w:id="27" w:name="_Toc6897"/>
      <w:r>
        <w:rPr>
          <w:rFonts w:ascii="仿宋" w:eastAsia="仿宋" w:hAnsi="仿宋" w:cs="仿宋" w:hint="eastAsia"/>
          <w:sz w:val="28"/>
          <w:lang w:eastAsia="zh-CN"/>
        </w:rPr>
        <w:t>(二)、物资管理的措施和办法</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物资分类和编码：</w:t>
      </w:r>
    </w:p>
    <w:p>
      <w:pPr>
        <w:ind w:firstLine="560" w:firstLineChars="200"/>
        <w:rPr>
          <w:rFonts w:ascii="仿宋" w:eastAsia="仿宋" w:hAnsi="仿宋" w:cs="仿宋" w:hint="eastAsia"/>
          <w:sz w:val="28"/>
        </w:rPr>
      </w:pPr>
      <w:r>
        <w:rPr>
          <w:rFonts w:ascii="仿宋" w:eastAsia="仿宋" w:hAnsi="仿宋" w:cs="仿宋" w:hint="eastAsia"/>
          <w:sz w:val="28"/>
          <w:lang w:eastAsia="zh-CN"/>
        </w:rPr>
        <w:t>分类体系：建立适合红参提取物项目需求的物资分类体系，根据物资的属性、用途、特性等进行分类，便于管理和查询。</w:t>
      </w:r>
    </w:p>
    <w:p>
      <w:pPr>
        <w:ind w:firstLine="560" w:firstLineChars="200"/>
        <w:rPr>
          <w:rFonts w:ascii="仿宋" w:eastAsia="仿宋" w:hAnsi="仿宋" w:cs="仿宋" w:hint="eastAsia"/>
          <w:sz w:val="28"/>
        </w:rPr>
      </w:pPr>
      <w:r>
        <w:rPr>
          <w:rFonts w:ascii="仿宋" w:eastAsia="仿宋" w:hAnsi="仿宋" w:cs="仿宋" w:hint="eastAsia"/>
          <w:sz w:val="28"/>
          <w:lang w:eastAsia="zh-CN"/>
        </w:rPr>
        <w:t>编码系统：制定统一的物资编码系统，为每种物资分配唯一的编码，方便识别、追踪和管理。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定期盘点：制定定期盘点计划，对库存物资进行周期性盘点，确保库存数据的准确性和及时性。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安全库存：根据需求和供应链情况，确定合理的安全库存水平，以应对突发情况和供应不确定性。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物资跟踪：建立物资跟踪系统，追踪物资的入库、出库和流转情况，及时了解库存状况和物资使用情况。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采购计划和供应链管理：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采购计划：制定合理的采购计划，根据红参提取物项目需求和库存情况，合理安排物资的采购时间和数量。</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供应链合作：与供应商建立良好的合作关系，加强沟通和协调，确保物资供应的及时性和稳定性。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w:t>
      </w:r>
    </w:p>
    <w:p>
      <w:pPr>
        <w:ind w:firstLine="560" w:firstLineChars="200"/>
        <w:rPr>
          <w:rFonts w:ascii="仿宋" w:eastAsia="仿宋" w:hAnsi="仿宋" w:cs="仿宋" w:hint="eastAsia"/>
          <w:sz w:val="28"/>
        </w:rPr>
        <w:sectPr>
          <w:headerReference w:type="default" r:id="rId41"/>
          <w:footerReference w:type="default" r:id="rId42"/>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质量控制：建立质量控制体系，包括物资的质量检验、抽样检测等，确保物资的质量符合要求。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不合格品处理：建立不合格品处理流程，对不合格品进行分类、记录和处理，防止不合格品流入使用环节。</w:t>
      </w:r>
    </w:p>
    <w:p>
      <w:pPr>
        <w:ind w:firstLine="560" w:firstLineChars="200"/>
        <w:rPr>
          <w:rFonts w:ascii="仿宋" w:eastAsia="仿宋" w:hAnsi="仿宋" w:cs="仿宋" w:hint="eastAsia"/>
          <w:sz w:val="28"/>
        </w:rPr>
      </w:pPr>
      <w:r>
        <w:rPr>
          <w:rFonts w:ascii="仿宋" w:eastAsia="仿宋" w:hAnsi="仿宋" w:cs="仿宋" w:hint="eastAsia"/>
          <w:sz w:val="28"/>
          <w:lang w:eastAsia="zh-CN"/>
        </w:rPr>
        <w:t>报废和处置：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报废管理：建立报废物资的管理程序，对过期、损坏或无法使用的物资进行及时报废处理，避免资源浪费和库存积压。</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环境友好处置：根据物资的性质和特点，选择合适的环境友好的处置方式，如回收利用、再利用等，降低对环境的影响。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技术支持和信息化：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技术支持：引入适当的物资管理技术和工具，如条码识别、RFID等，提高物资管理的效率和准确性。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信息化系统：建立物资管理的信息化系统，实现物资信息的集中管理、查询和分析，提升管理的智能化和科学化。</w:t>
      </w:r>
    </w:p>
    <w:p>
      <w:pPr>
        <w:pStyle w:val="Heading2"/>
        <w:ind w:firstLine="560" w:firstLineChars="200"/>
        <w:rPr>
          <w:rFonts w:ascii="仿宋" w:eastAsia="仿宋" w:hAnsi="仿宋" w:cs="仿宋" w:hint="eastAsia"/>
          <w:sz w:val="28"/>
          <w:lang w:eastAsia="zh-CN"/>
        </w:rPr>
      </w:pPr>
      <w:bookmarkStart w:id="28" w:name="_Toc11592"/>
      <w:r>
        <w:rPr>
          <w:rFonts w:ascii="仿宋" w:eastAsia="仿宋" w:hAnsi="仿宋" w:cs="仿宋" w:hint="eastAsia"/>
          <w:sz w:val="28"/>
          <w:lang w:eastAsia="zh-CN"/>
        </w:rPr>
        <w:t>(三)、物资质量和库存的控制和监督</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质量控制和监督：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质量标准：明确物资的质量标准和要求，包括产品的质量认证、检验标准、合规要求等，确保物资的质量符合标准。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质量检验：建立质量检验程序和流程，对进货物资进行抽样检测、实验室测试等，确保物资的质量符合要求。</w:t>
      </w:r>
    </w:p>
    <w:p>
      <w:pPr>
        <w:ind w:firstLine="560" w:firstLineChars="200"/>
        <w:rPr>
          <w:rFonts w:ascii="仿宋" w:eastAsia="仿宋" w:hAnsi="仿宋" w:cs="仿宋" w:hint="eastAsia"/>
          <w:sz w:val="28"/>
        </w:rPr>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不合格品处理：建立不合格品处理流程，对不符合质量标准的物资进行分类、记录和处理，防止不合格品流入使用环节。</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供应商评估：建立供应商质量评估机制，对供应商的质量管理能力进行评估和监督，确保供应商提供的物资符合质量标准。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库存控制和监督：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定期盘点：制定定期盘点计划，对库存物资进行周期性盘点，确保库存数据的准确性和及时性。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安全库存：根据需求和供应链情况，确定合理的安全库存水平，以应对突发情况和供应不确定性。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物资跟踪：建立物资跟踪系统，追踪物资的入库、出库和流转情况，及时了解库存状况和物资使用情况。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库存优化：通过优化库存管理策略，如采用先进的库存管理模型和技术，合理控制物资的进货、出货和补货，降低库存成本和风险。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监督措施和建议：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内部监督机制：建立内部监督机制，包括设立专门的物资管理部门或岗位，明确责任和权限，加强对物资质量和库存的监督和管理。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外部监督和认证：与第三方机构合作，进行物资质量的外部监督和认证，确保物资符合国家标准和法规要求。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数据分析和报告：利用数据分析工具和技术，对物资质量和库存数据进行分析和报告，发现问题和改进机会，提高管理决策的科学性和准确性。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培训和培养：</w:t>
      </w:r>
    </w:p>
    <w:p>
      <w:pPr>
        <w:ind w:firstLine="560" w:firstLineChars="200"/>
        <w:rPr>
          <w:rFonts w:ascii="仿宋" w:eastAsia="仿宋" w:hAnsi="仿宋" w:cs="仿宋" w:hint="eastAsia"/>
          <w:sz w:val="28"/>
        </w:rPr>
        <w:sectPr>
          <w:headerReference w:type="default" r:id="rId45"/>
          <w:footerReference w:type="default" r:id="rId46"/>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培训计划：制定物资质量和库存管理的培训计划，对相关人员进行培训，提升其质量控制和库存管理的专业能力。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培养团队文化：建立积极的团队文化，强调质量意识和库存管理的重要性，激发团队成员的积极性和责任感。</w:t>
      </w:r>
    </w:p>
    <w:p>
      <w:pPr>
        <w:pStyle w:val="Heading1"/>
        <w:ind w:firstLine="560" w:firstLineChars="200"/>
        <w:rPr>
          <w:rFonts w:ascii="仿宋" w:eastAsia="仿宋" w:hAnsi="仿宋" w:cs="仿宋" w:hint="eastAsia"/>
          <w:sz w:val="28"/>
          <w:lang w:eastAsia="zh-CN"/>
        </w:rPr>
      </w:pPr>
      <w:bookmarkStart w:id="29" w:name="_Toc13199"/>
      <w:r>
        <w:rPr>
          <w:rFonts w:ascii="仿宋" w:eastAsia="仿宋" w:hAnsi="仿宋" w:cs="仿宋" w:hint="eastAsia"/>
          <w:sz w:val="28"/>
          <w:lang w:eastAsia="zh-CN"/>
        </w:rPr>
        <w:t>六、数字化转型和智能化升级</w:t>
      </w:r>
      <w:bookmarkEnd w:id="29"/>
    </w:p>
    <w:p>
      <w:pPr>
        <w:pStyle w:val="Heading2"/>
        <w:rPr>
          <w:rFonts w:ascii="仿宋" w:eastAsia="仿宋" w:hAnsi="仿宋" w:cs="仿宋" w:hint="eastAsia"/>
          <w:lang w:eastAsia="zh-CN"/>
        </w:rPr>
      </w:pPr>
      <w:bookmarkStart w:id="30" w:name="_Toc14403"/>
      <w:r>
        <w:rPr>
          <w:rFonts w:ascii="仿宋" w:eastAsia="仿宋" w:hAnsi="仿宋" w:cs="仿宋" w:hint="eastAsia"/>
          <w:lang w:eastAsia="zh-CN"/>
        </w:rPr>
        <w:t>(一)、数字化转型和智能化升级的概念和实践</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概念：数字化转型是指将传统业务模式和业务流程转变为数字化模式和数字化流程，通过数字技术和信息化手段，提高业务效率和创新能力，实现商业目标和可持续发展。智能化升级是指将数字化转型进一步升级为智能化模式，通过人工智能、大数据、物联网等技术，实现业务自动化、智能化和个性化，提高商业价值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实践：数字化转型和智能化升级的实践需要从以下几个方面入手：</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技术应用：采用先进的数字技术和信息化手段，如云计算、大数据、人工智能、物联网等，实现数字化转型和智能化升级，提高业务效率和创新能力，降低成本和风险。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数据管理：建立完善的数据管理体系，包括数据采集、数据存储、数据处理和数据分析等环节，实现数据的高效管理和价值挖掘，为数字化转型和智能化升级提供数据支撑和决策依据。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业务流程优化：通过数字化转型和智能化升级，对传统业务流程进行优化和升级，实现业务的自动化、智能化和个性化，提高业务效率和用户体验，同时降低成本和风险。</w:t>
      </w:r>
    </w:p>
    <w:p>
      <w:pPr>
        <w:ind w:firstLine="560" w:firstLineChars="200"/>
        <w:rPr>
          <w:rFonts w:ascii="仿宋" w:eastAsia="仿宋" w:hAnsi="仿宋" w:cs="仿宋" w:hint="eastAsia"/>
          <w:sz w:val="28"/>
        </w:rPr>
        <w:sectPr>
          <w:headerReference w:type="default" r:id="rId47"/>
          <w:footerReference w:type="default" r:id="rId48"/>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组织变革：数字化转型和智能化升级需要进行组织变革，包括建立数字化文化和智能化文化，调整组织架构和人员配置，培养数字化和智能化人才，实现数字化转型和智能化升级的有序推进。</w:t>
      </w:r>
    </w:p>
    <w:p>
      <w:pPr>
        <w:pStyle w:val="Heading2"/>
        <w:ind w:firstLine="560" w:firstLineChars="200"/>
        <w:rPr>
          <w:rFonts w:ascii="仿宋" w:eastAsia="仿宋" w:hAnsi="仿宋" w:cs="仿宋" w:hint="eastAsia"/>
          <w:sz w:val="28"/>
          <w:lang w:eastAsia="zh-CN"/>
        </w:rPr>
      </w:pPr>
      <w:bookmarkStart w:id="31" w:name="_Toc13630"/>
      <w:r>
        <w:rPr>
          <w:rFonts w:ascii="仿宋" w:eastAsia="仿宋" w:hAnsi="仿宋" w:cs="仿宋" w:hint="eastAsia"/>
          <w:sz w:val="28"/>
          <w:lang w:eastAsia="zh-CN"/>
        </w:rPr>
        <w:t>(二)、数字化和智能化对红参提取物项目发展的影响和前景</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影响：数字化和智能化对红参提取物项目发展的影响主要体现在以下几个方面：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业务模式创新：数字化和智能化为红参提取物项目带来了全新的业务模式和商业机会，如数字化营销、智能化客户服务、智能化生产制造等，为红参提取物项目带来了更多的商业价值和市场竞争力。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业务效率提升：数字化和智能化可以实现业务的自动化、智能化和个性化，提高业务效率和用户体验，同时降低成本和风险，为红参提取物项目带来了更高的效益和可持续发展。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数据管理和分析：数字化和智能化需要建立完善的数据管理和分析体系，通过数据挖掘和分析，实现业务的精细化管理和决策支持，为红参提取物项目带来更多的商业价值和市场竞争力。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组织变革和人才培养：数字化和智能化需要进行组织变革和人才培养，建立数字化和智能化文化，调整组织架构和人员配置，培养数字化和智能化人才，为红参提取物项目带来更好的发展前景和可持续发展。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前景：数字化和智能化对红参提取物项目的发展前景非常广阔，主要体现在以下几个方面：</w:t>
      </w:r>
    </w:p>
    <w:p>
      <w:pPr>
        <w:ind w:firstLine="560" w:firstLineChars="200"/>
        <w:rPr>
          <w:rFonts w:ascii="仿宋" w:eastAsia="仿宋" w:hAnsi="仿宋" w:cs="仿宋" w:hint="eastAsia"/>
          <w:sz w:val="28"/>
        </w:rPr>
        <w:sectPr>
          <w:headerReference w:type="default" r:id="rId49"/>
          <w:footerReference w:type="default" r:id="rId50"/>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市场竞争力提升：数字化和智能化可以提高红参提取物项目的市场竞争力，通过创新业务模式和提高业务效率，实现更好的商业价值和用户体验，赢得更多的市场份额和用户口碑。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可持续发展：数字化和智能化可以提高红参提取物项目的效益和可持续发展能力，通过降低成本和风险，实现更好的商业效益和社会效益，为红参提取物项目的长期发展奠定坚实的基础。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技术创新：数字化和智能化可以带来更多的技术创新和商业创新，通过不断地创新和变革，实现红参提取物项目的可持续发展和市场领先。</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人才培养：数字化和智能化需要培养更多的数字化和智能化人才，为红参提取物项目提供更好的人才保障和人才支持，为红参提取物项目的可持续发展和市场领先提供更好的保障和支持。</w:t>
      </w:r>
    </w:p>
    <w:p>
      <w:pPr>
        <w:pStyle w:val="Heading1"/>
        <w:ind w:firstLine="560" w:firstLineChars="200"/>
        <w:rPr>
          <w:rFonts w:ascii="仿宋" w:eastAsia="仿宋" w:hAnsi="仿宋" w:cs="仿宋" w:hint="eastAsia"/>
          <w:sz w:val="28"/>
          <w:lang w:eastAsia="zh-CN"/>
        </w:rPr>
      </w:pPr>
      <w:bookmarkStart w:id="32" w:name="_Toc26618"/>
      <w:r>
        <w:rPr>
          <w:rFonts w:ascii="仿宋" w:eastAsia="仿宋" w:hAnsi="仿宋" w:cs="仿宋" w:hint="eastAsia"/>
          <w:sz w:val="28"/>
          <w:lang w:eastAsia="zh-CN"/>
        </w:rPr>
        <w:t>七、工程设计方案</w:t>
      </w:r>
      <w:bookmarkEnd w:id="32"/>
    </w:p>
    <w:p>
      <w:pPr>
        <w:pStyle w:val="Heading2"/>
        <w:rPr>
          <w:rFonts w:ascii="仿宋" w:eastAsia="仿宋" w:hAnsi="仿宋" w:cs="仿宋" w:hint="eastAsia"/>
          <w:lang w:eastAsia="zh-CN"/>
        </w:rPr>
      </w:pPr>
      <w:bookmarkStart w:id="33" w:name="_Toc12782"/>
      <w:r>
        <w:rPr>
          <w:rFonts w:ascii="仿宋" w:eastAsia="仿宋" w:hAnsi="仿宋" w:cs="仿宋" w:hint="eastAsia"/>
          <w:lang w:eastAsia="zh-CN"/>
        </w:rPr>
        <w:t>(一)、总图布置</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红参提取物项目总体规划目标：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强调制定总体规划的目标和意义，如合理利用资源、提高效率、满足需求、实现可持续发展等。</w:t>
      </w:r>
    </w:p>
    <w:p>
      <w:pPr>
        <w:ind w:firstLine="560" w:firstLineChars="200"/>
        <w:rPr>
          <w:rFonts w:ascii="仿宋" w:eastAsia="仿宋" w:hAnsi="仿宋" w:cs="仿宋" w:hint="eastAsia"/>
          <w:sz w:val="28"/>
        </w:rPr>
      </w:pPr>
      <w:r>
        <w:rPr>
          <w:rFonts w:ascii="仿宋" w:eastAsia="仿宋" w:hAnsi="仿宋" w:cs="仿宋" w:hint="eastAsia"/>
          <w:sz w:val="28"/>
          <w:lang w:eastAsia="zh-CN"/>
        </w:rPr>
        <w:t>提醒红参提取物项目团队将红参提取物项目总体规划与红参提取物项目的目标和战略一致，确保规划的有效性和可行性。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地理位置和环境特点：</w:t>
      </w:r>
    </w:p>
    <w:p>
      <w:pPr>
        <w:ind w:firstLine="560" w:firstLineChars="200"/>
        <w:rPr>
          <w:rFonts w:ascii="仿宋" w:eastAsia="仿宋" w:hAnsi="仿宋" w:cs="仿宋" w:hint="eastAsia"/>
          <w:sz w:val="28"/>
        </w:rPr>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描述红参提取物项目所处的地理位置和环境特点，包括气候条件、地形地貌、自然资源等。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强调充分了解红参提取物项目所在地的特点和限制，为总体规划提供科学依据。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用地布局和功能划分：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提出合理的用地布局和功能划分方案，确保各个功能区域的相互协调和便利性。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强调考虑红参提取物项目的规模、功能需求、交通便捷性、环境保护等因素，进行用地布局和功能划分。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强调规划和布置红参提取物项目所需的基础设施，如道路、供水、供电、通信等。</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提出基础设施规划的原则和要求，确保基础设施的可靠性、安全性和可持续性。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空间布局和建筑设计：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描述红参提取物项目的空间布局和建筑设计方案，包括建筑风格、建筑高度、景观设计等。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强调考虑红参提取物项目的功能需求、美观性、可持续性等因素，进行空间布局和建筑设计。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交通规划和交通组织：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提出红参提取物项目的交通规划和交通组织方案，包括道路布置、交通流量分析、停车规划等。</w:t>
      </w:r>
    </w:p>
    <w:p>
      <w:pPr>
        <w:ind w:firstLine="560" w:firstLineChars="200"/>
        <w:rPr>
          <w:rFonts w:ascii="仿宋" w:eastAsia="仿宋" w:hAnsi="仿宋" w:cs="仿宋" w:hint="eastAsia"/>
          <w:sz w:val="28"/>
        </w:rPr>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强调考虑交通的便捷性、安全性和环保性，制定科学合理的交通规划和交通组织方案。</w:t>
      </w:r>
    </w:p>
    <w:p>
      <w:pPr>
        <w:pStyle w:val="Heading2"/>
        <w:ind w:firstLine="560" w:firstLineChars="200"/>
        <w:rPr>
          <w:rFonts w:ascii="仿宋" w:eastAsia="仿宋" w:hAnsi="仿宋" w:cs="仿宋" w:hint="eastAsia"/>
          <w:sz w:val="28"/>
          <w:lang w:eastAsia="zh-CN"/>
        </w:rPr>
      </w:pPr>
      <w:bookmarkStart w:id="34" w:name="_Toc20496"/>
      <w:r>
        <w:rPr>
          <w:rFonts w:ascii="仿宋" w:eastAsia="仿宋" w:hAnsi="仿宋" w:cs="仿宋" w:hint="eastAsia"/>
          <w:sz w:val="28"/>
          <w:lang w:eastAsia="zh-CN"/>
        </w:rPr>
        <w:t>(二)、建筑设计</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红参提取物项目设计目标和原则：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描述建筑设计的目标和原则，如满足功能需求、体现美学价值、提高空间利用效率等。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强调将设计与红参提取物项目的整体规划和定位相一致，确保设计方案的可行性和有效性。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建筑类型和功能需求：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根据红参提取物项目的特点和需求，确定适合的建筑类型和功能需求，如办公楼、商业综合体、住宅区等。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强调充分了解红参提取物项目的功能需求和使用者的需求，为建筑设计提供科学依据。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空间布局和平面设计：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提出建筑的空间布局和平面设计方案，包括功能区划、房间布置、走廊通道等。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强调考虑空间的流动性、通风采光、舒适性等因素，制定合理的空间布局和平面设计。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结构设计和材料选择：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描述建筑的结构设计方案，包括结构类型、荷载分析、抗震设计等。</w:t>
      </w:r>
    </w:p>
    <w:p>
      <w:pPr>
        <w:ind w:firstLine="560" w:firstLineChars="200"/>
        <w:rPr>
          <w:rFonts w:ascii="仿宋" w:eastAsia="仿宋" w:hAnsi="仿宋" w:cs="仿宋" w:hint="eastAsia"/>
          <w:sz w:val="28"/>
        </w:rPr>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提出合适的材料选择，考虑材料的可行性、可持续性和经济性。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建筑外观和立面设计：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强调建筑的外观和立面设计，包括建筑形态、外墙材料、色彩搭配等。</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提出建筑外观和立面设计的原则和要求，确保建筑的美观性和与环境的协调性。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设备与设施规划：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提出建筑设备与设施的规划方案，包括电力供应、通风空调、给排水等。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强调考虑设备与设施的功能需求、能源效率和环境友好性，制定科学合理的规划方案。</w:t>
      </w:r>
    </w:p>
    <w:p>
      <w:pPr>
        <w:pStyle w:val="Heading2"/>
        <w:ind w:firstLine="560" w:firstLineChars="200"/>
        <w:rPr>
          <w:rFonts w:ascii="仿宋" w:eastAsia="仿宋" w:hAnsi="仿宋" w:cs="仿宋" w:hint="eastAsia"/>
          <w:sz w:val="28"/>
          <w:lang w:eastAsia="zh-CN"/>
        </w:rPr>
      </w:pPr>
      <w:bookmarkStart w:id="35" w:name="_Toc23135"/>
      <w:r>
        <w:rPr>
          <w:rFonts w:ascii="仿宋" w:eastAsia="仿宋" w:hAnsi="仿宋" w:cs="仿宋" w:hint="eastAsia"/>
          <w:sz w:val="28"/>
          <w:lang w:eastAsia="zh-CN"/>
        </w:rPr>
        <w:t>(三)、结构设计</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红参提取物项目设计目标和原则：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描述结构设计的目标和原则，如确保建筑物的安全性、承载能力和抗震性等。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强调将设计与红参提取物项目的整体规划和建筑设计相一致，确保结构设计方案的可行性和有效性。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结构类型和荷载分析：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根据红参提取物项目的特点和要求，确定适合的结构类型，如钢结构、混凝土结构、钢混凝土结构等。</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进行荷载分析，考虑建筑物所承受的静态荷载和动态荷载，确保结构设计的合理性和安全性。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7" w:history="1">
        <w:r>
          <w:rPr>
            <w:rFonts w:ascii="SimSun" w:eastAsia="SimSun" w:hAnsi="SimSun" w:cs="SimSun"/>
            <w:b/>
            <w:bCs/>
            <w:color w:val="0000EE"/>
            <w:kern w:val="0"/>
            <w:sz w:val="30"/>
            <w:szCs w:val="30"/>
            <w:u w:val="single" w:color="0000EE"/>
          </w:rPr>
          <w:t>https://d.book118.com/175143034003011034</w:t>
        </w:r>
      </w:hyperlink>
    </w:p>
    <w:p>
      <w:pPr>
        <w:ind w:firstLine="560" w:firstLineChars="200"/>
        <w:rPr>
          <w:rFonts w:ascii="仿宋" w:eastAsia="仿宋" w:hAnsi="仿宋" w:cs="仿宋" w:hint="eastAsia"/>
          <w:sz w:val="28"/>
        </w:rPr>
      </w:pPr>
    </w:p>
    <w:sectPr>
      <w:headerReference w:type="default" r:id="rId58"/>
      <w:footerReference w:type="default" r:id="rId59"/>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F8691D"/>
    <w:rsid w:val="4DF869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yperlink" Target="https://d.book118.com/175143034003011034" TargetMode="External" /><Relationship Id="rId58" Type="http://schemas.openxmlformats.org/officeDocument/2006/relationships/header" Target="header27.xml" /><Relationship Id="rId59" Type="http://schemas.openxmlformats.org/officeDocument/2006/relationships/footer" Target="footer27.xml" /><Relationship Id="rId6" Type="http://schemas.openxmlformats.org/officeDocument/2006/relationships/footer" Target="footer1.xml" /><Relationship Id="rId60" Type="http://schemas.openxmlformats.org/officeDocument/2006/relationships/theme" Target="theme/theme1.xml" /><Relationship Id="rId61"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2023-12-15T06:53:00Z</dcterms:created>
  <dcterms:modified xsi:type="dcterms:W3CDTF">2023-12-15T06:53:46Z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