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钢</w:t>
      </w:r>
      <w:r>
        <w:rPr>
          <w:rFonts w:ascii="SimSun" w:eastAsia="SimSun" w:hAnsi="SimSun" w:cs="SimSun"/>
          <w:spacing w:val="-1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结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构用H</w:t>
      </w:r>
      <w:r>
        <w:rPr>
          <w:rFonts w:ascii="SimSun" w:eastAsia="SimSun" w:hAnsi="SimSun" w:cs="SimSun"/>
          <w:spacing w:val="-7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型钢项目可行性研究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728580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钢结构用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型钢项目建设背景及必要性分析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钢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结构用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型钢项目可行性研究报告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、钢结构用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型钢项目选址说明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)、钢结构用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型钢项目选址原则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二)、钢结构用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型钢项目选址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(二)、钢结构用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型钢项目总平面设计要求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二)、社会责任钢结构用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型钢项目与计划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59738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一)、钢结构用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型钢项目风险分析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二)、钢结构用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型钢项目风险对策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531864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(一)、目标市场分析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1" w:lineRule="auto"/>
        <w:ind w:left="17" w:right="95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本项目商业</w:t>
      </w:r>
      <w:r>
        <w:rPr>
          <w:rFonts w:ascii="FangSong" w:eastAsia="FangSong" w:hAnsi="FangSong" w:cs="FangSong"/>
          <w:spacing w:val="3"/>
          <w:sz w:val="28"/>
          <w:szCs w:val="28"/>
        </w:rPr>
        <w:t>计划书旨在全面介绍和规划一个创新性的钢结构用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型钢项目，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以满足需求。该方案的目的是为了提供钢结构用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项目的</w:t>
      </w:r>
      <w:r>
        <w:rPr>
          <w:rFonts w:ascii="FangSong" w:eastAsia="FangSong" w:hAnsi="FangSong" w:cs="FangSong"/>
          <w:spacing w:val="-7"/>
          <w:sz w:val="28"/>
          <w:szCs w:val="28"/>
        </w:rPr>
        <w:t>全面概览，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划。通</w:t>
      </w:r>
      <w:r>
        <w:rPr>
          <w:rFonts w:ascii="FangSong" w:eastAsia="FangSong" w:hAnsi="FangSong" w:cs="FangSong"/>
          <w:spacing w:val="-7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希望能为相关人员提供一个深入了解项</w:t>
      </w:r>
    </w:p>
    <w:p>
      <w:pPr>
        <w:spacing w:before="2" w:line="415" w:lineRule="auto"/>
        <w:ind w:left="32" w:right="95" w:firstLine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目的平台，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本方案不可做为</w:t>
      </w:r>
      <w:r>
        <w:rPr>
          <w:rFonts w:ascii="FangSong" w:eastAsia="FangSong" w:hAnsi="FangSong" w:cs="FangSong"/>
          <w:spacing w:val="-8"/>
          <w:sz w:val="28"/>
          <w:szCs w:val="28"/>
        </w:rPr>
        <w:t>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6"/>
          <w:pgSz w:w="11906" w:h="16839"/>
          <w:pgMar w:top="1431" w:right="1697" w:bottom="400" w:left="1785" w:header="0" w:footer="0" w:gutter="0"/>
          <w:pgNumType w:start="12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footerReference w:type="default" r:id="rId7"/>
          <w:type w:val="nextPage"/>
          <w:pgSz w:w="11906" w:h="16839"/>
          <w:pgMar w:top="1431" w:right="1697" w:bottom="400" w:left="1785" w:header="0" w:footer="0" w:gutter="0"/>
          <w:pgNumType w:start="13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5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上</w:t>
      </w:r>
      <w:r>
        <w:rPr>
          <w:rFonts w:ascii="FangSong" w:eastAsia="FangSong" w:hAnsi="FangSong" w:cs="FangSong"/>
          <w:spacing w:val="-7"/>
          <w:sz w:val="28"/>
          <w:szCs w:val="28"/>
        </w:rPr>
        <w:t>脱颖而出，成为消费者首选的钢结构用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1</w:t>
      </w:r>
      <w:r>
        <w:rPr>
          <w:rFonts w:ascii="FangSong" w:eastAsia="FangSong" w:hAnsi="FangSong" w:cs="FangSong"/>
          <w:spacing w:val="-13"/>
          <w:sz w:val="28"/>
          <w:szCs w:val="28"/>
        </w:rPr>
        <w:t>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型钢项目总投资</w:t>
      </w:r>
    </w:p>
    <w:p>
      <w:pPr>
        <w:spacing w:before="285" w:line="417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我们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建设规模旨在实现一个全面、可持续的钢结构用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型钢项目总投资将主要用于以下几个方面：</w:t>
      </w:r>
    </w:p>
    <w:p>
      <w:pPr>
        <w:sectPr>
          <w:footerReference w:type="default" r:id="rId10"/>
          <w:pgSz w:w="11906" w:h="16839"/>
          <w:pgMar w:top="1431" w:right="1718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148" w:right="10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型钢项目的顺利进行。</w:t>
      </w:r>
    </w:p>
    <w:p>
      <w:pPr>
        <w:spacing w:before="1" w:line="411" w:lineRule="auto"/>
        <w:ind w:left="141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技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钢项目引领行业</w:t>
      </w:r>
      <w:r>
        <w:rPr>
          <w:rFonts w:ascii="FangSong" w:eastAsia="FangSong" w:hAnsi="FangSong" w:cs="FangSong"/>
          <w:spacing w:val="-2"/>
          <w:sz w:val="28"/>
          <w:szCs w:val="28"/>
        </w:rPr>
        <w:t>发展潮流，保持技术创新。</w:t>
      </w:r>
    </w:p>
    <w:p>
      <w:pPr>
        <w:spacing w:before="1" w:line="411" w:lineRule="auto"/>
        <w:ind w:left="15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我们计划在钢结构用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型钢项目建设后的第一年实现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的年产量水平。</w:t>
      </w:r>
    </w:p>
    <w:p>
      <w:pPr>
        <w:spacing w:before="1" w:line="339" w:lineRule="auto"/>
        <w:ind w:left="141" w:right="45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钢</w:t>
      </w:r>
      <w:r>
        <w:rPr>
          <w:rFonts w:ascii="FangSong" w:eastAsia="FangSong" w:hAnsi="FangSong" w:cs="FangSong"/>
          <w:spacing w:val="-16"/>
          <w:sz w:val="28"/>
          <w:szCs w:val="28"/>
        </w:rPr>
        <w:t>结构用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H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型钢项目规模：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H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型钢项目将建设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包括生产厂房、办公区域、仓储设施等。这将确保钢结构用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钢项目能够满足预期的产能需求，并为未来的扩展提供充足的</w:t>
      </w:r>
      <w:r>
        <w:rPr>
          <w:rFonts w:ascii="FangSong" w:eastAsia="FangSong" w:hAnsi="FangSong" w:cs="FangSong"/>
          <w:spacing w:val="-1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8" w:line="416" w:lineRule="auto"/>
        <w:ind w:left="15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</w:t>
      </w:r>
      <w:r>
        <w:rPr>
          <w:rFonts w:ascii="FangSong" w:eastAsia="FangSong" w:hAnsi="FangSong" w:cs="FangSong"/>
          <w:spacing w:val="-6"/>
          <w:sz w:val="28"/>
          <w:szCs w:val="28"/>
        </w:rPr>
        <w:t>废水处理、废气处理等，以确保钢结构用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型钢项目的环保性。</w:t>
      </w:r>
    </w:p>
    <w:p>
      <w:pPr>
        <w:sectPr>
          <w:footerReference w:type="default" r:id="rId11"/>
          <w:pgSz w:w="11906" w:h="16839"/>
          <w:pgMar w:top="1431" w:right="1697" w:bottom="400" w:left="1675" w:header="0" w:footer="0" w:gutter="0"/>
          <w:pgNumType w:start="17"/>
          <w:cols w:space="708"/>
        </w:sectPr>
      </w:pPr>
    </w:p>
    <w:p>
      <w:pPr>
        <w:spacing w:before="184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型钢项目总投资与用地规模</w:t>
      </w:r>
    </w:p>
    <w:p>
      <w:pPr>
        <w:spacing w:before="288" w:line="411" w:lineRule="auto"/>
        <w:ind w:left="2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型钢项目总征地面积为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其</w:t>
      </w:r>
      <w:r>
        <w:rPr>
          <w:rFonts w:ascii="FangSong" w:eastAsia="FangSong" w:hAnsi="FangSong" w:cs="FangSong"/>
          <w:spacing w:val="-10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82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钢结构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元。这些设备将在钢结构用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型钢项目运营中发挥关键作用，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2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型钢项目计划总投资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</w:t>
      </w:r>
      <w:r>
        <w:rPr>
          <w:rFonts w:ascii="FangSong" w:eastAsia="FangSong" w:hAnsi="FangSong" w:cs="FangSong"/>
          <w:spacing w:val="-6"/>
          <w:sz w:val="28"/>
          <w:szCs w:val="28"/>
        </w:rPr>
        <w:t>元，这将为钢结构用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footerReference w:type="default" r:id="rId12"/>
          <w:pgSz w:w="11906" w:h="16839"/>
          <w:pgMar w:top="1431" w:right="1718" w:bottom="400" w:left="1785" w:header="0" w:footer="0" w:gutter="0"/>
          <w:pgNumType w:start="18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(一)、钢结构用</w:t>
      </w:r>
      <w:r>
        <w:rPr>
          <w:rFonts w:ascii="FangSong" w:eastAsia="FangSong" w:hAnsi="FangSong" w:cs="FangSong"/>
          <w:spacing w:val="-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型钢项目选址原则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7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型钢项目选址必须与城乡建设总体规划保持一致，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过与规划</w:t>
      </w:r>
      <w:r>
        <w:rPr>
          <w:rFonts w:ascii="FangSong" w:eastAsia="FangSong" w:hAnsi="FangSong" w:cs="FangSong"/>
          <w:spacing w:val="-8"/>
          <w:sz w:val="28"/>
          <w:szCs w:val="28"/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</w:rPr>
        <w:t>致，钢结构用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0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3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的交通条件是钢结构用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考</w:t>
      </w:r>
      <w:r>
        <w:rPr>
          <w:rFonts w:ascii="FangSong" w:eastAsia="FangSong" w:hAnsi="FangSong" w:cs="FangSong"/>
          <w:spacing w:val="-2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到钢结构用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影</w:t>
      </w:r>
      <w:r>
        <w:rPr>
          <w:rFonts w:ascii="FangSong" w:eastAsia="FangSong" w:hAnsi="FangSong" w:cs="FangSong"/>
          <w:spacing w:val="-9"/>
          <w:sz w:val="28"/>
          <w:szCs w:val="28"/>
        </w:rPr>
        <w:t>响到钢结构用H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before="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8" w:line="415" w:lineRule="auto"/>
        <w:ind w:left="35" w:right="10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及自然生态环境保护政策相一致。我们将致力于在钢结构用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0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</w:p>
    <w:p>
      <w:pPr>
        <w:sectPr>
          <w:footerReference w:type="default" r:id="rId13"/>
          <w:pgSz w:w="11906" w:h="16839"/>
          <w:pgMar w:top="1431" w:right="1693" w:bottom="40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型钢项目的可持续发</w:t>
      </w:r>
      <w:r>
        <w:rPr>
          <w:rFonts w:ascii="FangSong" w:eastAsia="FangSong" w:hAnsi="FangSong" w:cs="FangSong"/>
          <w:spacing w:val="-3"/>
          <w:sz w:val="28"/>
          <w:szCs w:val="28"/>
        </w:rPr>
        <w:t>展</w:t>
      </w:r>
      <w:r>
        <w:rPr>
          <w:rFonts w:ascii="FangSong" w:eastAsia="FangSong" w:hAnsi="FangSong" w:cs="FangSong"/>
          <w:spacing w:val="-2"/>
          <w:sz w:val="28"/>
          <w:szCs w:val="28"/>
        </w:rPr>
        <w:t>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型钢项目的需求与用地法规的要求，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在钢结</w:t>
      </w:r>
      <w:r>
        <w:rPr>
          <w:rFonts w:ascii="FangSong" w:eastAsia="FangSong" w:hAnsi="FangSong" w:cs="FangSong"/>
          <w:spacing w:val="-7"/>
          <w:sz w:val="28"/>
          <w:szCs w:val="28"/>
        </w:rPr>
        <w:t>构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地优惠等方面的支持。这将显著减轻钢结构用H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10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众</w:t>
      </w:r>
      <w:r>
        <w:rPr>
          <w:rFonts w:ascii="FangSong" w:eastAsia="FangSong" w:hAnsi="FangSong" w:cs="FangSong"/>
          <w:spacing w:val="-26"/>
          <w:sz w:val="28"/>
          <w:szCs w:val="28"/>
        </w:rPr>
        <w:t>多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为钢结构用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0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构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0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用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型钢项目在长远的未来奠定坚实基础。</w:t>
      </w:r>
    </w:p>
    <w:p>
      <w:pPr>
        <w:spacing w:before="4" w:line="414" w:lineRule="auto"/>
        <w:ind w:left="32" w:right="10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调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为钢结构用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5" w:right="10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型钢项目的成功实施不仅依赖于选址的地理位置，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footerReference w:type="default" r:id="rId15"/>
          <w:pgSz w:w="11906" w:h="16839"/>
          <w:pgMar w:top="1431" w:right="1693" w:bottom="40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这为钢结构用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型钢项目的建设提供了必要的基础支持，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经</w:t>
      </w:r>
      <w:r>
        <w:rPr>
          <w:rFonts w:ascii="FangSong" w:eastAsia="FangSong" w:hAnsi="FangSong" w:cs="FangSong"/>
          <w:spacing w:val="-21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当地的用地规划要求。这有助于钢结构用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型钢项目在合规范围内进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钢结</w:t>
      </w:r>
      <w:r>
        <w:rPr>
          <w:rFonts w:ascii="FangSong" w:eastAsia="FangSong" w:hAnsi="FangSong" w:cs="FangSong"/>
          <w:spacing w:val="-9"/>
          <w:sz w:val="28"/>
          <w:szCs w:val="28"/>
        </w:rPr>
        <w:t>构</w:t>
      </w:r>
      <w:r>
        <w:rPr>
          <w:rFonts w:ascii="FangSong" w:eastAsia="FangSong" w:hAnsi="FangSong" w:cs="FangSong"/>
          <w:spacing w:val="-8"/>
          <w:sz w:val="28"/>
          <w:szCs w:val="28"/>
        </w:rPr>
        <w:t>用H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包括税收、用地等方面的优惠政策。这为钢结构用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型钢项目创造了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钢结构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型钢项目所在区域的安全设施完备，有成熟的消防、</w:t>
      </w:r>
    </w:p>
    <w:p>
      <w:pPr>
        <w:sectPr>
          <w:footerReference w:type="default" r:id="rId16"/>
          <w:pgSz w:w="11906" w:h="16839"/>
          <w:pgMar w:top="1431" w:right="1623" w:bottom="400" w:left="1785" w:header="0" w:footer="0" w:gutter="0"/>
          <w:pgNumType w:start="22"/>
          <w:cols w:space="708"/>
        </w:sectPr>
      </w:pPr>
    </w:p>
    <w:p>
      <w:pPr>
        <w:spacing w:before="183" w:line="417" w:lineRule="auto"/>
        <w:ind w:left="32" w:right="14" w:firstLine="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防汛</w:t>
      </w:r>
      <w:r>
        <w:rPr>
          <w:rFonts w:ascii="FangSong" w:eastAsia="FangSong" w:hAnsi="FangSong" w:cs="FangSong"/>
          <w:spacing w:val="-8"/>
          <w:sz w:val="28"/>
          <w:szCs w:val="28"/>
        </w:rPr>
        <w:t>等安全系统。这为钢结构用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型钢项目提供了明确的建设方向，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确保用地符合工业钢结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构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根</w:t>
      </w:r>
      <w:r>
        <w:rPr>
          <w:rFonts w:ascii="FangSong" w:eastAsia="FangSong" w:hAnsi="FangSong" w:cs="FangSong"/>
          <w:spacing w:val="-22"/>
          <w:sz w:val="28"/>
          <w:szCs w:val="28"/>
        </w:rPr>
        <w:t>据</w:t>
      </w:r>
      <w:r>
        <w:rPr>
          <w:rFonts w:ascii="FangSong" w:eastAsia="FangSong" w:hAnsi="FangSong" w:cs="FangSong"/>
          <w:spacing w:val="-12"/>
          <w:sz w:val="28"/>
          <w:szCs w:val="28"/>
        </w:rPr>
        <w:t>当地的规划要求，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筑密度都有具体的控制指标。我们将确保钢结构用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用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H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型钢项目效益。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9"/>
          <w:sz w:val="28"/>
          <w:szCs w:val="28"/>
        </w:rPr>
        <w:t>确土地用途划分是用地控制的核心之一。根据钢结构用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钢</w:t>
      </w:r>
      <w:r>
        <w:rPr>
          <w:rFonts w:ascii="FangSong" w:eastAsia="FangSong" w:hAnsi="FangSong" w:cs="FangSong"/>
          <w:spacing w:val="-9"/>
          <w:sz w:val="28"/>
          <w:szCs w:val="28"/>
        </w:rPr>
        <w:t>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限。我们将严格按照规定的利用年限进行钢结构用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型钢项目建设完成后，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土地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自然环境，减小钢结构用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我们将确保钢结构用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连。这为钢结构用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型钢项目提供了便捷的物流通道，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采购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成品销售，提高了钢结构用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21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14" w:firstLine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项设施。钢结构用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型钢项目将充分利用这些配套设施，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助于钢结构用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型钢项目的稳定运营。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</w:t>
      </w:r>
      <w:r>
        <w:rPr>
          <w:rFonts w:ascii="FangSong" w:eastAsia="FangSong" w:hAnsi="FangSong" w:cs="FangSong"/>
          <w:spacing w:val="-14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体要求中还包括对环境的保护要求。钢结构用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响，</w:t>
      </w:r>
      <w:r>
        <w:rPr>
          <w:rFonts w:ascii="FangSong" w:eastAsia="FangSong" w:hAnsi="FangSong" w:cs="FangSong"/>
          <w:spacing w:val="-6"/>
          <w:sz w:val="28"/>
          <w:szCs w:val="28"/>
        </w:rPr>
        <w:t>致力于建设绿色、可持续的工业钢结构用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型钢项目将积极融入当地社区，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0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促进钢结构用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钢</w:t>
      </w:r>
      <w:r>
        <w:rPr>
          <w:rFonts w:ascii="FangSong" w:eastAsia="FangSong" w:hAnsi="FangSong" w:cs="FangSong"/>
          <w:spacing w:val="-4"/>
          <w:sz w:val="28"/>
          <w:szCs w:val="28"/>
        </w:rPr>
        <w:t>项目与当地社区的互利共赢。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型钢项目将在选址的基础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5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用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型钢项目内部，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高建筑的垂直利用率。这一措施有助于减小钢结构用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8" w:right="13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型钢项目还将注重环境友好设计，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型钢项目的整体可持续性，符合现代绿色建筑的发展趋势。</w:t>
      </w:r>
    </w:p>
    <w:p>
      <w:pPr>
        <w:spacing w:before="2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共享</w:t>
      </w:r>
      <w:r>
        <w:rPr>
          <w:rFonts w:ascii="FangSong" w:eastAsia="FangSong" w:hAnsi="FangSong" w:cs="FangSong"/>
          <w:spacing w:val="-13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共设施也是我们的设计理念之一。在钢结构用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我们致力于实现钢结构用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footerReference w:type="default" r:id="rId20"/>
          <w:pgSz w:w="11906" w:h="16839"/>
          <w:pgMar w:top="1431" w:right="1610" w:bottom="400" w:left="1785" w:header="0" w:footer="0" w:gutter="0"/>
          <w:pgNumType w:start="26"/>
          <w:cols w:space="708"/>
        </w:sectPr>
      </w:pPr>
    </w:p>
    <w:p>
      <w:pPr>
        <w:spacing w:before="186" w:line="411" w:lineRule="auto"/>
        <w:ind w:left="31" w:right="106" w:firstLine="112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6"/>
          <w:sz w:val="28"/>
          <w:szCs w:val="28"/>
        </w:rPr>
        <w:t>在</w:t>
      </w:r>
      <w:r>
        <w:rPr>
          <w:rFonts w:ascii="FangSong" w:eastAsia="FangSong" w:hAnsi="FangSong" w:cs="FangSong"/>
          <w:spacing w:val="-18"/>
          <w:sz w:val="28"/>
          <w:szCs w:val="28"/>
        </w:rPr>
        <w:t>钢</w:t>
      </w:r>
      <w:r>
        <w:rPr>
          <w:rFonts w:ascii="FangSong" w:eastAsia="FangSong" w:hAnsi="FangSong" w:cs="FangSong"/>
          <w:spacing w:val="-13"/>
          <w:sz w:val="28"/>
          <w:szCs w:val="28"/>
        </w:rPr>
        <w:t>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交通要道，便于原材料运输和产品出货；办公区域靠近钢结构用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钢项目核心区，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结</w:t>
      </w:r>
      <w:r>
        <w:rPr>
          <w:rFonts w:ascii="FangSong" w:eastAsia="FangSong" w:hAnsi="FangSong" w:cs="FangSong"/>
          <w:spacing w:val="-7"/>
          <w:sz w:val="28"/>
          <w:szCs w:val="28"/>
        </w:rPr>
        <w:t>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我们通过科学的交通流线规划，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确保了钢结构用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7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们在钢结构用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钢</w:t>
      </w:r>
      <w:r>
        <w:rPr>
          <w:rFonts w:ascii="FangSong" w:eastAsia="FangSong" w:hAnsi="FangSong" w:cs="FangSong"/>
          <w:spacing w:val="-10"/>
          <w:sz w:val="28"/>
          <w:szCs w:val="28"/>
        </w:rPr>
        <w:t>结构用H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型钢项目总图中，我们特别划定了环境保护区域，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0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footerReference w:type="default" r:id="rId21"/>
          <w:pgSz w:w="11906" w:h="16839"/>
          <w:pgMar w:top="1431" w:right="1693" w:bottom="400" w:left="1785" w:header="0" w:footer="0" w:gutter="0"/>
          <w:pgNumType w:start="27"/>
          <w:cols w:space="708"/>
        </w:sectPr>
      </w:pPr>
    </w:p>
    <w:p>
      <w:pPr>
        <w:spacing w:before="186" w:line="411" w:lineRule="auto"/>
        <w:ind w:left="31" w:right="12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6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是钢结构用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构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型钢项目核心区，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方便管理层对整个钢结构用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12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过在钢结构用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型钢项目区域内分布绿化带和休闲区，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11"/>
          <w:sz w:val="28"/>
          <w:szCs w:val="28"/>
        </w:rPr>
        <w:t>构用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环境保护区域规划在钢结构用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视觉上用绿化带遮挡，确保了钢结构用H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这一举措符合可持续发展的理念，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2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这八个设计要点共同构成了钢结构用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H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型钢项</w:t>
      </w:r>
      <w:r>
        <w:rPr>
          <w:rFonts w:ascii="FangSong" w:eastAsia="FangSong" w:hAnsi="FangSong" w:cs="FangSong"/>
          <w:sz w:val="28"/>
          <w:szCs w:val="28"/>
        </w:rPr>
        <w:t>目总图布置方案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ectPr>
          <w:footerReference w:type="default" r:id="rId22"/>
          <w:pgSz w:w="11906" w:h="16839"/>
          <w:pgMar w:top="1431" w:right="1673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29" w:right="90" w:firstLine="98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3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助于钢结构用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2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料的采购、产品的销售和员工的通勤。这为钢结构用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1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构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17" w:right="20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钢</w:t>
      </w:r>
      <w:r>
        <w:rPr>
          <w:rFonts w:ascii="FangSong" w:eastAsia="FangSong" w:hAnsi="FangSong" w:cs="FangSong"/>
          <w:spacing w:val="-6"/>
          <w:sz w:val="28"/>
          <w:szCs w:val="28"/>
        </w:rPr>
        <w:t>结</w:t>
      </w:r>
      <w:r>
        <w:rPr>
          <w:rFonts w:ascii="FangSong" w:eastAsia="FangSong" w:hAnsi="FangSong" w:cs="FangSong"/>
          <w:spacing w:val="-5"/>
          <w:sz w:val="28"/>
          <w:szCs w:val="28"/>
        </w:rPr>
        <w:t>构用H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型钢项目选址的用地控制指标与相关规划相一致，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不仅满</w:t>
      </w:r>
      <w:r>
        <w:rPr>
          <w:rFonts w:ascii="FangSong" w:eastAsia="FangSong" w:hAnsi="FangSong" w:cs="FangSong"/>
          <w:spacing w:val="-7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也兼顾了用地的合理利用。这有助于钢结构用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型钢项目获得土地开发和利用的相关许可。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9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型钢项目选址周边进行了社区和周边环境的调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查，确保</w:t>
      </w:r>
      <w:r>
        <w:rPr>
          <w:rFonts w:ascii="FangSong" w:eastAsia="FangSong" w:hAnsi="FangSong" w:cs="FangSong"/>
          <w:spacing w:val="-8"/>
          <w:sz w:val="28"/>
          <w:szCs w:val="28"/>
        </w:rPr>
        <w:t>钢</w:t>
      </w:r>
      <w:r>
        <w:rPr>
          <w:rFonts w:ascii="FangSong" w:eastAsia="FangSong" w:hAnsi="FangSong" w:cs="FangSong"/>
          <w:spacing w:val="-6"/>
          <w:sz w:val="28"/>
          <w:szCs w:val="28"/>
        </w:rPr>
        <w:t>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416" w:lineRule="auto"/>
        <w:ind w:left="41" w:right="126" w:firstLine="9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法</w:t>
      </w:r>
      <w:r>
        <w:rPr>
          <w:rFonts w:ascii="FangSong" w:eastAsia="FangSong" w:hAnsi="FangSong" w:cs="FangSong"/>
          <w:spacing w:val="-12"/>
          <w:sz w:val="28"/>
          <w:szCs w:val="28"/>
        </w:rPr>
        <w:t>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型钢项目的合法性和稳健性。对政府支持政策</w:t>
      </w:r>
    </w:p>
    <w:p>
      <w:pPr>
        <w:sectPr>
          <w:footerReference w:type="default" r:id="rId23"/>
          <w:pgSz w:w="11906" w:h="16839"/>
          <w:pgMar w:top="1431" w:right="1673" w:bottom="400" w:left="1785" w:header="0" w:footer="0" w:gutter="0"/>
          <w:pgNumType w:start="29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法规的遵从，有助于钢结构用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型钢项目在当地获得更多支持。</w:t>
      </w:r>
    </w:p>
    <w:p>
      <w:pPr>
        <w:spacing w:before="290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综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考虑钢结构用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选址有望为钢结构用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和社会环境相结合，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该选址将有助于钢结构用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415" w:lineRule="auto"/>
        <w:ind w:left="38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我们可以得出该钢结构用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理性和可行性，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基本设计原则，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footerReference w:type="default" r:id="rId24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型钢项目总平面设计将充分考虑以下要求，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footerReference w:type="default" r:id="rId25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，适应钢结构用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footerReference w:type="default" r:id="rId26"/>
          <w:pgSz w:w="11906" w:h="16839"/>
          <w:pgMar w:top="1431" w:right="1718" w:bottom="40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考</w:t>
      </w:r>
      <w:r>
        <w:rPr>
          <w:rFonts w:ascii="FangSong" w:eastAsia="FangSong" w:hAnsi="FangSong" w:cs="FangSong"/>
          <w:spacing w:val="-2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结合钢结构用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型钢项目的实际需求和环境条件，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确定土建工程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建筑工程的设计总体要求是确保钢结构用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H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型钢项目实现预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56" w:right="1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确</w:t>
      </w:r>
      <w:r>
        <w:rPr>
          <w:rFonts w:ascii="FangSong" w:eastAsia="FangSong" w:hAnsi="FangSong" w:cs="FangSong"/>
          <w:spacing w:val="-17"/>
          <w:sz w:val="28"/>
          <w:szCs w:val="28"/>
        </w:rPr>
        <w:t>保</w:t>
      </w:r>
      <w:r>
        <w:rPr>
          <w:rFonts w:ascii="FangSong" w:eastAsia="FangSong" w:hAnsi="FangSong" w:cs="FangSong"/>
          <w:spacing w:val="-13"/>
          <w:sz w:val="28"/>
          <w:szCs w:val="28"/>
        </w:rPr>
        <w:t>建筑的功能布局满足钢结构用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ectPr>
          <w:footerReference w:type="default" r:id="rId27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footerReference w:type="default" r:id="rId28"/>
          <w:pgSz w:w="11906" w:h="16839"/>
          <w:pgMar w:top="1431" w:right="1704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够达到高标准，满足钢结构用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7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钢结构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型钢项目规划的总建筑面积为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虑到钢结构用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型钢项目的功能布局和需求，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29"/>
          <w:pgSz w:w="11906" w:h="16839"/>
          <w:pgMar w:top="1431" w:right="1724" w:bottom="400" w:left="1785" w:header="0" w:footer="0" w:gutter="0"/>
          <w:pgNumType w:start="35"/>
          <w:cols w:space="708"/>
        </w:sectPr>
      </w:pPr>
    </w:p>
    <w:p>
      <w:pPr>
        <w:spacing w:before="183" w:line="223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2"/>
          <w:sz w:val="28"/>
          <w:szCs w:val="28"/>
        </w:rPr>
        <w:t>占</w:t>
      </w:r>
      <w:r>
        <w:rPr>
          <w:rFonts w:ascii="FangSong" w:eastAsia="FangSong" w:hAnsi="FangSong" w:cs="FangSong"/>
          <w:spacing w:val="-14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H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型钢项目总投资比例：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建筑工程投资占钢结构用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型钢项目总投资的比例为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钢</w:t>
      </w:r>
      <w:r>
        <w:rPr>
          <w:rFonts w:ascii="FangSong" w:eastAsia="FangSong" w:hAnsi="FangSong" w:cs="FangSong"/>
          <w:spacing w:val="-13"/>
          <w:sz w:val="28"/>
          <w:szCs w:val="28"/>
        </w:rPr>
        <w:t>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注</w:t>
      </w:r>
      <w:r>
        <w:rPr>
          <w:rFonts w:ascii="FangSong" w:eastAsia="FangSong" w:hAnsi="FangSong" w:cs="FangSong"/>
          <w:spacing w:val="-12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https://d.book118.com/175144233323011122</w:t>
        </w:r>
      </w:hyperlink>
    </w:p>
    <w:p/>
    <w:sectPr>
      <w:footerReference w:type="default" r:id="rId31"/>
      <w:pgSz w:w="11906" w:h="16839"/>
      <w:pgMar w:top="1431" w:right="1623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175144233323011122" TargetMode="External" /><Relationship Id="rId31" Type="http://schemas.openxmlformats.org/officeDocument/2006/relationships/footer" Target="footer2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2024-03-14T08:34:12Z</vt:filetime>
  </property>
  <property fmtid="{D5CDD505-2E9C-101B-9397-08002B2CF9AE}" pid="3" name="CRO">
    <vt:lpwstr>wqlLaW5nc29mdCBQREYgdG8gV1BTIDgw</vt:lpwstr>
  </property>
</Properties>
</file>