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2018-2023年无锡工艺职业技术学院高职单招（数学／语文／英语）历年常考试题库含答案解析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《苦恼》一文的作者契诃夫是下列哪国的作家（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A.英国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B.俄国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C.法国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D.美国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提出“文章合为时而著，歌诗合为事而作”创作主张的诗人是（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《关山月》是以什么为线索来抒情的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A.笛声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B.月夜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C.歌舞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D.泪痕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</w:pPr>
      <w:r>
        <w:rPr>
          <w:rFonts w:ascii="黑体" w:eastAsia="黑体" w:hAnsi="黑体" w:cs="Times New Roman"/>
          <w:sz w:val="24"/>
          <w:lang w:val="en-US" w:eastAsia="ja-JP" w:bidi="ar-SA"/>
        </w:rPr>
        <w:t>4.</w:t>
      </w:r>
      <w:r>
        <w:rPr>
          <w:rFonts w:ascii="黑体" w:eastAsia="黑体" w:hAnsi="黑体" w:cs="Times New Roman"/>
          <w:sz w:val="24"/>
          <w:lang w:val="en-US" w:eastAsia="ja-JP" w:bidi="ar-SA"/>
        </w:rPr>
        <w:t xml:space="preserve"> 《冯谖客孟尝君》中最能表现冯谖政治才能的情节是（　　） 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A.弹铗而歌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B.焚券市义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C.营造三窟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D.乘车过友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3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《短歌行》（其一）的主旨是（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A.感叹人生几何，去日苦多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B.感伤亲朋离散，孤苦无依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C.感慨功业未成，忧从中来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D.渴望招纳贤才，建功立业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下列句中加点的词属意动用法的是（　　）.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562494" cy="1409848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2494" cy="140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《国殇》选自（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A.《九歌》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B.《九章》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C.《诗经》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D.《国语》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“文章合为时而著，歌诗合为事而作”的口号是谁提出的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奠定巴金在现代文学史上地位的长篇小说是（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B.《灭亡》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C.《家》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下列文学常识表述错误的是（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A.“初唐四杰”是指王勃、杨炯、卢照邻、骆宾王。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B.“中唐古文运动”的领袖是韩愈、柳宗元。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C.“新乐府运动”的倡导者是王维、白居易。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D.“小李杜”指的是李商隐、杜牧。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李斯的《谏逐客书》选自（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D.《国语》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王安石在《答司马谏议书》中，用“盘庚之迁”的典故，主要是为了驳斥司马光指责新法的（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A.侵官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B.拒谏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C.致怨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D.征利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闻一多最具有代表性的诗集是（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A.《真我集》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https://d.book118.com/175201034330011112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hyperlink" Target="https://d.book118.com/17520103433001111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