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氮氧化物治理系统项目规划设计蓝图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73" w:history="1">
        <w:r>
          <w:rPr>
            <w:rFonts w:ascii="仿宋" w:eastAsia="仿宋" w:hAnsi="仿宋" w:cs="仿宋" w:hint="eastAsia"/>
            <w:lang w:eastAsia="zh-CN"/>
          </w:rPr>
          <w:t>概论</w:t>
        </w:r>
        <w:r>
          <w:tab/>
        </w:r>
        <w:r>
          <w:fldChar w:fldCharType="begin"/>
        </w:r>
        <w:r>
          <w:instrText xml:space="preserve"> PAGEREF _Toc5273 \h </w:instrText>
        </w:r>
        <w:r>
          <w:fldChar w:fldCharType="separate"/>
        </w:r>
        <w:r>
          <w:t>3</w:t>
        </w:r>
        <w:r>
          <w:fldChar w:fldCharType="end"/>
        </w:r>
      </w:hyperlink>
    </w:p>
    <w:p>
      <w:pPr>
        <w:pStyle w:val="TOC1"/>
        <w:tabs>
          <w:tab w:val="right" w:leader="dot" w:pos="8306"/>
        </w:tabs>
      </w:pPr>
      <w:hyperlink w:anchor="_Toc24102" w:history="1">
        <w:r>
          <w:rPr>
            <w:rFonts w:ascii="仿宋" w:eastAsia="仿宋" w:hAnsi="仿宋" w:cs="仿宋" w:hint="eastAsia"/>
            <w:lang w:eastAsia="zh-CN"/>
          </w:rPr>
          <w:t>一、氮氧化物治理系统项目概论</w:t>
        </w:r>
        <w:r>
          <w:tab/>
        </w:r>
        <w:r>
          <w:fldChar w:fldCharType="begin"/>
        </w:r>
        <w:r>
          <w:instrText xml:space="preserve"> PAGEREF _Toc24102 \h </w:instrText>
        </w:r>
        <w:r>
          <w:fldChar w:fldCharType="separate"/>
        </w:r>
        <w:r>
          <w:t>3</w:t>
        </w:r>
        <w:r>
          <w:fldChar w:fldCharType="end"/>
        </w:r>
      </w:hyperlink>
    </w:p>
    <w:p>
      <w:pPr>
        <w:pStyle w:val="TOC2"/>
        <w:tabs>
          <w:tab w:val="right" w:leader="dot" w:pos="8306"/>
        </w:tabs>
      </w:pPr>
      <w:hyperlink w:anchor="_Toc12724" w:history="1">
        <w:r>
          <w:rPr>
            <w:rFonts w:ascii="仿宋" w:eastAsia="仿宋" w:hAnsi="仿宋" w:cs="仿宋" w:hint="eastAsia"/>
            <w:lang w:eastAsia="zh-CN"/>
          </w:rPr>
          <w:t>(一)、氮氧化物治理系统项目概况</w:t>
        </w:r>
        <w:r>
          <w:tab/>
        </w:r>
        <w:r>
          <w:fldChar w:fldCharType="begin"/>
        </w:r>
        <w:r>
          <w:instrText xml:space="preserve"> PAGEREF _Toc12724 \h </w:instrText>
        </w:r>
        <w:r>
          <w:fldChar w:fldCharType="separate"/>
        </w:r>
        <w:r>
          <w:t>3</w:t>
        </w:r>
        <w:r>
          <w:fldChar w:fldCharType="end"/>
        </w:r>
      </w:hyperlink>
    </w:p>
    <w:p>
      <w:pPr>
        <w:pStyle w:val="TOC2"/>
        <w:tabs>
          <w:tab w:val="right" w:leader="dot" w:pos="8306"/>
        </w:tabs>
      </w:pPr>
      <w:hyperlink w:anchor="_Toc19669" w:history="1">
        <w:r>
          <w:rPr>
            <w:rFonts w:ascii="仿宋" w:eastAsia="仿宋" w:hAnsi="仿宋" w:cs="仿宋" w:hint="eastAsia"/>
            <w:lang w:eastAsia="zh-CN"/>
          </w:rPr>
          <w:t>(二)、氮氧化物治理系统项目目标</w:t>
        </w:r>
        <w:r>
          <w:tab/>
        </w:r>
        <w:r>
          <w:fldChar w:fldCharType="begin"/>
        </w:r>
        <w:r>
          <w:instrText xml:space="preserve"> PAGEREF _Toc19669 \h </w:instrText>
        </w:r>
        <w:r>
          <w:fldChar w:fldCharType="separate"/>
        </w:r>
        <w:r>
          <w:t>5</w:t>
        </w:r>
        <w:r>
          <w:fldChar w:fldCharType="end"/>
        </w:r>
      </w:hyperlink>
    </w:p>
    <w:p>
      <w:pPr>
        <w:pStyle w:val="TOC2"/>
        <w:tabs>
          <w:tab w:val="right" w:leader="dot" w:pos="8306"/>
        </w:tabs>
      </w:pPr>
      <w:hyperlink w:anchor="_Toc1729" w:history="1">
        <w:r>
          <w:rPr>
            <w:rFonts w:ascii="仿宋" w:eastAsia="仿宋" w:hAnsi="仿宋" w:cs="仿宋" w:hint="eastAsia"/>
            <w:lang w:eastAsia="zh-CN"/>
          </w:rPr>
          <w:t>(三)、氮氧化物治理系统项目提出的理由</w:t>
        </w:r>
        <w:r>
          <w:tab/>
        </w:r>
        <w:r>
          <w:fldChar w:fldCharType="begin"/>
        </w:r>
        <w:r>
          <w:instrText xml:space="preserve"> PAGEREF _Toc1729 \h </w:instrText>
        </w:r>
        <w:r>
          <w:fldChar w:fldCharType="separate"/>
        </w:r>
        <w:r>
          <w:t>6</w:t>
        </w:r>
        <w:r>
          <w:fldChar w:fldCharType="end"/>
        </w:r>
      </w:hyperlink>
    </w:p>
    <w:p>
      <w:pPr>
        <w:pStyle w:val="TOC2"/>
        <w:tabs>
          <w:tab w:val="right" w:leader="dot" w:pos="8306"/>
        </w:tabs>
      </w:pPr>
      <w:hyperlink w:anchor="_Toc4356" w:history="1">
        <w:r>
          <w:rPr>
            <w:rFonts w:ascii="仿宋" w:eastAsia="仿宋" w:hAnsi="仿宋" w:cs="仿宋" w:hint="eastAsia"/>
            <w:lang w:eastAsia="zh-CN"/>
          </w:rPr>
          <w:t>(四)、氮氧化物治理系统项目意义</w:t>
        </w:r>
        <w:r>
          <w:tab/>
        </w:r>
        <w:r>
          <w:fldChar w:fldCharType="begin"/>
        </w:r>
        <w:r>
          <w:instrText xml:space="preserve"> PAGEREF _Toc4356 \h </w:instrText>
        </w:r>
        <w:r>
          <w:fldChar w:fldCharType="separate"/>
        </w:r>
        <w:r>
          <w:t>8</w:t>
        </w:r>
        <w:r>
          <w:fldChar w:fldCharType="end"/>
        </w:r>
      </w:hyperlink>
    </w:p>
    <w:p>
      <w:pPr>
        <w:pStyle w:val="TOC2"/>
        <w:tabs>
          <w:tab w:val="right" w:leader="dot" w:pos="8306"/>
        </w:tabs>
      </w:pPr>
      <w:hyperlink w:anchor="_Toc31830" w:history="1">
        <w:r>
          <w:rPr>
            <w:rFonts w:ascii="仿宋" w:eastAsia="仿宋" w:hAnsi="仿宋" w:cs="仿宋" w:hint="eastAsia"/>
            <w:lang w:eastAsia="zh-CN"/>
          </w:rPr>
          <w:t>(五)、氮氧化物治理系统项目背景</w:t>
        </w:r>
        <w:r>
          <w:tab/>
        </w:r>
        <w:r>
          <w:fldChar w:fldCharType="begin"/>
        </w:r>
        <w:r>
          <w:instrText xml:space="preserve"> PAGEREF _Toc31830 \h </w:instrText>
        </w:r>
        <w:r>
          <w:fldChar w:fldCharType="separate"/>
        </w:r>
        <w:r>
          <w:t>9</w:t>
        </w:r>
        <w:r>
          <w:fldChar w:fldCharType="end"/>
        </w:r>
      </w:hyperlink>
    </w:p>
    <w:p>
      <w:pPr>
        <w:pStyle w:val="TOC1"/>
        <w:tabs>
          <w:tab w:val="right" w:leader="dot" w:pos="8306"/>
        </w:tabs>
      </w:pPr>
      <w:hyperlink w:anchor="_Toc17789" w:history="1">
        <w:r>
          <w:rPr>
            <w:rFonts w:ascii="仿宋" w:eastAsia="仿宋" w:hAnsi="仿宋" w:cs="仿宋" w:hint="eastAsia"/>
            <w:lang w:eastAsia="zh-CN"/>
          </w:rPr>
          <w:t>二、产品规划分析</w:t>
        </w:r>
        <w:r>
          <w:tab/>
        </w:r>
        <w:r>
          <w:fldChar w:fldCharType="begin"/>
        </w:r>
        <w:r>
          <w:instrText xml:space="preserve"> PAGEREF _Toc17789 \h </w:instrText>
        </w:r>
        <w:r>
          <w:fldChar w:fldCharType="separate"/>
        </w:r>
        <w:r>
          <w:t>10</w:t>
        </w:r>
        <w:r>
          <w:fldChar w:fldCharType="end"/>
        </w:r>
      </w:hyperlink>
    </w:p>
    <w:p>
      <w:pPr>
        <w:pStyle w:val="TOC2"/>
        <w:tabs>
          <w:tab w:val="right" w:leader="dot" w:pos="8306"/>
        </w:tabs>
      </w:pPr>
      <w:hyperlink w:anchor="_Toc3168" w:history="1">
        <w:r>
          <w:rPr>
            <w:rFonts w:ascii="仿宋" w:eastAsia="仿宋" w:hAnsi="仿宋" w:cs="仿宋" w:hint="eastAsia"/>
            <w:lang w:eastAsia="zh-CN"/>
          </w:rPr>
          <w:t>(一)、产品规划</w:t>
        </w:r>
        <w:r>
          <w:tab/>
        </w:r>
        <w:r>
          <w:fldChar w:fldCharType="begin"/>
        </w:r>
        <w:r>
          <w:instrText xml:space="preserve"> PAGEREF _Toc3168 \h </w:instrText>
        </w:r>
        <w:r>
          <w:fldChar w:fldCharType="separate"/>
        </w:r>
        <w:r>
          <w:t>10</w:t>
        </w:r>
        <w:r>
          <w:fldChar w:fldCharType="end"/>
        </w:r>
      </w:hyperlink>
    </w:p>
    <w:p>
      <w:pPr>
        <w:pStyle w:val="TOC2"/>
        <w:tabs>
          <w:tab w:val="right" w:leader="dot" w:pos="8306"/>
        </w:tabs>
      </w:pPr>
      <w:hyperlink w:anchor="_Toc17823" w:history="1">
        <w:r>
          <w:rPr>
            <w:rFonts w:ascii="仿宋" w:eastAsia="仿宋" w:hAnsi="仿宋" w:cs="仿宋" w:hint="eastAsia"/>
            <w:lang w:eastAsia="zh-CN"/>
          </w:rPr>
          <w:t>(二)、建设规模</w:t>
        </w:r>
        <w:r>
          <w:tab/>
        </w:r>
        <w:r>
          <w:fldChar w:fldCharType="begin"/>
        </w:r>
        <w:r>
          <w:instrText xml:space="preserve"> PAGEREF _Toc17823 \h </w:instrText>
        </w:r>
        <w:r>
          <w:fldChar w:fldCharType="separate"/>
        </w:r>
        <w:r>
          <w:t>11</w:t>
        </w:r>
        <w:r>
          <w:fldChar w:fldCharType="end"/>
        </w:r>
      </w:hyperlink>
    </w:p>
    <w:p>
      <w:pPr>
        <w:pStyle w:val="TOC1"/>
        <w:tabs>
          <w:tab w:val="right" w:leader="dot" w:pos="8306"/>
        </w:tabs>
      </w:pPr>
      <w:hyperlink w:anchor="_Toc20829" w:history="1">
        <w:r>
          <w:rPr>
            <w:rFonts w:ascii="仿宋" w:eastAsia="仿宋" w:hAnsi="仿宋" w:cs="仿宋" w:hint="eastAsia"/>
            <w:lang w:eastAsia="zh-CN"/>
          </w:rPr>
          <w:t>三、氮氧化物治理系统项目绩效评估</w:t>
        </w:r>
        <w:r>
          <w:tab/>
        </w:r>
        <w:r>
          <w:fldChar w:fldCharType="begin"/>
        </w:r>
        <w:r>
          <w:instrText xml:space="preserve"> PAGEREF _Toc20829 \h </w:instrText>
        </w:r>
        <w:r>
          <w:fldChar w:fldCharType="separate"/>
        </w:r>
        <w:r>
          <w:t>12</w:t>
        </w:r>
        <w:r>
          <w:fldChar w:fldCharType="end"/>
        </w:r>
      </w:hyperlink>
    </w:p>
    <w:p>
      <w:pPr>
        <w:pStyle w:val="TOC2"/>
        <w:tabs>
          <w:tab w:val="right" w:leader="dot" w:pos="8306"/>
        </w:tabs>
      </w:pPr>
      <w:hyperlink w:anchor="_Toc9247" w:history="1">
        <w:r>
          <w:rPr>
            <w:rFonts w:ascii="仿宋" w:eastAsia="仿宋" w:hAnsi="仿宋" w:cs="仿宋" w:hint="eastAsia"/>
            <w:lang w:eastAsia="zh-CN"/>
          </w:rPr>
          <w:t>(一)、绩效评估指标</w:t>
        </w:r>
        <w:r>
          <w:tab/>
        </w:r>
        <w:r>
          <w:fldChar w:fldCharType="begin"/>
        </w:r>
        <w:r>
          <w:instrText xml:space="preserve"> PAGEREF _Toc9247 \h </w:instrText>
        </w:r>
        <w:r>
          <w:fldChar w:fldCharType="separate"/>
        </w:r>
        <w:r>
          <w:t>12</w:t>
        </w:r>
        <w:r>
          <w:fldChar w:fldCharType="end"/>
        </w:r>
      </w:hyperlink>
    </w:p>
    <w:p>
      <w:pPr>
        <w:pStyle w:val="TOC2"/>
        <w:tabs>
          <w:tab w:val="right" w:leader="dot" w:pos="8306"/>
        </w:tabs>
      </w:pPr>
      <w:hyperlink w:anchor="_Toc13464" w:history="1">
        <w:r>
          <w:rPr>
            <w:rFonts w:ascii="仿宋" w:eastAsia="仿宋" w:hAnsi="仿宋" w:cs="仿宋" w:hint="eastAsia"/>
            <w:lang w:eastAsia="zh-CN"/>
          </w:rPr>
          <w:t>(二)、绩效评估方法</w:t>
        </w:r>
        <w:r>
          <w:tab/>
        </w:r>
        <w:r>
          <w:fldChar w:fldCharType="begin"/>
        </w:r>
        <w:r>
          <w:instrText xml:space="preserve"> PAGEREF _Toc13464 \h </w:instrText>
        </w:r>
        <w:r>
          <w:fldChar w:fldCharType="separate"/>
        </w:r>
        <w:r>
          <w:t>13</w:t>
        </w:r>
        <w:r>
          <w:fldChar w:fldCharType="end"/>
        </w:r>
      </w:hyperlink>
    </w:p>
    <w:p>
      <w:pPr>
        <w:pStyle w:val="TOC2"/>
        <w:tabs>
          <w:tab w:val="right" w:leader="dot" w:pos="8306"/>
        </w:tabs>
      </w:pPr>
      <w:hyperlink w:anchor="_Toc26849" w:history="1">
        <w:r>
          <w:rPr>
            <w:rFonts w:ascii="仿宋" w:eastAsia="仿宋" w:hAnsi="仿宋" w:cs="仿宋" w:hint="eastAsia"/>
            <w:lang w:eastAsia="zh-CN"/>
          </w:rPr>
          <w:t>(三)、绩效评估周期</w:t>
        </w:r>
        <w:r>
          <w:tab/>
        </w:r>
        <w:r>
          <w:fldChar w:fldCharType="begin"/>
        </w:r>
        <w:r>
          <w:instrText xml:space="preserve"> PAGEREF _Toc26849 \h </w:instrText>
        </w:r>
        <w:r>
          <w:fldChar w:fldCharType="separate"/>
        </w:r>
        <w:r>
          <w:t>14</w:t>
        </w:r>
        <w:r>
          <w:fldChar w:fldCharType="end"/>
        </w:r>
      </w:hyperlink>
    </w:p>
    <w:p>
      <w:pPr>
        <w:pStyle w:val="TOC1"/>
        <w:tabs>
          <w:tab w:val="right" w:leader="dot" w:pos="8306"/>
        </w:tabs>
      </w:pPr>
      <w:hyperlink w:anchor="_Toc23326" w:history="1">
        <w:r>
          <w:rPr>
            <w:rFonts w:ascii="仿宋" w:eastAsia="仿宋" w:hAnsi="仿宋" w:cs="仿宋" w:hint="eastAsia"/>
            <w:lang w:eastAsia="zh-CN"/>
          </w:rPr>
          <w:t>四、氮氧化物治理系统项目建设背景及必要性分析</w:t>
        </w:r>
        <w:r>
          <w:tab/>
        </w:r>
        <w:r>
          <w:fldChar w:fldCharType="begin"/>
        </w:r>
        <w:r>
          <w:instrText xml:space="preserve"> PAGEREF _Toc23326 \h </w:instrText>
        </w:r>
        <w:r>
          <w:fldChar w:fldCharType="separate"/>
        </w:r>
        <w:r>
          <w:t>15</w:t>
        </w:r>
        <w:r>
          <w:fldChar w:fldCharType="end"/>
        </w:r>
      </w:hyperlink>
    </w:p>
    <w:p>
      <w:pPr>
        <w:pStyle w:val="TOC2"/>
        <w:tabs>
          <w:tab w:val="right" w:leader="dot" w:pos="8306"/>
        </w:tabs>
      </w:pPr>
      <w:hyperlink w:anchor="_Toc22156" w:history="1">
        <w:r>
          <w:rPr>
            <w:rFonts w:ascii="仿宋" w:eastAsia="仿宋" w:hAnsi="仿宋" w:cs="仿宋" w:hint="eastAsia"/>
            <w:lang w:eastAsia="zh-CN"/>
          </w:rPr>
          <w:t>(一)、氮氧化物治理系统项目背景分析</w:t>
        </w:r>
        <w:r>
          <w:tab/>
        </w:r>
        <w:r>
          <w:fldChar w:fldCharType="begin"/>
        </w:r>
        <w:r>
          <w:instrText xml:space="preserve"> PAGEREF _Toc22156 \h </w:instrText>
        </w:r>
        <w:r>
          <w:fldChar w:fldCharType="separate"/>
        </w:r>
        <w:r>
          <w:t>15</w:t>
        </w:r>
        <w:r>
          <w:fldChar w:fldCharType="end"/>
        </w:r>
      </w:hyperlink>
    </w:p>
    <w:p>
      <w:pPr>
        <w:pStyle w:val="TOC2"/>
        <w:tabs>
          <w:tab w:val="right" w:leader="dot" w:pos="8306"/>
        </w:tabs>
      </w:pPr>
      <w:hyperlink w:anchor="_Toc12165" w:history="1">
        <w:r>
          <w:rPr>
            <w:rFonts w:ascii="仿宋" w:eastAsia="仿宋" w:hAnsi="仿宋" w:cs="仿宋" w:hint="eastAsia"/>
            <w:lang w:eastAsia="zh-CN"/>
          </w:rPr>
          <w:t>(二)、氮氧化物治理系统项目建设必要性分析</w:t>
        </w:r>
        <w:r>
          <w:tab/>
        </w:r>
        <w:r>
          <w:fldChar w:fldCharType="begin"/>
        </w:r>
        <w:r>
          <w:instrText xml:space="preserve"> PAGEREF _Toc12165 \h </w:instrText>
        </w:r>
        <w:r>
          <w:fldChar w:fldCharType="separate"/>
        </w:r>
        <w:r>
          <w:t>17</w:t>
        </w:r>
        <w:r>
          <w:fldChar w:fldCharType="end"/>
        </w:r>
      </w:hyperlink>
    </w:p>
    <w:p>
      <w:pPr>
        <w:pStyle w:val="TOC1"/>
        <w:tabs>
          <w:tab w:val="right" w:leader="dot" w:pos="8306"/>
        </w:tabs>
      </w:pPr>
      <w:hyperlink w:anchor="_Toc15811" w:history="1">
        <w:r>
          <w:rPr>
            <w:rFonts w:ascii="仿宋" w:eastAsia="仿宋" w:hAnsi="仿宋" w:cs="仿宋" w:hint="eastAsia"/>
            <w:lang w:eastAsia="zh-CN"/>
          </w:rPr>
          <w:t>五、氮氧化物治理系统项目可持续发展</w:t>
        </w:r>
        <w:r>
          <w:tab/>
        </w:r>
        <w:r>
          <w:fldChar w:fldCharType="begin"/>
        </w:r>
        <w:r>
          <w:instrText xml:space="preserve"> PAGEREF _Toc15811 \h </w:instrText>
        </w:r>
        <w:r>
          <w:fldChar w:fldCharType="separate"/>
        </w:r>
        <w:r>
          <w:t>18</w:t>
        </w:r>
        <w:r>
          <w:fldChar w:fldCharType="end"/>
        </w:r>
      </w:hyperlink>
    </w:p>
    <w:p>
      <w:pPr>
        <w:pStyle w:val="TOC2"/>
        <w:tabs>
          <w:tab w:val="right" w:leader="dot" w:pos="8306"/>
        </w:tabs>
      </w:pPr>
      <w:hyperlink w:anchor="_Toc5818" w:history="1">
        <w:r>
          <w:rPr>
            <w:rFonts w:ascii="仿宋" w:eastAsia="仿宋" w:hAnsi="仿宋" w:cs="仿宋" w:hint="eastAsia"/>
            <w:lang w:eastAsia="zh-CN"/>
          </w:rPr>
          <w:t>(一)、可持续战略与实践</w:t>
        </w:r>
        <w:r>
          <w:tab/>
        </w:r>
        <w:r>
          <w:fldChar w:fldCharType="begin"/>
        </w:r>
        <w:r>
          <w:instrText xml:space="preserve"> PAGEREF _Toc5818 \h </w:instrText>
        </w:r>
        <w:r>
          <w:fldChar w:fldCharType="separate"/>
        </w:r>
        <w:r>
          <w:t>18</w:t>
        </w:r>
        <w:r>
          <w:fldChar w:fldCharType="end"/>
        </w:r>
      </w:hyperlink>
    </w:p>
    <w:p>
      <w:pPr>
        <w:pStyle w:val="TOC2"/>
        <w:tabs>
          <w:tab w:val="right" w:leader="dot" w:pos="8306"/>
        </w:tabs>
      </w:pPr>
      <w:hyperlink w:anchor="_Toc21295" w:history="1">
        <w:r>
          <w:rPr>
            <w:rFonts w:ascii="仿宋" w:eastAsia="仿宋" w:hAnsi="仿宋" w:cs="仿宋" w:hint="eastAsia"/>
            <w:lang w:eastAsia="zh-CN"/>
          </w:rPr>
          <w:t>(二)、环保与社会责任</w:t>
        </w:r>
        <w:r>
          <w:tab/>
        </w:r>
        <w:r>
          <w:fldChar w:fldCharType="begin"/>
        </w:r>
        <w:r>
          <w:instrText xml:space="preserve"> PAGEREF _Toc21295 \h </w:instrText>
        </w:r>
        <w:r>
          <w:fldChar w:fldCharType="separate"/>
        </w:r>
        <w:r>
          <w:t>19</w:t>
        </w:r>
        <w:r>
          <w:fldChar w:fldCharType="end"/>
        </w:r>
      </w:hyperlink>
    </w:p>
    <w:p>
      <w:pPr>
        <w:pStyle w:val="TOC1"/>
        <w:tabs>
          <w:tab w:val="right" w:leader="dot" w:pos="8306"/>
        </w:tabs>
      </w:pPr>
      <w:hyperlink w:anchor="_Toc4210" w:history="1">
        <w:r>
          <w:rPr>
            <w:rFonts w:ascii="仿宋" w:eastAsia="仿宋" w:hAnsi="仿宋" w:cs="仿宋" w:hint="eastAsia"/>
            <w:lang w:eastAsia="zh-CN"/>
          </w:rPr>
          <w:t>六、氮氧化物治理系统项目危机管理</w:t>
        </w:r>
        <w:r>
          <w:tab/>
        </w:r>
        <w:r>
          <w:fldChar w:fldCharType="begin"/>
        </w:r>
        <w:r>
          <w:instrText xml:space="preserve"> PAGEREF _Toc4210 \h </w:instrText>
        </w:r>
        <w:r>
          <w:fldChar w:fldCharType="separate"/>
        </w:r>
        <w:r>
          <w:t>20</w:t>
        </w:r>
        <w:r>
          <w:fldChar w:fldCharType="end"/>
        </w:r>
      </w:hyperlink>
    </w:p>
    <w:p>
      <w:pPr>
        <w:pStyle w:val="TOC2"/>
        <w:tabs>
          <w:tab w:val="right" w:leader="dot" w:pos="8306"/>
        </w:tabs>
      </w:pPr>
      <w:hyperlink w:anchor="_Toc26293" w:history="1">
        <w:r>
          <w:rPr>
            <w:rFonts w:ascii="仿宋" w:eastAsia="仿宋" w:hAnsi="仿宋" w:cs="仿宋" w:hint="eastAsia"/>
            <w:lang w:eastAsia="zh-CN"/>
          </w:rPr>
          <w:t>(一)、危机预警与识别</w:t>
        </w:r>
        <w:r>
          <w:tab/>
        </w:r>
        <w:r>
          <w:fldChar w:fldCharType="begin"/>
        </w:r>
        <w:r>
          <w:instrText xml:space="preserve"> PAGEREF _Toc26293 \h </w:instrText>
        </w:r>
        <w:r>
          <w:fldChar w:fldCharType="separate"/>
        </w:r>
        <w:r>
          <w:t>20</w:t>
        </w:r>
        <w:r>
          <w:fldChar w:fldCharType="end"/>
        </w:r>
      </w:hyperlink>
    </w:p>
    <w:p>
      <w:pPr>
        <w:pStyle w:val="TOC2"/>
        <w:tabs>
          <w:tab w:val="right" w:leader="dot" w:pos="8306"/>
        </w:tabs>
      </w:pPr>
      <w:hyperlink w:anchor="_Toc18420" w:history="1">
        <w:r>
          <w:rPr>
            <w:rFonts w:ascii="仿宋" w:eastAsia="仿宋" w:hAnsi="仿宋" w:cs="仿宋" w:hint="eastAsia"/>
            <w:lang w:eastAsia="zh-CN"/>
          </w:rPr>
          <w:t>(二)、危机应对与恢复</w:t>
        </w:r>
        <w:r>
          <w:tab/>
        </w:r>
        <w:r>
          <w:fldChar w:fldCharType="begin"/>
        </w:r>
        <w:r>
          <w:instrText xml:space="preserve"> PAGEREF _Toc18420 \h </w:instrText>
        </w:r>
        <w:r>
          <w:fldChar w:fldCharType="separate"/>
        </w:r>
        <w:r>
          <w:t>21</w:t>
        </w:r>
        <w:r>
          <w:fldChar w:fldCharType="end"/>
        </w:r>
      </w:hyperlink>
    </w:p>
    <w:p>
      <w:pPr>
        <w:pStyle w:val="TOC1"/>
        <w:tabs>
          <w:tab w:val="right" w:leader="dot" w:pos="8306"/>
        </w:tabs>
      </w:pPr>
      <w:hyperlink w:anchor="_Toc3476" w:history="1">
        <w:r>
          <w:rPr>
            <w:rFonts w:ascii="仿宋" w:eastAsia="仿宋" w:hAnsi="仿宋" w:cs="仿宋" w:hint="eastAsia"/>
            <w:lang w:eastAsia="zh-CN"/>
          </w:rPr>
          <w:t>七、氮氧化物治理系统项目技术管理</w:t>
        </w:r>
        <w:r>
          <w:tab/>
        </w:r>
        <w:r>
          <w:fldChar w:fldCharType="begin"/>
        </w:r>
        <w:r>
          <w:instrText xml:space="preserve"> PAGEREF _Toc3476 \h </w:instrText>
        </w:r>
        <w:r>
          <w:fldChar w:fldCharType="separate"/>
        </w:r>
        <w:r>
          <w:t>23</w:t>
        </w:r>
        <w:r>
          <w:fldChar w:fldCharType="end"/>
        </w:r>
      </w:hyperlink>
    </w:p>
    <w:p>
      <w:pPr>
        <w:pStyle w:val="TOC2"/>
        <w:tabs>
          <w:tab w:val="right" w:leader="dot" w:pos="8306"/>
        </w:tabs>
      </w:pPr>
      <w:hyperlink w:anchor="_Toc77" w:history="1">
        <w:r>
          <w:rPr>
            <w:rFonts w:ascii="仿宋" w:eastAsia="仿宋" w:hAnsi="仿宋" w:cs="仿宋" w:hint="eastAsia"/>
            <w:lang w:eastAsia="zh-CN"/>
          </w:rPr>
          <w:t>(一)、技术方案选用方向</w:t>
        </w:r>
        <w:r>
          <w:tab/>
        </w:r>
        <w:r>
          <w:fldChar w:fldCharType="begin"/>
        </w:r>
        <w:r>
          <w:instrText xml:space="preserve"> PAGEREF _Toc77 \h </w:instrText>
        </w:r>
        <w:r>
          <w:fldChar w:fldCharType="separate"/>
        </w:r>
        <w:r>
          <w:t>23</w:t>
        </w:r>
        <w:r>
          <w:fldChar w:fldCharType="end"/>
        </w:r>
      </w:hyperlink>
    </w:p>
    <w:p>
      <w:pPr>
        <w:pStyle w:val="TOC2"/>
        <w:tabs>
          <w:tab w:val="right" w:leader="dot" w:pos="8306"/>
        </w:tabs>
      </w:pPr>
      <w:hyperlink w:anchor="_Toc7744" w:history="1">
        <w:r>
          <w:rPr>
            <w:rFonts w:ascii="仿宋" w:eastAsia="仿宋" w:hAnsi="仿宋" w:cs="仿宋" w:hint="eastAsia"/>
            <w:lang w:eastAsia="zh-CN"/>
          </w:rPr>
          <w:t>(二)、工艺技术方案选用原则</w:t>
        </w:r>
        <w:r>
          <w:tab/>
        </w:r>
        <w:r>
          <w:fldChar w:fldCharType="begin"/>
        </w:r>
        <w:r>
          <w:instrText xml:space="preserve"> PAGEREF _Toc7744 \h </w:instrText>
        </w:r>
        <w:r>
          <w:fldChar w:fldCharType="separate"/>
        </w:r>
        <w:r>
          <w:t>25</w:t>
        </w:r>
        <w:r>
          <w:fldChar w:fldCharType="end"/>
        </w:r>
      </w:hyperlink>
    </w:p>
    <w:p>
      <w:pPr>
        <w:pStyle w:val="TOC2"/>
        <w:tabs>
          <w:tab w:val="right" w:leader="dot" w:pos="8306"/>
        </w:tabs>
      </w:pPr>
      <w:hyperlink w:anchor="_Toc24383" w:history="1">
        <w:r>
          <w:rPr>
            <w:rFonts w:ascii="仿宋" w:eastAsia="仿宋" w:hAnsi="仿宋" w:cs="仿宋" w:hint="eastAsia"/>
            <w:lang w:eastAsia="zh-CN"/>
          </w:rPr>
          <w:t>(三)、工艺技术方案要求</w:t>
        </w:r>
        <w:r>
          <w:tab/>
        </w:r>
        <w:r>
          <w:fldChar w:fldCharType="begin"/>
        </w:r>
        <w:r>
          <w:instrText xml:space="preserve"> PAGEREF _Toc24383 \h </w:instrText>
        </w:r>
        <w:r>
          <w:fldChar w:fldCharType="separate"/>
        </w:r>
        <w:r>
          <w:t>27</w:t>
        </w:r>
        <w:r>
          <w:fldChar w:fldCharType="end"/>
        </w:r>
      </w:hyperlink>
    </w:p>
    <w:p>
      <w:pPr>
        <w:pStyle w:val="TOC1"/>
        <w:tabs>
          <w:tab w:val="right" w:leader="dot" w:pos="8306"/>
        </w:tabs>
      </w:pPr>
      <w:hyperlink w:anchor="_Toc5164" w:history="1">
        <w:r>
          <w:rPr>
            <w:rFonts w:ascii="仿宋" w:eastAsia="仿宋" w:hAnsi="仿宋" w:cs="仿宋" w:hint="eastAsia"/>
            <w:lang w:eastAsia="zh-CN"/>
          </w:rPr>
          <w:t>八、氮氧化物治理系统项目风险管理</w:t>
        </w:r>
        <w:r>
          <w:tab/>
        </w:r>
        <w:r>
          <w:fldChar w:fldCharType="begin"/>
        </w:r>
        <w:r>
          <w:instrText xml:space="preserve"> PAGEREF _Toc5164 \h </w:instrText>
        </w:r>
        <w:r>
          <w:fldChar w:fldCharType="separate"/>
        </w:r>
        <w:r>
          <w:t>29</w:t>
        </w:r>
        <w:r>
          <w:fldChar w:fldCharType="end"/>
        </w:r>
      </w:hyperlink>
    </w:p>
    <w:p>
      <w:pPr>
        <w:pStyle w:val="TOC2"/>
        <w:tabs>
          <w:tab w:val="right" w:leader="dot" w:pos="8306"/>
        </w:tabs>
      </w:pPr>
      <w:hyperlink w:anchor="_Toc29785" w:history="1">
        <w:r>
          <w:rPr>
            <w:rFonts w:ascii="仿宋" w:eastAsia="仿宋" w:hAnsi="仿宋" w:cs="仿宋" w:hint="eastAsia"/>
            <w:lang w:eastAsia="zh-CN"/>
          </w:rPr>
          <w:t>(一)、风险识别与评估</w:t>
        </w:r>
        <w:r>
          <w:tab/>
        </w:r>
        <w:r>
          <w:fldChar w:fldCharType="begin"/>
        </w:r>
        <w:r>
          <w:instrText xml:space="preserve"> PAGEREF _Toc29785 \h </w:instrText>
        </w:r>
        <w:r>
          <w:fldChar w:fldCharType="separate"/>
        </w:r>
        <w:r>
          <w:t>29</w:t>
        </w:r>
        <w:r>
          <w:fldChar w:fldCharType="end"/>
        </w:r>
      </w:hyperlink>
    </w:p>
    <w:p>
      <w:pPr>
        <w:pStyle w:val="TOC2"/>
        <w:tabs>
          <w:tab w:val="right" w:leader="dot" w:pos="8306"/>
        </w:tabs>
      </w:pPr>
      <w:hyperlink w:anchor="_Toc25322" w:history="1">
        <w:r>
          <w:rPr>
            <w:rFonts w:ascii="仿宋" w:eastAsia="仿宋" w:hAnsi="仿宋" w:cs="仿宋" w:hint="eastAsia"/>
            <w:lang w:eastAsia="zh-CN"/>
          </w:rPr>
          <w:t>(二)、风险应对策略</w:t>
        </w:r>
        <w:r>
          <w:tab/>
        </w:r>
        <w:r>
          <w:fldChar w:fldCharType="begin"/>
        </w:r>
        <w:r>
          <w:instrText xml:space="preserve"> PAGEREF _Toc25322 \h </w:instrText>
        </w:r>
        <w:r>
          <w:fldChar w:fldCharType="separate"/>
        </w:r>
        <w:r>
          <w:t>30</w:t>
        </w:r>
        <w:r>
          <w:fldChar w:fldCharType="end"/>
        </w:r>
      </w:hyperlink>
    </w:p>
    <w:p>
      <w:pPr>
        <w:pStyle w:val="TOC2"/>
        <w:tabs>
          <w:tab w:val="right" w:leader="dot" w:pos="8306"/>
        </w:tabs>
      </w:pPr>
      <w:hyperlink w:anchor="_Toc1563" w:history="1">
        <w:r>
          <w:rPr>
            <w:rFonts w:ascii="仿宋" w:eastAsia="仿宋" w:hAnsi="仿宋" w:cs="仿宋" w:hint="eastAsia"/>
            <w:lang w:eastAsia="zh-CN"/>
          </w:rPr>
          <w:t>(三)、风险监控与控制</w:t>
        </w:r>
        <w:r>
          <w:tab/>
        </w:r>
        <w:r>
          <w:fldChar w:fldCharType="begin"/>
        </w:r>
        <w:r>
          <w:instrText xml:space="preserve"> PAGEREF _Toc1563 \h </w:instrText>
        </w:r>
        <w:r>
          <w:fldChar w:fldCharType="separate"/>
        </w:r>
        <w:r>
          <w:t>32</w:t>
        </w:r>
        <w:r>
          <w:fldChar w:fldCharType="end"/>
        </w:r>
      </w:hyperlink>
    </w:p>
    <w:p>
      <w:pPr>
        <w:pStyle w:val="TOC1"/>
        <w:tabs>
          <w:tab w:val="right" w:leader="dot" w:pos="8306"/>
        </w:tabs>
      </w:pPr>
      <w:hyperlink w:anchor="_Toc15178" w:history="1">
        <w:r>
          <w:rPr>
            <w:rFonts w:ascii="仿宋" w:eastAsia="仿宋" w:hAnsi="仿宋" w:cs="仿宋" w:hint="eastAsia"/>
            <w:lang w:eastAsia="zh-CN"/>
          </w:rPr>
          <w:t>九、氮氧化物治理系统项目社会影响</w:t>
        </w:r>
        <w:r>
          <w:tab/>
        </w:r>
        <w:r>
          <w:fldChar w:fldCharType="begin"/>
        </w:r>
        <w:r>
          <w:instrText xml:space="preserve"> PAGEREF _Toc15178 \h </w:instrText>
        </w:r>
        <w:r>
          <w:fldChar w:fldCharType="separate"/>
        </w:r>
        <w:r>
          <w:t>33</w:t>
        </w:r>
        <w:r>
          <w:fldChar w:fldCharType="end"/>
        </w:r>
      </w:hyperlink>
    </w:p>
    <w:p>
      <w:pPr>
        <w:pStyle w:val="TOC2"/>
        <w:tabs>
          <w:tab w:val="right" w:leader="dot" w:pos="8306"/>
        </w:tabs>
      </w:pPr>
      <w:hyperlink w:anchor="_Toc15651" w:history="1">
        <w:r>
          <w:rPr>
            <w:rFonts w:ascii="仿宋" w:eastAsia="仿宋" w:hAnsi="仿宋" w:cs="仿宋" w:hint="eastAsia"/>
            <w:lang w:eastAsia="zh-CN"/>
          </w:rPr>
          <w:t>(一)、社会责任与义务</w:t>
        </w:r>
        <w:r>
          <w:tab/>
        </w:r>
        <w:r>
          <w:fldChar w:fldCharType="begin"/>
        </w:r>
        <w:r>
          <w:instrText xml:space="preserve"> PAGEREF _Toc15651 \h </w:instrText>
        </w:r>
        <w:r>
          <w:fldChar w:fldCharType="separate"/>
        </w:r>
        <w:r>
          <w:t>33</w:t>
        </w:r>
        <w:r>
          <w:fldChar w:fldCharType="end"/>
        </w:r>
      </w:hyperlink>
    </w:p>
    <w:p>
      <w:pPr>
        <w:pStyle w:val="TOC2"/>
        <w:tabs>
          <w:tab w:val="right" w:leader="dot" w:pos="8306"/>
        </w:tabs>
      </w:pPr>
      <w:hyperlink w:anchor="_Toc6746" w:history="1">
        <w:r>
          <w:rPr>
            <w:rFonts w:ascii="仿宋" w:eastAsia="仿宋" w:hAnsi="仿宋" w:cs="仿宋" w:hint="eastAsia"/>
            <w:lang w:eastAsia="zh-CN"/>
          </w:rPr>
          <w:t>(二)、社会参与与沟通</w:t>
        </w:r>
        <w:r>
          <w:tab/>
        </w:r>
        <w:r>
          <w:fldChar w:fldCharType="begin"/>
        </w:r>
        <w:r>
          <w:instrText xml:space="preserve"> PAGEREF _Toc6746 \h </w:instrText>
        </w:r>
        <w:r>
          <w:fldChar w:fldCharType="separate"/>
        </w:r>
        <w:r>
          <w:t>34</w:t>
        </w:r>
        <w:r>
          <w:fldChar w:fldCharType="end"/>
        </w:r>
      </w:hyperlink>
    </w:p>
    <w:p>
      <w:pPr>
        <w:pStyle w:val="TOC1"/>
        <w:tabs>
          <w:tab w:val="right" w:leader="dot" w:pos="8306"/>
        </w:tabs>
      </w:pPr>
      <w:hyperlink w:anchor="_Toc17826" w:history="1">
        <w:r>
          <w:rPr>
            <w:rFonts w:ascii="仿宋" w:eastAsia="仿宋" w:hAnsi="仿宋" w:cs="仿宋" w:hint="eastAsia"/>
            <w:lang w:eastAsia="zh-CN"/>
          </w:rPr>
          <w:t>十、氮氧化物治理系统项目创新与研发</w:t>
        </w:r>
        <w:r>
          <w:tab/>
        </w:r>
        <w:r>
          <w:fldChar w:fldCharType="begin"/>
        </w:r>
        <w:r>
          <w:instrText xml:space="preserve"> PAGEREF _Toc17826 \h </w:instrText>
        </w:r>
        <w:r>
          <w:fldChar w:fldCharType="separate"/>
        </w:r>
        <w:r>
          <w:t>35</w:t>
        </w:r>
        <w:r>
          <w:fldChar w:fldCharType="end"/>
        </w:r>
      </w:hyperlink>
    </w:p>
    <w:p>
      <w:pPr>
        <w:pStyle w:val="TOC2"/>
        <w:tabs>
          <w:tab w:val="right" w:leader="dot" w:pos="8306"/>
        </w:tabs>
      </w:pPr>
      <w:hyperlink w:anchor="_Toc31090" w:history="1">
        <w:r>
          <w:rPr>
            <w:rFonts w:ascii="仿宋" w:eastAsia="仿宋" w:hAnsi="仿宋" w:cs="仿宋" w:hint="eastAsia"/>
            <w:lang w:eastAsia="zh-CN"/>
          </w:rPr>
          <w:t>(一)、创新策略与方向</w:t>
        </w:r>
        <w:r>
          <w:tab/>
        </w:r>
        <w:r>
          <w:fldChar w:fldCharType="begin"/>
        </w:r>
        <w:r>
          <w:instrText xml:space="preserve"> PAGEREF _Toc31090 \h </w:instrText>
        </w:r>
        <w:r>
          <w:fldChar w:fldCharType="separate"/>
        </w:r>
        <w:r>
          <w:t>35</w:t>
        </w:r>
        <w:r>
          <w:fldChar w:fldCharType="end"/>
        </w:r>
      </w:hyperlink>
    </w:p>
    <w:p>
      <w:pPr>
        <w:pStyle w:val="TOC2"/>
        <w:tabs>
          <w:tab w:val="right" w:leader="dot" w:pos="8306"/>
        </w:tabs>
      </w:pPr>
      <w:hyperlink w:anchor="_Toc439" w:history="1">
        <w:r>
          <w:rPr>
            <w:rFonts w:ascii="仿宋" w:eastAsia="仿宋" w:hAnsi="仿宋" w:cs="仿宋" w:hint="eastAsia"/>
            <w:lang w:eastAsia="zh-CN"/>
          </w:rPr>
          <w:t>(二)、研发规划与投入</w:t>
        </w:r>
        <w:r>
          <w:tab/>
        </w:r>
        <w:r>
          <w:fldChar w:fldCharType="begin"/>
        </w:r>
        <w:r>
          <w:instrText xml:space="preserve"> PAGEREF _Toc439 \h </w:instrText>
        </w:r>
        <w:r>
          <w:fldChar w:fldCharType="separate"/>
        </w:r>
        <w:r>
          <w:t>36</w:t>
        </w:r>
        <w:r>
          <w:fldChar w:fldCharType="end"/>
        </w:r>
      </w:hyperlink>
    </w:p>
    <w:p>
      <w:pPr>
        <w:pStyle w:val="TOC1"/>
        <w:tabs>
          <w:tab w:val="right" w:leader="dot" w:pos="8306"/>
        </w:tabs>
      </w:pPr>
      <w:hyperlink w:anchor="_Toc28604" w:history="1">
        <w:r>
          <w:rPr>
            <w:rFonts w:ascii="仿宋" w:eastAsia="仿宋" w:hAnsi="仿宋" w:cs="仿宋" w:hint="eastAsia"/>
            <w:lang w:eastAsia="zh-CN"/>
          </w:rPr>
          <w:t>十一、氮氧化物治理系统项目人力资源培养与发展</w:t>
        </w:r>
        <w:r>
          <w:tab/>
        </w:r>
        <w:r>
          <w:fldChar w:fldCharType="begin"/>
        </w:r>
        <w:r>
          <w:instrText xml:space="preserve"> PAGEREF _Toc28604 \h </w:instrText>
        </w:r>
        <w:r>
          <w:fldChar w:fldCharType="separate"/>
        </w:r>
        <w:r>
          <w:t>38</w:t>
        </w:r>
        <w:r>
          <w:fldChar w:fldCharType="end"/>
        </w:r>
      </w:hyperlink>
    </w:p>
    <w:p>
      <w:pPr>
        <w:pStyle w:val="TOC2"/>
        <w:tabs>
          <w:tab w:val="right" w:leader="dot" w:pos="8306"/>
        </w:tabs>
      </w:pPr>
      <w:hyperlink w:anchor="_Toc31582" w:history="1">
        <w:r>
          <w:rPr>
            <w:rFonts w:ascii="仿宋" w:eastAsia="仿宋" w:hAnsi="仿宋" w:cs="仿宋" w:hint="eastAsia"/>
            <w:lang w:eastAsia="zh-CN"/>
          </w:rPr>
          <w:t>(一)、人才需求与规划</w:t>
        </w:r>
        <w:r>
          <w:tab/>
        </w:r>
        <w:r>
          <w:fldChar w:fldCharType="begin"/>
        </w:r>
        <w:r>
          <w:instrText xml:space="preserve"> PAGEREF _Toc31582 \h </w:instrText>
        </w:r>
        <w:r>
          <w:fldChar w:fldCharType="separate"/>
        </w:r>
        <w:r>
          <w:t>38</w:t>
        </w:r>
        <w:r>
          <w:fldChar w:fldCharType="end"/>
        </w:r>
      </w:hyperlink>
    </w:p>
    <w:p>
      <w:pPr>
        <w:pStyle w:val="TOC2"/>
        <w:tabs>
          <w:tab w:val="right" w:leader="dot" w:pos="8306"/>
        </w:tabs>
      </w:pPr>
      <w:hyperlink w:anchor="_Toc22739" w:history="1">
        <w:r>
          <w:rPr>
            <w:rFonts w:ascii="仿宋" w:eastAsia="仿宋" w:hAnsi="仿宋" w:cs="仿宋" w:hint="eastAsia"/>
            <w:lang w:eastAsia="zh-CN"/>
          </w:rPr>
          <w:t>(二)、培训与发展计划</w:t>
        </w:r>
        <w:r>
          <w:tab/>
        </w:r>
        <w:r>
          <w:fldChar w:fldCharType="begin"/>
        </w:r>
        <w:r>
          <w:instrText xml:space="preserve"> PAGEREF _Toc22739 \h </w:instrText>
        </w:r>
        <w:r>
          <w:fldChar w:fldCharType="separate"/>
        </w:r>
        <w:r>
          <w:t>38</w:t>
        </w:r>
        <w:r>
          <w:fldChar w:fldCharType="end"/>
        </w:r>
      </w:hyperlink>
    </w:p>
    <w:p>
      <w:pPr>
        <w:pStyle w:val="TOC1"/>
        <w:tabs>
          <w:tab w:val="right" w:leader="dot" w:pos="8306"/>
        </w:tabs>
      </w:pPr>
      <w:hyperlink w:anchor="_Toc31507" w:history="1">
        <w:r>
          <w:rPr>
            <w:rFonts w:ascii="仿宋" w:eastAsia="仿宋" w:hAnsi="仿宋" w:cs="仿宋" w:hint="eastAsia"/>
            <w:lang w:eastAsia="zh-CN"/>
          </w:rPr>
          <w:t>十二、氮氧化物治理系统项目投资规划</w:t>
        </w:r>
        <w:r>
          <w:tab/>
        </w:r>
        <w:r>
          <w:fldChar w:fldCharType="begin"/>
        </w:r>
        <w:r>
          <w:instrText xml:space="preserve"> PAGEREF _Toc31507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31" w:history="1">
        <w:r>
          <w:rPr>
            <w:rFonts w:ascii="仿宋" w:eastAsia="仿宋" w:hAnsi="仿宋" w:cs="仿宋" w:hint="eastAsia"/>
            <w:lang w:eastAsia="zh-CN"/>
          </w:rPr>
          <w:t>(一)、氮氧化物治理系统项目总投资估算</w:t>
        </w:r>
        <w:r>
          <w:tab/>
        </w:r>
        <w:r>
          <w:fldChar w:fldCharType="begin"/>
        </w:r>
        <w:r>
          <w:instrText xml:space="preserve"> PAGEREF _Toc29031 \h </w:instrText>
        </w:r>
        <w:r>
          <w:fldChar w:fldCharType="separate"/>
        </w:r>
        <w:r>
          <w:t>39</w:t>
        </w:r>
        <w:r>
          <w:fldChar w:fldCharType="end"/>
        </w:r>
      </w:hyperlink>
    </w:p>
    <w:p>
      <w:pPr>
        <w:pStyle w:val="TOC2"/>
        <w:tabs>
          <w:tab w:val="right" w:leader="dot" w:pos="8306"/>
        </w:tabs>
      </w:pPr>
      <w:hyperlink w:anchor="_Toc4190" w:history="1">
        <w:r>
          <w:rPr>
            <w:rFonts w:ascii="仿宋" w:eastAsia="仿宋" w:hAnsi="仿宋" w:cs="仿宋" w:hint="eastAsia"/>
            <w:lang w:eastAsia="zh-CN"/>
          </w:rPr>
          <w:t>(二)、资金筹措</w:t>
        </w:r>
        <w:r>
          <w:tab/>
        </w:r>
        <w:r>
          <w:fldChar w:fldCharType="begin"/>
        </w:r>
        <w:r>
          <w:instrText xml:space="preserve"> PAGEREF _Toc4190 \h </w:instrText>
        </w:r>
        <w:r>
          <w:fldChar w:fldCharType="separate"/>
        </w:r>
        <w:r>
          <w:t>40</w:t>
        </w:r>
        <w:r>
          <w:fldChar w:fldCharType="end"/>
        </w:r>
      </w:hyperlink>
    </w:p>
    <w:p>
      <w:pPr>
        <w:pStyle w:val="TOC1"/>
        <w:tabs>
          <w:tab w:val="right" w:leader="dot" w:pos="8306"/>
        </w:tabs>
      </w:pPr>
      <w:hyperlink w:anchor="_Toc8722" w:history="1">
        <w:r>
          <w:rPr>
            <w:rFonts w:ascii="仿宋" w:eastAsia="仿宋" w:hAnsi="仿宋" w:cs="仿宋" w:hint="eastAsia"/>
            <w:lang w:eastAsia="zh-CN"/>
          </w:rPr>
          <w:t>十三、氮氧化物治理系统项目变更管理</w:t>
        </w:r>
        <w:r>
          <w:tab/>
        </w:r>
        <w:r>
          <w:fldChar w:fldCharType="begin"/>
        </w:r>
        <w:r>
          <w:instrText xml:space="preserve"> PAGEREF _Toc8722 \h </w:instrText>
        </w:r>
        <w:r>
          <w:fldChar w:fldCharType="separate"/>
        </w:r>
        <w:r>
          <w:t>41</w:t>
        </w:r>
        <w:r>
          <w:fldChar w:fldCharType="end"/>
        </w:r>
      </w:hyperlink>
    </w:p>
    <w:p>
      <w:pPr>
        <w:pStyle w:val="TOC2"/>
        <w:tabs>
          <w:tab w:val="right" w:leader="dot" w:pos="8306"/>
        </w:tabs>
      </w:pPr>
      <w:hyperlink w:anchor="_Toc988" w:history="1">
        <w:r>
          <w:rPr>
            <w:rFonts w:ascii="仿宋" w:eastAsia="仿宋" w:hAnsi="仿宋" w:cs="仿宋" w:hint="eastAsia"/>
            <w:lang w:eastAsia="zh-CN"/>
          </w:rPr>
          <w:t>(一)、变更申请与评估</w:t>
        </w:r>
        <w:r>
          <w:tab/>
        </w:r>
        <w:r>
          <w:fldChar w:fldCharType="begin"/>
        </w:r>
        <w:r>
          <w:instrText xml:space="preserve"> PAGEREF _Toc988 \h </w:instrText>
        </w:r>
        <w:r>
          <w:fldChar w:fldCharType="separate"/>
        </w:r>
        <w:r>
          <w:t>41</w:t>
        </w:r>
        <w:r>
          <w:fldChar w:fldCharType="end"/>
        </w:r>
      </w:hyperlink>
    </w:p>
    <w:p>
      <w:pPr>
        <w:pStyle w:val="TOC2"/>
        <w:tabs>
          <w:tab w:val="right" w:leader="dot" w:pos="8306"/>
        </w:tabs>
      </w:pPr>
      <w:hyperlink w:anchor="_Toc12733" w:history="1">
        <w:r>
          <w:rPr>
            <w:rFonts w:ascii="仿宋" w:eastAsia="仿宋" w:hAnsi="仿宋" w:cs="仿宋" w:hint="eastAsia"/>
            <w:lang w:eastAsia="zh-CN"/>
          </w:rPr>
          <w:t>(二)、变更实施与控制</w:t>
        </w:r>
        <w:r>
          <w:tab/>
        </w:r>
        <w:r>
          <w:fldChar w:fldCharType="begin"/>
        </w:r>
        <w:r>
          <w:instrText xml:space="preserve"> PAGEREF _Toc12733 \h </w:instrText>
        </w:r>
        <w:r>
          <w:fldChar w:fldCharType="separate"/>
        </w:r>
        <w:r>
          <w:t>42</w:t>
        </w:r>
        <w:r>
          <w:fldChar w:fldCharType="end"/>
        </w:r>
      </w:hyperlink>
    </w:p>
    <w:p>
      <w:pPr>
        <w:pStyle w:val="TOC1"/>
        <w:tabs>
          <w:tab w:val="right" w:leader="dot" w:pos="8306"/>
        </w:tabs>
      </w:pPr>
      <w:hyperlink w:anchor="_Toc9865" w:history="1">
        <w:r>
          <w:rPr>
            <w:rFonts w:ascii="仿宋" w:eastAsia="仿宋" w:hAnsi="仿宋" w:cs="仿宋" w:hint="eastAsia"/>
            <w:lang w:eastAsia="zh-CN"/>
          </w:rPr>
          <w:t>十四、氮氧化物治理系统项目实施保障措施</w:t>
        </w:r>
        <w:r>
          <w:tab/>
        </w:r>
        <w:r>
          <w:fldChar w:fldCharType="begin"/>
        </w:r>
        <w:r>
          <w:instrText xml:space="preserve"> PAGEREF _Toc9865 \h </w:instrText>
        </w:r>
        <w:r>
          <w:fldChar w:fldCharType="separate"/>
        </w:r>
        <w:r>
          <w:t>42</w:t>
        </w:r>
        <w:r>
          <w:fldChar w:fldCharType="end"/>
        </w:r>
      </w:hyperlink>
    </w:p>
    <w:p>
      <w:pPr>
        <w:pStyle w:val="TOC2"/>
        <w:tabs>
          <w:tab w:val="right" w:leader="dot" w:pos="8306"/>
        </w:tabs>
      </w:pPr>
      <w:hyperlink w:anchor="_Toc9289" w:history="1">
        <w:r>
          <w:rPr>
            <w:rFonts w:ascii="仿宋" w:eastAsia="仿宋" w:hAnsi="仿宋" w:cs="仿宋" w:hint="eastAsia"/>
            <w:lang w:eastAsia="zh-CN"/>
          </w:rPr>
          <w:t>(一)、氮氧化物治理系统项目实施保障机制</w:t>
        </w:r>
        <w:r>
          <w:tab/>
        </w:r>
        <w:r>
          <w:fldChar w:fldCharType="begin"/>
        </w:r>
        <w:r>
          <w:instrText xml:space="preserve"> PAGEREF _Toc9289 \h </w:instrText>
        </w:r>
        <w:r>
          <w:fldChar w:fldCharType="separate"/>
        </w:r>
        <w:r>
          <w:t>42</w:t>
        </w:r>
        <w:r>
          <w:fldChar w:fldCharType="end"/>
        </w:r>
      </w:hyperlink>
    </w:p>
    <w:p>
      <w:pPr>
        <w:pStyle w:val="TOC2"/>
        <w:tabs>
          <w:tab w:val="right" w:leader="dot" w:pos="8306"/>
        </w:tabs>
      </w:pPr>
      <w:hyperlink w:anchor="_Toc20560" w:history="1">
        <w:r>
          <w:rPr>
            <w:rFonts w:ascii="仿宋" w:eastAsia="仿宋" w:hAnsi="仿宋" w:cs="仿宋" w:hint="eastAsia"/>
            <w:lang w:eastAsia="zh-CN"/>
          </w:rPr>
          <w:t>(二)、氮氧化物治理系统项目法律合规要求</w:t>
        </w:r>
        <w:r>
          <w:tab/>
        </w:r>
        <w:r>
          <w:fldChar w:fldCharType="begin"/>
        </w:r>
        <w:r>
          <w:instrText xml:space="preserve"> PAGEREF _Toc20560 \h </w:instrText>
        </w:r>
        <w:r>
          <w:fldChar w:fldCharType="separate"/>
        </w:r>
        <w:r>
          <w:t>46</w:t>
        </w:r>
        <w:r>
          <w:fldChar w:fldCharType="end"/>
        </w:r>
      </w:hyperlink>
    </w:p>
    <w:p>
      <w:pPr>
        <w:pStyle w:val="TOC2"/>
        <w:tabs>
          <w:tab w:val="right" w:leader="dot" w:pos="8306"/>
        </w:tabs>
      </w:pPr>
      <w:hyperlink w:anchor="_Toc28499" w:history="1">
        <w:r>
          <w:rPr>
            <w:rFonts w:ascii="仿宋" w:eastAsia="仿宋" w:hAnsi="仿宋" w:cs="仿宋" w:hint="eastAsia"/>
            <w:lang w:eastAsia="zh-CN"/>
          </w:rPr>
          <w:t>(三)、氮氧化物治理系统项目合同管理与法律事务</w:t>
        </w:r>
        <w:r>
          <w:tab/>
        </w:r>
        <w:r>
          <w:fldChar w:fldCharType="begin"/>
        </w:r>
        <w:r>
          <w:instrText xml:space="preserve"> PAGEREF _Toc28499 \h </w:instrText>
        </w:r>
        <w:r>
          <w:fldChar w:fldCharType="separate"/>
        </w:r>
        <w:r>
          <w:t>51</w:t>
        </w:r>
        <w:r>
          <w:fldChar w:fldCharType="end"/>
        </w:r>
      </w:hyperlink>
    </w:p>
    <w:p>
      <w:pPr>
        <w:pStyle w:val="TOC2"/>
        <w:tabs>
          <w:tab w:val="right" w:leader="dot" w:pos="8306"/>
        </w:tabs>
      </w:pPr>
      <w:hyperlink w:anchor="_Toc12338" w:history="1">
        <w:r>
          <w:rPr>
            <w:rFonts w:ascii="仿宋" w:eastAsia="仿宋" w:hAnsi="仿宋" w:cs="仿宋" w:hint="eastAsia"/>
            <w:lang w:eastAsia="zh-CN"/>
          </w:rPr>
          <w:t>(四)、氮氧化物治理系统项目知识产权保护策略</w:t>
        </w:r>
        <w:r>
          <w:tab/>
        </w:r>
        <w:r>
          <w:fldChar w:fldCharType="begin"/>
        </w:r>
        <w:r>
          <w:instrText xml:space="preserve"> PAGEREF _Toc12338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02"/>
      <w:r>
        <w:rPr>
          <w:rFonts w:ascii="仿宋" w:eastAsia="仿宋" w:hAnsi="仿宋" w:cs="仿宋" w:hint="eastAsia"/>
          <w:sz w:val="28"/>
          <w:lang w:eastAsia="zh-CN"/>
        </w:rPr>
        <w:t>一、氮氧化物治理系统项目概论</w:t>
      </w:r>
      <w:bookmarkEnd w:id="2"/>
    </w:p>
    <w:p>
      <w:pPr>
        <w:pStyle w:val="Heading2"/>
        <w:rPr>
          <w:rFonts w:ascii="仿宋" w:eastAsia="仿宋" w:hAnsi="仿宋" w:cs="仿宋" w:hint="eastAsia"/>
          <w:lang w:eastAsia="zh-CN"/>
        </w:rPr>
      </w:pPr>
      <w:bookmarkStart w:id="3" w:name="_Toc12724"/>
      <w:r>
        <w:rPr>
          <w:rFonts w:ascii="仿宋" w:eastAsia="仿宋" w:hAnsi="仿宋" w:cs="仿宋" w:hint="eastAsia"/>
          <w:lang w:eastAsia="zh-CN"/>
        </w:rPr>
        <w:t>(一)、氮氧化物治理系统项目概况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起源追溯至对市场的深入洞察。市场的不断演变与变革为氮氧化物治理系统项目提供了难得的机遇。当前市场存在的需求缺口和变革的大环境共同构成了氮氧化物治理系统项目的背景。这个氮氧化物治理系统项目旨在充分利用市场机遇，填补行业中尚未满足的需求，为客户提供全新的解决方案。市场的变革和需求的增长使得这个氮氧化物治理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氮氧化物治理系统项目名称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氮氧化物治理系统项目正式命名为氮氧化物治理系统。这个名称不仅仅是一个标识，更代表了氮氧化物治理系统项目的核心理念和愿景。它蕴含着氮氧化物治理系统项目所要解决问题的关键字，具有强烈的表达和辨识度，为氮氧化物治理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氮氧化物治理系统项目目标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核心目标是提供一种全新、高效的解决方案，满足客户日益增长的需求。氮氧化物治理系统项目追求的不仅仅是满足市场需求，更是在市场中获得卓越的竞争优势。通过不断提升产品或服务的质量和创新水平，氮氧化物治理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氮氧化物治理系统项目范围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全面涵盖了产品研发、制造、市场推广和售后服务，确保从产品设计到最终用户体验的全方位关注。这一全面的氮氧化物治理系统项目范围是为了确保氮氧化物治理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氮氧化物治理系统项目时间表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氮氧化物治理系统项目计划在未来18个月内完成，包括研发、测试、市场试点和正式推出等不同阶段。这个时间表的合理设计是为了确保氮氧化物治理系统项目各个阶段的顺利推进，以便按时交付高质量的成果。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氮氧化物治理系统项目预算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氮氧化物治理系统项目总预算估算为XX百万美元，主要分配在研发、市场推广、人员培训和运营等方面。这一充足的预算为氮氧化物治理系统项目提供了充足的资源，确保氮氧化物治理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氮氧化物治理系统项目风险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可能面临的风险包括市场接受度低、技术难题、竞争激烈等。氮氧化物治理系统项目团队已经制定了相应的风险应对计划，通过前瞻性的风险管理，确保氮氧化物治理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氮氧化物治理系统项目团队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氮氧化物治理系统项目汇聚了一支经验丰富、多领域专业素养的核心团队，确保氮氧化物治理系统项目在各个方面都能拥有高水平的执行力。团队的协同作战是氮氧化物治理系统项目成功的关键因素之一。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氮氧化物治理系统项目背景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氮氧化物治理系统项目的背景根植于市场对更高效、创新产品的渴望，同时也受到科技发展对行业格局的深刻改变的影响。这为氮氧化物治理系统项目提供了广阔的发展空间和市场需求。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氮氧化物治理系统项目现状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截至目前，氮氧化物治理系统项目已完成市场调研和技术验证，取得了初步的成功。这为氮氧化物治理系统项目在未来的发展奠定了坚实的基础，为更远大的目标打下了坚实的基石。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669"/>
      <w:r>
        <w:rPr>
          <w:rFonts w:ascii="仿宋" w:eastAsia="仿宋" w:hAnsi="仿宋" w:cs="仿宋" w:hint="eastAsia"/>
          <w:sz w:val="28"/>
          <w:lang w:eastAsia="zh-CN"/>
        </w:rPr>
        <w:t>(二)、氮氧化物治理系统项目目标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氮氧化物治理系统项目首要业务目标是在市场中占据有利地位，实现产品/服务的成功推广和销售。通过不断提升产品质量、创新性，氮氧化物治理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在科技迅速发展的时代，氮氧化物治理系统项目着眼于技术创新。通过持续的研发和技术升级，氮氧化物治理系统项目旨在推出更具创新性的产品或服务，以满足市场对新鲜、先进解决方案的需求。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氮氧化物治理系统项目设定了客户满意度目标。通过提供卓越的产品质量和优质的客户服务，氮氧化物治理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氮氧化物治理系统项目注重社会责任和可持续发展。通过实施环保、社会责任氮氧化物治理系统项目，氮氧化物治理系统项目致力于在经济发展的同时保护环境，促进社会公平，实现可持续经营。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氮氧化物治理系统项目的团队是实现目标的核心驱动力。因此，氮氧化物治理系统项目设定了团队发展目标，包括提升团队成员的专业技能、培养领导力，以及搭建协同高效的团队工作氛围。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29"/>
      <w:r>
        <w:rPr>
          <w:rFonts w:ascii="仿宋" w:eastAsia="仿宋" w:hAnsi="仿宋" w:cs="仿宋" w:hint="eastAsia"/>
          <w:sz w:val="28"/>
          <w:lang w:eastAsia="zh-CN"/>
        </w:rPr>
        <w:t>(三)、氮氧化物治理系统项目提出的理由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氮氧化物治理系统项目提出的理由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提出源于对市场机遇的深刻洞察。当前市场中存在的需求缺口和行业发展趋势表明，有巨大的商业机会等待被开发。通过准确捕捉市场机遇，氮氧化物治理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理念基于对技术创新的信仰。通过持续的研发和技术投入，氮氧化物治理系统项目有望推出更具创新性的产品或服务。在科技飞速发展的当下，氮氧化物治理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提出是为了增强企业的行业竞争力。通过提升产品或服务的质量和独特性，氮氧化物治理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响应了消费者需求的变化。随着社会和科技的不断发展，消费者对产品和服务的需求也在发生变化。通过深入了解并及时回应消费者的新需求，氮氧化物治理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提出是企业战略发展规划的一部分。在面对日益激烈的市场竞争和不断变化的商业环境中，氮氧化物治理系统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提出不仅仅是基于商业考量，还注重社会责任。通过推出环保、社会责任等方面的氮氧化物治理系统项目，氮氧化物治理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氮氧化物治理系统项目的提出反映了对利益相关者期望的关注。包括客户、员工、投资者等利益相关者在企业发展中都有着各自的期望，氮氧化物治理系统项目力求在满足这些期望的同时，取得更大的共赢。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356"/>
      <w:r>
        <w:rPr>
          <w:rFonts w:ascii="仿宋" w:eastAsia="仿宋" w:hAnsi="仿宋" w:cs="仿宋" w:hint="eastAsia"/>
          <w:sz w:val="28"/>
          <w:lang w:eastAsia="zh-CN"/>
        </w:rPr>
        <w:t>(四)、氮氧化物治理系统项目意义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在实施氮氧化物治理系统项目的过程中，我们不仅仅是在追逐商业成功，更是为企业和社会的多个层面创造了深远的意义。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首要意义在于提升企业的市场竞争力。通过持续的创新和对产品质量的高标准要求，氮氧化物治理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氮氧化物治理系统项目的推进将促使行业技术水平的提升。通过引入先进技术和创新性解决方案，氮氧化物治理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氮氧化物治理系统项目不仅创造了大量就业机会，提高了就业水平，还注重社会责任和环保。通过参与社会公益事业和推动环保氮氧化物治理系统项目，氮氧化物治理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综合而言，氮氧化物治理系统项目意义重大，不仅推动了企业的发展，也为行业和社会的进步贡献了积极力量。这是一个全面而深刻的影响，将在未来产生可持续的正面效应。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830"/>
      <w:r>
        <w:rPr>
          <w:rFonts w:ascii="仿宋" w:eastAsia="仿宋" w:hAnsi="仿宋" w:cs="仿宋" w:hint="eastAsia"/>
          <w:sz w:val="28"/>
          <w:lang w:eastAsia="zh-CN"/>
        </w:rPr>
        <w:t>(五)、氮氧化物治理系统项目背景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在当今迅猛发展的商业环境中，氮氧化物治理系统项目的动因根植于对多方面因素的审慎考量。这个氮氧化物治理系统项目的提出并非孤立的决策，而是对企业所处背景深入思考的产物。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氮氧化物治理系统项目背后的首要原因。科技的迅速发展和全球市场的快速变化使得企业必须灵活应对。氮氧化物治理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竞争的激烈程度也是氮氧化物治理系统项目背景中不可忽视的一环。企业需要在激烈竞争中脱颖而出，为此，氮氧化物治理系统项目致力于打破常规，提供独特的价值主张，以吸引客户并确保市场份额的增长。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技术的迅速发展为企业带来了机遇与挑战。作为氮氧化物治理系统项目启动的背景之一，对新兴技术的应用将有助于提升企业的技术水平，使其在不断演进的商业环境中保持竞争优势。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此外，社会对企业责任的期望也在逐渐升高。氮氧化物治理系统项目充分融入了社会责任的理念，通过可持续经营和社会公益氮氧化物治理系统项目，企图为社会贡献一份力量，在商业成功的同时关注社会价值。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78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16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氮氧化物治理系统项目的主要产品是XXXX，预计年产值为XXX万元。这一产品在市场中占据着重要的地位，其广泛的应用范围使得该氮氧化物治理系统项目的市场前景非常广阔。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氮氧化物治理系统项目的xxx产品作为重要的原材料之一，将在多个领域发挥关键作用。其在建筑、交通、能源等方面的广泛应用将为整个产业链提供强大的支持，形成产业协同效应。氮氧化物治理系统项目的年产值XXX万XXX万XXX万万元不仅反映了其在市场上的巨大潜力，更预示着它对国民经济的积极贡献。这种关联度高、涉及面广的产业关系，使得该氮氧化物治理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782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总征地面积为XXXX平方米，相当于约XX.XX亩，其中净用地面积为XXXX平方米，红线范围内相当于约XX.XX亩。这一用地规模充分考虑了氮氧化物治理系统项目的建设需求，保障了氮氧化物治理系统项目在合适的空间内得以充分发展。氮氧化物治理系统项目规划的总建筑面积为XXXX平方米，其中主体工程建设占XXXX平方米，计容建筑面积达XXXX平方米。预计建筑工程的投资将达到XXXX万元，为氮氧化物治理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计划购置的设备共计XXXX台（套），设备购置费用为XXXX万元。这一设备购置计划充分考虑到氮氧化物治理系统项目的生产需求和技术要求，确保了氮氧化物治理系统项目在生产运营中具备先进的技术装备和高效的生产能力。设备的合理配置将为氮氧化物治理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计划总投资为XXXX万元，预计年实现营业收入为XXXX万元。这一产能规模的设定旨在确保氮氧化物治理系统项目能够在投资与回报之间取得平衡，实现长期可持续的发展。氮氧化物治理系统项目的总投资充分考虑到各个方面的需求，包括用地建设、设备购置等多个环节，以确保氮氧化物治理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829"/>
      <w:r>
        <w:rPr>
          <w:rFonts w:ascii="仿宋" w:eastAsia="仿宋" w:hAnsi="仿宋" w:cs="仿宋" w:hint="eastAsia"/>
          <w:sz w:val="28"/>
          <w:lang w:eastAsia="zh-CN"/>
        </w:rPr>
        <w:t>三、氮氧化物治理系统项目绩效评估</w:t>
      </w:r>
      <w:bookmarkEnd w:id="11"/>
    </w:p>
    <w:p>
      <w:pPr>
        <w:pStyle w:val="Heading2"/>
        <w:rPr>
          <w:rFonts w:ascii="仿宋" w:eastAsia="仿宋" w:hAnsi="仿宋" w:cs="仿宋" w:hint="eastAsia"/>
          <w:lang w:eastAsia="zh-CN"/>
        </w:rPr>
      </w:pPr>
      <w:bookmarkStart w:id="12" w:name="_Toc924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系统项目中，我们设计了一套全面的绩效评估指标，以确保氮氧化物治理系统项目的可控和成功交付。这些指标跨足氮氧化物治理系统项目目标、成本、进度和质量等多个维度，为我们提供了全面洞察氮氧化物治理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目标达成率是我们关注的首要指标。我们设定了明确的目标，并通过定期监测和评估，迅速发现并应对潜在的目标偏差。这为氮氧化物治理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成本绩效是另一个核心关注点。通过实际成本与预算成本的对比分析，我们深入了解成本差异的原因，及时调整资源分配，保持氮氧化物治理系统项目在经济效益方面的合理水平。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进度作为关键的绩效指标之一，得到了精心的关注。我们制定了详细的氮氧化物治理系统项目进度计划，并设立了进度符合度指标，确保实际进度与计划进度保持一致。这使我们能够快速发现和解决潜在的进度问题，保持氮氧化物治理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氮氧化物治理系统项目绩效的不可或缺的一环。我们引入了一系列的质量标准和客户满意度指标，以确保氮氧化物治理系统项目交付的成果在质量上达到或超越预期水平。通过持续监测这些指标，我们努力提升氮氧化物治理系统项目整体质量水平，为氮氧化物治理系统项目的成功交付提供有力保障。通过这些科学且全面的绩效评估，我们能够更好地引导氮氧化物治理系统项目的持续改进，确保氮氧化物治理系统项目目标的顺利达成。</w:t>
      </w:r>
    </w:p>
    <w:p>
      <w:pPr>
        <w:pStyle w:val="Heading2"/>
        <w:ind w:firstLine="560" w:firstLineChars="200"/>
        <w:rPr>
          <w:rFonts w:ascii="仿宋" w:eastAsia="仿宋" w:hAnsi="仿宋" w:cs="仿宋" w:hint="eastAsia"/>
          <w:sz w:val="28"/>
          <w:lang w:eastAsia="zh-CN"/>
        </w:rPr>
      </w:pPr>
      <w:bookmarkStart w:id="13" w:name="_Toc1346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绩效评估是氮氧化物治理系统项目中的关键环节，为确保氮氧化物治理系统项目达到预期目标，我们采用了多层次、多维度的绩效评估方法。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氮氧化物治理系统项目的战略目标对齐，确保每个决策和行动都与氮氧化物治理系统项目整体目标保持一致。团队会定期召开战略对齐会议，审视当前工作与氮氧化物治理系统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氮氧化物治理系统项目进度、质量、成本和风险等方面。这些指标通过数据收集和分析，为氮氧化物治理系统项目管理团队提供了客观的评估依据。例如，我们通过氮氧化物治理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氮氧化物治理系统项目内部，还考虑了氮氧化物治理系统项目对外部环境的影响。我们定期进行干系人满意度调查，以了解各利益相关方对氮氧化物治理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这种多层次、多角度的绩效评估方法，使得我们能够全面了解氮氧化物治理系统项目的运行状态，及时做出调整，确保氮氧化物治理系统项目在不断变化的环境中保持稳健前行。</w:t>
      </w:r>
    </w:p>
    <w:p>
      <w:pPr>
        <w:pStyle w:val="Heading2"/>
        <w:ind w:firstLine="560" w:firstLineChars="200"/>
        <w:rPr>
          <w:rFonts w:ascii="仿宋" w:eastAsia="仿宋" w:hAnsi="仿宋" w:cs="仿宋" w:hint="eastAsia"/>
          <w:sz w:val="28"/>
          <w:lang w:eastAsia="zh-CN"/>
        </w:rPr>
      </w:pPr>
      <w:bookmarkStart w:id="14" w:name="_Toc2684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为了确保氮氧化物治理系统项目的有效管理和不断优化，我们采用了精心设计的绩效评估周期。这个周期旨在实现灵活、实时和全面的评估，以适应氮氧化物治理系统项目执行中的各种挑战。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氮氧化物治理系统项目的不同需求，分为短期、中期和长期。短期评估关注每个迭代或工作周期，以及时发现和解决当前任务中的问题。中期评估涵盖几个迭代，深入了解整体氮氧化物治理系统项目的趋势和性能。长期评估则着眼于整个氮氧化物治理系统项目阶段，确保氮氧化物治理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氮氧化物治理系统项目管理工具和协作平台，团队成员能够随时更新和分享氮氧化物治理系统项目数据。这种实时性的反馈机制使我们能够及时察觉潜在问题，快速调整，保持氮氧化物治理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氮氧化物治理系统项目的决策制定密不可分。每个周期的氮氧化物治理系统项目回顾会议成为集体总结经验、识别问题深层次原因并找到创新解决方案的平台。这种定期的反思与调整机制使氮氧化物治理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326"/>
      <w:r>
        <w:rPr>
          <w:rFonts w:ascii="仿宋" w:eastAsia="仿宋" w:hAnsi="仿宋" w:cs="仿宋" w:hint="eastAsia"/>
          <w:sz w:val="28"/>
          <w:lang w:eastAsia="zh-CN"/>
        </w:rPr>
        <w:t>四、氮氧化物治理系统项目建设背景及必要性分析</w:t>
      </w:r>
      <w:bookmarkEnd w:id="15"/>
    </w:p>
    <w:p>
      <w:pPr>
        <w:pStyle w:val="Heading2"/>
        <w:rPr>
          <w:rFonts w:ascii="仿宋" w:eastAsia="仿宋" w:hAnsi="仿宋" w:cs="仿宋" w:hint="eastAsia"/>
          <w:lang w:eastAsia="zh-CN"/>
        </w:rPr>
      </w:pPr>
      <w:bookmarkStart w:id="16" w:name="_Toc22156"/>
      <w:r>
        <w:rPr>
          <w:rFonts w:ascii="仿宋" w:eastAsia="仿宋" w:hAnsi="仿宋" w:cs="仿宋" w:hint="eastAsia"/>
          <w:lang w:eastAsia="zh-CN"/>
        </w:rPr>
        <w:t>(一)、氮氧化物治理系统项目背景分析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氮氧化物治理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氮氧化物治理系统项目在这个潮流中的定位。同时，我们将关注行业内涌现的新兴机遇，以便氮氧化物治理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氮氧化物治理系统项目提供了强大的发展动力。我们将聚焦于行业内最新的技术发展趋势，包括但不限于人工智能、大数据分析、物联网等领域。通过深度的技术研究，我们将确保氮氧化物治理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氮氧化物治理系统项目发展的源泉。我们将投入更多的精力对市场需求进行深入剖析，超越表面的需求，深入挖掘潜在的市场痛点和机遇。通过对市场需求的细致了解，氮氧化物治理系统项目将更有针对性地设计解决方案，满足市场的多样化需求，从而更好地促进氮氧化物治理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https://d.book118.com/175341011101011044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0E6B56"/>
    <w:rsid w:val="5A0E6B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34101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2024-01-21T04:53:00Z</dcterms:created>
  <dcterms:modified xsi:type="dcterms:W3CDTF">2024-01-21T04:54:02Z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E147746582664FBE912DCEE4321CE507_11</vt:lpwstr>
  </property>
  <property fmtid="{D5CDD505-2E9C-101B-9397-08002B2CF9AE}" pid="3" name="KSOProductBuildVer">
    <vt:lpwstr>2052-12.1.0.16120</vt:lpwstr>
  </property>
</Properties>
</file>