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特殊功能的微生物制剂缓释新型肥料项目计划设计方案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76" w:history="1">
        <w:r>
          <w:rPr>
            <w:rFonts w:ascii="仿宋" w:eastAsia="仿宋" w:hAnsi="仿宋" w:cs="仿宋" w:hint="eastAsia"/>
            <w:lang w:eastAsia="zh-CN"/>
          </w:rPr>
          <w:t>前言</w:t>
        </w:r>
        <w:r>
          <w:tab/>
        </w:r>
        <w:r>
          <w:fldChar w:fldCharType="begin"/>
        </w:r>
        <w:r>
          <w:instrText xml:space="preserve"> PAGEREF _Toc31276 \h </w:instrText>
        </w:r>
        <w:r>
          <w:fldChar w:fldCharType="separate"/>
        </w:r>
        <w:r>
          <w:t>3</w:t>
        </w:r>
        <w:r>
          <w:fldChar w:fldCharType="end"/>
        </w:r>
      </w:hyperlink>
    </w:p>
    <w:p>
      <w:pPr>
        <w:pStyle w:val="TOC1"/>
        <w:tabs>
          <w:tab w:val="right" w:leader="dot" w:pos="8306"/>
        </w:tabs>
      </w:pPr>
      <w:hyperlink w:anchor="_Toc541" w:history="1">
        <w:r>
          <w:rPr>
            <w:rFonts w:ascii="仿宋" w:eastAsia="仿宋" w:hAnsi="仿宋" w:cs="仿宋" w:hint="eastAsia"/>
            <w:lang w:eastAsia="zh-CN"/>
          </w:rPr>
          <w:t>一、特殊功能的微生物制剂缓释新型肥料项目概论</w:t>
        </w:r>
        <w:r>
          <w:tab/>
        </w:r>
        <w:r>
          <w:fldChar w:fldCharType="begin"/>
        </w:r>
        <w:r>
          <w:instrText xml:space="preserve"> PAGEREF _Toc541 \h </w:instrText>
        </w:r>
        <w:r>
          <w:fldChar w:fldCharType="separate"/>
        </w:r>
        <w:r>
          <w:t>3</w:t>
        </w:r>
        <w:r>
          <w:fldChar w:fldCharType="end"/>
        </w:r>
      </w:hyperlink>
    </w:p>
    <w:p>
      <w:pPr>
        <w:pStyle w:val="TOC2"/>
        <w:tabs>
          <w:tab w:val="right" w:leader="dot" w:pos="8306"/>
        </w:tabs>
      </w:pPr>
      <w:hyperlink w:anchor="_Toc30763" w:history="1">
        <w:r>
          <w:rPr>
            <w:rFonts w:ascii="仿宋" w:eastAsia="仿宋" w:hAnsi="仿宋" w:cs="仿宋" w:hint="eastAsia"/>
            <w:lang w:eastAsia="zh-CN"/>
          </w:rPr>
          <w:t>(一)、特殊功能的微生物制剂缓释新型肥料项目概况</w:t>
        </w:r>
        <w:r>
          <w:tab/>
        </w:r>
        <w:r>
          <w:fldChar w:fldCharType="begin"/>
        </w:r>
        <w:r>
          <w:instrText xml:space="preserve"> PAGEREF _Toc30763 \h </w:instrText>
        </w:r>
        <w:r>
          <w:fldChar w:fldCharType="separate"/>
        </w:r>
        <w:r>
          <w:t>3</w:t>
        </w:r>
        <w:r>
          <w:fldChar w:fldCharType="end"/>
        </w:r>
      </w:hyperlink>
    </w:p>
    <w:p>
      <w:pPr>
        <w:pStyle w:val="TOC2"/>
        <w:tabs>
          <w:tab w:val="right" w:leader="dot" w:pos="8306"/>
        </w:tabs>
      </w:pPr>
      <w:hyperlink w:anchor="_Toc4366" w:history="1">
        <w:r>
          <w:rPr>
            <w:rFonts w:ascii="仿宋" w:eastAsia="仿宋" w:hAnsi="仿宋" w:cs="仿宋" w:hint="eastAsia"/>
            <w:lang w:eastAsia="zh-CN"/>
          </w:rPr>
          <w:t>(二)、特殊功能的微生物制剂缓释新型肥料项目目标</w:t>
        </w:r>
        <w:r>
          <w:tab/>
        </w:r>
        <w:r>
          <w:fldChar w:fldCharType="begin"/>
        </w:r>
        <w:r>
          <w:instrText xml:space="preserve"> PAGEREF _Toc4366 \h </w:instrText>
        </w:r>
        <w:r>
          <w:fldChar w:fldCharType="separate"/>
        </w:r>
        <w:r>
          <w:t>6</w:t>
        </w:r>
        <w:r>
          <w:fldChar w:fldCharType="end"/>
        </w:r>
      </w:hyperlink>
    </w:p>
    <w:p>
      <w:pPr>
        <w:pStyle w:val="TOC2"/>
        <w:tabs>
          <w:tab w:val="right" w:leader="dot" w:pos="8306"/>
        </w:tabs>
      </w:pPr>
      <w:hyperlink w:anchor="_Toc10033" w:history="1">
        <w:r>
          <w:rPr>
            <w:rFonts w:ascii="仿宋" w:eastAsia="仿宋" w:hAnsi="仿宋" w:cs="仿宋" w:hint="eastAsia"/>
            <w:lang w:eastAsia="zh-CN"/>
          </w:rPr>
          <w:t>(三)、特殊功能的微生物制剂缓释新型肥料项目提出的理由</w:t>
        </w:r>
        <w:r>
          <w:tab/>
        </w:r>
        <w:r>
          <w:fldChar w:fldCharType="begin"/>
        </w:r>
        <w:r>
          <w:instrText xml:space="preserve"> PAGEREF _Toc10033 \h </w:instrText>
        </w:r>
        <w:r>
          <w:fldChar w:fldCharType="separate"/>
        </w:r>
        <w:r>
          <w:t>7</w:t>
        </w:r>
        <w:r>
          <w:fldChar w:fldCharType="end"/>
        </w:r>
      </w:hyperlink>
    </w:p>
    <w:p>
      <w:pPr>
        <w:pStyle w:val="TOC2"/>
        <w:tabs>
          <w:tab w:val="right" w:leader="dot" w:pos="8306"/>
        </w:tabs>
      </w:pPr>
      <w:hyperlink w:anchor="_Toc3218" w:history="1">
        <w:r>
          <w:rPr>
            <w:rFonts w:ascii="仿宋" w:eastAsia="仿宋" w:hAnsi="仿宋" w:cs="仿宋" w:hint="eastAsia"/>
            <w:lang w:eastAsia="zh-CN"/>
          </w:rPr>
          <w:t>(四)、特殊功能的微生物制剂缓释新型肥料项目意义</w:t>
        </w:r>
        <w:r>
          <w:tab/>
        </w:r>
        <w:r>
          <w:fldChar w:fldCharType="begin"/>
        </w:r>
        <w:r>
          <w:instrText xml:space="preserve"> PAGEREF _Toc3218 \h </w:instrText>
        </w:r>
        <w:r>
          <w:fldChar w:fldCharType="separate"/>
        </w:r>
        <w:r>
          <w:t>9</w:t>
        </w:r>
        <w:r>
          <w:fldChar w:fldCharType="end"/>
        </w:r>
      </w:hyperlink>
    </w:p>
    <w:p>
      <w:pPr>
        <w:pStyle w:val="TOC2"/>
        <w:tabs>
          <w:tab w:val="right" w:leader="dot" w:pos="8306"/>
        </w:tabs>
      </w:pPr>
      <w:hyperlink w:anchor="_Toc18050" w:history="1">
        <w:r>
          <w:rPr>
            <w:rFonts w:ascii="仿宋" w:eastAsia="仿宋" w:hAnsi="仿宋" w:cs="仿宋" w:hint="eastAsia"/>
            <w:lang w:eastAsia="zh-CN"/>
          </w:rPr>
          <w:t>(五)、特殊功能的微生物制剂缓释新型肥料项目背景</w:t>
        </w:r>
        <w:r>
          <w:tab/>
        </w:r>
        <w:r>
          <w:fldChar w:fldCharType="begin"/>
        </w:r>
        <w:r>
          <w:instrText xml:space="preserve"> PAGEREF _Toc18050 \h </w:instrText>
        </w:r>
        <w:r>
          <w:fldChar w:fldCharType="separate"/>
        </w:r>
        <w:r>
          <w:t>10</w:t>
        </w:r>
        <w:r>
          <w:fldChar w:fldCharType="end"/>
        </w:r>
      </w:hyperlink>
    </w:p>
    <w:p>
      <w:pPr>
        <w:pStyle w:val="TOC1"/>
        <w:tabs>
          <w:tab w:val="right" w:leader="dot" w:pos="8306"/>
        </w:tabs>
      </w:pPr>
      <w:hyperlink w:anchor="_Toc30249" w:history="1">
        <w:r>
          <w:rPr>
            <w:rFonts w:ascii="仿宋" w:eastAsia="仿宋" w:hAnsi="仿宋" w:cs="仿宋" w:hint="eastAsia"/>
            <w:lang w:eastAsia="zh-CN"/>
          </w:rPr>
          <w:t>二、特殊功能的微生物制剂缓释新型肥料项目文档管理</w:t>
        </w:r>
        <w:r>
          <w:tab/>
        </w:r>
        <w:r>
          <w:fldChar w:fldCharType="begin"/>
        </w:r>
        <w:r>
          <w:instrText xml:space="preserve"> PAGEREF _Toc30249 \h </w:instrText>
        </w:r>
        <w:r>
          <w:fldChar w:fldCharType="separate"/>
        </w:r>
        <w:r>
          <w:t>11</w:t>
        </w:r>
        <w:r>
          <w:fldChar w:fldCharType="end"/>
        </w:r>
      </w:hyperlink>
    </w:p>
    <w:p>
      <w:pPr>
        <w:pStyle w:val="TOC2"/>
        <w:tabs>
          <w:tab w:val="right" w:leader="dot" w:pos="8306"/>
        </w:tabs>
      </w:pPr>
      <w:hyperlink w:anchor="_Toc15295" w:history="1">
        <w:r>
          <w:rPr>
            <w:rFonts w:ascii="仿宋" w:eastAsia="仿宋" w:hAnsi="仿宋" w:cs="仿宋" w:hint="eastAsia"/>
            <w:lang w:eastAsia="zh-CN"/>
          </w:rPr>
          <w:t>(一)、文档编制与审查</w:t>
        </w:r>
        <w:r>
          <w:tab/>
        </w:r>
        <w:r>
          <w:fldChar w:fldCharType="begin"/>
        </w:r>
        <w:r>
          <w:instrText xml:space="preserve"> PAGEREF _Toc15295 \h </w:instrText>
        </w:r>
        <w:r>
          <w:fldChar w:fldCharType="separate"/>
        </w:r>
        <w:r>
          <w:t>11</w:t>
        </w:r>
        <w:r>
          <w:fldChar w:fldCharType="end"/>
        </w:r>
      </w:hyperlink>
    </w:p>
    <w:p>
      <w:pPr>
        <w:pStyle w:val="TOC2"/>
        <w:tabs>
          <w:tab w:val="right" w:leader="dot" w:pos="8306"/>
        </w:tabs>
      </w:pPr>
      <w:hyperlink w:anchor="_Toc26249" w:history="1">
        <w:r>
          <w:rPr>
            <w:rFonts w:ascii="仿宋" w:eastAsia="仿宋" w:hAnsi="仿宋" w:cs="仿宋" w:hint="eastAsia"/>
            <w:lang w:eastAsia="zh-CN"/>
          </w:rPr>
          <w:t>(二)、文档发布与分发</w:t>
        </w:r>
        <w:r>
          <w:tab/>
        </w:r>
        <w:r>
          <w:fldChar w:fldCharType="begin"/>
        </w:r>
        <w:r>
          <w:instrText xml:space="preserve"> PAGEREF _Toc26249 \h </w:instrText>
        </w:r>
        <w:r>
          <w:fldChar w:fldCharType="separate"/>
        </w:r>
        <w:r>
          <w:t>13</w:t>
        </w:r>
        <w:r>
          <w:fldChar w:fldCharType="end"/>
        </w:r>
      </w:hyperlink>
    </w:p>
    <w:p>
      <w:pPr>
        <w:pStyle w:val="TOC2"/>
        <w:tabs>
          <w:tab w:val="right" w:leader="dot" w:pos="8306"/>
        </w:tabs>
      </w:pPr>
      <w:hyperlink w:anchor="_Toc18427" w:history="1">
        <w:r>
          <w:rPr>
            <w:rFonts w:ascii="仿宋" w:eastAsia="仿宋" w:hAnsi="仿宋" w:cs="仿宋" w:hint="eastAsia"/>
            <w:lang w:eastAsia="zh-CN"/>
          </w:rPr>
          <w:t>(三)、文档存档与归档</w:t>
        </w:r>
        <w:r>
          <w:tab/>
        </w:r>
        <w:r>
          <w:fldChar w:fldCharType="begin"/>
        </w:r>
        <w:r>
          <w:instrText xml:space="preserve"> PAGEREF _Toc18427 \h </w:instrText>
        </w:r>
        <w:r>
          <w:fldChar w:fldCharType="separate"/>
        </w:r>
        <w:r>
          <w:t>13</w:t>
        </w:r>
        <w:r>
          <w:fldChar w:fldCharType="end"/>
        </w:r>
      </w:hyperlink>
    </w:p>
    <w:p>
      <w:pPr>
        <w:pStyle w:val="TOC1"/>
        <w:tabs>
          <w:tab w:val="right" w:leader="dot" w:pos="8306"/>
        </w:tabs>
      </w:pPr>
      <w:hyperlink w:anchor="_Toc16612" w:history="1">
        <w:r>
          <w:rPr>
            <w:rFonts w:ascii="仿宋" w:eastAsia="仿宋" w:hAnsi="仿宋" w:cs="仿宋" w:hint="eastAsia"/>
            <w:lang w:eastAsia="zh-CN"/>
          </w:rPr>
          <w:t>三、特殊功能的微生物制剂缓释新型肥料项目可持续发展</w:t>
        </w:r>
        <w:r>
          <w:tab/>
        </w:r>
        <w:r>
          <w:fldChar w:fldCharType="begin"/>
        </w:r>
        <w:r>
          <w:instrText xml:space="preserve"> PAGEREF _Toc16612 \h </w:instrText>
        </w:r>
        <w:r>
          <w:fldChar w:fldCharType="separate"/>
        </w:r>
        <w:r>
          <w:t>15</w:t>
        </w:r>
        <w:r>
          <w:fldChar w:fldCharType="end"/>
        </w:r>
      </w:hyperlink>
    </w:p>
    <w:p>
      <w:pPr>
        <w:pStyle w:val="TOC2"/>
        <w:tabs>
          <w:tab w:val="right" w:leader="dot" w:pos="8306"/>
        </w:tabs>
      </w:pPr>
      <w:hyperlink w:anchor="_Toc30304" w:history="1">
        <w:r>
          <w:rPr>
            <w:rFonts w:ascii="仿宋" w:eastAsia="仿宋" w:hAnsi="仿宋" w:cs="仿宋" w:hint="eastAsia"/>
            <w:lang w:eastAsia="zh-CN"/>
          </w:rPr>
          <w:t>(一)、可持续战略与实践</w:t>
        </w:r>
        <w:r>
          <w:tab/>
        </w:r>
        <w:r>
          <w:fldChar w:fldCharType="begin"/>
        </w:r>
        <w:r>
          <w:instrText xml:space="preserve"> PAGEREF _Toc30304 \h </w:instrText>
        </w:r>
        <w:r>
          <w:fldChar w:fldCharType="separate"/>
        </w:r>
        <w:r>
          <w:t>15</w:t>
        </w:r>
        <w:r>
          <w:fldChar w:fldCharType="end"/>
        </w:r>
      </w:hyperlink>
    </w:p>
    <w:p>
      <w:pPr>
        <w:pStyle w:val="TOC2"/>
        <w:tabs>
          <w:tab w:val="right" w:leader="dot" w:pos="8306"/>
        </w:tabs>
      </w:pPr>
      <w:hyperlink w:anchor="_Toc19826" w:history="1">
        <w:r>
          <w:rPr>
            <w:rFonts w:ascii="仿宋" w:eastAsia="仿宋" w:hAnsi="仿宋" w:cs="仿宋" w:hint="eastAsia"/>
            <w:lang w:eastAsia="zh-CN"/>
          </w:rPr>
          <w:t>(二)、环保与社会责任</w:t>
        </w:r>
        <w:r>
          <w:tab/>
        </w:r>
        <w:r>
          <w:fldChar w:fldCharType="begin"/>
        </w:r>
        <w:r>
          <w:instrText xml:space="preserve"> PAGEREF _Toc19826 \h </w:instrText>
        </w:r>
        <w:r>
          <w:fldChar w:fldCharType="separate"/>
        </w:r>
        <w:r>
          <w:t>16</w:t>
        </w:r>
        <w:r>
          <w:fldChar w:fldCharType="end"/>
        </w:r>
      </w:hyperlink>
    </w:p>
    <w:p>
      <w:pPr>
        <w:pStyle w:val="TOC1"/>
        <w:tabs>
          <w:tab w:val="right" w:leader="dot" w:pos="8306"/>
        </w:tabs>
      </w:pPr>
      <w:hyperlink w:anchor="_Toc6425" w:history="1">
        <w:r>
          <w:rPr>
            <w:rFonts w:ascii="仿宋" w:eastAsia="仿宋" w:hAnsi="仿宋" w:cs="仿宋" w:hint="eastAsia"/>
            <w:lang w:eastAsia="zh-CN"/>
          </w:rPr>
          <w:t>四、产品规划分析</w:t>
        </w:r>
        <w:r>
          <w:tab/>
        </w:r>
        <w:r>
          <w:fldChar w:fldCharType="begin"/>
        </w:r>
        <w:r>
          <w:instrText xml:space="preserve"> PAGEREF _Toc6425 \h </w:instrText>
        </w:r>
        <w:r>
          <w:fldChar w:fldCharType="separate"/>
        </w:r>
        <w:r>
          <w:t>17</w:t>
        </w:r>
        <w:r>
          <w:fldChar w:fldCharType="end"/>
        </w:r>
      </w:hyperlink>
    </w:p>
    <w:p>
      <w:pPr>
        <w:pStyle w:val="TOC2"/>
        <w:tabs>
          <w:tab w:val="right" w:leader="dot" w:pos="8306"/>
        </w:tabs>
      </w:pPr>
      <w:hyperlink w:anchor="_Toc23876" w:history="1">
        <w:r>
          <w:rPr>
            <w:rFonts w:ascii="仿宋" w:eastAsia="仿宋" w:hAnsi="仿宋" w:cs="仿宋" w:hint="eastAsia"/>
            <w:lang w:eastAsia="zh-CN"/>
          </w:rPr>
          <w:t>(一)、产品规划</w:t>
        </w:r>
        <w:r>
          <w:tab/>
        </w:r>
        <w:r>
          <w:fldChar w:fldCharType="begin"/>
        </w:r>
        <w:r>
          <w:instrText xml:space="preserve"> PAGEREF _Toc23876 \h </w:instrText>
        </w:r>
        <w:r>
          <w:fldChar w:fldCharType="separate"/>
        </w:r>
        <w:r>
          <w:t>17</w:t>
        </w:r>
        <w:r>
          <w:fldChar w:fldCharType="end"/>
        </w:r>
      </w:hyperlink>
    </w:p>
    <w:p>
      <w:pPr>
        <w:pStyle w:val="TOC2"/>
        <w:tabs>
          <w:tab w:val="right" w:leader="dot" w:pos="8306"/>
        </w:tabs>
      </w:pPr>
      <w:hyperlink w:anchor="_Toc3666" w:history="1">
        <w:r>
          <w:rPr>
            <w:rFonts w:ascii="仿宋" w:eastAsia="仿宋" w:hAnsi="仿宋" w:cs="仿宋" w:hint="eastAsia"/>
            <w:lang w:eastAsia="zh-CN"/>
          </w:rPr>
          <w:t>(二)、建设规模</w:t>
        </w:r>
        <w:r>
          <w:tab/>
        </w:r>
        <w:r>
          <w:fldChar w:fldCharType="begin"/>
        </w:r>
        <w:r>
          <w:instrText xml:space="preserve"> PAGEREF _Toc3666 \h </w:instrText>
        </w:r>
        <w:r>
          <w:fldChar w:fldCharType="separate"/>
        </w:r>
        <w:r>
          <w:t>18</w:t>
        </w:r>
        <w:r>
          <w:fldChar w:fldCharType="end"/>
        </w:r>
      </w:hyperlink>
    </w:p>
    <w:p>
      <w:pPr>
        <w:pStyle w:val="TOC1"/>
        <w:tabs>
          <w:tab w:val="right" w:leader="dot" w:pos="8306"/>
        </w:tabs>
      </w:pPr>
      <w:hyperlink w:anchor="_Toc27047" w:history="1">
        <w:r>
          <w:rPr>
            <w:rFonts w:ascii="仿宋" w:eastAsia="仿宋" w:hAnsi="仿宋" w:cs="仿宋" w:hint="eastAsia"/>
            <w:lang w:eastAsia="zh-CN"/>
          </w:rPr>
          <w:t>五、特殊功能的微生物制剂缓释新型肥料项目绩效评估</w:t>
        </w:r>
        <w:r>
          <w:tab/>
        </w:r>
        <w:r>
          <w:fldChar w:fldCharType="begin"/>
        </w:r>
        <w:r>
          <w:instrText xml:space="preserve"> PAGEREF _Toc27047 \h </w:instrText>
        </w:r>
        <w:r>
          <w:fldChar w:fldCharType="separate"/>
        </w:r>
        <w:r>
          <w:t>19</w:t>
        </w:r>
        <w:r>
          <w:fldChar w:fldCharType="end"/>
        </w:r>
      </w:hyperlink>
    </w:p>
    <w:p>
      <w:pPr>
        <w:pStyle w:val="TOC2"/>
        <w:tabs>
          <w:tab w:val="right" w:leader="dot" w:pos="8306"/>
        </w:tabs>
      </w:pPr>
      <w:hyperlink w:anchor="_Toc5786" w:history="1">
        <w:r>
          <w:rPr>
            <w:rFonts w:ascii="仿宋" w:eastAsia="仿宋" w:hAnsi="仿宋" w:cs="仿宋" w:hint="eastAsia"/>
            <w:lang w:eastAsia="zh-CN"/>
          </w:rPr>
          <w:t>(一)、绩效评估指标</w:t>
        </w:r>
        <w:r>
          <w:tab/>
        </w:r>
        <w:r>
          <w:fldChar w:fldCharType="begin"/>
        </w:r>
        <w:r>
          <w:instrText xml:space="preserve"> PAGEREF _Toc5786 \h </w:instrText>
        </w:r>
        <w:r>
          <w:fldChar w:fldCharType="separate"/>
        </w:r>
        <w:r>
          <w:t>19</w:t>
        </w:r>
        <w:r>
          <w:fldChar w:fldCharType="end"/>
        </w:r>
      </w:hyperlink>
    </w:p>
    <w:p>
      <w:pPr>
        <w:pStyle w:val="TOC2"/>
        <w:tabs>
          <w:tab w:val="right" w:leader="dot" w:pos="8306"/>
        </w:tabs>
      </w:pPr>
      <w:hyperlink w:anchor="_Toc29598" w:history="1">
        <w:r>
          <w:rPr>
            <w:rFonts w:ascii="仿宋" w:eastAsia="仿宋" w:hAnsi="仿宋" w:cs="仿宋" w:hint="eastAsia"/>
            <w:lang w:eastAsia="zh-CN"/>
          </w:rPr>
          <w:t>(二)、绩效评估方法</w:t>
        </w:r>
        <w:r>
          <w:tab/>
        </w:r>
        <w:r>
          <w:fldChar w:fldCharType="begin"/>
        </w:r>
        <w:r>
          <w:instrText xml:space="preserve"> PAGEREF _Toc29598 \h </w:instrText>
        </w:r>
        <w:r>
          <w:fldChar w:fldCharType="separate"/>
        </w:r>
        <w:r>
          <w:t>20</w:t>
        </w:r>
        <w:r>
          <w:fldChar w:fldCharType="end"/>
        </w:r>
      </w:hyperlink>
    </w:p>
    <w:p>
      <w:pPr>
        <w:pStyle w:val="TOC2"/>
        <w:tabs>
          <w:tab w:val="right" w:leader="dot" w:pos="8306"/>
        </w:tabs>
      </w:pPr>
      <w:hyperlink w:anchor="_Toc3814" w:history="1">
        <w:r>
          <w:rPr>
            <w:rFonts w:ascii="仿宋" w:eastAsia="仿宋" w:hAnsi="仿宋" w:cs="仿宋" w:hint="eastAsia"/>
            <w:lang w:eastAsia="zh-CN"/>
          </w:rPr>
          <w:t>(三)、绩效评估周期</w:t>
        </w:r>
        <w:r>
          <w:tab/>
        </w:r>
        <w:r>
          <w:fldChar w:fldCharType="begin"/>
        </w:r>
        <w:r>
          <w:instrText xml:space="preserve"> PAGEREF _Toc3814 \h </w:instrText>
        </w:r>
        <w:r>
          <w:fldChar w:fldCharType="separate"/>
        </w:r>
        <w:r>
          <w:t>22</w:t>
        </w:r>
        <w:r>
          <w:fldChar w:fldCharType="end"/>
        </w:r>
      </w:hyperlink>
    </w:p>
    <w:p>
      <w:pPr>
        <w:pStyle w:val="TOC1"/>
        <w:tabs>
          <w:tab w:val="right" w:leader="dot" w:pos="8306"/>
        </w:tabs>
      </w:pPr>
      <w:hyperlink w:anchor="_Toc19524" w:history="1">
        <w:r>
          <w:rPr>
            <w:rFonts w:ascii="仿宋" w:eastAsia="仿宋" w:hAnsi="仿宋" w:cs="仿宋" w:hint="eastAsia"/>
            <w:lang w:eastAsia="zh-CN"/>
          </w:rPr>
          <w:t>六、特殊功能的微生物制剂缓释新型肥料项目选址可行性分析</w:t>
        </w:r>
        <w:r>
          <w:tab/>
        </w:r>
        <w:r>
          <w:fldChar w:fldCharType="begin"/>
        </w:r>
        <w:r>
          <w:instrText xml:space="preserve"> PAGEREF _Toc19524 \h </w:instrText>
        </w:r>
        <w:r>
          <w:fldChar w:fldCharType="separate"/>
        </w:r>
        <w:r>
          <w:t>23</w:t>
        </w:r>
        <w:r>
          <w:fldChar w:fldCharType="end"/>
        </w:r>
      </w:hyperlink>
    </w:p>
    <w:p>
      <w:pPr>
        <w:pStyle w:val="TOC2"/>
        <w:tabs>
          <w:tab w:val="right" w:leader="dot" w:pos="8306"/>
        </w:tabs>
      </w:pPr>
      <w:hyperlink w:anchor="_Toc13309" w:history="1">
        <w:r>
          <w:rPr>
            <w:rFonts w:ascii="仿宋" w:eastAsia="仿宋" w:hAnsi="仿宋" w:cs="仿宋" w:hint="eastAsia"/>
            <w:lang w:eastAsia="zh-CN"/>
          </w:rPr>
          <w:t>(一)、特殊功能的微生物制剂缓释新型肥料项目选址</w:t>
        </w:r>
        <w:r>
          <w:tab/>
        </w:r>
        <w:r>
          <w:fldChar w:fldCharType="begin"/>
        </w:r>
        <w:r>
          <w:instrText xml:space="preserve"> PAGEREF _Toc13309 \h </w:instrText>
        </w:r>
        <w:r>
          <w:fldChar w:fldCharType="separate"/>
        </w:r>
        <w:r>
          <w:t>23</w:t>
        </w:r>
        <w:r>
          <w:fldChar w:fldCharType="end"/>
        </w:r>
      </w:hyperlink>
    </w:p>
    <w:p>
      <w:pPr>
        <w:pStyle w:val="TOC2"/>
        <w:tabs>
          <w:tab w:val="right" w:leader="dot" w:pos="8306"/>
        </w:tabs>
      </w:pPr>
      <w:hyperlink w:anchor="_Toc29962" w:history="1">
        <w:r>
          <w:rPr>
            <w:rFonts w:ascii="仿宋" w:eastAsia="仿宋" w:hAnsi="仿宋" w:cs="仿宋" w:hint="eastAsia"/>
            <w:lang w:eastAsia="zh-CN"/>
          </w:rPr>
          <w:t>(二)、用地控制指标</w:t>
        </w:r>
        <w:r>
          <w:tab/>
        </w:r>
        <w:r>
          <w:fldChar w:fldCharType="begin"/>
        </w:r>
        <w:r>
          <w:instrText xml:space="preserve"> PAGEREF _Toc29962 \h </w:instrText>
        </w:r>
        <w:r>
          <w:fldChar w:fldCharType="separate"/>
        </w:r>
        <w:r>
          <w:t>23</w:t>
        </w:r>
        <w:r>
          <w:fldChar w:fldCharType="end"/>
        </w:r>
      </w:hyperlink>
    </w:p>
    <w:p>
      <w:pPr>
        <w:pStyle w:val="TOC2"/>
        <w:tabs>
          <w:tab w:val="right" w:leader="dot" w:pos="8306"/>
        </w:tabs>
      </w:pPr>
      <w:hyperlink w:anchor="_Toc550" w:history="1">
        <w:r>
          <w:rPr>
            <w:rFonts w:ascii="仿宋" w:eastAsia="仿宋" w:hAnsi="仿宋" w:cs="仿宋" w:hint="eastAsia"/>
            <w:lang w:eastAsia="zh-CN"/>
          </w:rPr>
          <w:t>(三)、节约用地措施</w:t>
        </w:r>
        <w:r>
          <w:tab/>
        </w:r>
        <w:r>
          <w:fldChar w:fldCharType="begin"/>
        </w:r>
        <w:r>
          <w:instrText xml:space="preserve"> PAGEREF _Toc550 \h </w:instrText>
        </w:r>
        <w:r>
          <w:fldChar w:fldCharType="separate"/>
        </w:r>
        <w:r>
          <w:t>25</w:t>
        </w:r>
        <w:r>
          <w:fldChar w:fldCharType="end"/>
        </w:r>
      </w:hyperlink>
    </w:p>
    <w:p>
      <w:pPr>
        <w:pStyle w:val="TOC2"/>
        <w:tabs>
          <w:tab w:val="right" w:leader="dot" w:pos="8306"/>
        </w:tabs>
      </w:pPr>
      <w:hyperlink w:anchor="_Toc32568" w:history="1">
        <w:r>
          <w:rPr>
            <w:rFonts w:ascii="仿宋" w:eastAsia="仿宋" w:hAnsi="仿宋" w:cs="仿宋" w:hint="eastAsia"/>
            <w:lang w:eastAsia="zh-CN"/>
          </w:rPr>
          <w:t>(四)、总图布置方案</w:t>
        </w:r>
        <w:r>
          <w:tab/>
        </w:r>
        <w:r>
          <w:fldChar w:fldCharType="begin"/>
        </w:r>
        <w:r>
          <w:instrText xml:space="preserve"> PAGEREF _Toc32568 \h </w:instrText>
        </w:r>
        <w:r>
          <w:fldChar w:fldCharType="separate"/>
        </w:r>
        <w:r>
          <w:t>26</w:t>
        </w:r>
        <w:r>
          <w:fldChar w:fldCharType="end"/>
        </w:r>
      </w:hyperlink>
    </w:p>
    <w:p>
      <w:pPr>
        <w:pStyle w:val="TOC2"/>
        <w:tabs>
          <w:tab w:val="right" w:leader="dot" w:pos="8306"/>
        </w:tabs>
      </w:pPr>
      <w:hyperlink w:anchor="_Toc6978" w:history="1">
        <w:r>
          <w:rPr>
            <w:rFonts w:ascii="仿宋" w:eastAsia="仿宋" w:hAnsi="仿宋" w:cs="仿宋" w:hint="eastAsia"/>
            <w:lang w:eastAsia="zh-CN"/>
          </w:rPr>
          <w:t>(五)、选址综合评价</w:t>
        </w:r>
        <w:r>
          <w:tab/>
        </w:r>
        <w:r>
          <w:fldChar w:fldCharType="begin"/>
        </w:r>
        <w:r>
          <w:instrText xml:space="preserve"> PAGEREF _Toc6978 \h </w:instrText>
        </w:r>
        <w:r>
          <w:fldChar w:fldCharType="separate"/>
        </w:r>
        <w:r>
          <w:t>28</w:t>
        </w:r>
        <w:r>
          <w:fldChar w:fldCharType="end"/>
        </w:r>
      </w:hyperlink>
    </w:p>
    <w:p>
      <w:pPr>
        <w:pStyle w:val="TOC1"/>
        <w:tabs>
          <w:tab w:val="right" w:leader="dot" w:pos="8306"/>
        </w:tabs>
      </w:pPr>
      <w:hyperlink w:anchor="_Toc19477" w:history="1">
        <w:r>
          <w:rPr>
            <w:rFonts w:ascii="仿宋" w:eastAsia="仿宋" w:hAnsi="仿宋" w:cs="仿宋" w:hint="eastAsia"/>
            <w:lang w:eastAsia="zh-CN"/>
          </w:rPr>
          <w:t>七、特殊功能的微生物制剂缓释新型肥料项目风险管理</w:t>
        </w:r>
        <w:r>
          <w:tab/>
        </w:r>
        <w:r>
          <w:fldChar w:fldCharType="begin"/>
        </w:r>
        <w:r>
          <w:instrText xml:space="preserve"> PAGEREF _Toc19477 \h </w:instrText>
        </w:r>
        <w:r>
          <w:fldChar w:fldCharType="separate"/>
        </w:r>
        <w:r>
          <w:t>29</w:t>
        </w:r>
        <w:r>
          <w:fldChar w:fldCharType="end"/>
        </w:r>
      </w:hyperlink>
    </w:p>
    <w:p>
      <w:pPr>
        <w:pStyle w:val="TOC2"/>
        <w:tabs>
          <w:tab w:val="right" w:leader="dot" w:pos="8306"/>
        </w:tabs>
      </w:pPr>
      <w:hyperlink w:anchor="_Toc11962" w:history="1">
        <w:r>
          <w:rPr>
            <w:rFonts w:ascii="仿宋" w:eastAsia="仿宋" w:hAnsi="仿宋" w:cs="仿宋" w:hint="eastAsia"/>
            <w:lang w:eastAsia="zh-CN"/>
          </w:rPr>
          <w:t>(一)、风险识别与评估</w:t>
        </w:r>
        <w:r>
          <w:tab/>
        </w:r>
        <w:r>
          <w:fldChar w:fldCharType="begin"/>
        </w:r>
        <w:r>
          <w:instrText xml:space="preserve"> PAGEREF _Toc11962 \h </w:instrText>
        </w:r>
        <w:r>
          <w:fldChar w:fldCharType="separate"/>
        </w:r>
        <w:r>
          <w:t>29</w:t>
        </w:r>
        <w:r>
          <w:fldChar w:fldCharType="end"/>
        </w:r>
      </w:hyperlink>
    </w:p>
    <w:p>
      <w:pPr>
        <w:pStyle w:val="TOC2"/>
        <w:tabs>
          <w:tab w:val="right" w:leader="dot" w:pos="8306"/>
        </w:tabs>
      </w:pPr>
      <w:hyperlink w:anchor="_Toc23452" w:history="1">
        <w:r>
          <w:rPr>
            <w:rFonts w:ascii="仿宋" w:eastAsia="仿宋" w:hAnsi="仿宋" w:cs="仿宋" w:hint="eastAsia"/>
            <w:lang w:eastAsia="zh-CN"/>
          </w:rPr>
          <w:t>(二)、风险应对策略</w:t>
        </w:r>
        <w:r>
          <w:tab/>
        </w:r>
        <w:r>
          <w:fldChar w:fldCharType="begin"/>
        </w:r>
        <w:r>
          <w:instrText xml:space="preserve"> PAGEREF _Toc23452 \h </w:instrText>
        </w:r>
        <w:r>
          <w:fldChar w:fldCharType="separate"/>
        </w:r>
        <w:r>
          <w:t>30</w:t>
        </w:r>
        <w:r>
          <w:fldChar w:fldCharType="end"/>
        </w:r>
      </w:hyperlink>
    </w:p>
    <w:p>
      <w:pPr>
        <w:pStyle w:val="TOC2"/>
        <w:tabs>
          <w:tab w:val="right" w:leader="dot" w:pos="8306"/>
        </w:tabs>
      </w:pPr>
      <w:hyperlink w:anchor="_Toc31217" w:history="1">
        <w:r>
          <w:rPr>
            <w:rFonts w:ascii="仿宋" w:eastAsia="仿宋" w:hAnsi="仿宋" w:cs="仿宋" w:hint="eastAsia"/>
            <w:lang w:eastAsia="zh-CN"/>
          </w:rPr>
          <w:t>(三)、风险监控与控制</w:t>
        </w:r>
        <w:r>
          <w:tab/>
        </w:r>
        <w:r>
          <w:fldChar w:fldCharType="begin"/>
        </w:r>
        <w:r>
          <w:instrText xml:space="preserve"> PAGEREF _Toc31217 \h </w:instrText>
        </w:r>
        <w:r>
          <w:fldChar w:fldCharType="separate"/>
        </w:r>
        <w:r>
          <w:t>32</w:t>
        </w:r>
        <w:r>
          <w:fldChar w:fldCharType="end"/>
        </w:r>
      </w:hyperlink>
    </w:p>
    <w:p>
      <w:pPr>
        <w:pStyle w:val="TOC1"/>
        <w:tabs>
          <w:tab w:val="right" w:leader="dot" w:pos="8306"/>
        </w:tabs>
      </w:pPr>
      <w:hyperlink w:anchor="_Toc1462" w:history="1">
        <w:r>
          <w:rPr>
            <w:rFonts w:ascii="仿宋" w:eastAsia="仿宋" w:hAnsi="仿宋" w:cs="仿宋" w:hint="eastAsia"/>
            <w:lang w:eastAsia="zh-CN"/>
          </w:rPr>
          <w:t>八、特殊功能的微生物制剂缓释新型肥料项目人力资源管理</w:t>
        </w:r>
        <w:r>
          <w:tab/>
        </w:r>
        <w:r>
          <w:fldChar w:fldCharType="begin"/>
        </w:r>
        <w:r>
          <w:instrText xml:space="preserve"> PAGEREF _Toc1462 \h </w:instrText>
        </w:r>
        <w:r>
          <w:fldChar w:fldCharType="separate"/>
        </w:r>
        <w:r>
          <w:t>33</w:t>
        </w:r>
        <w:r>
          <w:fldChar w:fldCharType="end"/>
        </w:r>
      </w:hyperlink>
    </w:p>
    <w:p>
      <w:pPr>
        <w:pStyle w:val="TOC2"/>
        <w:tabs>
          <w:tab w:val="right" w:leader="dot" w:pos="8306"/>
        </w:tabs>
      </w:pPr>
      <w:hyperlink w:anchor="_Toc27917" w:history="1">
        <w:r>
          <w:rPr>
            <w:rFonts w:ascii="仿宋" w:eastAsia="仿宋" w:hAnsi="仿宋" w:cs="仿宋" w:hint="eastAsia"/>
            <w:lang w:eastAsia="zh-CN"/>
          </w:rPr>
          <w:t>(一)、建立健全的预算管理制度</w:t>
        </w:r>
        <w:r>
          <w:tab/>
        </w:r>
        <w:r>
          <w:fldChar w:fldCharType="begin"/>
        </w:r>
        <w:r>
          <w:instrText xml:space="preserve"> PAGEREF _Toc27917 \h </w:instrText>
        </w:r>
        <w:r>
          <w:fldChar w:fldCharType="separate"/>
        </w:r>
        <w:r>
          <w:t>33</w:t>
        </w:r>
        <w:r>
          <w:fldChar w:fldCharType="end"/>
        </w:r>
      </w:hyperlink>
    </w:p>
    <w:p>
      <w:pPr>
        <w:pStyle w:val="TOC2"/>
        <w:tabs>
          <w:tab w:val="right" w:leader="dot" w:pos="8306"/>
        </w:tabs>
      </w:pPr>
      <w:hyperlink w:anchor="_Toc6724" w:history="1">
        <w:r>
          <w:rPr>
            <w:rFonts w:ascii="仿宋" w:eastAsia="仿宋" w:hAnsi="仿宋" w:cs="仿宋" w:hint="eastAsia"/>
            <w:lang w:eastAsia="zh-CN"/>
          </w:rPr>
          <w:t>(二)、加强资金流动监控</w:t>
        </w:r>
        <w:r>
          <w:tab/>
        </w:r>
        <w:r>
          <w:fldChar w:fldCharType="begin"/>
        </w:r>
        <w:r>
          <w:instrText xml:space="preserve"> PAGEREF _Toc6724 \h </w:instrText>
        </w:r>
        <w:r>
          <w:fldChar w:fldCharType="separate"/>
        </w:r>
        <w:r>
          <w:t>35</w:t>
        </w:r>
        <w:r>
          <w:fldChar w:fldCharType="end"/>
        </w:r>
      </w:hyperlink>
    </w:p>
    <w:p>
      <w:pPr>
        <w:pStyle w:val="TOC2"/>
        <w:tabs>
          <w:tab w:val="right" w:leader="dot" w:pos="8306"/>
        </w:tabs>
      </w:pPr>
      <w:hyperlink w:anchor="_Toc8029" w:history="1">
        <w:r>
          <w:rPr>
            <w:rFonts w:ascii="仿宋" w:eastAsia="仿宋" w:hAnsi="仿宋" w:cs="仿宋" w:hint="eastAsia"/>
            <w:lang w:eastAsia="zh-CN"/>
          </w:rPr>
          <w:t>(三)、制定完善的风险控制机制</w:t>
        </w:r>
        <w:r>
          <w:tab/>
        </w:r>
        <w:r>
          <w:fldChar w:fldCharType="begin"/>
        </w:r>
        <w:r>
          <w:instrText xml:space="preserve"> PAGEREF _Toc8029 \h </w:instrText>
        </w:r>
        <w:r>
          <w:fldChar w:fldCharType="separate"/>
        </w:r>
        <w:r>
          <w:t>37</w:t>
        </w:r>
        <w:r>
          <w:fldChar w:fldCharType="end"/>
        </w:r>
      </w:hyperlink>
    </w:p>
    <w:p>
      <w:pPr>
        <w:pStyle w:val="TOC2"/>
        <w:tabs>
          <w:tab w:val="right" w:leader="dot" w:pos="8306"/>
        </w:tabs>
      </w:pPr>
      <w:hyperlink w:anchor="_Toc1668" w:history="1">
        <w:r>
          <w:rPr>
            <w:rFonts w:ascii="仿宋" w:eastAsia="仿宋" w:hAnsi="仿宋" w:cs="仿宋" w:hint="eastAsia"/>
            <w:lang w:eastAsia="zh-CN"/>
          </w:rPr>
          <w:t>(四)、优化成本管理</w:t>
        </w:r>
        <w:r>
          <w:tab/>
        </w:r>
        <w:r>
          <w:fldChar w:fldCharType="begin"/>
        </w:r>
        <w:r>
          <w:instrText xml:space="preserve"> PAGEREF _Toc1668 \h </w:instrText>
        </w:r>
        <w:r>
          <w:fldChar w:fldCharType="separate"/>
        </w:r>
        <w:r>
          <w:t>38</w:t>
        </w:r>
        <w:r>
          <w:fldChar w:fldCharType="end"/>
        </w:r>
      </w:hyperlink>
    </w:p>
    <w:p>
      <w:pPr>
        <w:pStyle w:val="TOC1"/>
        <w:tabs>
          <w:tab w:val="right" w:leader="dot" w:pos="8306"/>
        </w:tabs>
      </w:pPr>
      <w:hyperlink w:anchor="_Toc22443" w:history="1">
        <w:r>
          <w:rPr>
            <w:rFonts w:ascii="仿宋" w:eastAsia="仿宋" w:hAnsi="仿宋" w:cs="仿宋" w:hint="eastAsia"/>
            <w:lang w:eastAsia="zh-CN"/>
          </w:rPr>
          <w:t>九、特殊功能的微生物制剂缓释新型肥料项目环境影响分析</w:t>
        </w:r>
        <w:r>
          <w:tab/>
        </w:r>
        <w:r>
          <w:fldChar w:fldCharType="begin"/>
        </w:r>
        <w:r>
          <w:instrText xml:space="preserve"> PAGEREF _Toc22443 \h </w:instrText>
        </w:r>
        <w:r>
          <w:fldChar w:fldCharType="separate"/>
        </w:r>
        <w:r>
          <w:t>40</w:t>
        </w:r>
        <w:r>
          <w:fldChar w:fldCharType="end"/>
        </w:r>
      </w:hyperlink>
    </w:p>
    <w:p>
      <w:pPr>
        <w:pStyle w:val="TOC2"/>
        <w:tabs>
          <w:tab w:val="right" w:leader="dot" w:pos="8306"/>
        </w:tabs>
      </w:pPr>
      <w:hyperlink w:anchor="_Toc21140" w:history="1">
        <w:r>
          <w:rPr>
            <w:rFonts w:ascii="仿宋" w:eastAsia="仿宋" w:hAnsi="仿宋" w:cs="仿宋" w:hint="eastAsia"/>
            <w:lang w:eastAsia="zh-CN"/>
          </w:rPr>
          <w:t>(一)、建设区域环境质量现状</w:t>
        </w:r>
        <w:r>
          <w:tab/>
        </w:r>
        <w:r>
          <w:fldChar w:fldCharType="begin"/>
        </w:r>
        <w:r>
          <w:instrText xml:space="preserve"> PAGEREF _Toc21140 \h </w:instrText>
        </w:r>
        <w:r>
          <w:fldChar w:fldCharType="separate"/>
        </w:r>
        <w:r>
          <w:t>40</w:t>
        </w:r>
        <w:r>
          <w:fldChar w:fldCharType="end"/>
        </w:r>
      </w:hyperlink>
    </w:p>
    <w:p>
      <w:pPr>
        <w:pStyle w:val="TOC2"/>
        <w:tabs>
          <w:tab w:val="right" w:leader="dot" w:pos="8306"/>
        </w:tabs>
      </w:pPr>
      <w:hyperlink w:anchor="_Toc20522" w:history="1">
        <w:r>
          <w:rPr>
            <w:rFonts w:ascii="仿宋" w:eastAsia="仿宋" w:hAnsi="仿宋" w:cs="仿宋" w:hint="eastAsia"/>
            <w:lang w:eastAsia="zh-CN"/>
          </w:rPr>
          <w:t>(二)、建设期环境保护</w:t>
        </w:r>
        <w:r>
          <w:tab/>
        </w:r>
        <w:r>
          <w:fldChar w:fldCharType="begin"/>
        </w:r>
        <w:r>
          <w:instrText xml:space="preserve"> PAGEREF _Toc20522 \h </w:instrText>
        </w:r>
        <w:r>
          <w:fldChar w:fldCharType="separate"/>
        </w:r>
        <w:r>
          <w:t>41</w:t>
        </w:r>
        <w:r>
          <w:fldChar w:fldCharType="end"/>
        </w:r>
      </w:hyperlink>
    </w:p>
    <w:p>
      <w:pPr>
        <w:pStyle w:val="TOC2"/>
        <w:tabs>
          <w:tab w:val="right" w:leader="dot" w:pos="8306"/>
        </w:tabs>
      </w:pPr>
      <w:hyperlink w:anchor="_Toc8229" w:history="1">
        <w:r>
          <w:rPr>
            <w:rFonts w:ascii="仿宋" w:eastAsia="仿宋" w:hAnsi="仿宋" w:cs="仿宋" w:hint="eastAsia"/>
            <w:lang w:eastAsia="zh-CN"/>
          </w:rPr>
          <w:t>(三)、运营期环境保护</w:t>
        </w:r>
        <w:r>
          <w:tab/>
        </w:r>
        <w:r>
          <w:fldChar w:fldCharType="begin"/>
        </w:r>
        <w:r>
          <w:instrText xml:space="preserve"> PAGEREF _Toc8229 \h </w:instrText>
        </w:r>
        <w:r>
          <w:fldChar w:fldCharType="separate"/>
        </w:r>
        <w:r>
          <w:t>43</w:t>
        </w:r>
        <w:r>
          <w:fldChar w:fldCharType="end"/>
        </w:r>
      </w:hyperlink>
    </w:p>
    <w:p>
      <w:pPr>
        <w:pStyle w:val="TOC2"/>
        <w:tabs>
          <w:tab w:val="right" w:leader="dot" w:pos="8306"/>
        </w:tabs>
      </w:pPr>
      <w:hyperlink w:anchor="_Toc23278" w:history="1">
        <w:r>
          <w:rPr>
            <w:rFonts w:ascii="仿宋" w:eastAsia="仿宋" w:hAnsi="仿宋" w:cs="仿宋" w:hint="eastAsia"/>
            <w:lang w:eastAsia="zh-CN"/>
          </w:rPr>
          <w:t>(四)、特殊功能的微生物制剂缓释新型肥料项目建设对区域经济的影响</w:t>
        </w:r>
        <w:r>
          <w:tab/>
        </w:r>
        <w:r>
          <w:fldChar w:fldCharType="begin"/>
        </w:r>
        <w:r>
          <w:instrText xml:space="preserve"> PAGEREF _Toc23278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5" w:history="1">
        <w:r>
          <w:rPr>
            <w:rFonts w:ascii="仿宋" w:eastAsia="仿宋" w:hAnsi="仿宋" w:cs="仿宋" w:hint="eastAsia"/>
            <w:lang w:eastAsia="zh-CN"/>
          </w:rPr>
          <w:t>(五)、废弃物处理</w:t>
        </w:r>
        <w:r>
          <w:tab/>
        </w:r>
        <w:r>
          <w:fldChar w:fldCharType="begin"/>
        </w:r>
        <w:r>
          <w:instrText xml:space="preserve"> PAGEREF _Toc23445 \h </w:instrText>
        </w:r>
        <w:r>
          <w:fldChar w:fldCharType="separate"/>
        </w:r>
        <w:r>
          <w:t>46</w:t>
        </w:r>
        <w:r>
          <w:fldChar w:fldCharType="end"/>
        </w:r>
      </w:hyperlink>
    </w:p>
    <w:p>
      <w:pPr>
        <w:pStyle w:val="TOC2"/>
        <w:tabs>
          <w:tab w:val="right" w:leader="dot" w:pos="8306"/>
        </w:tabs>
      </w:pPr>
      <w:hyperlink w:anchor="_Toc29453" w:history="1">
        <w:r>
          <w:rPr>
            <w:rFonts w:ascii="仿宋" w:eastAsia="仿宋" w:hAnsi="仿宋" w:cs="仿宋" w:hint="eastAsia"/>
            <w:lang w:eastAsia="zh-CN"/>
          </w:rPr>
          <w:t>(六)、特殊环境影响分析</w:t>
        </w:r>
        <w:r>
          <w:tab/>
        </w:r>
        <w:r>
          <w:fldChar w:fldCharType="begin"/>
        </w:r>
        <w:r>
          <w:instrText xml:space="preserve"> PAGEREF _Toc29453 \h </w:instrText>
        </w:r>
        <w:r>
          <w:fldChar w:fldCharType="separate"/>
        </w:r>
        <w:r>
          <w:t>48</w:t>
        </w:r>
        <w:r>
          <w:fldChar w:fldCharType="end"/>
        </w:r>
      </w:hyperlink>
    </w:p>
    <w:p>
      <w:pPr>
        <w:pStyle w:val="TOC2"/>
        <w:tabs>
          <w:tab w:val="right" w:leader="dot" w:pos="8306"/>
        </w:tabs>
      </w:pPr>
      <w:hyperlink w:anchor="_Toc6922" w:history="1">
        <w:r>
          <w:rPr>
            <w:rFonts w:ascii="仿宋" w:eastAsia="仿宋" w:hAnsi="仿宋" w:cs="仿宋" w:hint="eastAsia"/>
            <w:lang w:eastAsia="zh-CN"/>
          </w:rPr>
          <w:t>(七)、清洁生产</w:t>
        </w:r>
        <w:r>
          <w:tab/>
        </w:r>
        <w:r>
          <w:fldChar w:fldCharType="begin"/>
        </w:r>
        <w:r>
          <w:instrText xml:space="preserve"> PAGEREF _Toc6922 \h </w:instrText>
        </w:r>
        <w:r>
          <w:fldChar w:fldCharType="separate"/>
        </w:r>
        <w:r>
          <w:t>49</w:t>
        </w:r>
        <w:r>
          <w:fldChar w:fldCharType="end"/>
        </w:r>
      </w:hyperlink>
    </w:p>
    <w:p>
      <w:pPr>
        <w:pStyle w:val="TOC2"/>
        <w:tabs>
          <w:tab w:val="right" w:leader="dot" w:pos="8306"/>
        </w:tabs>
      </w:pPr>
      <w:hyperlink w:anchor="_Toc26585" w:history="1">
        <w:r>
          <w:rPr>
            <w:rFonts w:ascii="仿宋" w:eastAsia="仿宋" w:hAnsi="仿宋" w:cs="仿宋" w:hint="eastAsia"/>
            <w:lang w:eastAsia="zh-CN"/>
          </w:rPr>
          <w:t>(八)、环境保护综合评价</w:t>
        </w:r>
        <w:r>
          <w:tab/>
        </w:r>
        <w:r>
          <w:fldChar w:fldCharType="begin"/>
        </w:r>
        <w:r>
          <w:instrText xml:space="preserve"> PAGEREF _Toc26585 \h </w:instrText>
        </w:r>
        <w:r>
          <w:fldChar w:fldCharType="separate"/>
        </w:r>
        <w:r>
          <w:t>50</w:t>
        </w:r>
        <w:r>
          <w:fldChar w:fldCharType="end"/>
        </w:r>
      </w:hyperlink>
    </w:p>
    <w:p>
      <w:pPr>
        <w:pStyle w:val="TOC1"/>
        <w:tabs>
          <w:tab w:val="right" w:leader="dot" w:pos="8306"/>
        </w:tabs>
      </w:pPr>
      <w:hyperlink w:anchor="_Toc17224" w:history="1">
        <w:r>
          <w:rPr>
            <w:rFonts w:ascii="仿宋" w:eastAsia="仿宋" w:hAnsi="仿宋" w:cs="仿宋" w:hint="eastAsia"/>
            <w:lang w:eastAsia="zh-CN"/>
          </w:rPr>
          <w:t>十、特殊功能的微生物制剂缓释新型肥料项目计划安排</w:t>
        </w:r>
        <w:r>
          <w:tab/>
        </w:r>
        <w:r>
          <w:fldChar w:fldCharType="begin"/>
        </w:r>
        <w:r>
          <w:instrText xml:space="preserve"> PAGEREF _Toc17224 \h </w:instrText>
        </w:r>
        <w:r>
          <w:fldChar w:fldCharType="separate"/>
        </w:r>
        <w:r>
          <w:t>52</w:t>
        </w:r>
        <w:r>
          <w:fldChar w:fldCharType="end"/>
        </w:r>
      </w:hyperlink>
    </w:p>
    <w:p>
      <w:pPr>
        <w:pStyle w:val="TOC2"/>
        <w:tabs>
          <w:tab w:val="right" w:leader="dot" w:pos="8306"/>
        </w:tabs>
      </w:pPr>
      <w:hyperlink w:anchor="_Toc31443" w:history="1">
        <w:r>
          <w:rPr>
            <w:rFonts w:ascii="仿宋" w:eastAsia="仿宋" w:hAnsi="仿宋" w:cs="仿宋" w:hint="eastAsia"/>
            <w:lang w:eastAsia="zh-CN"/>
          </w:rPr>
          <w:t>(一)、建设周期</w:t>
        </w:r>
        <w:r>
          <w:tab/>
        </w:r>
        <w:r>
          <w:fldChar w:fldCharType="begin"/>
        </w:r>
        <w:r>
          <w:instrText xml:space="preserve"> PAGEREF _Toc31443 \h </w:instrText>
        </w:r>
        <w:r>
          <w:fldChar w:fldCharType="separate"/>
        </w:r>
        <w:r>
          <w:t>52</w:t>
        </w:r>
        <w:r>
          <w:fldChar w:fldCharType="end"/>
        </w:r>
      </w:hyperlink>
    </w:p>
    <w:p>
      <w:pPr>
        <w:pStyle w:val="TOC2"/>
        <w:tabs>
          <w:tab w:val="right" w:leader="dot" w:pos="8306"/>
        </w:tabs>
      </w:pPr>
      <w:hyperlink w:anchor="_Toc2137" w:history="1">
        <w:r>
          <w:rPr>
            <w:rFonts w:ascii="仿宋" w:eastAsia="仿宋" w:hAnsi="仿宋" w:cs="仿宋" w:hint="eastAsia"/>
            <w:lang w:eastAsia="zh-CN"/>
          </w:rPr>
          <w:t>(二)、建设进度</w:t>
        </w:r>
        <w:r>
          <w:tab/>
        </w:r>
        <w:r>
          <w:fldChar w:fldCharType="begin"/>
        </w:r>
        <w:r>
          <w:instrText xml:space="preserve"> PAGEREF _Toc2137 \h </w:instrText>
        </w:r>
        <w:r>
          <w:fldChar w:fldCharType="separate"/>
        </w:r>
        <w:r>
          <w:t>53</w:t>
        </w:r>
        <w:r>
          <w:fldChar w:fldCharType="end"/>
        </w:r>
      </w:hyperlink>
    </w:p>
    <w:p>
      <w:pPr>
        <w:pStyle w:val="TOC2"/>
        <w:tabs>
          <w:tab w:val="right" w:leader="dot" w:pos="8306"/>
        </w:tabs>
      </w:pPr>
      <w:hyperlink w:anchor="_Toc20036" w:history="1">
        <w:r>
          <w:rPr>
            <w:rFonts w:ascii="仿宋" w:eastAsia="仿宋" w:hAnsi="仿宋" w:cs="仿宋" w:hint="eastAsia"/>
            <w:lang w:eastAsia="zh-CN"/>
          </w:rPr>
          <w:t>(三)、进度安排注意事项</w:t>
        </w:r>
        <w:r>
          <w:tab/>
        </w:r>
        <w:r>
          <w:fldChar w:fldCharType="begin"/>
        </w:r>
        <w:r>
          <w:instrText xml:space="preserve"> PAGEREF _Toc20036 \h </w:instrText>
        </w:r>
        <w:r>
          <w:fldChar w:fldCharType="separate"/>
        </w:r>
        <w:r>
          <w:t>54</w:t>
        </w:r>
        <w:r>
          <w:fldChar w:fldCharType="end"/>
        </w:r>
      </w:hyperlink>
    </w:p>
    <w:p>
      <w:pPr>
        <w:pStyle w:val="TOC2"/>
        <w:tabs>
          <w:tab w:val="right" w:leader="dot" w:pos="8306"/>
        </w:tabs>
      </w:pPr>
      <w:hyperlink w:anchor="_Toc20539" w:history="1">
        <w:r>
          <w:rPr>
            <w:rFonts w:ascii="仿宋" w:eastAsia="仿宋" w:hAnsi="仿宋" w:cs="仿宋" w:hint="eastAsia"/>
            <w:lang w:eastAsia="zh-CN"/>
          </w:rPr>
          <w:t>(四)、人力资源配置</w:t>
        </w:r>
        <w:r>
          <w:tab/>
        </w:r>
        <w:r>
          <w:fldChar w:fldCharType="begin"/>
        </w:r>
        <w:r>
          <w:instrText xml:space="preserve"> PAGEREF _Toc20539 \h </w:instrText>
        </w:r>
        <w:r>
          <w:fldChar w:fldCharType="separate"/>
        </w:r>
        <w:r>
          <w:t>56</w:t>
        </w:r>
        <w:r>
          <w:fldChar w:fldCharType="end"/>
        </w:r>
      </w:hyperlink>
    </w:p>
    <w:p>
      <w:pPr>
        <w:pStyle w:val="TOC1"/>
        <w:tabs>
          <w:tab w:val="right" w:leader="dot" w:pos="8306"/>
        </w:tabs>
      </w:pPr>
      <w:hyperlink w:anchor="_Toc12709" w:history="1">
        <w:r>
          <w:rPr>
            <w:rFonts w:ascii="仿宋" w:eastAsia="仿宋" w:hAnsi="仿宋" w:cs="仿宋" w:hint="eastAsia"/>
            <w:lang w:eastAsia="zh-CN"/>
          </w:rPr>
          <w:t>十一、特殊功能的微生物制剂缓释新型肥料项目经营效益</w:t>
        </w:r>
        <w:r>
          <w:tab/>
        </w:r>
        <w:r>
          <w:fldChar w:fldCharType="begin"/>
        </w:r>
        <w:r>
          <w:instrText xml:space="preserve"> PAGEREF _Toc12709 \h </w:instrText>
        </w:r>
        <w:r>
          <w:fldChar w:fldCharType="separate"/>
        </w:r>
        <w:r>
          <w:t>57</w:t>
        </w:r>
        <w:r>
          <w:fldChar w:fldCharType="end"/>
        </w:r>
      </w:hyperlink>
    </w:p>
    <w:p>
      <w:pPr>
        <w:pStyle w:val="TOC2"/>
        <w:tabs>
          <w:tab w:val="right" w:leader="dot" w:pos="8306"/>
        </w:tabs>
      </w:pPr>
      <w:hyperlink w:anchor="_Toc28715" w:history="1">
        <w:r>
          <w:rPr>
            <w:rFonts w:ascii="仿宋" w:eastAsia="仿宋" w:hAnsi="仿宋" w:cs="仿宋" w:hint="eastAsia"/>
            <w:lang w:eastAsia="zh-CN"/>
          </w:rPr>
          <w:t>(一)、经济评价财务测算</w:t>
        </w:r>
        <w:r>
          <w:tab/>
        </w:r>
        <w:r>
          <w:fldChar w:fldCharType="begin"/>
        </w:r>
        <w:r>
          <w:instrText xml:space="preserve"> PAGEREF _Toc28715 \h </w:instrText>
        </w:r>
        <w:r>
          <w:fldChar w:fldCharType="separate"/>
        </w:r>
        <w:r>
          <w:t>57</w:t>
        </w:r>
        <w:r>
          <w:fldChar w:fldCharType="end"/>
        </w:r>
      </w:hyperlink>
    </w:p>
    <w:p>
      <w:pPr>
        <w:pStyle w:val="TOC2"/>
        <w:tabs>
          <w:tab w:val="right" w:leader="dot" w:pos="8306"/>
        </w:tabs>
      </w:pPr>
      <w:hyperlink w:anchor="_Toc569" w:history="1">
        <w:r>
          <w:rPr>
            <w:rFonts w:ascii="仿宋" w:eastAsia="仿宋" w:hAnsi="仿宋" w:cs="仿宋" w:hint="eastAsia"/>
            <w:lang w:eastAsia="zh-CN"/>
          </w:rPr>
          <w:t>(二)、特殊功能的微生物制剂缓释新型肥料项目盈利能力分析</w:t>
        </w:r>
        <w:r>
          <w:tab/>
        </w:r>
        <w:r>
          <w:fldChar w:fldCharType="begin"/>
        </w:r>
        <w:r>
          <w:instrText xml:space="preserve"> PAGEREF _Toc569 \h </w:instrText>
        </w:r>
        <w:r>
          <w:fldChar w:fldCharType="separate"/>
        </w:r>
        <w:r>
          <w:t>58</w:t>
        </w:r>
        <w:r>
          <w:fldChar w:fldCharType="end"/>
        </w:r>
      </w:hyperlink>
    </w:p>
    <w:p>
      <w:pPr>
        <w:pStyle w:val="TOC1"/>
        <w:tabs>
          <w:tab w:val="right" w:leader="dot" w:pos="8306"/>
        </w:tabs>
      </w:pPr>
      <w:hyperlink w:anchor="_Toc16729" w:history="1">
        <w:r>
          <w:rPr>
            <w:rFonts w:ascii="仿宋" w:eastAsia="仿宋" w:hAnsi="仿宋" w:cs="仿宋" w:hint="eastAsia"/>
            <w:lang w:eastAsia="zh-CN"/>
          </w:rPr>
          <w:t>十二、特殊功能的微生物制剂缓释新型肥料项目社会影响</w:t>
        </w:r>
        <w:r>
          <w:tab/>
        </w:r>
        <w:r>
          <w:fldChar w:fldCharType="begin"/>
        </w:r>
        <w:r>
          <w:instrText xml:space="preserve"> PAGEREF _Toc16729 \h </w:instrText>
        </w:r>
        <w:r>
          <w:fldChar w:fldCharType="separate"/>
        </w:r>
        <w:r>
          <w:t>59</w:t>
        </w:r>
        <w:r>
          <w:fldChar w:fldCharType="end"/>
        </w:r>
      </w:hyperlink>
    </w:p>
    <w:p>
      <w:pPr>
        <w:pStyle w:val="TOC2"/>
        <w:tabs>
          <w:tab w:val="right" w:leader="dot" w:pos="8306"/>
        </w:tabs>
      </w:pPr>
      <w:hyperlink w:anchor="_Toc18826" w:history="1">
        <w:r>
          <w:rPr>
            <w:rFonts w:ascii="仿宋" w:eastAsia="仿宋" w:hAnsi="仿宋" w:cs="仿宋" w:hint="eastAsia"/>
            <w:lang w:eastAsia="zh-CN"/>
          </w:rPr>
          <w:t>(一)、社会责任与义务</w:t>
        </w:r>
        <w:r>
          <w:tab/>
        </w:r>
        <w:r>
          <w:fldChar w:fldCharType="begin"/>
        </w:r>
        <w:r>
          <w:instrText xml:space="preserve"> PAGEREF _Toc18826 \h </w:instrText>
        </w:r>
        <w:r>
          <w:fldChar w:fldCharType="separate"/>
        </w:r>
        <w:r>
          <w:t>59</w:t>
        </w:r>
        <w:r>
          <w:fldChar w:fldCharType="end"/>
        </w:r>
      </w:hyperlink>
    </w:p>
    <w:p>
      <w:pPr>
        <w:pStyle w:val="TOC2"/>
        <w:tabs>
          <w:tab w:val="right" w:leader="dot" w:pos="8306"/>
        </w:tabs>
      </w:pPr>
      <w:hyperlink w:anchor="_Toc12280" w:history="1">
        <w:r>
          <w:rPr>
            <w:rFonts w:ascii="仿宋" w:eastAsia="仿宋" w:hAnsi="仿宋" w:cs="仿宋" w:hint="eastAsia"/>
            <w:lang w:eastAsia="zh-CN"/>
          </w:rPr>
          <w:t>(二)、社会参与与沟通</w:t>
        </w:r>
        <w:r>
          <w:tab/>
        </w:r>
        <w:r>
          <w:fldChar w:fldCharType="begin"/>
        </w:r>
        <w:r>
          <w:instrText xml:space="preserve"> PAGEREF _Toc12280 \h </w:instrText>
        </w:r>
        <w:r>
          <w:fldChar w:fldCharType="separate"/>
        </w:r>
        <w:r>
          <w:t>60</w:t>
        </w:r>
        <w:r>
          <w:fldChar w:fldCharType="end"/>
        </w:r>
      </w:hyperlink>
    </w:p>
    <w:p>
      <w:pPr>
        <w:pStyle w:val="TOC1"/>
        <w:tabs>
          <w:tab w:val="right" w:leader="dot" w:pos="8306"/>
        </w:tabs>
      </w:pPr>
      <w:hyperlink w:anchor="_Toc20639" w:history="1">
        <w:r>
          <w:rPr>
            <w:rFonts w:ascii="仿宋" w:eastAsia="仿宋" w:hAnsi="仿宋" w:cs="仿宋" w:hint="eastAsia"/>
            <w:lang w:eastAsia="zh-CN"/>
          </w:rPr>
          <w:t>十三、营销与推广策略</w:t>
        </w:r>
        <w:r>
          <w:tab/>
        </w:r>
        <w:r>
          <w:fldChar w:fldCharType="begin"/>
        </w:r>
        <w:r>
          <w:instrText xml:space="preserve"> PAGEREF _Toc20639 \h </w:instrText>
        </w:r>
        <w:r>
          <w:fldChar w:fldCharType="separate"/>
        </w:r>
        <w:r>
          <w:t>61</w:t>
        </w:r>
        <w:r>
          <w:fldChar w:fldCharType="end"/>
        </w:r>
      </w:hyperlink>
    </w:p>
    <w:p>
      <w:pPr>
        <w:pStyle w:val="TOC2"/>
        <w:tabs>
          <w:tab w:val="right" w:leader="dot" w:pos="8306"/>
        </w:tabs>
      </w:pPr>
      <w:hyperlink w:anchor="_Toc16390" w:history="1">
        <w:r>
          <w:rPr>
            <w:rFonts w:ascii="仿宋" w:eastAsia="仿宋" w:hAnsi="仿宋" w:cs="仿宋" w:hint="eastAsia"/>
            <w:lang w:eastAsia="zh-CN"/>
          </w:rPr>
          <w:t>(一)、产品/服务定位与特点</w:t>
        </w:r>
        <w:r>
          <w:tab/>
        </w:r>
        <w:r>
          <w:fldChar w:fldCharType="begin"/>
        </w:r>
        <w:r>
          <w:instrText xml:space="preserve"> PAGEREF _Toc16390 \h </w:instrText>
        </w:r>
        <w:r>
          <w:fldChar w:fldCharType="separate"/>
        </w:r>
        <w:r>
          <w:t>61</w:t>
        </w:r>
        <w:r>
          <w:fldChar w:fldCharType="end"/>
        </w:r>
      </w:hyperlink>
    </w:p>
    <w:p>
      <w:pPr>
        <w:pStyle w:val="TOC2"/>
        <w:tabs>
          <w:tab w:val="right" w:leader="dot" w:pos="8306"/>
        </w:tabs>
      </w:pPr>
      <w:hyperlink w:anchor="_Toc22061" w:history="1">
        <w:r>
          <w:rPr>
            <w:rFonts w:ascii="仿宋" w:eastAsia="仿宋" w:hAnsi="仿宋" w:cs="仿宋" w:hint="eastAsia"/>
            <w:lang w:eastAsia="zh-CN"/>
          </w:rPr>
          <w:t>(二)、市场定位与竞争分析</w:t>
        </w:r>
        <w:r>
          <w:tab/>
        </w:r>
        <w:r>
          <w:fldChar w:fldCharType="begin"/>
        </w:r>
        <w:r>
          <w:instrText xml:space="preserve"> PAGEREF _Toc22061 \h </w:instrText>
        </w:r>
        <w:r>
          <w:fldChar w:fldCharType="separate"/>
        </w:r>
        <w:r>
          <w:t>63</w:t>
        </w:r>
        <w:r>
          <w:fldChar w:fldCharType="end"/>
        </w:r>
      </w:hyperlink>
    </w:p>
    <w:p>
      <w:pPr>
        <w:pStyle w:val="TOC2"/>
        <w:tabs>
          <w:tab w:val="right" w:leader="dot" w:pos="8306"/>
        </w:tabs>
      </w:pPr>
      <w:hyperlink w:anchor="_Toc7503" w:history="1">
        <w:r>
          <w:rPr>
            <w:rFonts w:ascii="仿宋" w:eastAsia="仿宋" w:hAnsi="仿宋" w:cs="仿宋" w:hint="eastAsia"/>
            <w:lang w:eastAsia="zh-CN"/>
          </w:rPr>
          <w:t>(三)、营销渠道与策略</w:t>
        </w:r>
        <w:r>
          <w:tab/>
        </w:r>
        <w:r>
          <w:fldChar w:fldCharType="begin"/>
        </w:r>
        <w:r>
          <w:instrText xml:space="preserve"> PAGEREF _Toc7503 \h </w:instrText>
        </w:r>
        <w:r>
          <w:fldChar w:fldCharType="separate"/>
        </w:r>
        <w:r>
          <w:t>64</w:t>
        </w:r>
        <w:r>
          <w:fldChar w:fldCharType="end"/>
        </w:r>
      </w:hyperlink>
    </w:p>
    <w:p>
      <w:pPr>
        <w:pStyle w:val="TOC2"/>
        <w:tabs>
          <w:tab w:val="right" w:leader="dot" w:pos="8306"/>
        </w:tabs>
      </w:pPr>
      <w:hyperlink w:anchor="_Toc18197" w:history="1">
        <w:r>
          <w:rPr>
            <w:rFonts w:ascii="仿宋" w:eastAsia="仿宋" w:hAnsi="仿宋" w:cs="仿宋" w:hint="eastAsia"/>
            <w:lang w:eastAsia="zh-CN"/>
          </w:rPr>
          <w:t>(四)、推广与宣传活动</w:t>
        </w:r>
        <w:r>
          <w:tab/>
        </w:r>
        <w:r>
          <w:fldChar w:fldCharType="begin"/>
        </w:r>
        <w:r>
          <w:instrText xml:space="preserve"> PAGEREF _Toc18197 \h </w:instrText>
        </w:r>
        <w:r>
          <w:fldChar w:fldCharType="separate"/>
        </w:r>
        <w:r>
          <w:t>65</w:t>
        </w:r>
        <w:r>
          <w:fldChar w:fldCharType="end"/>
        </w:r>
      </w:hyperlink>
    </w:p>
    <w:p>
      <w:pPr>
        <w:pStyle w:val="TOC1"/>
        <w:tabs>
          <w:tab w:val="right" w:leader="dot" w:pos="8306"/>
        </w:tabs>
      </w:pPr>
      <w:hyperlink w:anchor="_Toc14444" w:history="1">
        <w:r>
          <w:rPr>
            <w:rFonts w:ascii="仿宋" w:eastAsia="仿宋" w:hAnsi="仿宋" w:cs="仿宋" w:hint="eastAsia"/>
            <w:lang w:eastAsia="zh-CN"/>
          </w:rPr>
          <w:t>十四、特殊功能的微生物制剂缓释新型肥料项目治理与监督</w:t>
        </w:r>
        <w:r>
          <w:tab/>
        </w:r>
        <w:r>
          <w:fldChar w:fldCharType="begin"/>
        </w:r>
        <w:r>
          <w:instrText xml:space="preserve"> PAGEREF _Toc14444 \h </w:instrText>
        </w:r>
        <w:r>
          <w:fldChar w:fldCharType="separate"/>
        </w:r>
        <w:r>
          <w:t>71</w:t>
        </w:r>
        <w:r>
          <w:fldChar w:fldCharType="end"/>
        </w:r>
      </w:hyperlink>
    </w:p>
    <w:p>
      <w:pPr>
        <w:pStyle w:val="TOC2"/>
        <w:tabs>
          <w:tab w:val="right" w:leader="dot" w:pos="8306"/>
        </w:tabs>
      </w:pPr>
      <w:hyperlink w:anchor="_Toc5089" w:history="1">
        <w:r>
          <w:rPr>
            <w:rFonts w:ascii="仿宋" w:eastAsia="仿宋" w:hAnsi="仿宋" w:cs="仿宋" w:hint="eastAsia"/>
            <w:lang w:eastAsia="zh-CN"/>
          </w:rPr>
          <w:t>(一)、特殊功能的微生物制剂缓释新型肥料项目治理结构</w:t>
        </w:r>
        <w:r>
          <w:tab/>
        </w:r>
        <w:r>
          <w:fldChar w:fldCharType="begin"/>
        </w:r>
        <w:r>
          <w:instrText xml:space="preserve"> PAGEREF _Toc5089 \h </w:instrText>
        </w:r>
        <w:r>
          <w:fldChar w:fldCharType="separate"/>
        </w:r>
        <w:r>
          <w:t>71</w:t>
        </w:r>
        <w:r>
          <w:fldChar w:fldCharType="end"/>
        </w:r>
      </w:hyperlink>
    </w:p>
    <w:p>
      <w:pPr>
        <w:pStyle w:val="TOC2"/>
        <w:tabs>
          <w:tab w:val="right" w:leader="dot" w:pos="8306"/>
        </w:tabs>
      </w:pPr>
      <w:hyperlink w:anchor="_Toc16587" w:history="1">
        <w:r>
          <w:rPr>
            <w:rFonts w:ascii="仿宋" w:eastAsia="仿宋" w:hAnsi="仿宋" w:cs="仿宋" w:hint="eastAsia"/>
            <w:lang w:eastAsia="zh-CN"/>
          </w:rPr>
          <w:t>(二)、监督与审计</w:t>
        </w:r>
        <w:r>
          <w:tab/>
        </w:r>
        <w:r>
          <w:fldChar w:fldCharType="begin"/>
        </w:r>
        <w:r>
          <w:instrText xml:space="preserve"> PAGEREF _Toc16587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1"/>
      <w:r>
        <w:rPr>
          <w:rFonts w:ascii="仿宋" w:eastAsia="仿宋" w:hAnsi="仿宋" w:cs="仿宋" w:hint="eastAsia"/>
          <w:sz w:val="28"/>
          <w:lang w:eastAsia="zh-CN"/>
        </w:rPr>
        <w:t>一、特殊功能的微生物制剂缓释新型肥料项目概论</w:t>
      </w:r>
      <w:bookmarkEnd w:id="2"/>
    </w:p>
    <w:p>
      <w:pPr>
        <w:pStyle w:val="Heading2"/>
        <w:rPr>
          <w:rFonts w:ascii="仿宋" w:eastAsia="仿宋" w:hAnsi="仿宋" w:cs="仿宋" w:hint="eastAsia"/>
          <w:lang w:eastAsia="zh-CN"/>
        </w:rPr>
      </w:pPr>
      <w:bookmarkStart w:id="3" w:name="_Toc30763"/>
      <w:r>
        <w:rPr>
          <w:rFonts w:ascii="仿宋" w:eastAsia="仿宋" w:hAnsi="仿宋" w:cs="仿宋" w:hint="eastAsia"/>
          <w:lang w:eastAsia="zh-CN"/>
        </w:rPr>
        <w:t>(一)、特殊功能的微生物制剂缓释新型肥料项目概况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起源追溯至对市场的深入洞察。市场的不断演变与变革为特殊功能的微生物制剂缓释新型肥料项目提供了难得的机遇。当前市场存在的需求缺口和变革的大环境共同构成了特殊功能的微生物制剂缓释新型肥料项目的背景。这个特殊功能的微生物制剂缓释新型肥料项目旨在充分利用市场机遇，填补行业中尚未满足的需求，为客户提供全新的解决方案。市场的变革和需求的增长使得这个特殊功能的微生物制剂缓释新型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特殊功能的微生物制剂缓释新型肥料项目名称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正式命名为特殊功能的微生物制剂缓释新型肥料。这个名称不仅仅是一个标识，更代表了特殊功能的微生物制剂缓释新型肥料项目的核心理念和愿景。它蕴含着特殊功能的微生物制剂缓释新型肥料项目所要解决问题的关键字，具有强烈的表达和辨识度，为特殊功能的微生物制剂缓释新型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特殊功能的微生物制剂缓释新型肥料项目目标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核心目标是提供一种全新、高效的解决方案，满足客户日益增长的需求。特殊功能的微生物制剂缓释新型肥料项目追求的不仅仅是满足市场需求，更是在市场中获得卓越的竞争优势。通过不断提升产品或服务的质量和创新水平，特殊功能的微生物制剂缓释新型肥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特殊功能的微生物制剂缓释新型肥料项目范围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全面涵盖了产品研发、制造、市场推广和售后服务，确保从产品设计到最终用户体验的全方位关注。这一全面的特殊功能的微生物制剂缓释新型肥料项目范围是为了确保特殊功能的微生物制剂缓释新型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特殊功能的微生物制剂缓释新型肥料项目时间表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殊功能的微生物制剂缓释新型肥料项目计划在未来18个月内完成，包括研发、测试、市场试点和正式推出等不同阶段。这个时间表的合理设计是为了确保特殊功能的微生物制剂缓释新型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特殊功能的微生物制剂缓释新型肥料项目预算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总预算估算为XX百万美元，主要分配在研发、市场推广、人员培训和运营等方面。这一充足的预算为特殊功能的微生物制剂缓释新型肥料项目提供了充足的资源，确保特殊功能的微生物制剂缓释新型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特殊功能的微生物制剂缓释新型肥料项目风险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可能面临的风险包括市场接受度低、技术难题、竞争激烈等。特殊功能的微生物制剂缓释新型肥料项目团队已经制定了相应的风险应对计划，通过前瞻性的风险管理，确保特殊功能的微生物制剂缓释新型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特殊功能的微生物制剂缓释新型肥料项目团队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汇聚了一支经验丰富、多领域专业素养的核心团队，确保特殊功能的微生物制剂缓释新型肥料项目在各个方面都能拥有高水平的执行力。团队的协同作战是特殊功能的微生物制剂缓释新型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特殊功能的微生物制剂缓释新型肥料项目背景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特殊功能的微生物制剂缓释新型肥料项目的背景根植于市场对更高效、创新产品的渴望，同时也受到科技发展对行业格局的深刻改变的影响。这为特殊功能的微生物制剂缓释新型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特殊功能的微生物制剂缓释新型肥料项目现状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殊功能的微生物制剂缓释新型肥料项目已完成市场调研和技术验证，取得了初步的成功。这为特殊功能的微生物制剂缓释新型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366"/>
      <w:r>
        <w:rPr>
          <w:rFonts w:ascii="仿宋" w:eastAsia="仿宋" w:hAnsi="仿宋" w:cs="仿宋" w:hint="eastAsia"/>
          <w:sz w:val="28"/>
          <w:lang w:eastAsia="zh-CN"/>
        </w:rPr>
        <w:t>(二)、特殊功能的微生物制剂缓释新型肥料项目目标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殊功能的微生物制剂缓释新型肥料项目首要业务目标是在市场中占据有利地位，实现产品/服务的成功推广和销售。通过不断提升产品质量、创新性，特殊功能的微生物制剂缓释新型肥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殊功能的微生物制剂缓释新型肥料项目着眼于技术创新。通过持续的研发和技术升级，特殊功能的微生物制剂缓释新型肥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殊功能的微生物制剂缓释新型肥料项目设定了客户满意度目标。通过提供卓越的产品质量和优质的客户服务，特殊功能的微生物制剂缓释新型肥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注重社会责任和可持续发展。通过实施环保、社会责任特殊功能的微生物制剂缓释新型肥料项目，特殊功能的微生物制剂缓释新型肥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团队是实现目标的核心驱动力。因此，特殊功能的微生物制剂缓释新型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33"/>
      <w:r>
        <w:rPr>
          <w:rFonts w:ascii="仿宋" w:eastAsia="仿宋" w:hAnsi="仿宋" w:cs="仿宋" w:hint="eastAsia"/>
          <w:sz w:val="28"/>
          <w:lang w:eastAsia="zh-CN"/>
        </w:rPr>
        <w:t>(三)、特殊功能的微生物制剂缓释新型肥料项目提出的理由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特殊功能的微生物制剂缓释新型肥料项目提出的理由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提出源于对市场机遇的深刻洞察。当前市场中存在的需求缺口和行业发展趋势表明，有巨大的商业机会等待被开发。通过准确捕捉市场机遇，特殊功能的微生物制剂缓释新型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理念基于对技术创新的信仰。通过持续的研发和技术投入，特殊功能的微生物制剂缓释新型肥料项目有望推出更具创新性的产品或服务。在科技飞速发展的当下，特殊功能的微生物制剂缓释新型肥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提出是为了增强企业的行业竞争力。通过提升产品或服务的质量和独特性，特殊功能的微生物制剂缓释新型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响应了消费者需求的变化。随着社会和科技的不断发展，消费者对产品和服务的需求也在发生变化。通过深入了解并及时回应消费者的新需求，特殊功能的微生物制剂缓释新型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提出是企业战略发展规划的一部分。在面对日益激烈的市场竞争和不断变化的商业环境中，特殊功能的微生物制剂缓释新型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提出不仅仅是基于商业考量，还注重社会责任。通过推出环保、社会责任等方面的特殊功能的微生物制剂缓释新型肥料项目，特殊功能的微生物制剂缓释新型肥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提出反映了对利益相关者期望的关注。包括客户、员工、投资者等利益相关者在企业发展中都有着各自的期望，特殊功能的微生物制剂缓释新型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18"/>
      <w:r>
        <w:rPr>
          <w:rFonts w:ascii="仿宋" w:eastAsia="仿宋" w:hAnsi="仿宋" w:cs="仿宋" w:hint="eastAsia"/>
          <w:sz w:val="28"/>
          <w:lang w:eastAsia="zh-CN"/>
        </w:rPr>
        <w:t>(四)、特殊功能的微生物制剂缓释新型肥料项目意义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在实施特殊功能的微生物制剂缓释新型肥料项目的过程中，我们不仅仅是在追逐商业成功，更是为企业和社会的多个层面创造了深远的意义。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的首要意义在于提升企业的市场竞争力。通过持续的创新和对产品质量的高标准要求，特殊功能的微生物制剂缓释新型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殊功能的微生物制剂缓释新型肥料项目的推进将促使行业技术水平的提升。通过引入先进技术和创新性解决方案，特殊功能的微生物制剂缓释新型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殊功能的微生物制剂缓释新型肥料项目不仅创造了大量就业机会，提高了就业水平，还注重社会责任和环保。通过参与社会公益事业和推动环保特殊功能的微生物制剂缓释新型肥料项目，特殊功能的微生物制剂缓释新型肥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综合而言，特殊功能的微生物制剂缓释新型肥料项目意义重大，不仅推动了企业的发展，也为行业和社会的进步贡献了积极力量。这是一个全面而深刻的影响，将在未来产生可持续的正面效应。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050"/>
      <w:r>
        <w:rPr>
          <w:rFonts w:ascii="仿宋" w:eastAsia="仿宋" w:hAnsi="仿宋" w:cs="仿宋" w:hint="eastAsia"/>
          <w:sz w:val="28"/>
          <w:lang w:eastAsia="zh-CN"/>
        </w:rPr>
        <w:t>(五)、特殊功能的微生物制剂缓释新型肥料项目背景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殊功能的微生物制剂缓释新型肥料项目的动因根植于对多方面因素的审慎考量。这个特殊功能的微生物制剂缓释新型肥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殊功能的微生物制剂缓释新型肥料项目背后的首要原因。科技的迅速发展和全球市场的快速变化使得企业必须灵活应对。特殊功能的微生物制剂缓释新型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殊功能的微生物制剂缓释新型肥料项目背景中不可忽视的一环。企业需要在激烈竞争中脱颖而出，为此，特殊功能的微生物制剂缓释新型肥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技术的迅速发展为企业带来了机遇与挑战。作为特殊功能的微生物制剂缓释新型肥料项目启动的背景之一，对新兴技术的应用将有助于提升企业的技术水平，使其在不断演进的商业环境中保持竞争优势。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殊功能的微生物制剂缓释新型肥料项目充分融入了社会责任的理念，通过可持续经营和社会公益特殊功能的微生物制剂缓释新型肥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249"/>
      <w:r>
        <w:rPr>
          <w:rFonts w:ascii="仿宋" w:eastAsia="仿宋" w:hAnsi="仿宋" w:cs="仿宋" w:hint="eastAsia"/>
          <w:sz w:val="28"/>
          <w:lang w:eastAsia="zh-CN"/>
        </w:rPr>
        <w:t>二、特殊功能的微生物制剂缓释新型肥料项目文档管理</w:t>
      </w:r>
      <w:bookmarkEnd w:id="8"/>
    </w:p>
    <w:p>
      <w:pPr>
        <w:pStyle w:val="Heading2"/>
        <w:rPr>
          <w:rFonts w:ascii="仿宋" w:eastAsia="仿宋" w:hAnsi="仿宋" w:cs="仿宋" w:hint="eastAsia"/>
          <w:lang w:eastAsia="zh-CN"/>
        </w:rPr>
      </w:pPr>
      <w:bookmarkStart w:id="9" w:name="_Toc152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特殊功能的微生物制剂缓释新型肥料项目高度重视文档的质量和准确性，以支持特殊功能的微生物制剂缓释新型肥料项目的各项活动和决策。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殊功能的微生物制剂缓释新型肥料项目文档的编制始于特殊功能的微生物制剂缓释新型肥料项目计划的初期，我们制定了详细的文档编制计划，明确了每个文档的内容、格式和编写责任人。在特殊功能的微生物制剂缓释新型肥料项目启动阶段，我们首先编制了特殊功能的微生物制剂缓释新型肥料项目章程，明确定义了特殊功能的微生物制剂缓释新型肥料项目的目标、范围、风险等关键要素。随后，特殊功能的微生物制剂缓释新型肥料项目团队根据计划陆续编制了需求文档、设计文档、测试文档等各类文档，确保特殊功能的微生物制剂缓释新型肥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功能的微生物制剂缓释新型肥料项目管理中的重要环节，旨在确保特殊功能的微生物制剂缓释新型肥料项目文档符合质量标准和特殊功能的微生物制剂缓释新型肥料项目需求。在特殊功能的微生物制剂缓释新型肥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功能的微生物制剂缓释新型肥料项目相关利益方和专业领域的专家对文档进行独立审查。这有助于获取更全面、客观的反馈，确保特殊功能的微生物制剂缓释新型肥料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特殊功能的微生物制剂缓释新型肥料项目在文档编制与审查方面建立了严格的管理机制，通过规范的流程和多维度的审查，确保特殊功能的微生物制剂缓释新型肥料项目文档的质量、准确性和可靠性，为特殊功能的微生物制剂缓释新型肥料项目的顺利推进提供了有力支持。</w:t>
      </w:r>
    </w:p>
    <w:p>
      <w:pPr>
        <w:pStyle w:val="Heading2"/>
        <w:ind w:firstLine="560" w:firstLineChars="200"/>
        <w:rPr>
          <w:rFonts w:ascii="仿宋" w:eastAsia="仿宋" w:hAnsi="仿宋" w:cs="仿宋" w:hint="eastAsia"/>
          <w:sz w:val="28"/>
          <w:lang w:eastAsia="zh-CN"/>
        </w:rPr>
      </w:pPr>
      <w:bookmarkStart w:id="10" w:name="_Toc262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在特殊功能的微生物制剂缓释新型肥料项目中，我们致力于优化文档发布与分发过程，以确保信息的高效传递和团队间协作的顺畅进行。以下是我们采取的关键优化策略：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我们通过多渠道发布文档，包括电子邮件、特殊功能的微生物制剂缓释新型肥料项目管理平台、内部网站等，以满足不同团队成员的偏好和需求。多渠道发布确保了信息的全面覆盖。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我们采用了精细的权限控制，确保只有授权人员可以访问敏感信息。这种安全措施保护了特殊功能的微生物制剂缓释新型肥料项目文档的机密性，防止了未经授权的信息泄露。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4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功能的微生物制剂缓释新型肥料项目生命周期中一个至关重要的环节，直接关系到特殊功能的微生物制剂缓释新型肥料项目信息的长期保存和历史记录的完整性。在特殊功能的微生物制剂缓释新型肥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612"/>
      <w:r>
        <w:rPr>
          <w:rFonts w:ascii="仿宋" w:eastAsia="仿宋" w:hAnsi="仿宋" w:cs="仿宋" w:hint="eastAsia"/>
          <w:sz w:val="28"/>
          <w:lang w:eastAsia="zh-CN"/>
        </w:rPr>
        <w:t>三、特殊功能的微生物制剂缓释新型肥料项目可持续发展</w:t>
      </w:r>
      <w:bookmarkEnd w:id="12"/>
    </w:p>
    <w:p>
      <w:pPr>
        <w:pStyle w:val="Heading2"/>
        <w:rPr>
          <w:rFonts w:ascii="仿宋" w:eastAsia="仿宋" w:hAnsi="仿宋" w:cs="仿宋" w:hint="eastAsia"/>
          <w:lang w:eastAsia="zh-CN"/>
        </w:rPr>
      </w:pPr>
      <w:bookmarkStart w:id="13" w:name="_Toc3030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的微生物制剂缓释新型肥料项目中，特殊功能的微生物制剂缓释新型肥料项目团队着眼于未来，明确了可持续发展的战略方向。制定的具体可持续发展目标包括降低资源使用、采用环保技术、最大化社会效益等。这一步骤不仅有助于特殊功能的微生物制剂缓释新型肥料项目在环保和社会责任方面达到最高标准，也为未来提供了明确的指引，确保特殊功能的微生物制剂缓释新型肥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可持续实践的融入特殊功能的微生物制剂缓释新型肥料项目管理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特殊功能的微生物制剂缓释新型肥料项目管理周期。从特殊功能的微生物制剂缓释新型肥料项目规划开始，特殊功能的微生物制剂缓释新型肥料项目团队就考虑了环境和社会的因素。在执行阶段，特殊功能的微生物制剂缓释新型肥料项目团队积极推动绿色技术的应用，优化资源利用。此外，关注员工的社会责任，通过培训和沟通活动提高员工对可持续发展的认知，使他们能够在日常工作中践行可持续实践。这些举措不仅为特殊功能的微生物制剂缓释新型肥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8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殊功能的微生物制剂缓释新型肥料项目的可持续发展理念，我们深信环保与社会责任是特殊功能的微生物制剂缓释新型肥料项目成功的关键支柱。在特殊功能的微生物制剂缓释新型肥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团队通过引入先进的环保技术、建立高效的废物处理系统以及推动能源节约措施，积极履行环保责任。定期的环保监测和评估确保特殊功能的微生物制剂缓释新型肥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的微生物制剂缓释新型肥料项目不仅致力于自身可持续发展，还注重对社会的回馈。通过支持社区特殊功能的微生物制剂缓释新型肥料项目、参与慈善事业、提供培训机会等方式，特殊功能的微生物制剂缓释新型肥料项目积极履行社会责任。与当地社区建立积极互动，关注员工的工作与生活平衡，以及员工的身心健康，是特殊功能的微生物制剂缓释新型肥料项目在社会责任层面的关键举措。这样的实践不仅增强了特殊功能的微生物制剂缓释新型肥料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https://d.book118.com/175341330011011043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特殊功能的微生物制剂缓释新型肥料项目计划设计方案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62AE9"/>
    <w:rsid w:val="27E62A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4133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2024-01-16T04:27:00Z</dcterms:created>
  <dcterms:modified xsi:type="dcterms:W3CDTF">2024-01-16T04:28:13Z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C8A7160242A74B4DB299799BD2EEC652_11</vt:lpwstr>
  </property>
  <property fmtid="{D5CDD505-2E9C-101B-9397-08002B2CF9AE}" pid="3" name="KSOProductBuildVer">
    <vt:lpwstr>2052-12.1.0.16120</vt:lpwstr>
  </property>
</Properties>
</file>