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VOD系统设备行业商业计划书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37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_Toc12377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33" w:history="1">
        <w:r>
          <w:rPr>
            <w:rFonts w:ascii="仿宋" w:eastAsia="仿宋" w:hAnsi="仿宋" w:cs="仿宋" w:hint="eastAsia"/>
            <w:lang w:eastAsia="zh-CN"/>
          </w:rPr>
          <w:t>一、建设规模</w:t>
        </w:r>
        <w:r>
          <w:tab/>
        </w:r>
        <w:r>
          <w:fldChar w:fldCharType="begin"/>
        </w:r>
        <w:r>
          <w:instrText xml:space="preserve"> PAGEREF _Toc18933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8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_Toc13548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2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_Toc9172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1" w:history="1">
        <w:r>
          <w:rPr>
            <w:rFonts w:ascii="仿宋" w:eastAsia="仿宋" w:hAnsi="仿宋" w:cs="仿宋" w:hint="eastAsia"/>
            <w:lang w:eastAsia="zh-CN"/>
          </w:rPr>
          <w:t>二、建设规划</w:t>
        </w:r>
        <w:r>
          <w:tab/>
        </w:r>
        <w:r>
          <w:fldChar w:fldCharType="begin"/>
        </w:r>
        <w:r>
          <w:instrText xml:space="preserve"> PAGEREF _Toc551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4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_Toc30394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_Toc30800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97" w:history="1">
        <w:r>
          <w:rPr>
            <w:rFonts w:ascii="仿宋" w:eastAsia="仿宋" w:hAnsi="仿宋" w:cs="仿宋" w:hint="eastAsia"/>
            <w:lang w:eastAsia="zh-CN"/>
          </w:rPr>
          <w:t>三、战略风险的含义及分类</w:t>
        </w:r>
        <w:r>
          <w:tab/>
        </w:r>
        <w:r>
          <w:fldChar w:fldCharType="begin"/>
        </w:r>
        <w:r>
          <w:instrText xml:space="preserve"> PAGEREF _Toc27597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32" w:history="1">
        <w:r>
          <w:rPr>
            <w:rFonts w:ascii="仿宋" w:eastAsia="仿宋" w:hAnsi="仿宋" w:cs="仿宋" w:hint="eastAsia"/>
            <w:lang w:eastAsia="zh-CN"/>
          </w:rPr>
          <w:t>(一)、战略风险的定义</w:t>
        </w:r>
        <w:r>
          <w:tab/>
        </w:r>
        <w:r>
          <w:fldChar w:fldCharType="begin"/>
        </w:r>
        <w:r>
          <w:instrText xml:space="preserve"> PAGEREF _Toc9732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" w:history="1">
        <w:r>
          <w:rPr>
            <w:rFonts w:ascii="仿宋" w:eastAsia="仿宋" w:hAnsi="仿宋" w:cs="仿宋" w:hint="eastAsia"/>
            <w:lang w:eastAsia="zh-CN"/>
          </w:rPr>
          <w:t>(二)、VOD系统设备行业企业战略风险的分类</w:t>
        </w:r>
        <w:r>
          <w:tab/>
        </w:r>
        <w:r>
          <w:fldChar w:fldCharType="begin"/>
        </w:r>
        <w:r>
          <w:instrText xml:space="preserve"> PAGEREF _Toc261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62" w:history="1">
        <w:r>
          <w:rPr>
            <w:rFonts w:ascii="仿宋" w:eastAsia="仿宋" w:hAnsi="仿宋" w:cs="仿宋" w:hint="eastAsia"/>
            <w:lang w:eastAsia="zh-CN"/>
          </w:rPr>
          <w:t>四、经营分析</w:t>
        </w:r>
        <w:r>
          <w:tab/>
        </w:r>
        <w:r>
          <w:fldChar w:fldCharType="begin"/>
        </w:r>
        <w:r>
          <w:instrText xml:space="preserve"> PAGEREF _Toc15362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26" w:history="1">
        <w:r>
          <w:rPr>
            <w:rFonts w:ascii="仿宋" w:eastAsia="仿宋" w:hAnsi="仿宋" w:cs="仿宋" w:hint="eastAsia"/>
            <w:lang w:eastAsia="zh-CN"/>
          </w:rPr>
          <w:t>(一)、运营情况说明</w:t>
        </w:r>
        <w:r>
          <w:tab/>
        </w:r>
        <w:r>
          <w:fldChar w:fldCharType="begin"/>
        </w:r>
        <w:r>
          <w:instrText xml:space="preserve"> PAGEREF _Toc11326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2" w:history="1">
        <w:r>
          <w:rPr>
            <w:rFonts w:ascii="仿宋" w:eastAsia="仿宋" w:hAnsi="仿宋" w:cs="仿宋" w:hint="eastAsia"/>
            <w:lang w:eastAsia="zh-CN"/>
          </w:rPr>
          <w:t>(二)、VOD系统设备项目运营组织结构</w:t>
        </w:r>
        <w:r>
          <w:tab/>
        </w:r>
        <w:r>
          <w:fldChar w:fldCharType="begin"/>
        </w:r>
        <w:r>
          <w:instrText xml:space="preserve"> PAGEREF _Toc10342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53" w:history="1">
        <w:r>
          <w:rPr>
            <w:rFonts w:ascii="仿宋" w:eastAsia="仿宋" w:hAnsi="仿宋" w:cs="仿宋" w:hint="eastAsia"/>
            <w:lang w:eastAsia="zh-CN"/>
          </w:rPr>
          <w:t>五、VOD系统设备项目建设背景及必要性分析</w:t>
        </w:r>
        <w:r>
          <w:tab/>
        </w:r>
        <w:r>
          <w:fldChar w:fldCharType="begin"/>
        </w:r>
        <w:r>
          <w:instrText xml:space="preserve"> PAGEREF _Toc31753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40" w:history="1">
        <w:r>
          <w:rPr>
            <w:rFonts w:ascii="仿宋" w:eastAsia="仿宋" w:hAnsi="仿宋" w:cs="仿宋" w:hint="eastAsia"/>
            <w:lang w:eastAsia="zh-CN"/>
          </w:rPr>
          <w:t>(一)、VOD系统设备项目背景分析</w:t>
        </w:r>
        <w:r>
          <w:tab/>
        </w:r>
        <w:r>
          <w:fldChar w:fldCharType="begin"/>
        </w:r>
        <w:r>
          <w:instrText xml:space="preserve"> PAGEREF _Toc23740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7" w:history="1">
        <w:r>
          <w:rPr>
            <w:rFonts w:ascii="仿宋" w:eastAsia="仿宋" w:hAnsi="仿宋" w:cs="仿宋" w:hint="eastAsia"/>
            <w:lang w:eastAsia="zh-CN"/>
          </w:rPr>
          <w:t>(二)、VOD系统设备项目建设必要性分析</w:t>
        </w:r>
        <w:r>
          <w:tab/>
        </w:r>
        <w:r>
          <w:fldChar w:fldCharType="begin"/>
        </w:r>
        <w:r>
          <w:instrText xml:space="preserve"> PAGEREF _Toc19457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60" w:history="1">
        <w:r>
          <w:rPr>
            <w:rFonts w:ascii="仿宋" w:eastAsia="仿宋" w:hAnsi="仿宋" w:cs="仿宋" w:hint="eastAsia"/>
            <w:lang w:eastAsia="zh-CN"/>
          </w:rPr>
          <w:t>六、运营模式分析</w:t>
        </w:r>
        <w:r>
          <w:tab/>
        </w:r>
        <w:r>
          <w:fldChar w:fldCharType="begin"/>
        </w:r>
        <w:r>
          <w:instrText xml:space="preserve"> PAGEREF _Toc7560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6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_Toc4256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6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_Toc28476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19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_Toc7919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42" w:history="1">
        <w:r>
          <w:rPr>
            <w:rFonts w:ascii="仿宋" w:eastAsia="仿宋" w:hAnsi="仿宋" w:cs="仿宋" w:hint="eastAsia"/>
            <w:lang w:eastAsia="zh-CN"/>
          </w:rPr>
          <w:t>七、宏观环境分析</w:t>
        </w:r>
        <w:r>
          <w:tab/>
        </w:r>
        <w:r>
          <w:fldChar w:fldCharType="begin"/>
        </w:r>
        <w:r>
          <w:instrText xml:space="preserve"> PAGEREF _Toc5042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57" w:history="1">
        <w:r>
          <w:rPr>
            <w:rFonts w:ascii="仿宋" w:eastAsia="仿宋" w:hAnsi="仿宋" w:cs="仿宋" w:hint="eastAsia"/>
            <w:lang w:eastAsia="zh-CN"/>
          </w:rPr>
          <w:t>(一)、宏观环境分析</w:t>
        </w:r>
        <w:r>
          <w:tab/>
        </w:r>
        <w:r>
          <w:fldChar w:fldCharType="begin"/>
        </w:r>
        <w:r>
          <w:instrText xml:space="preserve"> PAGEREF _Toc13957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65" w:history="1">
        <w:r>
          <w:rPr>
            <w:rFonts w:ascii="仿宋" w:eastAsia="仿宋" w:hAnsi="仿宋" w:cs="仿宋" w:hint="eastAsia"/>
            <w:lang w:eastAsia="zh-CN"/>
          </w:rPr>
          <w:t>八、经济效益分析</w:t>
        </w:r>
        <w:r>
          <w:tab/>
        </w:r>
        <w:r>
          <w:fldChar w:fldCharType="begin"/>
        </w:r>
        <w:r>
          <w:instrText xml:space="preserve"> PAGEREF _Toc25765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4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_Toc2224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9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_Toc31419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23" w:history="1">
        <w:r>
          <w:rPr>
            <w:rFonts w:ascii="仿宋" w:eastAsia="仿宋" w:hAnsi="仿宋" w:cs="仿宋" w:hint="eastAsia"/>
            <w:lang w:eastAsia="zh-CN"/>
          </w:rPr>
          <w:t>(三)、VOD系统设备项目盈利能力分析</w:t>
        </w:r>
        <w:r>
          <w:tab/>
        </w:r>
        <w:r>
          <w:fldChar w:fldCharType="begin"/>
        </w:r>
        <w:r>
          <w:instrText xml:space="preserve"> PAGEREF _Toc3523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2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_Toc20002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0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_Toc16850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20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_Toc9420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57" w:history="1">
        <w:r>
          <w:rPr>
            <w:rFonts w:ascii="仿宋" w:eastAsia="仿宋" w:hAnsi="仿宋" w:cs="仿宋" w:hint="eastAsia"/>
            <w:lang w:eastAsia="zh-CN"/>
          </w:rPr>
          <w:t>九、风险因素</w:t>
        </w:r>
        <w:r>
          <w:tab/>
        </w:r>
        <w:r>
          <w:fldChar w:fldCharType="begin"/>
        </w:r>
        <w:r>
          <w:instrText xml:space="preserve"> PAGEREF _Toc27757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" w:history="1">
        <w:r>
          <w:rPr>
            <w:rFonts w:ascii="仿宋" w:eastAsia="仿宋" w:hAnsi="仿宋" w:cs="仿宋" w:hint="eastAsia"/>
            <w:lang w:eastAsia="zh-CN"/>
          </w:rPr>
          <w:t>(一)、市场风险</w:t>
        </w:r>
        <w:r>
          <w:tab/>
        </w:r>
        <w:r>
          <w:fldChar w:fldCharType="begin"/>
        </w:r>
        <w:r>
          <w:instrText xml:space="preserve"> PAGEREF _Toc972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5" w:history="1">
        <w:r>
          <w:rPr>
            <w:rFonts w:ascii="仿宋" w:eastAsia="仿宋" w:hAnsi="仿宋" w:cs="仿宋" w:hint="eastAsia"/>
            <w:lang w:eastAsia="zh-CN"/>
          </w:rPr>
          <w:t>(二)、价格风险</w:t>
        </w:r>
        <w:r>
          <w:tab/>
        </w:r>
        <w:r>
          <w:fldChar w:fldCharType="begin"/>
        </w:r>
        <w:r>
          <w:instrText xml:space="preserve"> PAGEREF _Toc29465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0" w:history="1">
        <w:r>
          <w:rPr>
            <w:rFonts w:ascii="仿宋" w:eastAsia="仿宋" w:hAnsi="仿宋" w:cs="仿宋" w:hint="eastAsia"/>
            <w:lang w:eastAsia="zh-CN"/>
          </w:rPr>
          <w:t>(三)、人才风险</w:t>
        </w:r>
        <w:r>
          <w:tab/>
        </w:r>
        <w:r>
          <w:fldChar w:fldCharType="begin"/>
        </w:r>
        <w:r>
          <w:instrText xml:space="preserve"> PAGEREF _Toc17510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40" w:history="1">
        <w:r>
          <w:rPr>
            <w:rFonts w:ascii="仿宋" w:eastAsia="仿宋" w:hAnsi="仿宋" w:cs="仿宋" w:hint="eastAsia"/>
            <w:lang w:eastAsia="zh-CN"/>
          </w:rPr>
          <w:t>(四)、服务风险</w:t>
        </w:r>
        <w:r>
          <w:tab/>
        </w:r>
        <w:r>
          <w:fldChar w:fldCharType="begin"/>
        </w:r>
        <w:r>
          <w:instrText xml:space="preserve"> PAGEREF _Toc29840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6" w:history="1">
        <w:r>
          <w:rPr>
            <w:rFonts w:ascii="仿宋" w:eastAsia="仿宋" w:hAnsi="仿宋" w:cs="仿宋" w:hint="eastAsia"/>
            <w:lang w:eastAsia="zh-CN"/>
          </w:rPr>
          <w:t>(五)、投资风险</w:t>
        </w:r>
        <w:r>
          <w:tab/>
        </w:r>
        <w:r>
          <w:fldChar w:fldCharType="begin"/>
        </w:r>
        <w:r>
          <w:instrText xml:space="preserve"> PAGEREF _Toc13006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34" w:history="1">
        <w:r>
          <w:rPr>
            <w:rFonts w:ascii="仿宋" w:eastAsia="仿宋" w:hAnsi="仿宋" w:cs="仿宋" w:hint="eastAsia"/>
            <w:lang w:eastAsia="zh-CN"/>
          </w:rPr>
          <w:t>(六)、自然灾害风险</w:t>
        </w:r>
        <w:r>
          <w:tab/>
        </w:r>
        <w:r>
          <w:fldChar w:fldCharType="begin"/>
        </w:r>
        <w:r>
          <w:instrText xml:space="preserve"> PAGEREF _Toc6934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" w:history="1">
        <w:r>
          <w:rPr>
            <w:rFonts w:ascii="仿宋" w:eastAsia="仿宋" w:hAnsi="仿宋" w:cs="仿宋" w:hint="eastAsia"/>
            <w:lang w:eastAsia="zh-CN"/>
          </w:rPr>
          <w:t>(七)、新产品开发风险</w:t>
        </w:r>
        <w:r>
          <w:tab/>
        </w:r>
        <w:r>
          <w:fldChar w:fldCharType="begin"/>
        </w:r>
        <w:r>
          <w:instrText xml:space="preserve"> PAGEREF _Toc2983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22" w:history="1">
        <w:r>
          <w:rPr>
            <w:rFonts w:ascii="仿宋" w:eastAsia="仿宋" w:hAnsi="仿宋" w:cs="仿宋" w:hint="eastAsia"/>
            <w:lang w:eastAsia="zh-CN"/>
          </w:rPr>
          <w:t>(八)、原材料价格波动风险</w:t>
        </w:r>
        <w:r>
          <w:tab/>
        </w:r>
        <w:r>
          <w:fldChar w:fldCharType="begin"/>
        </w:r>
        <w:r>
          <w:instrText xml:space="preserve"> PAGEREF _Toc18022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0" w:history="1">
        <w:r>
          <w:rPr>
            <w:rFonts w:ascii="仿宋" w:eastAsia="仿宋" w:hAnsi="仿宋" w:cs="仿宋" w:hint="eastAsia"/>
            <w:lang w:eastAsia="zh-CN"/>
          </w:rPr>
          <w:t>(九)、产品价格波动风险</w:t>
        </w:r>
        <w:r>
          <w:tab/>
        </w:r>
        <w:r>
          <w:fldChar w:fldCharType="begin"/>
        </w:r>
        <w:r>
          <w:instrText xml:space="preserve"> PAGEREF _Toc5830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79" w:history="1">
        <w:r>
          <w:rPr>
            <w:rFonts w:ascii="仿宋" w:eastAsia="仿宋" w:hAnsi="仿宋" w:cs="仿宋" w:hint="eastAsia"/>
            <w:lang w:eastAsia="zh-CN"/>
          </w:rPr>
          <w:t>(十)、产能扩大后的销售风险</w:t>
        </w:r>
        <w:r>
          <w:tab/>
        </w:r>
        <w:r>
          <w:fldChar w:fldCharType="begin"/>
        </w:r>
        <w:r>
          <w:instrText xml:space="preserve"> PAGEREF _Toc29179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81" w:history="1">
        <w:r>
          <w:rPr>
            <w:rFonts w:ascii="仿宋" w:eastAsia="仿宋" w:hAnsi="仿宋" w:cs="仿宋" w:hint="eastAsia"/>
            <w:lang w:eastAsia="zh-CN"/>
          </w:rPr>
          <w:t>(十一)、公司成长性风险</w:t>
        </w:r>
        <w:r>
          <w:tab/>
        </w:r>
        <w:r>
          <w:fldChar w:fldCharType="begin"/>
        </w:r>
        <w:r>
          <w:instrText xml:space="preserve"> PAGEREF _Toc20681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908" w:history="1">
        <w:r>
          <w:rPr>
            <w:rFonts w:ascii="仿宋" w:eastAsia="仿宋" w:hAnsi="仿宋" w:cs="仿宋" w:hint="eastAsia"/>
            <w:lang w:eastAsia="zh-CN"/>
          </w:rPr>
          <w:t>十、投资方案</w:t>
        </w:r>
        <w:r>
          <w:tab/>
        </w:r>
        <w:r>
          <w:fldChar w:fldCharType="begin"/>
        </w:r>
        <w:r>
          <w:instrText xml:space="preserve"> PAGEREF _Toc8908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9" w:history="1">
        <w:r>
          <w:rPr>
            <w:rFonts w:ascii="仿宋" w:eastAsia="仿宋" w:hAnsi="仿宋" w:cs="仿宋" w:hint="eastAsia"/>
            <w:lang w:eastAsia="zh-CN"/>
          </w:rPr>
          <w:t>(一)、投资估算的依据和说明</w:t>
        </w:r>
        <w:r>
          <w:tab/>
        </w:r>
        <w:r>
          <w:fldChar w:fldCharType="begin"/>
        </w:r>
        <w:r>
          <w:instrText xml:space="preserve"> PAGEREF _Toc25199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2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_Toc16302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1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_Toc23531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8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_Toc4598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8" w:history="1">
        <w:r>
          <w:rPr>
            <w:rFonts w:ascii="仿宋" w:eastAsia="仿宋" w:hAnsi="仿宋" w:cs="仿宋" w:hint="eastAsia"/>
            <w:lang w:eastAsia="zh-CN"/>
          </w:rPr>
          <w:t>(五)、VOD系统设备项目总投资</w:t>
        </w:r>
        <w:r>
          <w:tab/>
        </w:r>
        <w:r>
          <w:fldChar w:fldCharType="begin"/>
        </w:r>
        <w:r>
          <w:instrText xml:space="preserve"> PAGEREF _Toc7038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56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_Toc22556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16" w:history="1">
        <w:r>
          <w:rPr>
            <w:rFonts w:ascii="仿宋" w:eastAsia="仿宋" w:hAnsi="仿宋" w:cs="仿宋" w:hint="eastAsia"/>
            <w:lang w:eastAsia="zh-CN"/>
          </w:rPr>
          <w:t>十一、制度运行与优化</w:t>
        </w:r>
        <w:r>
          <w:tab/>
        </w:r>
        <w:r>
          <w:fldChar w:fldCharType="begin"/>
        </w:r>
        <w:r>
          <w:instrText xml:space="preserve"> PAGEREF _Toc16916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6" w:history="1">
        <w:r>
          <w:rPr>
            <w:rFonts w:ascii="仿宋" w:eastAsia="仿宋" w:hAnsi="仿宋" w:cs="仿宋" w:hint="eastAsia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_Toc25186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05" w:history="1">
        <w:r>
          <w:rPr>
            <w:rFonts w:ascii="仿宋" w:eastAsia="仿宋" w:hAnsi="仿宋" w:cs="仿宋" w:hint="eastAsia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_Toc28105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52" w:history="1">
        <w:r>
          <w:rPr>
            <w:rFonts w:ascii="仿宋" w:eastAsia="仿宋" w:hAnsi="仿宋" w:cs="仿宋" w:hint="eastAsia"/>
            <w:lang w:eastAsia="zh-CN"/>
          </w:rPr>
          <w:t>十二、VOD系统设备行业竞争对选址的影响</w:t>
        </w:r>
        <w:r>
          <w:tab/>
        </w:r>
        <w:r>
          <w:fldChar w:fldCharType="begin"/>
        </w:r>
        <w:r>
          <w:instrText xml:space="preserve"> PAGEREF _Toc12752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5" w:history="1">
        <w:r>
          <w:rPr>
            <w:rFonts w:ascii="仿宋" w:eastAsia="仿宋" w:hAnsi="仿宋" w:cs="仿宋" w:hint="eastAsia"/>
            <w:lang w:eastAsia="zh-CN"/>
          </w:rPr>
          <w:t>(一)、地理位置分析</w:t>
        </w:r>
        <w:r>
          <w:tab/>
        </w:r>
        <w:r>
          <w:fldChar w:fldCharType="begin"/>
        </w:r>
        <w:r>
          <w:instrText xml:space="preserve"> PAGEREF _Toc29045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30" w:history="1">
        <w:r>
          <w:rPr>
            <w:rFonts w:ascii="仿宋" w:eastAsia="仿宋" w:hAnsi="仿宋" w:cs="仿宋" w:hint="eastAsia"/>
            <w:lang w:eastAsia="zh-CN"/>
          </w:rPr>
          <w:t>(二)、供应链优势</w:t>
        </w:r>
        <w:r>
          <w:tab/>
        </w:r>
        <w:r>
          <w:fldChar w:fldCharType="begin"/>
        </w:r>
        <w:r>
          <w:instrText xml:space="preserve"> PAGEREF _Toc5130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66" w:history="1">
        <w:r>
          <w:rPr>
            <w:rFonts w:ascii="仿宋" w:eastAsia="仿宋" w:hAnsi="仿宋" w:cs="仿宋" w:hint="eastAsia"/>
            <w:lang w:eastAsia="zh-CN"/>
          </w:rPr>
          <w:t>(三)、人才资源</w:t>
        </w:r>
        <w:r>
          <w:tab/>
        </w:r>
        <w:r>
          <w:fldChar w:fldCharType="begin"/>
        </w:r>
        <w:r>
          <w:instrText xml:space="preserve"> PAGEREF _Toc14766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0" w:history="1">
        <w:r>
          <w:rPr>
            <w:rFonts w:ascii="仿宋" w:eastAsia="仿宋" w:hAnsi="仿宋" w:cs="仿宋" w:hint="eastAsia"/>
            <w:lang w:eastAsia="zh-CN"/>
          </w:rPr>
          <w:t>(四)、政策支持</w:t>
        </w:r>
        <w:r>
          <w:tab/>
        </w:r>
        <w:r>
          <w:fldChar w:fldCharType="begin"/>
        </w:r>
        <w:r>
          <w:instrText xml:space="preserve"> PAGEREF _Toc19140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30" w:history="1">
        <w:r>
          <w:rPr>
            <w:rFonts w:ascii="仿宋" w:eastAsia="仿宋" w:hAnsi="仿宋" w:cs="仿宋" w:hint="eastAsia"/>
            <w:lang w:eastAsia="zh-CN"/>
          </w:rPr>
          <w:t>十三、VOD系统设备项目风险分析</w:t>
        </w:r>
        <w:r>
          <w:tab/>
        </w:r>
        <w:r>
          <w:fldChar w:fldCharType="begin"/>
        </w:r>
        <w:r>
          <w:instrText xml:space="preserve"> PAGEREF _Toc21230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0" w:history="1">
        <w:r>
          <w:rPr>
            <w:rFonts w:ascii="仿宋" w:eastAsia="仿宋" w:hAnsi="仿宋" w:cs="仿宋" w:hint="eastAsia"/>
            <w:lang w:eastAsia="zh-CN"/>
          </w:rPr>
          <w:t>(一)、VOD系统设备项目风险分析</w:t>
        </w:r>
        <w:r>
          <w:tab/>
        </w:r>
        <w:r>
          <w:fldChar w:fldCharType="begin"/>
        </w:r>
        <w:r>
          <w:instrText xml:space="preserve"> PAGEREF _Toc990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11" w:history="1">
        <w:r>
          <w:rPr>
            <w:rFonts w:ascii="仿宋" w:eastAsia="仿宋" w:hAnsi="仿宋" w:cs="仿宋" w:hint="eastAsia"/>
            <w:lang w:eastAsia="zh-CN"/>
          </w:rPr>
          <w:t>(二)、VOD系统设备项目风险对策</w:t>
        </w:r>
        <w:r>
          <w:tab/>
        </w:r>
        <w:r>
          <w:fldChar w:fldCharType="begin"/>
        </w:r>
        <w:r>
          <w:instrText xml:space="preserve"> PAGEREF _Toc25011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43" w:history="1">
        <w:r>
          <w:rPr>
            <w:rFonts w:ascii="仿宋" w:eastAsia="仿宋" w:hAnsi="仿宋" w:cs="仿宋" w:hint="eastAsia"/>
            <w:lang w:eastAsia="zh-CN"/>
          </w:rPr>
          <w:t>十四、安全督查与监测</w:t>
        </w:r>
        <w:r>
          <w:tab/>
        </w:r>
        <w:r>
          <w:fldChar w:fldCharType="begin"/>
        </w:r>
        <w:r>
          <w:instrText xml:space="preserve"> PAGEREF _Toc20343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28" w:history="1">
        <w:r>
          <w:rPr>
            <w:rFonts w:ascii="仿宋" w:eastAsia="仿宋" w:hAnsi="仿宋" w:cs="仿宋" w:hint="eastAsia"/>
            <w:lang w:eastAsia="zh-CN"/>
          </w:rPr>
          <w:t>(一)、安全督查与监测的背景和意义</w:t>
        </w:r>
        <w:r>
          <w:tab/>
        </w:r>
        <w:r>
          <w:fldChar w:fldCharType="begin"/>
        </w:r>
        <w:r>
          <w:instrText xml:space="preserve"> PAGEREF _Toc9428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5" w:history="1">
        <w:r>
          <w:rPr>
            <w:rFonts w:ascii="仿宋" w:eastAsia="仿宋" w:hAnsi="仿宋" w:cs="仿宋" w:hint="eastAsia"/>
            <w:lang w:eastAsia="zh-CN"/>
          </w:rPr>
          <w:t>(二)、安全督查与监测的基本原则</w:t>
        </w:r>
        <w:r>
          <w:tab/>
        </w:r>
        <w:r>
          <w:fldChar w:fldCharType="begin"/>
        </w:r>
        <w:r>
          <w:instrText xml:space="preserve"> PAGEREF _Toc27505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8" w:history="1">
        <w:r>
          <w:rPr>
            <w:rFonts w:ascii="仿宋" w:eastAsia="仿宋" w:hAnsi="仿宋" w:cs="仿宋" w:hint="eastAsia"/>
            <w:lang w:eastAsia="zh-CN"/>
          </w:rPr>
          <w:t>(三)、安全督查与监测的方法和手段</w:t>
        </w:r>
        <w:r>
          <w:tab/>
        </w:r>
        <w:r>
          <w:fldChar w:fldCharType="begin"/>
        </w:r>
        <w:r>
          <w:instrText xml:space="preserve"> PAGEREF _Toc7018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99" w:history="1">
        <w:r>
          <w:rPr>
            <w:rFonts w:ascii="仿宋" w:eastAsia="仿宋" w:hAnsi="仿宋" w:cs="仿宋" w:hint="eastAsia"/>
            <w:lang w:eastAsia="zh-CN"/>
          </w:rPr>
          <w:t>(四)、安全督查与监测的组织机构</w:t>
        </w:r>
        <w:r>
          <w:tab/>
        </w:r>
        <w:r>
          <w:fldChar w:fldCharType="begin"/>
        </w:r>
        <w:r>
          <w:instrText xml:space="preserve"> PAGEREF _Toc14399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6" w:history="1">
        <w:r>
          <w:rPr>
            <w:rFonts w:ascii="仿宋" w:eastAsia="仿宋" w:hAnsi="仿宋" w:cs="仿宋" w:hint="eastAsia"/>
            <w:lang w:eastAsia="zh-CN"/>
          </w:rPr>
          <w:t>(五)、安全督查与监测的信息报告</w:t>
        </w:r>
        <w:r>
          <w:tab/>
        </w:r>
        <w:r>
          <w:fldChar w:fldCharType="begin"/>
        </w:r>
        <w:r>
          <w:instrText xml:space="preserve"> PAGEREF _Toc29426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" w:history="1">
        <w:r>
          <w:rPr>
            <w:rFonts w:ascii="仿宋" w:eastAsia="仿宋" w:hAnsi="仿宋" w:cs="仿宋" w:hint="eastAsia"/>
            <w:lang w:eastAsia="zh-CN"/>
          </w:rPr>
          <w:t>(六)、安全督查与监测的改进机制</w:t>
        </w:r>
        <w:r>
          <w:tab/>
        </w:r>
        <w:r>
          <w:fldChar w:fldCharType="begin"/>
        </w:r>
        <w:r>
          <w:instrText xml:space="preserve"> PAGEREF _Toc2291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28" w:history="1">
        <w:r>
          <w:rPr>
            <w:rFonts w:ascii="仿宋" w:eastAsia="仿宋" w:hAnsi="仿宋" w:cs="仿宋" w:hint="eastAsia"/>
            <w:lang w:eastAsia="zh-CN"/>
          </w:rPr>
          <w:t>十五、SWOT分析</w:t>
        </w:r>
        <w:r>
          <w:tab/>
        </w:r>
        <w:r>
          <w:fldChar w:fldCharType="begin"/>
        </w:r>
        <w:r>
          <w:instrText xml:space="preserve"> PAGEREF _Toc18328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5" w:history="1">
        <w:r>
          <w:rPr>
            <w:rFonts w:ascii="仿宋" w:eastAsia="仿宋" w:hAnsi="仿宋" w:cs="仿宋" w:hint="eastAsia"/>
            <w:lang w:eastAsia="zh-CN"/>
          </w:rPr>
          <w:t>(一)、优势分析</w:t>
        </w:r>
        <w:r>
          <w:tab/>
        </w:r>
        <w:r>
          <w:fldChar w:fldCharType="begin"/>
        </w:r>
        <w:r>
          <w:instrText xml:space="preserve"> PAGEREF _Toc20705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29" w:history="1">
        <w:r>
          <w:rPr>
            <w:rFonts w:ascii="仿宋" w:eastAsia="仿宋" w:hAnsi="仿宋" w:cs="仿宋" w:hint="eastAsia"/>
            <w:lang w:eastAsia="zh-CN"/>
          </w:rPr>
          <w:t>(二)、劣势分析</w:t>
        </w:r>
        <w:r>
          <w:tab/>
        </w:r>
        <w:r>
          <w:fldChar w:fldCharType="begin"/>
        </w:r>
        <w:r>
          <w:instrText xml:space="preserve"> PAGEREF _Toc20429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" w:history="1">
        <w:r>
          <w:rPr>
            <w:rFonts w:ascii="仿宋" w:eastAsia="仿宋" w:hAnsi="仿宋" w:cs="仿宋" w:hint="eastAsia"/>
            <w:lang w:eastAsia="zh-CN"/>
          </w:rPr>
          <w:t>(三)、机会分析</w:t>
        </w:r>
        <w:r>
          <w:tab/>
        </w:r>
        <w:r>
          <w:fldChar w:fldCharType="begin"/>
        </w:r>
        <w:r>
          <w:instrText xml:space="preserve"> PAGEREF _Toc863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5" w:history="1">
        <w:r>
          <w:rPr>
            <w:rFonts w:ascii="仿宋" w:eastAsia="仿宋" w:hAnsi="仿宋" w:cs="仿宋" w:hint="eastAsia"/>
            <w:lang w:eastAsia="zh-CN"/>
          </w:rPr>
          <w:t>(四)、威胁分析</w:t>
        </w:r>
        <w:r>
          <w:tab/>
        </w:r>
        <w:r>
          <w:fldChar w:fldCharType="begin"/>
        </w:r>
        <w:r>
          <w:instrText xml:space="preserve"> PAGEREF _Toc5525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59" w:history="1">
        <w:r>
          <w:rPr>
            <w:rFonts w:ascii="仿宋" w:eastAsia="仿宋" w:hAnsi="仿宋" w:cs="仿宋" w:hint="eastAsia"/>
            <w:lang w:eastAsia="zh-CN"/>
          </w:rPr>
          <w:t>十六、未来计划和展望</w:t>
        </w:r>
        <w:r>
          <w:tab/>
        </w:r>
        <w:r>
          <w:fldChar w:fldCharType="begin"/>
        </w:r>
        <w:r>
          <w:instrText xml:space="preserve"> PAGEREF _Toc24159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1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_Toc13101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9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_Toc24309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98" w:history="1">
        <w:r>
          <w:rPr>
            <w:rFonts w:ascii="仿宋" w:eastAsia="仿宋" w:hAnsi="仿宋" w:cs="仿宋" w:hint="eastAsia"/>
            <w:lang w:eastAsia="zh-CN"/>
          </w:rPr>
          <w:t>十七、质量管理体系</w:t>
        </w:r>
        <w:r>
          <w:tab/>
        </w:r>
        <w:r>
          <w:fldChar w:fldCharType="begin"/>
        </w:r>
        <w:r>
          <w:instrText xml:space="preserve"> PAGEREF _Toc30198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9" w:history="1">
        <w:r>
          <w:rPr>
            <w:rFonts w:ascii="仿宋" w:eastAsia="仿宋" w:hAnsi="仿宋" w:cs="仿宋" w:hint="eastAsia"/>
            <w:lang w:eastAsia="zh-CN"/>
          </w:rPr>
          <w:t>(一)、质量管理体系概述</w:t>
        </w:r>
        <w:r>
          <w:tab/>
        </w:r>
        <w:r>
          <w:fldChar w:fldCharType="begin"/>
        </w:r>
        <w:r>
          <w:instrText xml:space="preserve"> PAGEREF _Toc22289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4" w:history="1">
        <w:r>
          <w:rPr>
            <w:rFonts w:ascii="仿宋" w:eastAsia="仿宋" w:hAnsi="仿宋" w:cs="仿宋" w:hint="eastAsia"/>
            <w:lang w:eastAsia="zh-CN"/>
          </w:rPr>
          <w:t>(二)、质量方针与目标</w:t>
        </w:r>
        <w:r>
          <w:tab/>
        </w:r>
        <w:r>
          <w:fldChar w:fldCharType="begin"/>
        </w:r>
        <w:r>
          <w:instrText xml:space="preserve"> PAGEREF _Toc8664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1" w:history="1">
        <w:r>
          <w:rPr>
            <w:rFonts w:ascii="仿宋" w:eastAsia="仿宋" w:hAnsi="仿宋" w:cs="仿宋" w:hint="eastAsia"/>
            <w:lang w:eastAsia="zh-CN"/>
          </w:rPr>
          <w:t>(三)、质量管理责任</w:t>
        </w:r>
        <w:r>
          <w:tab/>
        </w:r>
        <w:r>
          <w:fldChar w:fldCharType="begin"/>
        </w:r>
        <w:r>
          <w:instrText xml:space="preserve"> PAGEREF _Toc5611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98" w:history="1">
        <w:r>
          <w:rPr>
            <w:rFonts w:ascii="仿宋" w:eastAsia="仿宋" w:hAnsi="仿宋" w:cs="仿宋" w:hint="eastAsia"/>
            <w:lang w:eastAsia="zh-CN"/>
          </w:rPr>
          <w:t>(四)、质量管理程序</w:t>
        </w:r>
        <w:r>
          <w:tab/>
        </w:r>
        <w:r>
          <w:fldChar w:fldCharType="begin"/>
        </w:r>
        <w:r>
          <w:instrText xml:space="preserve"> PAGEREF _Toc8298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23" w:history="1">
        <w:r>
          <w:rPr>
            <w:rFonts w:ascii="仿宋" w:eastAsia="仿宋" w:hAnsi="仿宋" w:cs="仿宋" w:hint="eastAsia"/>
            <w:lang w:eastAsia="zh-CN"/>
          </w:rPr>
          <w:t>(五)、质量监控与改进</w:t>
        </w:r>
        <w:r>
          <w:tab/>
        </w:r>
        <w:r>
          <w:fldChar w:fldCharType="begin"/>
        </w:r>
        <w:r>
          <w:instrText xml:space="preserve"> PAGEREF _Toc24823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3" w:history="1">
        <w:r>
          <w:rPr>
            <w:rFonts w:ascii="仿宋" w:eastAsia="仿宋" w:hAnsi="仿宋" w:cs="仿宋" w:hint="eastAsia"/>
            <w:lang w:eastAsia="zh-CN"/>
          </w:rPr>
          <w:t>十八、风险识别与分类</w:t>
        </w:r>
        <w:r>
          <w:tab/>
        </w:r>
        <w:r>
          <w:fldChar w:fldCharType="begin"/>
        </w:r>
        <w:r>
          <w:instrText xml:space="preserve"> PAGEREF _Toc673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92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_Toc10592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4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_Toc12514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8" w:history="1">
        <w:r>
          <w:rPr>
            <w:rFonts w:ascii="仿宋" w:eastAsia="仿宋" w:hAnsi="仿宋" w:cs="仿宋" w:hint="eastAsia"/>
            <w:lang w:eastAsia="zh-CN"/>
          </w:rPr>
          <w:t>十九、VOD系统设备行业企业内外不同利益主体的影响</w:t>
        </w:r>
        <w:r>
          <w:tab/>
        </w:r>
        <w:r>
          <w:fldChar w:fldCharType="begin"/>
        </w:r>
        <w:r>
          <w:instrText xml:space="preserve"> PAGEREF _Toc2638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9" w:history="1">
        <w:r>
          <w:rPr>
            <w:rFonts w:ascii="仿宋" w:eastAsia="仿宋" w:hAnsi="仿宋" w:cs="仿宋" w:hint="eastAsia"/>
            <w:lang w:eastAsia="zh-CN"/>
          </w:rPr>
          <w:t>(一)、VOD系统设备行业企业内外不同利益主体的影响</w:t>
        </w:r>
        <w:r>
          <w:tab/>
        </w:r>
        <w:r>
          <w:fldChar w:fldCharType="begin"/>
        </w:r>
        <w:r>
          <w:instrText xml:space="preserve"> PAGEREF _Toc17569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6017" w:history="1">
        <w:r>
          <w:rPr>
            <w:rFonts w:ascii="仿宋" w:eastAsia="仿宋" w:hAnsi="仿宋" w:cs="仿宋" w:hint="eastAsia"/>
            <w:lang w:eastAsia="zh-CN"/>
          </w:rPr>
          <w:t>二十、供应链管理</w:t>
        </w:r>
        <w:r>
          <w:tab/>
        </w:r>
        <w:r>
          <w:fldChar w:fldCharType="begin"/>
        </w:r>
        <w:r>
          <w:instrText xml:space="preserve"> PAGEREF _Toc16017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81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_Toc8181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69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_Toc28769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5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_Toc15045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47" w:history="1">
        <w:r>
          <w:rPr>
            <w:rFonts w:ascii="仿宋" w:eastAsia="仿宋" w:hAnsi="仿宋" w:cs="仿宋" w:hint="eastAsia"/>
            <w:lang w:eastAsia="zh-CN"/>
          </w:rPr>
          <w:t>二十一、危机管理与应急响应</w:t>
        </w:r>
        <w:r>
          <w:tab/>
        </w:r>
        <w:r>
          <w:fldChar w:fldCharType="begin"/>
        </w:r>
        <w:r>
          <w:instrText xml:space="preserve"> PAGEREF _Toc7247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6" w:history="1">
        <w:r>
          <w:rPr>
            <w:rFonts w:ascii="仿宋" w:eastAsia="仿宋" w:hAnsi="仿宋" w:cs="仿宋" w:hint="eastAsia"/>
            <w:lang w:eastAsia="zh-CN"/>
          </w:rPr>
          <w:t>(一)、危机预警与监测机制</w:t>
        </w:r>
        <w:r>
          <w:tab/>
        </w:r>
        <w:r>
          <w:fldChar w:fldCharType="begin"/>
        </w:r>
        <w:r>
          <w:instrText xml:space="preserve"> PAGEREF _Toc6786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94" w:history="1">
        <w:r>
          <w:rPr>
            <w:rFonts w:ascii="仿宋" w:eastAsia="仿宋" w:hAnsi="仿宋" w:cs="仿宋" w:hint="eastAsia"/>
            <w:lang w:eastAsia="zh-CN"/>
          </w:rPr>
          <w:t>(二)、灾难恢复与业务连续性计划</w:t>
        </w:r>
        <w:r>
          <w:tab/>
        </w:r>
        <w:r>
          <w:fldChar w:fldCharType="begin"/>
        </w:r>
        <w:r>
          <w:instrText xml:space="preserve"> PAGEREF _Toc18594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17" w:history="1">
        <w:r>
          <w:rPr>
            <w:rFonts w:ascii="仿宋" w:eastAsia="仿宋" w:hAnsi="仿宋" w:cs="仿宋" w:hint="eastAsia"/>
            <w:lang w:eastAsia="zh-CN"/>
          </w:rPr>
          <w:t>(三)、公关与媒体管理</w:t>
        </w:r>
        <w:r>
          <w:tab/>
        </w:r>
        <w:r>
          <w:fldChar w:fldCharType="begin"/>
        </w:r>
        <w:r>
          <w:instrText xml:space="preserve"> PAGEREF _Toc20617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5" w:history="1">
        <w:r>
          <w:rPr>
            <w:rFonts w:ascii="仿宋" w:eastAsia="仿宋" w:hAnsi="仿宋" w:cs="仿宋" w:hint="eastAsia"/>
            <w:lang w:eastAsia="zh-CN"/>
          </w:rPr>
          <w:t>(四)、社会责任危机管理</w:t>
        </w:r>
        <w:r>
          <w:tab/>
        </w:r>
        <w:r>
          <w:fldChar w:fldCharType="begin"/>
        </w:r>
        <w:r>
          <w:instrText xml:space="preserve"> PAGEREF _Toc7345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37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8933"/>
      <w:r>
        <w:rPr>
          <w:rFonts w:ascii="仿宋" w:eastAsia="仿宋" w:hAnsi="仿宋" w:cs="仿宋" w:hint="eastAsia"/>
          <w:sz w:val="28"/>
          <w:lang w:eastAsia="zh-CN"/>
        </w:rPr>
        <w:t>一、建设规模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548"/>
      <w:r>
        <w:rPr>
          <w:rFonts w:ascii="仿宋" w:eastAsia="仿宋" w:hAnsi="仿宋" w:cs="仿宋" w:hint="eastAsia"/>
          <w:lang w:eastAsia="zh-CN"/>
        </w:rPr>
        <w:t>(一)、产品规划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VOD系统设备项目的核心产品为高品质精胺。鉴于当前的市场环境，预计年产值将达到惊人的XXXX万元。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基于对国内外市场需求的深入预测，我们可以预见，我国VOD系统设备项目产品将主要以国内销售为主，同时积极拓展国际市场。随着我们加大产品宣传力度，降低产品价格，提高产品质量，以及增加产品多样性，我们相信VOD系统设备项目产品将会更受市场欢迎。市场需求的分析表明，国内外市场对VOD系统设备项目产品的需求量将持续逐年增长，因此市场销售前景非常看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https://d.book118.com/176034202023010055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VOD系统设备行业商业计划书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VOD系统设备行业商业计划书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VOD系统设备行业商业计划书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VOD系统设备行业商业计划书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VOD系统设备行业商业计划书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354B33"/>
    <w:rsid w:val="24354B33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7603420202301005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2024-02-28T02:10:00Z</dcterms:created>
  <dcterms:modified xsi:type="dcterms:W3CDTF">2024-02-28T02:10:14Z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AECC6BFB1F234E9FAC37F7A1DBE2986A_11</vt:lpwstr>
  </property>
  <property fmtid="{D5CDD505-2E9C-101B-9397-08002B2CF9AE}" pid="3" name="KSOProductBuildVer">
    <vt:lpwstr>2052-12.1.0.16250</vt:lpwstr>
  </property>
</Properties>
</file>