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  <w:bookmarkStart w:id="0" w:name="_GoBack"/>
      <w:bookmarkEnd w:id="0"/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</w:pPr>
      <w:r>
        <w:rPr>
          <w:rFonts w:ascii="微软雅黑" w:eastAsia="微软雅黑" w:hAnsi="微软雅黑" w:cs="微软雅黑"/>
          <w:b/>
          <w:bCs/>
          <w:color w:val="2D54A0"/>
          <w:spacing w:val="9"/>
          <w:sz w:val="59"/>
          <w:szCs w:val="59"/>
        </w:rPr>
        <w:t>2024年漂白剂行业趋势报告</w:t>
      </w: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</w:pP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</w:pP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</w:pP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</w:pP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 w:hint="default"/>
          <w:b/>
          <w:bCs/>
          <w:color w:val="2D54A0"/>
          <w:spacing w:val="8"/>
          <w:sz w:val="44"/>
          <w:szCs w:val="44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微软雅黑" w:eastAsia="微软雅黑" w:hAnsi="微软雅黑" w:cs="微软雅黑" w:hint="eastAsia"/>
          <w:b/>
          <w:bCs/>
          <w:color w:val="2D54A0"/>
          <w:spacing w:val="8"/>
          <w:sz w:val="44"/>
          <w:szCs w:val="44"/>
          <w:lang w:val="en-US" w:eastAsia="zh-CN"/>
        </w:rPr>
        <w:t>《2024年最新评估分析》</w:t>
      </w:r>
    </w:p>
    <w:p>
      <w:pPr>
        <w:spacing w:line="360" w:lineRule="auto"/>
        <w:jc w:val="center"/>
        <w:rPr>
          <w:rFonts w:ascii="微软雅黑" w:eastAsia="微软雅黑" w:hAnsi="微软雅黑" w:cs="微软雅黑" w:hint="eastAsia"/>
          <w:b/>
          <w:bCs w:val="0"/>
          <w:color w:val="2E54A1" w:themeColor="accent1" w:themeShade="BF"/>
          <w:sz w:val="40"/>
        </w:rPr>
      </w:pPr>
      <w:r>
        <w:rPr>
          <w:rFonts w:ascii="微软雅黑" w:eastAsia="微软雅黑" w:hAnsi="微软雅黑" w:cs="微软雅黑" w:hint="eastAsia"/>
          <w:b/>
          <w:bCs w:val="0"/>
          <w:color w:val="2E54A1" w:themeColor="accent1" w:themeShade="BF"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4898" w:history="1">
        <w:r>
          <w:rPr>
            <w:rFonts w:ascii="微软雅黑" w:eastAsia="微软雅黑" w:hAnsi="微软雅黑" w:cs="微软雅黑" w:hint="eastAsia"/>
            <w:color w:val="001CAC" w:themeColor="hyperlink" w:themeShade="BF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_Toc4898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11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一、制度运行与优化</w:t>
        </w:r>
        <w:r>
          <w:tab/>
        </w:r>
        <w:r>
          <w:fldChar w:fldCharType="begin"/>
        </w:r>
        <w:r>
          <w:instrText xml:space="preserve"> PAGEREF _Toc21311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88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(一)、制度执行与监督</w:t>
        </w:r>
        <w:r>
          <w:tab/>
        </w:r>
        <w:r>
          <w:fldChar w:fldCharType="begin"/>
        </w:r>
        <w:r>
          <w:instrText xml:space="preserve"> PAGEREF _Toc19888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25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(二)、制度优化与更新</w:t>
        </w:r>
        <w:r>
          <w:tab/>
        </w:r>
        <w:r>
          <w:fldChar w:fldCharType="begin"/>
        </w:r>
        <w:r>
          <w:instrText xml:space="preserve"> PAGEREF _Toc7925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52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二、漂白剂行业背景及市场分析</w:t>
        </w:r>
        <w:r>
          <w:tab/>
        </w:r>
        <w:r>
          <w:fldChar w:fldCharType="begin"/>
        </w:r>
        <w:r>
          <w:instrText xml:space="preserve"> PAGEREF _Toc22152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49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(一)、漂白剂行业创新驱动</w:t>
        </w:r>
        <w:r>
          <w:tab/>
        </w:r>
        <w:r>
          <w:fldChar w:fldCharType="begin"/>
        </w:r>
        <w:r>
          <w:instrText xml:space="preserve"> PAGEREF _Toc9749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86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(二)、漂白剂行业发展现状</w:t>
        </w:r>
        <w:r>
          <w:tab/>
        </w:r>
        <w:r>
          <w:fldChar w:fldCharType="begin"/>
        </w:r>
        <w:r>
          <w:instrText xml:space="preserve"> PAGEREF _Toc11086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37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(三)、漂白剂行业高质量发展</w:t>
        </w:r>
        <w:r>
          <w:tab/>
        </w:r>
        <w:r>
          <w:fldChar w:fldCharType="begin"/>
        </w:r>
        <w:r>
          <w:instrText xml:space="preserve"> PAGEREF _Toc31737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91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(四)、漂白剂行业产业链分析</w:t>
        </w:r>
        <w:r>
          <w:tab/>
        </w:r>
        <w:r>
          <w:fldChar w:fldCharType="begin"/>
        </w:r>
        <w:r>
          <w:instrText xml:space="preserve"> PAGEREF _Toc29991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69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(五)、漂白剂行业发展方向</w:t>
        </w:r>
        <w:r>
          <w:tab/>
        </w:r>
        <w:r>
          <w:fldChar w:fldCharType="begin"/>
        </w:r>
        <w:r>
          <w:instrText xml:space="preserve"> PAGEREF _Toc25469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59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(六)、漂白剂行业前景</w:t>
        </w:r>
        <w:r>
          <w:tab/>
        </w:r>
        <w:r>
          <w:fldChar w:fldCharType="begin"/>
        </w:r>
        <w:r>
          <w:instrText xml:space="preserve"> PAGEREF _Toc30859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27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(七)、漂白剂行业发展趋势</w:t>
        </w:r>
        <w:r>
          <w:tab/>
        </w:r>
        <w:r>
          <w:fldChar w:fldCharType="begin"/>
        </w:r>
        <w:r>
          <w:instrText xml:space="preserve"> PAGEREF _Toc4127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83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三、漂白剂行业人才招聘与发展</w:t>
        </w:r>
        <w:r>
          <w:tab/>
        </w:r>
        <w:r>
          <w:fldChar w:fldCharType="begin"/>
        </w:r>
        <w:r>
          <w:instrText xml:space="preserve"> PAGEREF _Toc8283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45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(一)、人才需求分析</w:t>
        </w:r>
        <w:r>
          <w:tab/>
        </w:r>
        <w:r>
          <w:fldChar w:fldCharType="begin"/>
        </w:r>
        <w:r>
          <w:instrText xml:space="preserve"> PAGEREF _Toc6445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27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(二)、招聘计划与流程</w:t>
        </w:r>
        <w:r>
          <w:tab/>
        </w:r>
        <w:r>
          <w:fldChar w:fldCharType="begin"/>
        </w:r>
        <w:r>
          <w:instrText xml:space="preserve"> PAGEREF _Toc26327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68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(三)、员工培训与发展</w:t>
        </w:r>
        <w:r>
          <w:tab/>
        </w:r>
        <w:r>
          <w:fldChar w:fldCharType="begin"/>
        </w:r>
        <w:r>
          <w:instrText xml:space="preserve"> PAGEREF _Toc30568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08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(四)、绩效考核与激励</w:t>
        </w:r>
        <w:r>
          <w:tab/>
        </w:r>
        <w:r>
          <w:fldChar w:fldCharType="begin"/>
        </w:r>
        <w:r>
          <w:instrText xml:space="preserve"> PAGEREF _Toc13108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24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(五)、人才流动与留存</w:t>
        </w:r>
        <w:r>
          <w:tab/>
        </w:r>
        <w:r>
          <w:fldChar w:fldCharType="begin"/>
        </w:r>
        <w:r>
          <w:instrText xml:space="preserve"> PAGEREF _Toc26824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50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四、安全与劳动保护</w:t>
        </w:r>
        <w:r>
          <w:tab/>
        </w:r>
        <w:r>
          <w:fldChar w:fldCharType="begin"/>
        </w:r>
        <w:r>
          <w:instrText xml:space="preserve"> PAGEREF _Toc14550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18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(一)、设计依据与法规合规</w:t>
        </w:r>
        <w:r>
          <w:tab/>
        </w:r>
        <w:r>
          <w:fldChar w:fldCharType="begin"/>
        </w:r>
        <w:r>
          <w:instrText xml:space="preserve"> PAGEREF _Toc13118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59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(二)、劳动安全预期效果评价</w:t>
        </w:r>
        <w:r>
          <w:tab/>
        </w:r>
        <w:r>
          <w:fldChar w:fldCharType="begin"/>
        </w:r>
        <w:r>
          <w:instrText xml:space="preserve"> PAGEREF _Toc3459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87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(三)、主要防范措施</w:t>
        </w:r>
        <w:r>
          <w:tab/>
        </w:r>
        <w:r>
          <w:fldChar w:fldCharType="begin"/>
        </w:r>
        <w:r>
          <w:instrText xml:space="preserve"> PAGEREF _Toc18087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45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五、漂白剂行业投资管理策略</w:t>
        </w:r>
        <w:r>
          <w:tab/>
        </w:r>
        <w:r>
          <w:fldChar w:fldCharType="begin"/>
        </w:r>
        <w:r>
          <w:instrText xml:space="preserve"> PAGEREF _Toc5645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99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(一)、漂白剂行业投资估算主要内容</w:t>
        </w:r>
        <w:r>
          <w:tab/>
        </w:r>
        <w:r>
          <w:fldChar w:fldCharType="begin"/>
        </w:r>
        <w:r>
          <w:instrText xml:space="preserve"> PAGEREF _Toc32599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25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(二)、漂白剂行业设备购置投资费用管理</w:t>
        </w:r>
        <w:r>
          <w:tab/>
        </w:r>
        <w:r>
          <w:fldChar w:fldCharType="begin"/>
        </w:r>
        <w:r>
          <w:instrText xml:space="preserve"> PAGEREF _Toc9525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9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(三)、漂白剂行业装修施工投资费用管理</w:t>
        </w:r>
        <w:r>
          <w:tab/>
        </w:r>
        <w:r>
          <w:fldChar w:fldCharType="begin"/>
        </w:r>
        <w:r>
          <w:instrText xml:space="preserve"> PAGEREF _Toc5593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46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(四)、漂白剂行业流动资金管理</w:t>
        </w:r>
        <w:r>
          <w:tab/>
        </w:r>
        <w:r>
          <w:fldChar w:fldCharType="begin"/>
        </w:r>
        <w:r>
          <w:instrText xml:space="preserve"> PAGEREF _Toc18146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24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六、市场营销与推广策略</w:t>
        </w:r>
        <w:r>
          <w:tab/>
        </w:r>
        <w:r>
          <w:fldChar w:fldCharType="begin"/>
        </w:r>
        <w:r>
          <w:instrText xml:space="preserve"> PAGEREF _Toc28124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64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(一)、目标市场分析</w:t>
        </w:r>
        <w:r>
          <w:tab/>
        </w:r>
        <w:r>
          <w:fldChar w:fldCharType="begin"/>
        </w:r>
        <w:r>
          <w:instrText xml:space="preserve"> PAGEREF _Toc16864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68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(二)、市场定位与竞争分析</w:t>
        </w:r>
        <w:r>
          <w:tab/>
        </w:r>
        <w:r>
          <w:fldChar w:fldCharType="begin"/>
        </w:r>
        <w:r>
          <w:instrText xml:space="preserve"> PAGEREF _Toc17768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4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(三)、推广与宣传策略</w:t>
        </w:r>
        <w:r>
          <w:tab/>
        </w:r>
        <w:r>
          <w:fldChar w:fldCharType="begin"/>
        </w:r>
        <w:r>
          <w:instrText xml:space="preserve"> PAGEREF _Toc27843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87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七、项目运营与管理</w:t>
        </w:r>
        <w:r>
          <w:tab/>
        </w:r>
        <w:r>
          <w:fldChar w:fldCharType="begin"/>
        </w:r>
        <w:r>
          <w:instrText xml:space="preserve"> PAGEREF _Toc3787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5788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(一)、运营模式选择</w:t>
        </w:r>
        <w:r>
          <w:tab/>
        </w:r>
        <w:r>
          <w:fldChar w:fldCharType="begin"/>
        </w:r>
        <w:r>
          <w:instrText xml:space="preserve"> PAGEREF _Toc5788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14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(二)、人力资源规划</w:t>
        </w:r>
        <w:r>
          <w:tab/>
        </w:r>
        <w:r>
          <w:fldChar w:fldCharType="begin"/>
        </w:r>
        <w:r>
          <w:instrText xml:space="preserve"> PAGEREF _Toc21214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5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(三)、财务管理计划</w:t>
        </w:r>
        <w:r>
          <w:tab/>
        </w:r>
        <w:r>
          <w:fldChar w:fldCharType="begin"/>
        </w:r>
        <w:r>
          <w:instrText xml:space="preserve"> PAGEREF _Toc2725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82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(四)、供应链管理</w:t>
        </w:r>
        <w:r>
          <w:tab/>
        </w:r>
        <w:r>
          <w:fldChar w:fldCharType="begin"/>
        </w:r>
        <w:r>
          <w:instrText xml:space="preserve"> PAGEREF _Toc9882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96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八、可持续发展与绿色经营</w:t>
        </w:r>
        <w:r>
          <w:tab/>
        </w:r>
        <w:r>
          <w:fldChar w:fldCharType="begin"/>
        </w:r>
        <w:r>
          <w:instrText xml:space="preserve"> PAGEREF _Toc11796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24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(一)、可持续发展战略与目标</w:t>
        </w:r>
        <w:r>
          <w:tab/>
        </w:r>
        <w:r>
          <w:fldChar w:fldCharType="begin"/>
        </w:r>
        <w:r>
          <w:instrText xml:space="preserve"> PAGEREF _Toc22024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04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(二)、环保政策与实践</w:t>
        </w:r>
        <w:r>
          <w:tab/>
        </w:r>
        <w:r>
          <w:fldChar w:fldCharType="begin"/>
        </w:r>
        <w:r>
          <w:instrText xml:space="preserve"> PAGEREF _Toc29104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65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(三)、资源利用与循环经济</w:t>
        </w:r>
        <w:r>
          <w:tab/>
        </w:r>
        <w:r>
          <w:fldChar w:fldCharType="begin"/>
        </w:r>
        <w:r>
          <w:instrText xml:space="preserve"> PAGEREF _Toc14365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7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(四)、碳中和与生态足迹</w:t>
        </w:r>
        <w:r>
          <w:tab/>
        </w:r>
        <w:r>
          <w:fldChar w:fldCharType="begin"/>
        </w:r>
        <w:r>
          <w:instrText xml:space="preserve"> PAGEREF _Toc23773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226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九、漂白剂行业制度建设与执行</w:t>
        </w:r>
        <w:r>
          <w:tab/>
        </w:r>
        <w:r>
          <w:fldChar w:fldCharType="begin"/>
        </w:r>
        <w:r>
          <w:instrText xml:space="preserve"> PAGEREF _Toc31226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68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(一)、公司制度体系规划</w:t>
        </w:r>
        <w:r>
          <w:tab/>
        </w:r>
        <w:r>
          <w:fldChar w:fldCharType="begin"/>
        </w:r>
        <w:r>
          <w:instrText xml:space="preserve"> PAGEREF _Toc26168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25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(二)、员工手册编制与更新</w:t>
        </w:r>
        <w:r>
          <w:tab/>
        </w:r>
        <w:r>
          <w:fldChar w:fldCharType="begin"/>
        </w:r>
        <w:r>
          <w:instrText xml:space="preserve"> PAGEREF _Toc26025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82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(三)、制度宣导与培训</w:t>
        </w:r>
        <w:r>
          <w:tab/>
        </w:r>
        <w:r>
          <w:fldChar w:fldCharType="begin"/>
        </w:r>
        <w:r>
          <w:instrText xml:space="preserve"> PAGEREF _Toc11782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5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(四)、主要防范措施</w:t>
        </w:r>
        <w:r>
          <w:tab/>
        </w:r>
        <w:r>
          <w:fldChar w:fldCharType="begin"/>
        </w:r>
        <w:r>
          <w:instrText xml:space="preserve"> PAGEREF _Toc1875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36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(五)、制度优化与更新</w:t>
        </w:r>
        <w:r>
          <w:tab/>
        </w:r>
        <w:r>
          <w:fldChar w:fldCharType="begin"/>
        </w:r>
        <w:r>
          <w:instrText xml:space="preserve"> PAGEREF _Toc4336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26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十、制度建设与管理</w:t>
        </w:r>
        <w:r>
          <w:tab/>
        </w:r>
        <w:r>
          <w:fldChar w:fldCharType="begin"/>
        </w:r>
        <w:r>
          <w:instrText xml:space="preserve"> PAGEREF _Toc28026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40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(一)、公司治理结构</w:t>
        </w:r>
        <w:r>
          <w:tab/>
        </w:r>
        <w:r>
          <w:fldChar w:fldCharType="begin"/>
        </w:r>
        <w:r>
          <w:instrText xml:space="preserve"> PAGEREF _Toc32240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39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(二)、内部控制与审计</w:t>
        </w:r>
        <w:r>
          <w:tab/>
        </w:r>
        <w:r>
          <w:fldChar w:fldCharType="begin"/>
        </w:r>
        <w:r>
          <w:instrText xml:space="preserve"> PAGEREF _Toc25539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86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(三)、法律法规合规体系</w:t>
        </w:r>
        <w:r>
          <w:tab/>
        </w:r>
        <w:r>
          <w:fldChar w:fldCharType="begin"/>
        </w:r>
        <w:r>
          <w:instrText xml:space="preserve"> PAGEREF _Toc4186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46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十一、漂白剂行业人力资源管理策略</w:t>
        </w:r>
        <w:r>
          <w:tab/>
        </w:r>
        <w:r>
          <w:fldChar w:fldCharType="begin"/>
        </w:r>
        <w:r>
          <w:instrText xml:space="preserve"> PAGEREF _Toc17746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75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(一)、漂白剂行业人力资源管理原则</w:t>
        </w:r>
        <w:r>
          <w:tab/>
        </w:r>
        <w:r>
          <w:fldChar w:fldCharType="begin"/>
        </w:r>
        <w:r>
          <w:instrText xml:space="preserve"> PAGEREF _Toc14175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54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(二)、漂白剂行业劳动关系管理</w:t>
        </w:r>
        <w:r>
          <w:tab/>
        </w:r>
        <w:r>
          <w:fldChar w:fldCharType="begin"/>
        </w:r>
        <w:r>
          <w:instrText xml:space="preserve"> PAGEREF _Toc10954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02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(三)、漂白剂行业人员配置方案</w:t>
        </w:r>
        <w:r>
          <w:tab/>
        </w:r>
        <w:r>
          <w:fldChar w:fldCharType="begin"/>
        </w:r>
        <w:r>
          <w:instrText xml:space="preserve"> PAGEREF _Toc16002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99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(四)、漂白剂行业员工招聘方案</w:t>
        </w:r>
        <w:r>
          <w:tab/>
        </w:r>
        <w:r>
          <w:fldChar w:fldCharType="begin"/>
        </w:r>
        <w:r>
          <w:instrText xml:space="preserve"> PAGEREF _Toc6499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22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(五)、漂白剂行业绩效和薪酬管理方案</w:t>
        </w:r>
        <w:r>
          <w:tab/>
        </w:r>
        <w:r>
          <w:fldChar w:fldCharType="begin"/>
        </w:r>
        <w:r>
          <w:instrText xml:space="preserve"> PAGEREF _Toc26322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46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(六)、漂白剂行业员工福利管理方案</w:t>
        </w:r>
        <w:r>
          <w:tab/>
        </w:r>
        <w:r>
          <w:fldChar w:fldCharType="begin"/>
        </w:r>
        <w:r>
          <w:instrText xml:space="preserve"> PAGEREF _Toc17346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92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十二、项目管理与团队协作</w:t>
        </w:r>
        <w:r>
          <w:tab/>
        </w:r>
        <w:r>
          <w:fldChar w:fldCharType="begin"/>
        </w:r>
        <w:r>
          <w:instrText xml:space="preserve"> PAGEREF _Toc32492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11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(一)、项目管理方法论</w:t>
        </w:r>
        <w:r>
          <w:tab/>
        </w:r>
        <w:r>
          <w:fldChar w:fldCharType="begin"/>
        </w:r>
        <w:r>
          <w:instrText xml:space="preserve"> PAGEREF _Toc12911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60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(二)、团队组建与角色分工</w:t>
        </w:r>
        <w:r>
          <w:tab/>
        </w:r>
        <w:r>
          <w:fldChar w:fldCharType="begin"/>
        </w:r>
        <w:r>
          <w:instrText xml:space="preserve"> PAGEREF _Toc6160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31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(三)、团队沟通与协作机制</w:t>
        </w:r>
        <w:r>
          <w:tab/>
        </w:r>
        <w:r>
          <w:fldChar w:fldCharType="begin"/>
        </w:r>
        <w:r>
          <w:instrText xml:space="preserve"> PAGEREF _Toc6431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4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(四)、项目风险管理与应对</w:t>
        </w:r>
        <w:r>
          <w:tab/>
        </w:r>
        <w:r>
          <w:fldChar w:fldCharType="begin"/>
        </w:r>
        <w:r>
          <w:instrText xml:space="preserve"> PAGEREF _Toc10443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</w:p>
    <w:p>
      <w:pPr>
        <w:pStyle w:val="Heading1"/>
        <w:jc w:val="center"/>
        <w:rPr>
          <w:rFonts w:ascii="微软雅黑" w:eastAsia="微软雅黑" w:hAnsi="微软雅黑" w:cs="微软雅黑" w:hint="eastAsia"/>
          <w:color w:val="2E54A1" w:themeColor="accent1" w:themeShade="BF"/>
          <w:lang w:eastAsia="zh-CN"/>
        </w:rPr>
      </w:pPr>
      <w:bookmarkStart w:id="1" w:name="_Toc4898"/>
      <w:r>
        <w:rPr>
          <w:rFonts w:ascii="微软雅黑" w:eastAsia="微软雅黑" w:hAnsi="微软雅黑" w:cs="微软雅黑" w:hint="eastAsia"/>
          <w:color w:val="2E54A1" w:themeColor="accent1" w:themeShade="BF"/>
          <w:lang w:eastAsia="zh-CN"/>
        </w:rPr>
        <w:t>前言</w:t>
      </w:r>
      <w:bookmarkEnd w:id="1"/>
    </w:p>
    <w:p>
      <w:pPr>
        <w:spacing w:line="480" w:lineRule="auto"/>
        <w:ind w:firstLine="480" w:firstLineChars="200"/>
        <w:rPr>
          <w:rFonts w:ascii="宋体" w:eastAsia="宋体" w:hAnsi="宋体" w:cs="宋体" w:hint="eastAsia"/>
          <w:sz w:val="24"/>
          <w:szCs w:val="22"/>
        </w:rPr>
      </w:pPr>
      <w:r>
        <w:rPr>
          <w:rFonts w:ascii="宋体" w:eastAsia="宋体" w:hAnsi="宋体" w:cs="宋体" w:hint="eastAsia"/>
          <w:sz w:val="24"/>
          <w:szCs w:val="22"/>
          <w:lang w:eastAsia="zh-CN"/>
        </w:rPr>
        <w:t>漂白剂行业研究报告致力于对漂白剂行业进行详尽研究和分析，旨在为漂白剂行业相关从业人员提供参考和借鉴。报告所包含的内容仅供学术研究和学习交流，不可用作商业用途。通过对行业发展历程、市场趋势和竞争态势的深入考察，本报告力求准确呈现行业现状和未来发展方向，为读者提供全面而有价值的行业洞察和决策支持。</w:t>
      </w:r>
    </w:p>
    <w:p>
      <w:pPr>
        <w:pStyle w:val="Heading1"/>
        <w:spacing w:line="480" w:lineRule="auto"/>
        <w:rPr>
          <w:rFonts w:ascii="微软雅黑" w:eastAsia="微软雅黑" w:hAnsi="微软雅黑" w:cs="微软雅黑" w:hint="eastAsia"/>
          <w:color w:val="2E54A1" w:themeColor="accent1" w:themeShade="BF"/>
          <w:sz w:val="32"/>
          <w:szCs w:val="32"/>
          <w:lang w:eastAsia="zh-CN"/>
        </w:rPr>
      </w:pPr>
      <w:bookmarkStart w:id="2" w:name="_Toc21311"/>
      <w:r>
        <w:rPr>
          <w:rFonts w:ascii="微软雅黑" w:eastAsia="微软雅黑" w:hAnsi="微软雅黑" w:cs="微软雅黑" w:hint="eastAsia"/>
          <w:color w:val="2E54A1" w:themeColor="accent1" w:themeShade="BF"/>
          <w:sz w:val="32"/>
          <w:szCs w:val="32"/>
          <w:lang w:eastAsia="zh-CN"/>
        </w:rPr>
        <w:t>一、制度运行与优化</w:t>
      </w:r>
      <w:bookmarkEnd w:id="2"/>
    </w:p>
    <w:p>
      <w:pPr>
        <w:pStyle w:val="Heading2"/>
        <w:spacing w:line="480" w:lineRule="auto"/>
        <w:rPr>
          <w:rFonts w:ascii="宋体" w:eastAsia="宋体" w:hAnsi="宋体" w:cs="宋体" w:hint="eastAsia"/>
          <w:bCs w:val="0"/>
          <w:sz w:val="28"/>
          <w:szCs w:val="28"/>
          <w:lang w:eastAsia="zh-CN"/>
        </w:rPr>
      </w:pPr>
      <w:bookmarkStart w:id="3" w:name="_Toc19888"/>
      <w:r>
        <w:rPr>
          <w:rFonts w:ascii="宋体" w:eastAsia="宋体" w:hAnsi="宋体" w:cs="宋体" w:hint="eastAsia"/>
          <w:b/>
          <w:bCs w:val="0"/>
          <w:sz w:val="28"/>
          <w:szCs w:val="28"/>
          <w:lang w:eastAsia="zh-CN"/>
        </w:rPr>
        <w:t>(一)、制度执行与监督</w:t>
      </w:r>
      <w:bookmarkEnd w:id="3"/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在公司治理的框架下,制度执行与监督是确保公司规章制度得到切实贯彻的重要环节。我们特别重视这一过程，通过成立专业的制度执行团队，致力于监察和评估公司各级制度的执行情况。该团队定期进行内部审核，深入各个部门开展审查，全面了解执行效果，并向高层管理层提供详尽的报告,以确保公司的各项规章制度得以有效执行。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为了进一步强化监督机制，我们鼓励员工积极参与。通过设立匿名举报机制，我们提供了一个安全、隐蔽的渠道，使员工能够自由反映制度执行中的问题。这种开放的沟通渠道有助于公司及时发现并解决潜在问题，同时也增强了员工对公司治理的信任度。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公司领导层也积极参与制度执行情况的检查，通过定期的审查与交流，高层管理层能够深入了解制度执行的实际情况，并迅速制定必要的改进方案。这种多层次的监督机制不仅有助于维护公司内部秩序，也为公司整体治理水平的不断提升复定坚实基础。</w:t>
      </w:r>
    </w:p>
    <w:p>
      <w:pPr>
        <w:pStyle w:val="Heading2"/>
        <w:spacing w:line="480" w:lineRule="auto"/>
        <w:rPr>
          <w:rFonts w:ascii="宋体" w:eastAsia="宋体" w:hAnsi="宋体" w:cs="宋体" w:hint="eastAsia"/>
          <w:bCs w:val="0"/>
          <w:sz w:val="28"/>
          <w:szCs w:val="28"/>
          <w:lang w:eastAsia="zh-CN"/>
        </w:rPr>
      </w:pPr>
      <w:bookmarkStart w:id="4" w:name="_Toc7925"/>
      <w:r>
        <w:rPr>
          <w:rFonts w:ascii="宋体" w:eastAsia="宋体" w:hAnsi="宋体" w:cs="宋体" w:hint="eastAsia"/>
          <w:b/>
          <w:bCs w:val="0"/>
          <w:sz w:val="28"/>
          <w:szCs w:val="28"/>
          <w:lang w:eastAsia="zh-CN"/>
        </w:rPr>
        <w:t>(二)、制度优化与更新</w:t>
      </w:r>
      <w:bookmarkEnd w:id="4"/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制度的优化与更新是公司持续发展的重要环节。我们将其视作一项策略任务，通过建立制度管理委员会来推动这一过程。委员会由各个部门的专业人员组成，负责定期审查公司的各项制度。这一审查不仅仅限于内部，还积极吸纳员工的建议和意见，融入外部专业观点，确保审查的全面性和公正性。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为了更好地适应外部环境的变化和公司内部的发展需求,我们密切关注法规和漂白剂行业标准的变动。这种灵活性使得我们能够及时调整公司制度，确保其与时俱进。通过持续的制度优化与更新，我们致力于构建一个符合公司实际情况、富有弹性和活力的治理体系。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在制度更新的过程中，我们注重与员工的沟通与合作。通过定期的培训和沟通会议，我们向员工解释新制度的背景和目的，提供详尽的操作指南，以确保员工能够理解和遵守新的规定。这种共同努力有助于强化员工对制度变化的接受度，为公司长期发展提供更为健康和稳定的制度支持。</w:t>
      </w:r>
    </w:p>
    <w:p>
      <w:pPr>
        <w:pStyle w:val="Heading1"/>
        <w:spacing w:line="480" w:lineRule="auto"/>
        <w:rPr>
          <w:rFonts w:ascii="微软雅黑" w:eastAsia="微软雅黑" w:hAnsi="微软雅黑" w:cs="微软雅黑" w:hint="eastAsia"/>
          <w:color w:val="2E54A1" w:themeColor="accent1" w:themeShade="BF"/>
          <w:sz w:val="32"/>
          <w:szCs w:val="32"/>
          <w:lang w:eastAsia="zh-CN"/>
        </w:rPr>
      </w:pPr>
      <w:bookmarkStart w:id="5" w:name="_Toc22152"/>
      <w:r>
        <w:rPr>
          <w:rFonts w:ascii="微软雅黑" w:eastAsia="微软雅黑" w:hAnsi="微软雅黑" w:cs="微软雅黑" w:hint="eastAsia"/>
          <w:color w:val="2E54A1" w:themeColor="accent1" w:themeShade="BF"/>
          <w:sz w:val="32"/>
          <w:szCs w:val="32"/>
          <w:lang w:eastAsia="zh-CN"/>
        </w:rPr>
        <w:t>二、漂白剂行业背景及市场分析</w:t>
      </w:r>
      <w:bookmarkEnd w:id="5"/>
    </w:p>
    <w:p>
      <w:pPr>
        <w:pStyle w:val="Heading2"/>
        <w:spacing w:line="480" w:lineRule="auto"/>
        <w:rPr>
          <w:rFonts w:ascii="宋体" w:eastAsia="宋体" w:hAnsi="宋体" w:cs="宋体" w:hint="eastAsia"/>
          <w:bCs w:val="0"/>
          <w:sz w:val="28"/>
          <w:szCs w:val="28"/>
          <w:lang w:eastAsia="zh-CN"/>
        </w:rPr>
      </w:pPr>
      <w:bookmarkStart w:id="6" w:name="_Toc9749"/>
      <w:r>
        <w:rPr>
          <w:rFonts w:ascii="宋体" w:eastAsia="宋体" w:hAnsi="宋体" w:cs="宋体" w:hint="eastAsia"/>
          <w:b/>
          <w:bCs w:val="0"/>
          <w:sz w:val="28"/>
          <w:szCs w:val="28"/>
          <w:lang w:eastAsia="zh-CN"/>
        </w:rPr>
        <w:t>(一)、漂白剂行业创新驱动</w:t>
      </w:r>
      <w:bookmarkEnd w:id="6"/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https://d.book118.com/176103102014010041</w:t>
        </w:r>
      </w:hyperlink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82775B3"/>
    <w:rsid w:val="02623C3C"/>
    <w:rsid w:val="03734037"/>
    <w:rsid w:val="13614867"/>
    <w:rsid w:val="3AB77F2F"/>
    <w:rsid w:val="3DAC44EE"/>
    <w:rsid w:val="453746B4"/>
    <w:rsid w:val="482775B3"/>
    <w:rsid w:val="49C53810"/>
    <w:rsid w:val="4E155AC7"/>
    <w:rsid w:val="50930768"/>
    <w:rsid w:val="62A91464"/>
    <w:rsid w:val="692E1C42"/>
  </w:rsids>
  <w:docVars>
    <w:docVar w:name="commondata" w:val="eyJoZGlkIjoiYjEzZTI3MzIxYzUxM2E3Y2YyMDVhZDRkMWU5YjExZ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 w:qFormat="1"/>
    <w:lsdException w:name="toc 2" w:semiHidden="0" w:uiPriority="0" w:unhideWhenUsed="0" w:qFormat="1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 w:qFormat="1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 w:qFormat="1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autoRedefine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autoRedefine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  <w:autoRedefine/>
    <w:qFormat/>
  </w:style>
  <w:style w:type="paragraph" w:styleId="TOC2">
    <w:name w:val="toc 2"/>
    <w:basedOn w:val="Normal"/>
    <w:next w:val="Normal"/>
    <w:autoRedefine/>
    <w:qFormat/>
    <w:pPr>
      <w:ind w:left="420" w:leftChars="200"/>
    </w:pPr>
  </w:style>
  <w:style w:type="character" w:styleId="PageNumber">
    <w:name w:val="page number"/>
    <w:basedOn w:val="DefaultParagraphFont"/>
    <w:autoRedefine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76103102014010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小海豹</cp:lastModifiedBy>
  <cp:revision>1</cp:revision>
  <dcterms:created xsi:type="dcterms:W3CDTF">2023-12-10T12:06:00Z</dcterms:created>
  <dcterms:modified xsi:type="dcterms:W3CDTF">2024-01-17T06:46:46Z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1E39AA5D4B7F4B19B7D16FD992F8235D_13</vt:lpwstr>
  </property>
  <property fmtid="{D5CDD505-2E9C-101B-9397-08002B2CF9AE}" pid="3" name="KSOProductBuildVer">
    <vt:lpwstr>2052-12.1.0.16120</vt:lpwstr>
  </property>
</Properties>
</file>