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B7A9C" w:rsidP="009B7A9C" w14:paraId="00BF93B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B7A9C">
        <w:rPr>
          <w:rFonts w:ascii="华文中宋" w:eastAsia="华文中宋" w:hAnsi="华文中宋"/>
          <w:b/>
          <w:sz w:val="30"/>
        </w:rPr>
        <w:t>2024</w:t>
      </w:r>
      <w:r w:rsidRPr="009B7A9C">
        <w:rPr>
          <w:rFonts w:ascii="华文中宋" w:eastAsia="华文中宋" w:hAnsi="华文中宋"/>
          <w:b/>
          <w:sz w:val="30"/>
        </w:rPr>
        <w:t>年国网山东省电力公司人员招聘模拟考试试题及答案解析</w:t>
      </w:r>
    </w:p>
    <w:p w:rsidR="00A77B3E" w14:paraId="50916AA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5B6615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0C11A8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今世界正发生复杂深刻的变化，国际金融危机深层次影响继续显现，世界经济缓慢复苏、发展分化，国际投资贸易格局和多边投资贸易规则酝酿深刻调整，各国面临的发展问题依然严峻，共建“一带一路”顺应世界多极化、经济全球化、文化多样化、社会信息化的潮流，秉持开放的区域合作精神，致力于维护全球自由贸易体系和开放型世界经济。</w:t>
      </w:r>
    </w:p>
    <w:p w:rsidR="00E0697D" w14:paraId="3B2371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BE831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、共建“一带一路”的时代背景</w:t>
      </w:r>
    </w:p>
    <w:p w:rsidR="00E0697D" w14:paraId="7CB80D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、共建“一带一路”的历史意义</w:t>
      </w:r>
    </w:p>
    <w:p w:rsidR="00E0697D" w14:paraId="3BF19D8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、共建“一带一路”的总体方法</w:t>
      </w:r>
    </w:p>
    <w:p w:rsidR="00E0697D" w14:paraId="3F3461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、共建“一带一路”的整体思路</w:t>
      </w:r>
    </w:p>
    <w:p w:rsidR="00E0697D" w14:paraId="57823E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AA154A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文段为总分结构，首先文段提出了各国面临的问题，其后提出“一带一路”的对策，指出其“顺应</w:t>
      </w:r>
      <w:r w:rsidRPr="00E0697D">
        <w:rPr>
          <w:rFonts w:ascii="Times New Roman" w:eastAsia="微软雅黑" w:hAnsi="微软雅黑" w:cs="宋体" w:hint="eastAsia"/>
          <w:szCs w:val="18"/>
        </w:rPr>
        <w:t>......</w:t>
      </w:r>
      <w:r w:rsidRPr="00E0697D">
        <w:rPr>
          <w:rFonts w:ascii="Times New Roman" w:eastAsia="微软雅黑" w:hAnsi="微软雅黑" w:cs="宋体" w:hint="eastAsia"/>
          <w:szCs w:val="18"/>
        </w:rPr>
        <w:t>潮流”、“致力于</w:t>
      </w:r>
      <w:r w:rsidRPr="00E0697D">
        <w:rPr>
          <w:rFonts w:ascii="Times New Roman" w:eastAsia="微软雅黑" w:hAnsi="微软雅黑" w:cs="宋体" w:hint="eastAsia"/>
          <w:szCs w:val="18"/>
        </w:rPr>
        <w:t>......</w:t>
      </w:r>
      <w:r w:rsidRPr="00E0697D">
        <w:rPr>
          <w:rFonts w:ascii="Times New Roman" w:eastAsia="微软雅黑" w:hAnsi="微软雅黑" w:cs="宋体" w:hint="eastAsia"/>
          <w:szCs w:val="18"/>
        </w:rPr>
        <w:t>经济”，可以得知这都是在讲述“一带一路”的历史意义。故选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A3882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，有许多正在装修的家庭缺乏家装常识和经验，自作主张，随心所欲。而有些家装公司为了经济利益更是推波助澜，对业主的要求惟命是从。但装修后终究是住户自己居住，如果留下隐患，造成邻里纠纷，出现质量事故，只能自食其果。</w:t>
      </w:r>
    </w:p>
    <w:p w:rsidR="00E0697D" w14:paraId="44F1471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这段话的意思是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74080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、装修不能随心所欲，要注意质量</w:t>
      </w:r>
    </w:p>
    <w:p w:rsidR="00E0697D" w14:paraId="009A8E6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、家装公司装饰不负责</w:t>
      </w:r>
    </w:p>
    <w:p w:rsidR="00E0697D" w14:paraId="445582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、正在装修的家庭缺乏家装常识</w:t>
      </w:r>
    </w:p>
    <w:p w:rsidR="00E0697D" w14:paraId="1F81D8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、装饰后的房屋由住户自己居住</w:t>
      </w:r>
    </w:p>
    <w:p w:rsidR="00E0697D" w14:paraId="535B5C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72F0B9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这段话由装修家庭缺乏常识和经验造成的后果说明装修要注意质量，故选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80896C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解决中国对外部世界的过度依赖问题，需要战略上的“综合治理”</w:t>
      </w:r>
      <w:r w:rsidRPr="00E0697D">
        <w:rPr>
          <w:rFonts w:ascii="Times New Roman" w:eastAsia="微软雅黑" w:hAnsi="微软雅黑" w:cs="宋体" w:hint="eastAsia"/>
          <w:szCs w:val="18"/>
        </w:rPr>
        <w:t>。《十一五规划纲要》提出以内需拉动经济增长，强调增强自主创新能力，这是一个良好的开端。中国已经是世界贸易组织的成员，应该真正按照市场经济和企业的、社会责任的要求建立中国与跨国公司的新型关系，那种“急功近利”式的、为引进外资不惜牺牲环境、牺牲民族工业的“发展观”可以休矣。</w:t>
      </w:r>
    </w:p>
    <w:p w:rsidR="00E0697D" w14:paraId="1C8D03C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下列手段中，不属于战略上“综合治理”的是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8D66E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、促进内需，拉动国内经济增长</w:t>
      </w:r>
    </w:p>
    <w:p w:rsidR="00E0697D" w14:paraId="054FF3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、增强自主创新能力，减少对外部世界的依赖</w:t>
      </w:r>
    </w:p>
    <w:p w:rsidR="00E0697D" w14:paraId="673F36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、按照世界贸易规则建立与跨国公司的新型关系</w:t>
      </w:r>
    </w:p>
    <w:p w:rsidR="00E0697D" w14:paraId="7F18A5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、保护环境，建立民族工业的“发展观”</w:t>
      </w:r>
    </w:p>
    <w:p w:rsidR="00E0697D" w14:paraId="6F931E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7A0176A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第一步，定位原文，“综合治理”出现在首句结尾，下文围绕其进行分析。分析下文，将选项与原文一一对应。第二步，对比选项。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项对应“《十一五规划纲要》提出以内需拉动经济增长……”符合文意，正确。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……强调增强自主创新能力……那种‘急功近利’式的、为引进外资不惜牺牲环境、牺牲民族工业的‘发展观’可以休矣”，文段强调了增强自主创新能力和停止盲目的引进外资，可推出作者想要表达减少对外部世界的依赖，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项对应“中国……应该真正按照市场经济和企</w:t>
      </w:r>
    </w:p>
    <w:p w:rsidR="00E0697D" w14:paraId="253107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业的、社会责任的要求建立中国与跨国公司的新型关系”，并非按照“世界贸易规则”，属于曲解文意，错误。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那种‘急功近利’式的、为引进外资不惜牺牲环境、牺牲民族工业的‘发展观’可以休矣”，且通过“可以休矣”可知作者对“这种急功近利的发展观”持否定态度，进而得知应保护环境，建立民族工业的“发展观”，符合文意，正确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4F50F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我国常规环境空气质量监测点可分为</w:t>
      </w:r>
      <w:r w:rsidRPr="00E0697D">
        <w:rPr>
          <w:rFonts w:ascii="Times New Roman" w:eastAsia="微软雅黑" w:hAnsi="微软雅黑" w:cs="宋体" w:hint="eastAsia"/>
          <w:szCs w:val="18"/>
        </w:rPr>
        <w:t>4</w:t>
      </w:r>
      <w:r w:rsidRPr="00E0697D">
        <w:rPr>
          <w:rFonts w:ascii="Times New Roman" w:eastAsia="微软雅黑" w:hAnsi="微软雅黑" w:cs="宋体" w:hint="eastAsia"/>
          <w:szCs w:val="18"/>
        </w:rPr>
        <w:t>类：污染监控点、空气质量评价点、空气质量对照点和空气质量背景点。我国地级以上城市已按《环境空气质量监测规范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试行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》要求布设了</w:t>
      </w:r>
      <w:r w:rsidRPr="00E0697D">
        <w:rPr>
          <w:rFonts w:ascii="Times New Roman" w:eastAsia="微软雅黑" w:hAnsi="微软雅黑" w:cs="宋体" w:hint="eastAsia"/>
          <w:szCs w:val="18"/>
        </w:rPr>
        <w:t>PMIO</w:t>
      </w:r>
      <w:r w:rsidRPr="00E0697D">
        <w:rPr>
          <w:rFonts w:ascii="Times New Roman" w:eastAsia="微软雅黑" w:hAnsi="微软雅黑" w:cs="宋体" w:hint="eastAsia"/>
          <w:szCs w:val="18"/>
        </w:rPr>
        <w:t>国控监测点，并形成了较为完善的监测网络。但</w:t>
      </w:r>
      <w:r w:rsidRPr="00E0697D">
        <w:rPr>
          <w:rFonts w:ascii="Times New Roman" w:eastAsia="微软雅黑" w:hAnsi="微软雅黑" w:cs="宋体" w:hint="eastAsia"/>
          <w:szCs w:val="18"/>
        </w:rPr>
        <w:t>PM2.5</w:t>
      </w:r>
      <w:r w:rsidRPr="00E0697D">
        <w:rPr>
          <w:rFonts w:ascii="Times New Roman" w:eastAsia="微软雅黑" w:hAnsi="微软雅黑" w:cs="宋体" w:hint="eastAsia"/>
          <w:szCs w:val="18"/>
        </w:rPr>
        <w:t>比</w:t>
      </w:r>
      <w:r w:rsidRPr="00E0697D">
        <w:rPr>
          <w:rFonts w:ascii="Times New Roman" w:eastAsia="微软雅黑" w:hAnsi="微软雅黑" w:cs="宋体" w:hint="eastAsia"/>
          <w:szCs w:val="18"/>
        </w:rPr>
        <w:t>PMlO</w:t>
      </w:r>
      <w:r w:rsidRPr="00E0697D">
        <w:rPr>
          <w:rFonts w:ascii="Times New Roman" w:eastAsia="微软雅黑" w:hAnsi="微软雅黑" w:cs="宋体" w:hint="eastAsia"/>
          <w:szCs w:val="18"/>
        </w:rPr>
        <w:t>在空间上分布更均匀，不能简单地把全部</w:t>
      </w:r>
      <w:r w:rsidRPr="00E0697D">
        <w:rPr>
          <w:rFonts w:ascii="Times New Roman" w:eastAsia="微软雅黑" w:hAnsi="微软雅黑" w:cs="宋体" w:hint="eastAsia"/>
          <w:szCs w:val="18"/>
        </w:rPr>
        <w:t>PM2.5</w:t>
      </w:r>
      <w:r w:rsidRPr="00E0697D">
        <w:rPr>
          <w:rFonts w:ascii="Times New Roman" w:eastAsia="微软雅黑" w:hAnsi="微软雅黑" w:cs="宋体" w:hint="eastAsia"/>
          <w:szCs w:val="18"/>
        </w:rPr>
        <w:t>监测点位都布设在原</w:t>
      </w:r>
      <w:r w:rsidRPr="00E0697D">
        <w:rPr>
          <w:rFonts w:ascii="Times New Roman" w:eastAsia="微软雅黑" w:hAnsi="微软雅黑" w:cs="宋体" w:hint="eastAsia"/>
          <w:szCs w:val="18"/>
        </w:rPr>
        <w:t>PMlO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https://d.book118.com/176132022233010033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:rsidP="00496691" w14:paraId="1CDAA1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7A9C" w14:paraId="023329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:rsidP="00496691" w14:paraId="0A6C44F3" w14:textId="344DE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7A9C" w14:paraId="7A7BDA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paraId="2DA660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7A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:rsidP="00496691" w14:textId="344DE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7A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7A9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:rsidP="00496691" w14:textId="344DE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7A9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paraId="6448D7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paraId="6A1A491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paraId="746EE0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7A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B7A9C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8BE2416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9B7A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B7A9C"/>
    <w:rPr>
      <w:sz w:val="18"/>
      <w:szCs w:val="18"/>
    </w:rPr>
  </w:style>
  <w:style w:type="paragraph" w:styleId="Footer">
    <w:name w:val="footer"/>
    <w:basedOn w:val="Normal"/>
    <w:link w:val="a0"/>
    <w:rsid w:val="009B7A9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B7A9C"/>
    <w:rPr>
      <w:sz w:val="18"/>
      <w:szCs w:val="18"/>
    </w:rPr>
  </w:style>
  <w:style w:type="character" w:styleId="PageNumber">
    <w:name w:val="page number"/>
    <w:basedOn w:val="DefaultParagraphFont"/>
    <w:rsid w:val="009B7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76132022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4133</Words>
  <Characters>23559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2024-01-12T14:29:00Z</dcterms:created>
  <dcterms:modified xsi:type="dcterms:W3CDTF">2024-01-12T14:29:00Z</dcterms:modified>
</cp:coreProperties>
</file>