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odyText"/>
        <w:spacing w:before="8"/>
        <w:rPr>
          <w:rFonts w:ascii="Times New Roman"/>
          <w:sz w:val="25"/>
        </w:rPr>
      </w:pPr>
    </w:p>
    <w:p>
      <w:pPr>
        <w:pStyle w:val="Title"/>
      </w:pPr>
      <w:r>
        <w:drawing>
          <wp:anchor distT="0" distB="0" distL="0" distR="0" simplePos="0" relativeHeight="251658240" behindDoc="0" locked="0" layoutInCell="1" allowOverlap="1">
            <wp:simplePos x="0" y="0"/>
            <wp:positionH relativeFrom="page">
              <wp:posOffset>4851908</wp:posOffset>
            </wp:positionH>
            <wp:positionV relativeFrom="paragraph">
              <wp:posOffset>208565</wp:posOffset>
            </wp:positionV>
            <wp:extent cx="796201" cy="39750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xmlns:r="http://schemas.openxmlformats.org/officeDocument/2006/relationships" r:embed="rId4" cstate="print"/>
                    <a:stretch>
                      <a:fillRect/>
                    </a:stretch>
                  </pic:blipFill>
                  <pic:spPr>
                    <a:xfrm>
                      <a:off x="0" y="0"/>
                      <a:ext cx="796201" cy="397509"/>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025" type="#_x0000_t202" style="width:92.85pt;height:27.7pt;margin-top:-14.3pt;margin-left:58.54pt;mso-position-horizontal-relative:page;position:absolute;z-index:251659264" filled="f" stroked="f">
            <v:textbox inset="0,0,0,0">
              <w:txbxContent>
                <w:tbl>
                  <w:tblPr>
                    <w:tblStyle w:val="TableNormal"/>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3"/>
                    <w:gridCol w:w="1203"/>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76"/>
                      <w:jc w:val="left"/>
                    </w:trPr>
                    <w:tc>
                      <w:tcPr>
                        <w:tcW w:w="653" w:type="dxa"/>
                      </w:tcPr>
                      <w:p>
                        <w:pPr>
                          <w:pStyle w:val="TableParagraph"/>
                          <w:spacing w:line="234" w:lineRule="exact"/>
                          <w:ind w:left="200"/>
                          <w:rPr>
                            <w:rFonts w:ascii="Times New Roman"/>
                            <w:sz w:val="21"/>
                          </w:rPr>
                        </w:pPr>
                        <w:r>
                          <w:rPr>
                            <w:rFonts w:ascii="Times New Roman"/>
                            <w:sz w:val="21"/>
                          </w:rPr>
                          <w:t>ICS</w:t>
                        </w:r>
                      </w:p>
                    </w:tc>
                    <w:tc>
                      <w:tcPr>
                        <w:tcW w:w="1203" w:type="dxa"/>
                      </w:tcPr>
                      <w:p>
                        <w:pPr>
                          <w:pStyle w:val="TableParagraph"/>
                          <w:spacing w:line="257" w:lineRule="exact"/>
                          <w:ind w:left="55"/>
                          <w:rPr>
                            <w:rFonts w:ascii="黑体"/>
                            <w:sz w:val="21"/>
                          </w:rPr>
                        </w:pPr>
                        <w:r>
                          <w:rPr>
                            <w:rFonts w:ascii="黑体"/>
                            <w:sz w:val="21"/>
                          </w:rPr>
                          <w:t>13.040.99</w:t>
                        </w:r>
                      </w:p>
                    </w:tc>
                  </w:tr>
                  <w:tr>
                    <w:tblPrEx>
                      <w:tblW w:w="0" w:type="auto"/>
                      <w:jc w:val="left"/>
                      <w:tblInd w:w="7" w:type="dxa"/>
                      <w:tblLayout w:type="fixed"/>
                      <w:tblCellMar>
                        <w:top w:w="0" w:type="dxa"/>
                        <w:left w:w="0" w:type="dxa"/>
                        <w:bottom w:w="0" w:type="dxa"/>
                        <w:right w:w="0" w:type="dxa"/>
                      </w:tblCellMar>
                      <w:tblLook w:val="01E0"/>
                    </w:tblPrEx>
                    <w:trPr>
                      <w:trHeight w:val="276"/>
                      <w:jc w:val="left"/>
                    </w:trPr>
                    <w:tc>
                      <w:tcPr>
                        <w:tcW w:w="653" w:type="dxa"/>
                      </w:tcPr>
                      <w:p>
                        <w:pPr>
                          <w:pStyle w:val="TableParagraph"/>
                          <w:spacing w:before="29" w:line="227" w:lineRule="exact"/>
                          <w:ind w:left="200"/>
                          <w:rPr>
                            <w:rFonts w:ascii="Times New Roman"/>
                            <w:sz w:val="21"/>
                          </w:rPr>
                        </w:pPr>
                        <w:r>
                          <w:rPr>
                            <w:rFonts w:ascii="Times New Roman"/>
                            <w:sz w:val="21"/>
                          </w:rPr>
                          <w:t>CCS</w:t>
                        </w:r>
                      </w:p>
                    </w:tc>
                    <w:tc>
                      <w:tcPr>
                        <w:tcW w:w="1203" w:type="dxa"/>
                      </w:tcPr>
                      <w:p>
                        <w:pPr>
                          <w:pStyle w:val="TableParagraph"/>
                          <w:spacing w:before="37" w:line="220" w:lineRule="exact"/>
                          <w:ind w:left="55"/>
                          <w:rPr>
                            <w:rFonts w:ascii="黑体"/>
                            <w:sz w:val="21"/>
                          </w:rPr>
                        </w:pPr>
                        <w:r>
                          <w:rPr>
                            <w:rFonts w:ascii="黑体"/>
                            <w:sz w:val="21"/>
                          </w:rPr>
                          <w:t>Z 01</w:t>
                        </w:r>
                      </w:p>
                    </w:tc>
                  </w:tr>
                </w:tbl>
                <w:p>
                  <w:pPr>
                    <w:pStyle w:val="BodyText"/>
                  </w:pPr>
                </w:p>
              </w:txbxContent>
            </v:textbox>
          </v:shape>
        </w:pict>
      </w:r>
      <w:r>
        <w:rPr>
          <w:w w:val="125"/>
        </w:rPr>
        <w:t>14</w:t>
      </w:r>
    </w:p>
    <w:p>
      <w:pPr>
        <w:tabs>
          <w:tab w:val="left" w:pos="1568"/>
          <w:tab w:val="left" w:pos="3094"/>
          <w:tab w:val="left" w:pos="4621"/>
          <w:tab w:val="left" w:pos="6148"/>
          <w:tab w:val="left" w:pos="7675"/>
          <w:tab w:val="left" w:pos="9201"/>
        </w:tabs>
        <w:spacing w:before="253"/>
        <w:ind w:left="41" w:right="0" w:firstLine="0"/>
        <w:jc w:val="center"/>
        <w:rPr>
          <w:rFonts w:ascii="黑体" w:eastAsia="黑体" w:hint="eastAsia"/>
          <w:sz w:val="48"/>
        </w:rPr>
      </w:pPr>
      <w:r>
        <w:rPr>
          <w:rFonts w:ascii="黑体" w:eastAsia="黑体" w:hint="eastAsia"/>
          <w:sz w:val="48"/>
        </w:rPr>
        <w:t>山</w:t>
        <w:tab/>
        <w:t>西</w:t>
        <w:tab/>
        <w:t>省</w:t>
        <w:tab/>
        <w:t>地</w:t>
        <w:tab/>
        <w:t>方</w:t>
        <w:tab/>
        <w:t>标</w:t>
        <w:tab/>
        <w:t>准</w:t>
      </w:r>
    </w:p>
    <w:p>
      <w:pPr>
        <w:spacing w:before="341"/>
        <w:ind w:left="0" w:right="407" w:firstLine="0"/>
        <w:jc w:val="right"/>
        <w:rPr>
          <w:rFonts w:ascii="黑体" w:hAnsi="黑体"/>
          <w:sz w:val="28"/>
        </w:rPr>
      </w:pPr>
      <w:r>
        <w:rPr>
          <w:rFonts w:ascii="黑体" w:hAnsi="黑体"/>
          <w:sz w:val="28"/>
        </w:rPr>
        <w:t>DB 14/T</w:t>
      </w:r>
      <w:r>
        <w:rPr>
          <w:rFonts w:ascii="黑体" w:hAnsi="黑体"/>
          <w:spacing w:val="-72"/>
          <w:sz w:val="28"/>
        </w:rPr>
        <w:t xml:space="preserve"> </w:t>
      </w:r>
      <w:r>
        <w:rPr>
          <w:rFonts w:ascii="黑体" w:hAnsi="黑体"/>
          <w:sz w:val="28"/>
        </w:rPr>
        <w:t>2965—2024</w:t>
      </w:r>
    </w:p>
    <w:p>
      <w:pPr>
        <w:pStyle w:val="BodyText"/>
        <w:rPr>
          <w:rFonts w:ascii="黑体"/>
          <w:sz w:val="20"/>
        </w:rPr>
      </w:pPr>
    </w:p>
    <w:p>
      <w:pPr>
        <w:pStyle w:val="BodyText"/>
        <w:spacing w:before="5"/>
        <w:rPr>
          <w:rFonts w:ascii="黑体"/>
          <w:sz w:val="28"/>
        </w:rPr>
      </w:pPr>
      <w:r>
        <w:pict>
          <v:shape id="_x0000_s1026" style="width:481.9pt;height:0.1pt;margin-top:20.56pt;margin-left:70.9pt;mso-position-horizontal-relative:page;mso-wrap-distance-left:0;mso-wrap-distance-right:0;position:absolute;z-index:-251656192" coordorigin="1418,411" coordsize="9638,0" path="m1418,411l11056,411e" filled="f" stroked="t" strokecolor="black" strokeweight="0.75pt">
            <v:stroke dashstyle="solid"/>
            <v:path arrowok="t"/>
            <w10:wrap type="topAndBottom"/>
          </v:shape>
        </w:pict>
      </w: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spacing w:before="5"/>
        <w:rPr>
          <w:rFonts w:ascii="黑体"/>
          <w:sz w:val="28"/>
        </w:rPr>
      </w:pPr>
    </w:p>
    <w:p>
      <w:pPr>
        <w:spacing w:before="0" w:line="252" w:lineRule="auto"/>
        <w:ind w:left="535" w:right="264" w:firstLine="0"/>
        <w:jc w:val="center"/>
        <w:rPr>
          <w:rFonts w:ascii="黑体" w:eastAsia="黑体" w:hint="eastAsia"/>
          <w:sz w:val="52"/>
        </w:rPr>
      </w:pPr>
      <w:r>
        <w:rPr>
          <w:rFonts w:ascii="黑体" w:eastAsia="黑体" w:hint="eastAsia"/>
          <w:sz w:val="52"/>
        </w:rPr>
        <w:t>固定污染源废气非甲烷总烃排放连续监测系统建设验收技术规范</w:t>
      </w: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pStyle w:val="BodyText"/>
        <w:rPr>
          <w:rFonts w:ascii="黑体"/>
          <w:sz w:val="52"/>
        </w:rPr>
      </w:pPr>
    </w:p>
    <w:p>
      <w:pPr>
        <w:tabs>
          <w:tab w:val="left" w:pos="7653"/>
        </w:tabs>
        <w:spacing w:before="336"/>
        <w:ind w:left="298" w:right="0" w:firstLine="0"/>
        <w:jc w:val="center"/>
        <w:rPr>
          <w:rFonts w:ascii="黑体" w:eastAsia="黑体" w:hint="eastAsia"/>
          <w:sz w:val="28"/>
        </w:rPr>
      </w:pPr>
      <w:r>
        <w:pict>
          <v:shape id="_x0000_s1027" style="width:481.9pt;height:0.1pt;margin-top:36.42pt;margin-left:70.85pt;mso-position-horizontal-relative:page;mso-wrap-distance-left:0;mso-wrap-distance-right:0;position:absolute;z-index:-251655168" coordorigin="1417,728" coordsize="9638,0" path="m1417,728l11055,728e" filled="f" stroked="t" strokecolor="black" strokeweight="0.75pt">
            <v:stroke dashstyle="solid"/>
            <v:path arrowok="t"/>
            <w10:wrap type="topAndBottom"/>
          </v:shape>
        </w:pict>
      </w:r>
      <w:r>
        <w:rPr>
          <w:rFonts w:ascii="黑体" w:eastAsia="黑体" w:hint="eastAsia"/>
          <w:sz w:val="28"/>
        </w:rPr>
        <w:t>2024</w:t>
      </w:r>
      <w:r>
        <w:rPr>
          <w:rFonts w:ascii="黑体" w:eastAsia="黑体" w:hint="eastAsia"/>
          <w:spacing w:val="-70"/>
          <w:sz w:val="28"/>
        </w:rPr>
        <w:t xml:space="preserve"> </w:t>
      </w:r>
      <w:r>
        <w:rPr>
          <w:rFonts w:ascii="黑体" w:eastAsia="黑体" w:hint="eastAsia"/>
          <w:sz w:val="28"/>
        </w:rPr>
        <w:t>-</w:t>
      </w:r>
      <w:r>
        <w:rPr>
          <w:rFonts w:ascii="黑体" w:eastAsia="黑体" w:hint="eastAsia"/>
          <w:spacing w:val="-72"/>
          <w:sz w:val="28"/>
        </w:rPr>
        <w:t xml:space="preserve"> </w:t>
      </w:r>
      <w:r>
        <w:rPr>
          <w:rFonts w:ascii="黑体" w:eastAsia="黑体" w:hint="eastAsia"/>
          <w:sz w:val="28"/>
        </w:rPr>
        <w:t>01</w:t>
      </w:r>
      <w:r>
        <w:rPr>
          <w:rFonts w:ascii="黑体" w:eastAsia="黑体" w:hint="eastAsia"/>
          <w:spacing w:val="-72"/>
          <w:sz w:val="28"/>
        </w:rPr>
        <w:t xml:space="preserve"> </w:t>
      </w:r>
      <w:r>
        <w:rPr>
          <w:rFonts w:ascii="黑体" w:eastAsia="黑体" w:hint="eastAsia"/>
          <w:sz w:val="28"/>
        </w:rPr>
        <w:t>-</w:t>
      </w:r>
      <w:r>
        <w:rPr>
          <w:rFonts w:ascii="黑体" w:eastAsia="黑体" w:hint="eastAsia"/>
          <w:spacing w:val="-70"/>
          <w:sz w:val="28"/>
        </w:rPr>
        <w:t xml:space="preserve"> </w:t>
      </w:r>
      <w:r>
        <w:rPr>
          <w:rFonts w:ascii="黑体" w:eastAsia="黑体" w:hint="eastAsia"/>
          <w:sz w:val="28"/>
        </w:rPr>
        <w:t>03</w:t>
      </w:r>
      <w:r>
        <w:rPr>
          <w:rFonts w:ascii="黑体" w:eastAsia="黑体" w:hint="eastAsia"/>
          <w:spacing w:val="-72"/>
          <w:sz w:val="28"/>
        </w:rPr>
        <w:t xml:space="preserve"> </w:t>
      </w:r>
      <w:r>
        <w:rPr>
          <w:rFonts w:ascii="黑体" w:eastAsia="黑体" w:hint="eastAsia"/>
          <w:sz w:val="28"/>
        </w:rPr>
        <w:t>发布</w:t>
        <w:tab/>
        <w:t>2024</w:t>
      </w:r>
      <w:r>
        <w:rPr>
          <w:rFonts w:ascii="黑体" w:eastAsia="黑体" w:hint="eastAsia"/>
          <w:spacing w:val="-69"/>
          <w:sz w:val="28"/>
        </w:rPr>
        <w:t xml:space="preserve"> </w:t>
      </w:r>
      <w:r>
        <w:rPr>
          <w:rFonts w:ascii="黑体" w:eastAsia="黑体" w:hint="eastAsia"/>
          <w:sz w:val="28"/>
        </w:rPr>
        <w:t>-</w:t>
      </w:r>
      <w:r>
        <w:rPr>
          <w:rFonts w:ascii="黑体" w:eastAsia="黑体" w:hint="eastAsia"/>
          <w:spacing w:val="-72"/>
          <w:sz w:val="28"/>
        </w:rPr>
        <w:t xml:space="preserve"> </w:t>
      </w:r>
      <w:r>
        <w:rPr>
          <w:rFonts w:ascii="黑体" w:eastAsia="黑体" w:hint="eastAsia"/>
          <w:sz w:val="28"/>
        </w:rPr>
        <w:t>04</w:t>
      </w:r>
      <w:r>
        <w:rPr>
          <w:rFonts w:ascii="黑体" w:eastAsia="黑体" w:hint="eastAsia"/>
          <w:spacing w:val="-72"/>
          <w:sz w:val="28"/>
        </w:rPr>
        <w:t xml:space="preserve"> </w:t>
      </w:r>
      <w:r>
        <w:rPr>
          <w:rFonts w:ascii="黑体" w:eastAsia="黑体" w:hint="eastAsia"/>
          <w:sz w:val="28"/>
        </w:rPr>
        <w:t>-</w:t>
      </w:r>
      <w:r>
        <w:rPr>
          <w:rFonts w:ascii="黑体" w:eastAsia="黑体" w:hint="eastAsia"/>
          <w:spacing w:val="-70"/>
          <w:sz w:val="28"/>
        </w:rPr>
        <w:t xml:space="preserve"> </w:t>
      </w:r>
      <w:r>
        <w:rPr>
          <w:rFonts w:ascii="黑体" w:eastAsia="黑体" w:hint="eastAsia"/>
          <w:sz w:val="28"/>
        </w:rPr>
        <w:t>03</w:t>
      </w:r>
      <w:r>
        <w:rPr>
          <w:rFonts w:ascii="黑体" w:eastAsia="黑体" w:hint="eastAsia"/>
          <w:spacing w:val="-72"/>
          <w:sz w:val="28"/>
        </w:rPr>
        <w:t xml:space="preserve"> </w:t>
      </w:r>
      <w:r>
        <w:rPr>
          <w:rFonts w:ascii="黑体" w:eastAsia="黑体" w:hint="eastAsia"/>
          <w:sz w:val="28"/>
        </w:rPr>
        <w:t>实施</w:t>
      </w:r>
    </w:p>
    <w:p>
      <w:pPr>
        <w:pStyle w:val="BodyText"/>
        <w:rPr>
          <w:rFonts w:ascii="黑体"/>
          <w:sz w:val="28"/>
        </w:rPr>
      </w:pPr>
    </w:p>
    <w:p>
      <w:pPr>
        <w:pStyle w:val="BodyText"/>
        <w:spacing w:before="7"/>
        <w:rPr>
          <w:rFonts w:ascii="黑体"/>
          <w:sz w:val="31"/>
        </w:rPr>
      </w:pPr>
    </w:p>
    <w:p>
      <w:pPr>
        <w:tabs>
          <w:tab w:val="left" w:pos="3360"/>
        </w:tabs>
        <w:spacing w:before="1"/>
        <w:ind w:left="0" w:right="14" w:firstLine="0"/>
        <w:jc w:val="center"/>
        <w:rPr>
          <w:rFonts w:ascii="黑体" w:eastAsia="黑体" w:hint="eastAsia"/>
          <w:sz w:val="28"/>
        </w:rPr>
      </w:pPr>
      <w:r>
        <w:rPr>
          <w:rFonts w:ascii="黑体" w:eastAsia="黑体" w:hint="eastAsia"/>
          <w:sz w:val="28"/>
        </w:rPr>
        <w:t>山西省</w:t>
      </w:r>
      <w:r>
        <w:rPr>
          <w:rFonts w:ascii="黑体" w:eastAsia="黑体" w:hint="eastAsia"/>
          <w:spacing w:val="-3"/>
          <w:sz w:val="28"/>
        </w:rPr>
        <w:t>市</w:t>
      </w:r>
      <w:r>
        <w:rPr>
          <w:rFonts w:ascii="黑体" w:eastAsia="黑体" w:hint="eastAsia"/>
          <w:sz w:val="28"/>
        </w:rPr>
        <w:t>场监</w:t>
      </w:r>
      <w:r>
        <w:rPr>
          <w:rFonts w:ascii="黑体" w:eastAsia="黑体" w:hint="eastAsia"/>
          <w:spacing w:val="-3"/>
          <w:sz w:val="28"/>
        </w:rPr>
        <w:t>督管</w:t>
      </w:r>
      <w:r>
        <w:rPr>
          <w:rFonts w:ascii="黑体" w:eastAsia="黑体" w:hint="eastAsia"/>
          <w:sz w:val="28"/>
        </w:rPr>
        <w:t>理局</w:t>
        <w:tab/>
        <w:t>发</w:t>
      </w:r>
      <w:r>
        <w:rPr>
          <w:rFonts w:ascii="黑体" w:eastAsia="黑体" w:hint="eastAsia"/>
          <w:spacing w:val="28"/>
          <w:sz w:val="28"/>
        </w:rPr>
        <w:t xml:space="preserve"> </w:t>
      </w:r>
      <w:r>
        <w:rPr>
          <w:rFonts w:ascii="黑体" w:eastAsia="黑体" w:hint="eastAsia"/>
          <w:sz w:val="28"/>
        </w:rPr>
        <w:t>布</w:t>
      </w:r>
    </w:p>
    <w:p>
      <w:pPr>
        <w:spacing w:after="0"/>
        <w:jc w:val="center"/>
        <w:rPr>
          <w:rFonts w:ascii="黑体" w:eastAsia="黑体" w:hint="eastAsia"/>
          <w:sz w:val="28"/>
        </w:rPr>
        <w:sectPr>
          <w:type w:val="continuous"/>
          <w:pgSz w:w="11910" w:h="16840"/>
          <w:pgMar w:top="540" w:right="720" w:bottom="280" w:left="1020" w:header="708" w:footer="708"/>
          <w:cols w:space="708"/>
        </w:sectPr>
      </w:pPr>
    </w:p>
    <w:p>
      <w:pPr>
        <w:pStyle w:val="BodyText"/>
        <w:spacing w:before="7"/>
        <w:rPr>
          <w:rFonts w:ascii="黑体"/>
          <w:sz w:val="15"/>
        </w:rPr>
      </w:pPr>
    </w:p>
    <w:p>
      <w:pPr>
        <w:spacing w:after="0"/>
        <w:rPr>
          <w:rFonts w:ascii="黑体"/>
          <w:sz w:val="15"/>
        </w:rPr>
        <w:sectPr>
          <w:pgSz w:w="11910" w:h="16840"/>
          <w:pgMar w:top="1580" w:right="720" w:bottom="280" w:left="1020" w:header="708" w:footer="708"/>
          <w:pgNumType w:start="2"/>
          <w:cols w:space="708"/>
        </w:sectPr>
      </w:pPr>
    </w:p>
    <w:p>
      <w:pPr>
        <w:pStyle w:val="BodyText"/>
        <w:rPr>
          <w:rFonts w:ascii="黑体"/>
          <w:sz w:val="20"/>
        </w:rPr>
      </w:pPr>
    </w:p>
    <w:p>
      <w:pPr>
        <w:pStyle w:val="BodyText"/>
        <w:rPr>
          <w:rFonts w:ascii="黑体"/>
          <w:sz w:val="20"/>
        </w:rPr>
      </w:pPr>
    </w:p>
    <w:p>
      <w:pPr>
        <w:pStyle w:val="BodyText"/>
        <w:spacing w:before="4"/>
        <w:rPr>
          <w:rFonts w:ascii="黑体"/>
          <w:sz w:val="22"/>
        </w:rPr>
      </w:pPr>
    </w:p>
    <w:p>
      <w:pPr>
        <w:pStyle w:val="Heading1"/>
        <w:tabs>
          <w:tab w:val="left" w:pos="959"/>
        </w:tabs>
        <w:ind w:right="12"/>
      </w:pPr>
      <w:r>
        <w:t>目</w:t>
        <w:tab/>
        <w:t>次</w:t>
      </w:r>
    </w:p>
    <w:p>
      <w:pPr>
        <w:pStyle w:val="BodyText"/>
        <w:tabs>
          <w:tab w:val="right" w:leader="dot" w:pos="9743"/>
        </w:tabs>
        <w:spacing w:before="687"/>
        <w:ind w:left="398"/>
      </w:pPr>
      <w:hyperlink w:anchor="_bookmark0" w:history="1">
        <w:r>
          <w:t>前言</w:t>
          <w:tab/>
          <w:t>II</w:t>
        </w:r>
      </w:hyperlink>
    </w:p>
    <w:p>
      <w:pPr>
        <w:pStyle w:val="ListParagraph"/>
        <w:numPr>
          <w:ilvl w:val="0"/>
          <w:numId w:val="15"/>
        </w:numPr>
        <w:tabs>
          <w:tab w:val="left" w:pos="715"/>
          <w:tab w:val="left" w:pos="716"/>
          <w:tab w:val="right" w:leader="dot" w:pos="9743"/>
        </w:tabs>
        <w:spacing w:before="132" w:after="0" w:line="240" w:lineRule="auto"/>
        <w:ind w:left="715" w:right="0" w:hanging="318"/>
        <w:jc w:val="left"/>
        <w:rPr>
          <w:sz w:val="21"/>
        </w:rPr>
      </w:pPr>
      <w:hyperlink w:anchor="_bookmark1" w:history="1">
        <w:r>
          <w:rPr>
            <w:spacing w:val="-3"/>
            <w:sz w:val="21"/>
          </w:rPr>
          <w:t>范围</w:t>
          <w:tab/>
        </w:r>
        <w:r>
          <w:rPr>
            <w:sz w:val="21"/>
          </w:rPr>
          <w:t>1</w:t>
        </w:r>
      </w:hyperlink>
    </w:p>
    <w:p>
      <w:pPr>
        <w:pStyle w:val="ListParagraph"/>
        <w:numPr>
          <w:ilvl w:val="0"/>
          <w:numId w:val="15"/>
        </w:numPr>
        <w:tabs>
          <w:tab w:val="left" w:pos="715"/>
          <w:tab w:val="left" w:pos="716"/>
          <w:tab w:val="right" w:leader="dot" w:pos="9743"/>
        </w:tabs>
        <w:spacing w:before="131" w:after="0" w:line="240" w:lineRule="auto"/>
        <w:ind w:left="715" w:right="0" w:hanging="318"/>
        <w:jc w:val="left"/>
        <w:rPr>
          <w:sz w:val="21"/>
        </w:rPr>
      </w:pPr>
      <w:hyperlink w:anchor="_bookmark2" w:history="1">
        <w:r>
          <w:rPr>
            <w:spacing w:val="-3"/>
            <w:sz w:val="21"/>
          </w:rPr>
          <w:t>规</w:t>
        </w:r>
        <w:r>
          <w:rPr>
            <w:sz w:val="21"/>
          </w:rPr>
          <w:t>范</w:t>
        </w:r>
        <w:r>
          <w:rPr>
            <w:spacing w:val="-3"/>
            <w:sz w:val="21"/>
          </w:rPr>
          <w:t>性</w:t>
        </w:r>
        <w:r>
          <w:rPr>
            <w:sz w:val="21"/>
          </w:rPr>
          <w:t>引</w:t>
        </w:r>
        <w:r>
          <w:rPr>
            <w:spacing w:val="-3"/>
            <w:sz w:val="21"/>
          </w:rPr>
          <w:t>用</w:t>
        </w:r>
        <w:r>
          <w:rPr>
            <w:sz w:val="21"/>
          </w:rPr>
          <w:t>文件</w:t>
          <w:tab/>
          <w:t>1</w:t>
        </w:r>
      </w:hyperlink>
    </w:p>
    <w:p>
      <w:pPr>
        <w:pStyle w:val="ListParagraph"/>
        <w:numPr>
          <w:ilvl w:val="0"/>
          <w:numId w:val="15"/>
        </w:numPr>
        <w:tabs>
          <w:tab w:val="left" w:pos="715"/>
          <w:tab w:val="left" w:pos="716"/>
          <w:tab w:val="right" w:leader="dot" w:pos="9743"/>
        </w:tabs>
        <w:spacing w:before="130" w:after="0" w:line="240" w:lineRule="auto"/>
        <w:ind w:left="715" w:right="0" w:hanging="318"/>
        <w:jc w:val="left"/>
        <w:rPr>
          <w:sz w:val="21"/>
        </w:rPr>
      </w:pPr>
      <w:hyperlink w:anchor="_bookmark3" w:history="1">
        <w:r>
          <w:rPr>
            <w:spacing w:val="-3"/>
            <w:sz w:val="21"/>
          </w:rPr>
          <w:t>术</w:t>
        </w:r>
        <w:r>
          <w:rPr>
            <w:sz w:val="21"/>
          </w:rPr>
          <w:t>语</w:t>
        </w:r>
        <w:r>
          <w:rPr>
            <w:spacing w:val="-3"/>
            <w:sz w:val="21"/>
          </w:rPr>
          <w:t>和</w:t>
        </w:r>
        <w:r>
          <w:rPr>
            <w:sz w:val="21"/>
          </w:rPr>
          <w:t>定义</w:t>
          <w:tab/>
          <w:t>1</w:t>
        </w:r>
      </w:hyperlink>
    </w:p>
    <w:p>
      <w:pPr>
        <w:pStyle w:val="ListParagraph"/>
        <w:numPr>
          <w:ilvl w:val="0"/>
          <w:numId w:val="15"/>
        </w:numPr>
        <w:tabs>
          <w:tab w:val="left" w:pos="715"/>
          <w:tab w:val="left" w:pos="716"/>
          <w:tab w:val="right" w:leader="dot" w:pos="9743"/>
        </w:tabs>
        <w:spacing w:before="132" w:after="0" w:line="240" w:lineRule="auto"/>
        <w:ind w:left="715" w:right="0" w:hanging="318"/>
        <w:jc w:val="left"/>
        <w:rPr>
          <w:sz w:val="21"/>
        </w:rPr>
      </w:pPr>
      <w:hyperlink w:anchor="_bookmark4" w:history="1">
        <w:r>
          <w:rPr>
            <w:spacing w:val="-3"/>
            <w:sz w:val="21"/>
          </w:rPr>
          <w:t>系</w:t>
        </w:r>
        <w:r>
          <w:rPr>
            <w:sz w:val="21"/>
          </w:rPr>
          <w:t>统</w:t>
        </w:r>
        <w:r>
          <w:rPr>
            <w:spacing w:val="-3"/>
            <w:sz w:val="21"/>
          </w:rPr>
          <w:t>功</w:t>
        </w:r>
        <w:r>
          <w:rPr>
            <w:sz w:val="21"/>
          </w:rPr>
          <w:t>能</w:t>
        </w:r>
        <w:r>
          <w:rPr>
            <w:spacing w:val="-3"/>
            <w:sz w:val="21"/>
          </w:rPr>
          <w:t>和</w:t>
        </w:r>
        <w:r>
          <w:rPr>
            <w:sz w:val="21"/>
          </w:rPr>
          <w:t>性能</w:t>
          <w:tab/>
          <w:t>2</w:t>
        </w:r>
      </w:hyperlink>
    </w:p>
    <w:p>
      <w:pPr>
        <w:pStyle w:val="ListParagraph"/>
        <w:numPr>
          <w:ilvl w:val="0"/>
          <w:numId w:val="15"/>
        </w:numPr>
        <w:tabs>
          <w:tab w:val="left" w:pos="715"/>
          <w:tab w:val="left" w:pos="716"/>
          <w:tab w:val="right" w:leader="dot" w:pos="9743"/>
        </w:tabs>
        <w:spacing w:before="132" w:after="0" w:line="240" w:lineRule="auto"/>
        <w:ind w:left="715" w:right="0" w:hanging="318"/>
        <w:jc w:val="left"/>
        <w:rPr>
          <w:sz w:val="21"/>
        </w:rPr>
      </w:pPr>
      <w:hyperlink w:anchor="_bookmark5" w:history="1">
        <w:r>
          <w:rPr>
            <w:spacing w:val="-3"/>
            <w:sz w:val="21"/>
          </w:rPr>
          <w:t>监</w:t>
        </w:r>
        <w:r>
          <w:rPr>
            <w:sz w:val="21"/>
          </w:rPr>
          <w:t>测</w:t>
        </w:r>
        <w:r>
          <w:rPr>
            <w:spacing w:val="-3"/>
            <w:sz w:val="21"/>
          </w:rPr>
          <w:t>站</w:t>
        </w:r>
        <w:r>
          <w:rPr>
            <w:sz w:val="21"/>
          </w:rPr>
          <w:t>房</w:t>
        </w:r>
        <w:r>
          <w:rPr>
            <w:spacing w:val="-3"/>
            <w:sz w:val="21"/>
          </w:rPr>
          <w:t>建</w:t>
        </w:r>
        <w:r>
          <w:rPr>
            <w:sz w:val="21"/>
          </w:rPr>
          <w:t>设</w:t>
          <w:tab/>
          <w:t>2</w:t>
        </w:r>
      </w:hyperlink>
    </w:p>
    <w:p>
      <w:pPr>
        <w:pStyle w:val="ListParagraph"/>
        <w:numPr>
          <w:ilvl w:val="0"/>
          <w:numId w:val="15"/>
        </w:numPr>
        <w:tabs>
          <w:tab w:val="left" w:pos="715"/>
          <w:tab w:val="left" w:pos="716"/>
          <w:tab w:val="right" w:leader="dot" w:pos="9743"/>
        </w:tabs>
        <w:spacing w:before="129" w:after="0" w:line="240" w:lineRule="auto"/>
        <w:ind w:left="715" w:right="0" w:hanging="318"/>
        <w:jc w:val="left"/>
        <w:rPr>
          <w:sz w:val="21"/>
        </w:rPr>
      </w:pPr>
      <w:hyperlink w:anchor="_bookmark6" w:history="1">
        <w:r>
          <w:rPr>
            <w:sz w:val="21"/>
          </w:rPr>
          <w:t>NMHC-CEMS</w:t>
        </w:r>
        <w:r>
          <w:rPr>
            <w:spacing w:val="-55"/>
            <w:sz w:val="21"/>
          </w:rPr>
          <w:t xml:space="preserve"> </w:t>
        </w:r>
        <w:r>
          <w:rPr>
            <w:sz w:val="21"/>
          </w:rPr>
          <w:t>安装</w:t>
          <w:tab/>
          <w:t>3</w:t>
        </w:r>
      </w:hyperlink>
    </w:p>
    <w:p>
      <w:pPr>
        <w:pStyle w:val="ListParagraph"/>
        <w:numPr>
          <w:ilvl w:val="0"/>
          <w:numId w:val="15"/>
        </w:numPr>
        <w:tabs>
          <w:tab w:val="left" w:pos="715"/>
          <w:tab w:val="left" w:pos="716"/>
          <w:tab w:val="right" w:leader="dot" w:pos="9743"/>
        </w:tabs>
        <w:spacing w:before="132" w:after="0" w:line="240" w:lineRule="auto"/>
        <w:ind w:left="715" w:right="0" w:hanging="318"/>
        <w:jc w:val="left"/>
        <w:rPr>
          <w:sz w:val="21"/>
        </w:rPr>
      </w:pPr>
      <w:hyperlink w:anchor="_bookmark7" w:history="1">
        <w:r>
          <w:rPr>
            <w:spacing w:val="-3"/>
            <w:sz w:val="21"/>
          </w:rPr>
          <w:t>技</w:t>
        </w:r>
        <w:r>
          <w:rPr>
            <w:sz w:val="21"/>
          </w:rPr>
          <w:t>术</w:t>
        </w:r>
        <w:r>
          <w:rPr>
            <w:spacing w:val="-3"/>
            <w:sz w:val="21"/>
          </w:rPr>
          <w:t>指</w:t>
        </w:r>
        <w:r>
          <w:rPr>
            <w:sz w:val="21"/>
          </w:rPr>
          <w:t>标</w:t>
        </w:r>
        <w:r>
          <w:rPr>
            <w:spacing w:val="-3"/>
            <w:sz w:val="21"/>
          </w:rPr>
          <w:t>调</w:t>
        </w:r>
        <w:r>
          <w:rPr>
            <w:sz w:val="21"/>
          </w:rPr>
          <w:t>试</w:t>
        </w:r>
        <w:r>
          <w:rPr>
            <w:spacing w:val="-3"/>
            <w:sz w:val="21"/>
          </w:rPr>
          <w:t>检</w:t>
        </w:r>
        <w:r>
          <w:rPr>
            <w:sz w:val="21"/>
          </w:rPr>
          <w:t>测</w:t>
          <w:tab/>
          <w:t>3</w:t>
        </w:r>
      </w:hyperlink>
    </w:p>
    <w:p>
      <w:pPr>
        <w:pStyle w:val="ListParagraph"/>
        <w:numPr>
          <w:ilvl w:val="0"/>
          <w:numId w:val="15"/>
        </w:numPr>
        <w:tabs>
          <w:tab w:val="left" w:pos="715"/>
          <w:tab w:val="left" w:pos="716"/>
          <w:tab w:val="right" w:leader="dot" w:pos="9743"/>
        </w:tabs>
        <w:spacing w:before="132" w:after="0" w:line="240" w:lineRule="auto"/>
        <w:ind w:left="715" w:right="0" w:hanging="318"/>
        <w:jc w:val="left"/>
        <w:rPr>
          <w:sz w:val="21"/>
        </w:rPr>
      </w:pPr>
      <w:hyperlink w:anchor="_bookmark8" w:history="1">
        <w:r>
          <w:rPr>
            <w:spacing w:val="-3"/>
            <w:sz w:val="21"/>
          </w:rPr>
          <w:t>联网</w:t>
          <w:tab/>
        </w:r>
        <w:r>
          <w:rPr>
            <w:sz w:val="21"/>
          </w:rPr>
          <w:t>4</w:t>
        </w:r>
      </w:hyperlink>
    </w:p>
    <w:p>
      <w:pPr>
        <w:pStyle w:val="ListParagraph"/>
        <w:numPr>
          <w:ilvl w:val="0"/>
          <w:numId w:val="15"/>
        </w:numPr>
        <w:tabs>
          <w:tab w:val="left" w:pos="715"/>
          <w:tab w:val="left" w:pos="716"/>
          <w:tab w:val="right" w:leader="dot" w:pos="9743"/>
        </w:tabs>
        <w:spacing w:before="129" w:after="0" w:line="240" w:lineRule="auto"/>
        <w:ind w:left="715" w:right="0" w:hanging="318"/>
        <w:jc w:val="left"/>
        <w:rPr>
          <w:sz w:val="21"/>
        </w:rPr>
      </w:pPr>
      <w:hyperlink w:anchor="_bookmark9" w:history="1">
        <w:r>
          <w:rPr>
            <w:spacing w:val="-3"/>
            <w:sz w:val="21"/>
          </w:rPr>
          <w:t>验收</w:t>
          <w:tab/>
        </w:r>
        <w:r>
          <w:rPr>
            <w:sz w:val="21"/>
          </w:rPr>
          <w:t>4</w:t>
        </w:r>
      </w:hyperlink>
    </w:p>
    <w:p>
      <w:pPr>
        <w:pStyle w:val="BodyText"/>
        <w:tabs>
          <w:tab w:val="left" w:pos="2237"/>
          <w:tab w:val="right" w:leader="dot" w:pos="9743"/>
        </w:tabs>
        <w:spacing w:before="132"/>
        <w:ind w:left="398"/>
      </w:pPr>
      <w:hyperlink w:anchor="_bookmark10" w:history="1">
        <w:r>
          <w:t>附录</w:t>
        </w:r>
        <w:r>
          <w:rPr>
            <w:spacing w:val="-52"/>
          </w:rPr>
          <w:t xml:space="preserve"> </w:t>
        </w:r>
        <w:r>
          <w:t>A（</w:t>
        </w:r>
        <w:r>
          <w:rPr>
            <w:spacing w:val="-3"/>
          </w:rPr>
          <w:t>规</w:t>
        </w:r>
        <w:r>
          <w:t>范</w:t>
        </w:r>
        <w:r>
          <w:rPr>
            <w:spacing w:val="-3"/>
          </w:rPr>
          <w:t>性</w:t>
        </w:r>
        <w:r>
          <w:t>）</w:t>
          <w:tab/>
          <w:t>NMHC-CEMS</w:t>
        </w:r>
        <w:r>
          <w:rPr>
            <w:spacing w:val="-55"/>
          </w:rPr>
          <w:t xml:space="preserve"> </w:t>
        </w:r>
        <w:r>
          <w:t>数</w:t>
        </w:r>
        <w:r>
          <w:rPr>
            <w:spacing w:val="-3"/>
          </w:rPr>
          <w:t>据</w:t>
        </w:r>
        <w:r>
          <w:t>采</w:t>
        </w:r>
        <w:r>
          <w:rPr>
            <w:spacing w:val="-3"/>
          </w:rPr>
          <w:t>集</w:t>
        </w:r>
        <w:r>
          <w:t>处</w:t>
        </w:r>
        <w:r>
          <w:rPr>
            <w:spacing w:val="-3"/>
          </w:rPr>
          <w:t>理</w:t>
        </w:r>
        <w:r>
          <w:t>和</w:t>
        </w:r>
        <w:r>
          <w:rPr>
            <w:spacing w:val="-3"/>
          </w:rPr>
          <w:t>传输</w:t>
        </w:r>
        <w:r>
          <w:t>系统</w:t>
        </w:r>
        <w:r>
          <w:rPr>
            <w:spacing w:val="-3"/>
          </w:rPr>
          <w:t>要</w:t>
        </w:r>
        <w:r>
          <w:t>求</w:t>
          <w:tab/>
          <w:t>6</w:t>
        </w:r>
      </w:hyperlink>
    </w:p>
    <w:p>
      <w:pPr>
        <w:pStyle w:val="BodyText"/>
        <w:tabs>
          <w:tab w:val="left" w:pos="2237"/>
          <w:tab w:val="right" w:leader="dot" w:pos="9743"/>
        </w:tabs>
        <w:spacing w:before="131"/>
        <w:ind w:left="398"/>
      </w:pPr>
      <w:hyperlink w:anchor="_bookmark11" w:history="1">
        <w:r>
          <w:t>附录</w:t>
        </w:r>
        <w:r>
          <w:rPr>
            <w:spacing w:val="-52"/>
          </w:rPr>
          <w:t xml:space="preserve"> </w:t>
        </w:r>
        <w:r>
          <w:t>B（</w:t>
        </w:r>
        <w:r>
          <w:rPr>
            <w:spacing w:val="-3"/>
          </w:rPr>
          <w:t>规</w:t>
        </w:r>
        <w:r>
          <w:t>范</w:t>
        </w:r>
        <w:r>
          <w:rPr>
            <w:spacing w:val="-3"/>
          </w:rPr>
          <w:t>性</w:t>
        </w:r>
        <w:r>
          <w:t>）</w:t>
          <w:tab/>
          <w:t>NMHC-CEMS</w:t>
        </w:r>
        <w:r>
          <w:rPr>
            <w:spacing w:val="-55"/>
          </w:rPr>
          <w:t xml:space="preserve"> </w:t>
        </w:r>
        <w:r>
          <w:t>技</w:t>
        </w:r>
        <w:r>
          <w:rPr>
            <w:spacing w:val="-3"/>
          </w:rPr>
          <w:t>术</w:t>
        </w:r>
        <w:r>
          <w:t>指</w:t>
        </w:r>
        <w:r>
          <w:rPr>
            <w:spacing w:val="-3"/>
          </w:rPr>
          <w:t>标</w:t>
        </w:r>
        <w:r>
          <w:t>调</w:t>
        </w:r>
        <w:r>
          <w:rPr>
            <w:spacing w:val="-3"/>
          </w:rPr>
          <w:t>试</w:t>
        </w:r>
        <w:r>
          <w:t>检</w:t>
        </w:r>
        <w:r>
          <w:rPr>
            <w:spacing w:val="-3"/>
          </w:rPr>
          <w:t>测方</w:t>
        </w:r>
        <w:r>
          <w:t>法和</w:t>
        </w:r>
        <w:r>
          <w:rPr>
            <w:spacing w:val="-3"/>
          </w:rPr>
          <w:t>验</w:t>
        </w:r>
        <w:r>
          <w:t>收</w:t>
        </w:r>
        <w:r>
          <w:rPr>
            <w:spacing w:val="-3"/>
          </w:rPr>
          <w:t>方</w:t>
        </w:r>
        <w:r>
          <w:t>法</w:t>
          <w:tab/>
          <w:t>8</w:t>
        </w:r>
      </w:hyperlink>
    </w:p>
    <w:p>
      <w:pPr>
        <w:pStyle w:val="BodyText"/>
        <w:tabs>
          <w:tab w:val="left" w:pos="2237"/>
          <w:tab w:val="right" w:leader="dot" w:pos="9743"/>
        </w:tabs>
        <w:spacing w:before="130"/>
        <w:ind w:left="398"/>
      </w:pPr>
      <w:hyperlink w:anchor="_bookmark12" w:history="1">
        <w:r>
          <w:t>附录</w:t>
        </w:r>
        <w:r>
          <w:rPr>
            <w:spacing w:val="-52"/>
          </w:rPr>
          <w:t xml:space="preserve"> </w:t>
        </w:r>
        <w:r>
          <w:t>C（</w:t>
        </w:r>
        <w:r>
          <w:rPr>
            <w:spacing w:val="-3"/>
          </w:rPr>
          <w:t>资</w:t>
        </w:r>
        <w:r>
          <w:t>料</w:t>
        </w:r>
        <w:r>
          <w:rPr>
            <w:spacing w:val="-3"/>
          </w:rPr>
          <w:t>性</w:t>
        </w:r>
        <w:r>
          <w:t>）</w:t>
          <w:tab/>
          <w:t>NMHC-CEMS</w:t>
        </w:r>
        <w:r>
          <w:rPr>
            <w:spacing w:val="-55"/>
          </w:rPr>
          <w:t xml:space="preserve"> </w:t>
        </w:r>
        <w:r>
          <w:t>技</w:t>
        </w:r>
        <w:r>
          <w:rPr>
            <w:spacing w:val="-3"/>
          </w:rPr>
          <w:t>术</w:t>
        </w:r>
        <w:r>
          <w:t>指</w:t>
        </w:r>
        <w:r>
          <w:rPr>
            <w:spacing w:val="-3"/>
          </w:rPr>
          <w:t>标</w:t>
        </w:r>
        <w:r>
          <w:t>调</w:t>
        </w:r>
        <w:r>
          <w:rPr>
            <w:spacing w:val="-3"/>
          </w:rPr>
          <w:t>试</w:t>
        </w:r>
        <w:r>
          <w:t>检</w:t>
        </w:r>
        <w:r>
          <w:rPr>
            <w:spacing w:val="-3"/>
          </w:rPr>
          <w:t>测结</w:t>
        </w:r>
        <w:r>
          <w:t>果分</w:t>
        </w:r>
        <w:r>
          <w:rPr>
            <w:spacing w:val="-3"/>
          </w:rPr>
          <w:t>析</w:t>
        </w:r>
        <w:r>
          <w:t>和</w:t>
        </w:r>
        <w:r>
          <w:rPr>
            <w:spacing w:val="-3"/>
          </w:rPr>
          <w:t>处</w:t>
        </w:r>
        <w:r>
          <w:t>理</w:t>
        </w:r>
        <w:r>
          <w:rPr>
            <w:spacing w:val="-3"/>
          </w:rPr>
          <w:t>方</w:t>
        </w:r>
        <w:r>
          <w:t>法</w:t>
          <w:tab/>
          <w:t>15</w:t>
        </w:r>
      </w:hyperlink>
    </w:p>
    <w:p>
      <w:pPr>
        <w:pStyle w:val="BodyText"/>
        <w:tabs>
          <w:tab w:val="left" w:pos="2237"/>
          <w:tab w:val="right" w:leader="dot" w:pos="9743"/>
        </w:tabs>
        <w:spacing w:before="132"/>
        <w:ind w:left="398"/>
      </w:pPr>
      <w:hyperlink w:anchor="_bookmark13" w:history="1">
        <w:r>
          <w:t>附录</w:t>
        </w:r>
        <w:r>
          <w:rPr>
            <w:spacing w:val="-52"/>
          </w:rPr>
          <w:t xml:space="preserve"> </w:t>
        </w:r>
        <w:r>
          <w:t>D（</w:t>
        </w:r>
        <w:r>
          <w:rPr>
            <w:spacing w:val="-3"/>
          </w:rPr>
          <w:t>资</w:t>
        </w:r>
        <w:r>
          <w:t>料</w:t>
        </w:r>
        <w:r>
          <w:rPr>
            <w:spacing w:val="-3"/>
          </w:rPr>
          <w:t>性</w:t>
        </w:r>
        <w:r>
          <w:t>）</w:t>
          <w:tab/>
          <w:t>NMHC-CEMS</w:t>
        </w:r>
        <w:r>
          <w:rPr>
            <w:spacing w:val="-55"/>
          </w:rPr>
          <w:t xml:space="preserve"> </w:t>
        </w:r>
        <w:r>
          <w:t>安</w:t>
        </w:r>
        <w:r>
          <w:rPr>
            <w:spacing w:val="-3"/>
          </w:rPr>
          <w:t>装</w:t>
        </w:r>
        <w:r>
          <w:t>调</w:t>
        </w:r>
        <w:r>
          <w:rPr>
            <w:spacing w:val="-3"/>
          </w:rPr>
          <w:t>试</w:t>
        </w:r>
        <w:r>
          <w:t>检</w:t>
        </w:r>
        <w:r>
          <w:rPr>
            <w:spacing w:val="-3"/>
          </w:rPr>
          <w:t>测</w:t>
        </w:r>
        <w:r>
          <w:t>和</w:t>
        </w:r>
        <w:r>
          <w:rPr>
            <w:spacing w:val="-3"/>
          </w:rPr>
          <w:t>验收</w:t>
        </w:r>
        <w:r>
          <w:t>原始</w:t>
        </w:r>
        <w:r>
          <w:rPr>
            <w:spacing w:val="-3"/>
          </w:rPr>
          <w:t>记</w:t>
        </w:r>
        <w:r>
          <w:t>录表</w:t>
          <w:tab/>
          <w:t>16</w:t>
        </w:r>
      </w:hyperlink>
    </w:p>
    <w:p>
      <w:pPr>
        <w:pStyle w:val="BodyText"/>
        <w:tabs>
          <w:tab w:val="left" w:pos="2237"/>
          <w:tab w:val="right" w:leader="dot" w:pos="9743"/>
        </w:tabs>
        <w:spacing w:before="132"/>
        <w:ind w:left="398"/>
      </w:pPr>
      <w:hyperlink w:anchor="_bookmark14" w:history="1">
        <w:r>
          <w:t>附录</w:t>
        </w:r>
        <w:r>
          <w:rPr>
            <w:spacing w:val="-52"/>
          </w:rPr>
          <w:t xml:space="preserve"> </w:t>
        </w:r>
        <w:r>
          <w:t>E（</w:t>
        </w:r>
        <w:r>
          <w:rPr>
            <w:spacing w:val="-3"/>
          </w:rPr>
          <w:t>资</w:t>
        </w:r>
        <w:r>
          <w:t>料</w:t>
        </w:r>
        <w:r>
          <w:rPr>
            <w:spacing w:val="-3"/>
          </w:rPr>
          <w:t>性</w:t>
        </w:r>
        <w:r>
          <w:t>）</w:t>
          <w:tab/>
          <w:t>NMHC-CEMS</w:t>
        </w:r>
        <w:r>
          <w:rPr>
            <w:spacing w:val="-55"/>
          </w:rPr>
          <w:t xml:space="preserve"> </w:t>
        </w:r>
        <w:r>
          <w:t>技</w:t>
        </w:r>
        <w:r>
          <w:rPr>
            <w:spacing w:val="-3"/>
          </w:rPr>
          <w:t>术</w:t>
        </w:r>
        <w:r>
          <w:t>指</w:t>
        </w:r>
        <w:r>
          <w:rPr>
            <w:spacing w:val="-3"/>
          </w:rPr>
          <w:t>标</w:t>
        </w:r>
        <w:r>
          <w:t>验</w:t>
        </w:r>
        <w:r>
          <w:rPr>
            <w:spacing w:val="-3"/>
          </w:rPr>
          <w:t>收</w:t>
        </w:r>
        <w:r>
          <w:t>报告</w:t>
          <w:tab/>
          <w:t>18</w:t>
        </w:r>
      </w:hyperlink>
    </w:p>
    <w:p>
      <w:pPr>
        <w:pStyle w:val="BodyText"/>
        <w:tabs>
          <w:tab w:val="left" w:pos="2237"/>
          <w:tab w:val="right" w:leader="dot" w:pos="9743"/>
        </w:tabs>
        <w:spacing w:before="129"/>
        <w:ind w:left="398"/>
      </w:pPr>
      <w:hyperlink w:anchor="_bookmark15" w:history="1">
        <w:r>
          <w:t>附录</w:t>
        </w:r>
        <w:r>
          <w:rPr>
            <w:spacing w:val="-52"/>
          </w:rPr>
          <w:t xml:space="preserve"> </w:t>
        </w:r>
        <w:r>
          <w:t>F（</w:t>
        </w:r>
        <w:r>
          <w:rPr>
            <w:spacing w:val="-3"/>
          </w:rPr>
          <w:t>规</w:t>
        </w:r>
        <w:r>
          <w:t>范</w:t>
        </w:r>
        <w:r>
          <w:rPr>
            <w:spacing w:val="-3"/>
          </w:rPr>
          <w:t>性</w:t>
        </w:r>
        <w:r>
          <w:t>）</w:t>
          <w:tab/>
          <w:t>NMHC-CEMS</w:t>
        </w:r>
        <w:r>
          <w:rPr>
            <w:spacing w:val="-55"/>
          </w:rPr>
          <w:t xml:space="preserve"> </w:t>
        </w:r>
        <w:r>
          <w:t>输</w:t>
        </w:r>
        <w:r>
          <w:rPr>
            <w:spacing w:val="-3"/>
          </w:rPr>
          <w:t>出</w:t>
        </w:r>
        <w:r>
          <w:t>参</w:t>
        </w:r>
        <w:r>
          <w:rPr>
            <w:spacing w:val="-3"/>
          </w:rPr>
          <w:t>数</w:t>
        </w:r>
        <w:r>
          <w:t>计</w:t>
        </w:r>
        <w:r>
          <w:rPr>
            <w:spacing w:val="-3"/>
          </w:rPr>
          <w:t>算</w:t>
        </w:r>
        <w:r>
          <w:t>方法</w:t>
          <w:tab/>
          <w:t>20</w:t>
        </w:r>
      </w:hyperlink>
    </w:p>
    <w:p>
      <w:pPr>
        <w:spacing w:after="0"/>
        <w:sectPr>
          <w:headerReference w:type="even" r:id="rId5"/>
          <w:headerReference w:type="default" r:id="rId6"/>
          <w:footerReference w:type="even" r:id="rId7"/>
          <w:footerReference w:type="default" r:id="rId8"/>
          <w:pgSz w:w="11910" w:h="16840"/>
          <w:pgMar w:top="1640" w:right="720" w:bottom="1340" w:left="1020" w:header="1448" w:footer="1140"/>
          <w:pgNumType w:start="3"/>
          <w:cols w:space="708"/>
        </w:sectPr>
      </w:pPr>
    </w:p>
    <w:p>
      <w:pPr>
        <w:pStyle w:val="BodyText"/>
        <w:rPr>
          <w:sz w:val="32"/>
        </w:rPr>
      </w:pPr>
    </w:p>
    <w:p>
      <w:pPr>
        <w:pStyle w:val="BodyText"/>
        <w:spacing w:before="10"/>
        <w:rPr>
          <w:sz w:val="30"/>
        </w:rPr>
      </w:pPr>
    </w:p>
    <w:p>
      <w:pPr>
        <w:tabs>
          <w:tab w:val="left" w:pos="960"/>
        </w:tabs>
        <w:spacing w:before="0"/>
        <w:ind w:left="0" w:right="161" w:firstLine="0"/>
        <w:jc w:val="center"/>
        <w:rPr>
          <w:rFonts w:ascii="黑体" w:eastAsia="黑体" w:hint="eastAsia"/>
          <w:sz w:val="32"/>
        </w:rPr>
      </w:pPr>
      <w:bookmarkStart w:id="0" w:name="_bookmark0"/>
      <w:bookmarkEnd w:id="0"/>
      <w:r>
        <w:rPr>
          <w:rFonts w:ascii="黑体" w:eastAsia="黑体" w:hint="eastAsia"/>
          <w:sz w:val="32"/>
        </w:rPr>
        <w:t>前</w:t>
        <w:tab/>
        <w:t>言</w:t>
      </w:r>
    </w:p>
    <w:p>
      <w:pPr>
        <w:pStyle w:val="BodyText"/>
        <w:spacing w:before="11"/>
        <w:rPr>
          <w:rFonts w:ascii="黑体"/>
          <w:sz w:val="46"/>
        </w:rPr>
      </w:pPr>
    </w:p>
    <w:p>
      <w:pPr>
        <w:pStyle w:val="BodyText"/>
        <w:tabs>
          <w:tab w:val="left" w:pos="4954"/>
        </w:tabs>
        <w:spacing w:line="278" w:lineRule="auto"/>
        <w:ind w:left="113" w:right="691" w:firstLine="420"/>
      </w:pPr>
      <w:r>
        <w:t>本文</w:t>
      </w:r>
      <w:r>
        <w:rPr>
          <w:spacing w:val="-3"/>
        </w:rPr>
        <w:t>件</w:t>
      </w:r>
      <w:r>
        <w:t>按</w:t>
      </w:r>
      <w:r>
        <w:rPr>
          <w:spacing w:val="-3"/>
        </w:rPr>
        <w:t>照</w:t>
      </w:r>
      <w:r>
        <w:t>GB/T</w:t>
      </w:r>
      <w:r>
        <w:rPr>
          <w:spacing w:val="7"/>
        </w:rPr>
        <w:t xml:space="preserve"> </w:t>
      </w:r>
      <w:r>
        <w:t>1.1—2020《</w:t>
      </w:r>
      <w:r>
        <w:rPr>
          <w:spacing w:val="-3"/>
        </w:rPr>
        <w:t>标</w:t>
      </w:r>
      <w:r>
        <w:t>准</w:t>
      </w:r>
      <w:r>
        <w:rPr>
          <w:spacing w:val="-3"/>
        </w:rPr>
        <w:t>化</w:t>
      </w:r>
      <w:r>
        <w:t>工</w:t>
      </w:r>
      <w:r>
        <w:rPr>
          <w:spacing w:val="-3"/>
        </w:rPr>
        <w:t>作</w:t>
      </w:r>
      <w:r>
        <w:t>导则</w:t>
        <w:tab/>
        <w:t>第</w:t>
      </w:r>
      <w:r>
        <w:rPr>
          <w:spacing w:val="-3"/>
        </w:rPr>
        <w:t>1</w:t>
      </w:r>
      <w:r>
        <w:t>部分</w:t>
      </w:r>
      <w:r>
        <w:rPr>
          <w:spacing w:val="-3"/>
        </w:rPr>
        <w:t>：</w:t>
      </w:r>
      <w:r>
        <w:t>标</w:t>
      </w:r>
      <w:r>
        <w:rPr>
          <w:spacing w:val="-3"/>
        </w:rPr>
        <w:t>准</w:t>
      </w:r>
      <w:r>
        <w:t>化</w:t>
      </w:r>
      <w:r>
        <w:rPr>
          <w:spacing w:val="-3"/>
        </w:rPr>
        <w:t>文</w:t>
      </w:r>
      <w:r>
        <w:t>件</w:t>
      </w:r>
      <w:r>
        <w:rPr>
          <w:spacing w:val="-3"/>
        </w:rPr>
        <w:t>的</w:t>
      </w:r>
      <w:r>
        <w:t>结</w:t>
      </w:r>
      <w:r>
        <w:rPr>
          <w:spacing w:val="-3"/>
        </w:rPr>
        <w:t>构</w:t>
      </w:r>
      <w:r>
        <w:t>和起</w:t>
      </w:r>
      <w:r>
        <w:rPr>
          <w:spacing w:val="-3"/>
        </w:rPr>
        <w:t>草</w:t>
      </w:r>
      <w:r>
        <w:t>规</w:t>
      </w:r>
      <w:r>
        <w:rPr>
          <w:spacing w:val="-3"/>
        </w:rPr>
        <w:t>则</w:t>
      </w:r>
      <w:r>
        <w:t>》</w:t>
      </w:r>
      <w:r>
        <w:rPr>
          <w:spacing w:val="-3"/>
        </w:rPr>
        <w:t>的规</w:t>
      </w:r>
      <w:r>
        <w:t>定起草。</w:t>
      </w:r>
    </w:p>
    <w:p>
      <w:pPr>
        <w:pStyle w:val="BodyText"/>
        <w:spacing w:line="269" w:lineRule="exact"/>
        <w:ind w:left="533"/>
      </w:pPr>
      <w:r>
        <w:t>本文件由山西省生态环境厅提出、组织实施和监督检查。</w:t>
      </w:r>
    </w:p>
    <w:p>
      <w:pPr>
        <w:pStyle w:val="BodyText"/>
        <w:spacing w:before="43" w:line="278" w:lineRule="auto"/>
        <w:ind w:left="533" w:right="3954"/>
      </w:pPr>
      <w:r>
        <w:drawing>
          <wp:anchor distT="0" distB="0" distL="0" distR="0" simplePos="0" relativeHeight="251662336" behindDoc="0" locked="0" layoutInCell="1" allowOverlap="1">
            <wp:simplePos x="0" y="0"/>
            <wp:positionH relativeFrom="page">
              <wp:posOffset>1512112</wp:posOffset>
            </wp:positionH>
            <wp:positionV relativeFrom="paragraph">
              <wp:posOffset>304741</wp:posOffset>
            </wp:positionV>
            <wp:extent cx="4536320" cy="45363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t>山西省市场监督管理局对标准的组织实施情况进行监督检查。本文件由山西省生态环境标准化技术委员会归口。</w:t>
      </w:r>
    </w:p>
    <w:p>
      <w:pPr>
        <w:pStyle w:val="BodyText"/>
        <w:spacing w:line="278" w:lineRule="auto"/>
        <w:ind w:left="113" w:right="692" w:firstLine="420"/>
        <w:jc w:val="both"/>
      </w:pPr>
      <w:r>
        <w:rPr>
          <w:spacing w:val="-7"/>
        </w:rPr>
        <w:t>本文件起草单位：山西省生态环境监测和应急保障中心</w:t>
      </w:r>
      <w:r>
        <w:rPr>
          <w:spacing w:val="-3"/>
        </w:rPr>
        <w:t>（山西省生态环境科学研究院</w:t>
      </w:r>
      <w:r>
        <w:rPr>
          <w:spacing w:val="-27"/>
        </w:rPr>
        <w:t>）</w:t>
      </w:r>
      <w:r>
        <w:rPr>
          <w:spacing w:val="-8"/>
        </w:rPr>
        <w:t>、临汾市环</w:t>
      </w:r>
      <w:r>
        <w:rPr>
          <w:spacing w:val="-17"/>
        </w:rPr>
        <w:t>境监控中心、山西省检验检测中心</w:t>
      </w:r>
      <w:r>
        <w:t>（</w:t>
      </w:r>
      <w:r>
        <w:rPr>
          <w:spacing w:val="-3"/>
        </w:rPr>
        <w:t>山西省标准计量技术研究院</w:t>
      </w:r>
      <w:r>
        <w:rPr>
          <w:spacing w:val="-80"/>
        </w:rPr>
        <w:t>）</w:t>
      </w:r>
      <w:r>
        <w:rPr>
          <w:spacing w:val="-11"/>
        </w:rPr>
        <w:t>、山西省生态环境规划和技术研究院、</w:t>
      </w:r>
      <w:r>
        <w:rPr>
          <w:spacing w:val="-6"/>
        </w:rPr>
        <w:t>杭州谱育科技发展有限公司、北京雪迪龙科技股份有限公司。</w:t>
      </w:r>
    </w:p>
    <w:p>
      <w:pPr>
        <w:pStyle w:val="BodyText"/>
        <w:spacing w:line="278" w:lineRule="auto"/>
        <w:ind w:left="113" w:right="692" w:firstLine="420"/>
      </w:pPr>
      <w:r>
        <w:rPr>
          <w:spacing w:val="-19"/>
        </w:rPr>
        <w:t>本文件主要起草人：张利琴、李晓锋、邱文、郑亮、杨青、张锐、杜利明、高小武、王建锋、范欣、</w:t>
      </w:r>
      <w:r>
        <w:rPr>
          <w:spacing w:val="-8"/>
        </w:rPr>
        <w:t>宋福胜、谢明、刘建晖、刘云、贾午耀、贺红官、李天麟、朱伟、刘承伟、徐伟利、凌洪洁。</w:t>
      </w:r>
    </w:p>
    <w:p>
      <w:pPr>
        <w:spacing w:after="0" w:line="278" w:lineRule="auto"/>
        <w:sectPr>
          <w:headerReference w:type="even" r:id="rId10"/>
          <w:headerReference w:type="default" r:id="rId11"/>
          <w:footerReference w:type="even" r:id="rId12"/>
          <w:footerReference w:type="default" r:id="rId13"/>
          <w:pgSz w:w="11910" w:h="16840"/>
          <w:pgMar w:top="1640" w:right="720" w:bottom="1340" w:left="1020" w:header="1448" w:footer="1140"/>
          <w:pgNumType w:start="4"/>
          <w:cols w:space="708"/>
        </w:sectPr>
      </w:pPr>
    </w:p>
    <w:p>
      <w:pPr>
        <w:pStyle w:val="BodyText"/>
        <w:rPr>
          <w:sz w:val="20"/>
        </w:rPr>
      </w:pPr>
    </w:p>
    <w:p>
      <w:pPr>
        <w:pStyle w:val="Heading1"/>
        <w:ind w:left="595"/>
        <w:jc w:val="left"/>
      </w:pPr>
      <w:r>
        <w:t>固定污染源废气非甲烷总烃排放连续监测系统建设验收技术规范</w:t>
      </w:r>
    </w:p>
    <w:p>
      <w:pPr>
        <w:pStyle w:val="BodyText"/>
        <w:rPr>
          <w:rFonts w:ascii="黑体"/>
          <w:sz w:val="32"/>
        </w:rPr>
      </w:pPr>
    </w:p>
    <w:p>
      <w:pPr>
        <w:pStyle w:val="BodyText"/>
        <w:spacing w:before="9"/>
        <w:rPr>
          <w:rFonts w:ascii="黑体"/>
          <w:sz w:val="22"/>
        </w:rPr>
      </w:pPr>
    </w:p>
    <w:p>
      <w:pPr>
        <w:pStyle w:val="ListParagraph"/>
        <w:numPr>
          <w:ilvl w:val="0"/>
          <w:numId w:val="14"/>
        </w:numPr>
        <w:tabs>
          <w:tab w:val="left" w:pos="713"/>
          <w:tab w:val="left" w:pos="714"/>
        </w:tabs>
        <w:spacing w:before="0" w:after="0" w:line="240" w:lineRule="auto"/>
        <w:ind w:left="713" w:right="0" w:hanging="316"/>
        <w:jc w:val="left"/>
        <w:rPr>
          <w:rFonts w:ascii="黑体" w:eastAsia="黑体" w:hint="eastAsia"/>
          <w:sz w:val="21"/>
        </w:rPr>
      </w:pPr>
      <w:bookmarkStart w:id="1" w:name="_bookmark1"/>
      <w:bookmarkEnd w:id="1"/>
      <w:r>
        <w:rPr>
          <w:rFonts w:ascii="黑体" w:eastAsia="黑体" w:hint="eastAsia"/>
          <w:sz w:val="21"/>
        </w:rPr>
        <w:t>范围</w:t>
      </w:r>
    </w:p>
    <w:p>
      <w:pPr>
        <w:pStyle w:val="BodyText"/>
        <w:spacing w:before="9"/>
        <w:rPr>
          <w:rFonts w:ascii="黑体"/>
          <w:sz w:val="27"/>
        </w:rPr>
      </w:pPr>
    </w:p>
    <w:p>
      <w:pPr>
        <w:pStyle w:val="BodyText"/>
        <w:spacing w:line="278" w:lineRule="auto"/>
        <w:ind w:left="398" w:right="408" w:firstLine="420"/>
      </w:pPr>
      <w:r>
        <w:rPr>
          <w:spacing w:val="-7"/>
        </w:rPr>
        <w:t>本文件规定了固定污染源废气非甲烷总烃排放连续监测系统功能和性能、监测站房建设、非甲烷总</w:t>
      </w:r>
      <w:r>
        <w:rPr>
          <w:spacing w:val="-3"/>
        </w:rPr>
        <w:t>烃排放连续监测系统安装、技术指标调试检测、联网和验收等内容。</w:t>
      </w:r>
    </w:p>
    <w:p>
      <w:pPr>
        <w:pStyle w:val="BodyText"/>
        <w:spacing w:line="269" w:lineRule="exact"/>
        <w:ind w:left="818"/>
      </w:pPr>
      <w:r>
        <w:t>本文件适用于山西省境内固定污染源废气非甲烷总烃排放连续监测系统建设验收。</w:t>
      </w:r>
    </w:p>
    <w:p>
      <w:pPr>
        <w:pStyle w:val="BodyText"/>
        <w:spacing w:before="12"/>
        <w:rPr>
          <w:sz w:val="27"/>
        </w:rPr>
      </w:pPr>
    </w:p>
    <w:p>
      <w:pPr>
        <w:pStyle w:val="ListParagraph"/>
        <w:numPr>
          <w:ilvl w:val="0"/>
          <w:numId w:val="14"/>
        </w:numPr>
        <w:tabs>
          <w:tab w:val="left" w:pos="713"/>
          <w:tab w:val="left" w:pos="714"/>
        </w:tabs>
        <w:spacing w:before="0" w:after="0" w:line="240" w:lineRule="auto"/>
        <w:ind w:left="713" w:right="0" w:hanging="316"/>
        <w:jc w:val="left"/>
        <w:rPr>
          <w:rFonts w:ascii="黑体" w:eastAsia="黑体" w:hint="eastAsia"/>
          <w:sz w:val="21"/>
        </w:rPr>
      </w:pPr>
      <w:r>
        <w:drawing>
          <wp:anchor distT="0" distB="0" distL="0" distR="0" simplePos="0" relativeHeight="251667456" behindDoc="0" locked="0" layoutInCell="1" allowOverlap="1">
            <wp:simplePos x="0" y="0"/>
            <wp:positionH relativeFrom="page">
              <wp:posOffset>1512112</wp:posOffset>
            </wp:positionH>
            <wp:positionV relativeFrom="paragraph">
              <wp:posOffset>-68892</wp:posOffset>
            </wp:positionV>
            <wp:extent cx="4536320" cy="453632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bookmarkStart w:id="2" w:name="_bookmark2"/>
      <w:bookmarkEnd w:id="2"/>
      <w:r>
        <w:rPr>
          <w:rFonts w:ascii="黑体" w:eastAsia="黑体" w:hint="eastAsia"/>
          <w:spacing w:val="-2"/>
          <w:sz w:val="21"/>
        </w:rPr>
        <w:t>规范性引用文件</w:t>
      </w:r>
    </w:p>
    <w:p>
      <w:pPr>
        <w:pStyle w:val="BodyText"/>
        <w:spacing w:before="6"/>
        <w:rPr>
          <w:rFonts w:ascii="黑体"/>
          <w:sz w:val="27"/>
        </w:rPr>
      </w:pPr>
    </w:p>
    <w:p>
      <w:pPr>
        <w:pStyle w:val="BodyText"/>
        <w:spacing w:before="1" w:line="278" w:lineRule="auto"/>
        <w:ind w:left="398" w:right="300" w:firstLine="420"/>
      </w:pPr>
      <w:r>
        <w:rPr>
          <w:spacing w:val="-10"/>
        </w:rPr>
        <w:t xml:space="preserve">下列文件中的内容通过文中的规范性引用而构成本文件必不可少的条款。其中，注日期的引用文件， </w:t>
      </w:r>
      <w:r>
        <w:rPr>
          <w:spacing w:val="-9"/>
        </w:rPr>
        <w:t>仅该日期对应的版本适用于本文件；不注日期的引用文件，其最新版本</w:t>
      </w:r>
      <w:r>
        <w:t>（</w:t>
      </w:r>
      <w:r>
        <w:rPr>
          <w:spacing w:val="-3"/>
        </w:rPr>
        <w:t>包括所有的修改单</w:t>
      </w:r>
      <w:r>
        <w:rPr>
          <w:spacing w:val="-27"/>
        </w:rPr>
        <w:t>）</w:t>
      </w:r>
      <w:r>
        <w:rPr>
          <w:spacing w:val="-3"/>
        </w:rPr>
        <w:t>适用于本文件。</w:t>
      </w:r>
    </w:p>
    <w:p>
      <w:pPr>
        <w:pStyle w:val="BodyText"/>
        <w:tabs>
          <w:tab w:val="left" w:pos="2138"/>
        </w:tabs>
        <w:spacing w:line="269" w:lineRule="exact"/>
        <w:ind w:left="818"/>
      </w:pPr>
      <w:r>
        <w:rPr>
          <w:rFonts w:ascii="Times New Roman" w:eastAsia="Times New Roman"/>
        </w:rPr>
        <w:t>GB/T 3836.1</w:t>
        <w:tab/>
      </w:r>
      <w:r>
        <w:rPr>
          <w:spacing w:val="-3"/>
        </w:rPr>
        <w:t>爆炸性环境 第一部分：设备 通用要求</w:t>
      </w:r>
    </w:p>
    <w:p>
      <w:pPr>
        <w:pStyle w:val="BodyText"/>
        <w:tabs>
          <w:tab w:val="left" w:pos="1526"/>
          <w:tab w:val="left" w:pos="3204"/>
        </w:tabs>
        <w:spacing w:before="43"/>
        <w:ind w:left="818"/>
      </w:pPr>
      <w:r>
        <w:rPr>
          <w:rFonts w:ascii="Times New Roman" w:eastAsia="Times New Roman"/>
        </w:rPr>
        <w:t>HJ</w:t>
      </w:r>
      <w:r>
        <w:rPr>
          <w:rFonts w:ascii="Times New Roman" w:eastAsia="Times New Roman"/>
          <w:spacing w:val="1"/>
        </w:rPr>
        <w:t xml:space="preserve"> </w:t>
      </w:r>
      <w:r>
        <w:rPr>
          <w:rFonts w:ascii="Times New Roman" w:eastAsia="Times New Roman"/>
        </w:rPr>
        <w:t>38</w:t>
        <w:tab/>
      </w:r>
      <w:r>
        <w:rPr>
          <w:spacing w:val="-3"/>
        </w:rPr>
        <w:t>固</w:t>
      </w:r>
      <w:r>
        <w:t>定</w:t>
      </w:r>
      <w:r>
        <w:rPr>
          <w:spacing w:val="-3"/>
        </w:rPr>
        <w:t>污</w:t>
      </w:r>
      <w:r>
        <w:t>染</w:t>
      </w:r>
      <w:r>
        <w:rPr>
          <w:spacing w:val="-3"/>
        </w:rPr>
        <w:t>源</w:t>
      </w:r>
      <w:r>
        <w:t>废气</w:t>
        <w:tab/>
        <w:t>总烃</w:t>
      </w:r>
      <w:r>
        <w:rPr>
          <w:spacing w:val="-3"/>
        </w:rPr>
        <w:t>、</w:t>
      </w:r>
      <w:r>
        <w:t>甲</w:t>
      </w:r>
      <w:r>
        <w:rPr>
          <w:spacing w:val="-3"/>
        </w:rPr>
        <w:t>烷</w:t>
      </w:r>
      <w:r>
        <w:t>和</w:t>
      </w:r>
      <w:r>
        <w:rPr>
          <w:spacing w:val="-3"/>
        </w:rPr>
        <w:t>非</w:t>
      </w:r>
      <w:r>
        <w:t>甲</w:t>
      </w:r>
      <w:r>
        <w:rPr>
          <w:spacing w:val="-3"/>
        </w:rPr>
        <w:t>烷</w:t>
      </w:r>
      <w:r>
        <w:t>总</w:t>
      </w:r>
      <w:r>
        <w:rPr>
          <w:spacing w:val="-3"/>
        </w:rPr>
        <w:t>烃</w:t>
      </w:r>
      <w:r>
        <w:t>的测定</w:t>
      </w:r>
      <w:r>
        <w:rPr>
          <w:spacing w:val="20"/>
        </w:rPr>
        <w:t xml:space="preserve"> </w:t>
      </w:r>
      <w:r>
        <w:rPr>
          <w:spacing w:val="-3"/>
        </w:rPr>
        <w:t>气</w:t>
      </w:r>
      <w:r>
        <w:t>相</w:t>
      </w:r>
      <w:r>
        <w:rPr>
          <w:spacing w:val="-3"/>
        </w:rPr>
        <w:t>色</w:t>
      </w:r>
      <w:r>
        <w:t>谱法</w:t>
      </w:r>
    </w:p>
    <w:p>
      <w:pPr>
        <w:pStyle w:val="BodyText"/>
        <w:tabs>
          <w:tab w:val="left" w:pos="1526"/>
        </w:tabs>
        <w:spacing w:before="42"/>
        <w:ind w:left="818"/>
      </w:pPr>
      <w:r>
        <w:rPr>
          <w:rFonts w:ascii="Times New Roman" w:eastAsia="Times New Roman"/>
          <w:position w:val="2"/>
        </w:rPr>
        <w:t>HJ</w:t>
      </w:r>
      <w:r>
        <w:rPr>
          <w:rFonts w:ascii="Times New Roman" w:eastAsia="Times New Roman"/>
          <w:spacing w:val="1"/>
          <w:position w:val="2"/>
        </w:rPr>
        <w:t xml:space="preserve"> </w:t>
      </w:r>
      <w:r>
        <w:rPr>
          <w:rFonts w:ascii="Times New Roman" w:eastAsia="Times New Roman"/>
          <w:position w:val="2"/>
        </w:rPr>
        <w:t>75</w:t>
        <w:tab/>
      </w:r>
      <w:r>
        <w:rPr>
          <w:spacing w:val="-3"/>
          <w:position w:val="2"/>
        </w:rPr>
        <w:t>固定污染源烟气</w:t>
      </w:r>
      <w:r>
        <w:rPr>
          <w:spacing w:val="-1"/>
          <w:position w:val="2"/>
        </w:rPr>
        <w:t>（</w:t>
      </w:r>
      <w:r>
        <w:rPr>
          <w:rFonts w:ascii="Times New Roman" w:eastAsia="Times New Roman"/>
          <w:spacing w:val="-1"/>
          <w:position w:val="2"/>
        </w:rPr>
        <w:t>SO</w:t>
      </w:r>
      <w:r>
        <w:rPr>
          <w:rFonts w:ascii="Times New Roman" w:eastAsia="Times New Roman"/>
          <w:spacing w:val="-1"/>
          <w:sz w:val="14"/>
        </w:rPr>
        <w:t>2</w:t>
      </w:r>
      <w:r>
        <w:rPr>
          <w:spacing w:val="-3"/>
          <w:position w:val="2"/>
        </w:rPr>
        <w:t>、</w:t>
      </w:r>
      <w:r>
        <w:rPr>
          <w:rFonts w:ascii="Times New Roman" w:eastAsia="Times New Roman"/>
          <w:position w:val="2"/>
        </w:rPr>
        <w:t>NO</w:t>
      </w:r>
      <w:r>
        <w:rPr>
          <w:rFonts w:ascii="Times New Roman" w:eastAsia="Times New Roman"/>
          <w:sz w:val="14"/>
        </w:rPr>
        <w:t>x</w:t>
      </w:r>
      <w:r>
        <w:rPr>
          <w:spacing w:val="-1"/>
          <w:position w:val="2"/>
        </w:rPr>
        <w:t>、颗粒物</w:t>
      </w:r>
      <w:r>
        <w:rPr>
          <w:spacing w:val="-3"/>
          <w:position w:val="2"/>
        </w:rPr>
        <w:t>）排放连续监测技术规范</w:t>
      </w:r>
    </w:p>
    <w:p>
      <w:pPr>
        <w:pStyle w:val="BodyText"/>
        <w:tabs>
          <w:tab w:val="left" w:pos="1526"/>
        </w:tabs>
        <w:spacing w:before="43"/>
        <w:ind w:left="818"/>
      </w:pPr>
      <w:r>
        <w:rPr>
          <w:rFonts w:ascii="Times New Roman" w:eastAsia="Times New Roman"/>
          <w:position w:val="2"/>
        </w:rPr>
        <w:t>HJ</w:t>
      </w:r>
      <w:r>
        <w:rPr>
          <w:rFonts w:ascii="Times New Roman" w:eastAsia="Times New Roman"/>
          <w:spacing w:val="1"/>
          <w:position w:val="2"/>
        </w:rPr>
        <w:t xml:space="preserve"> </w:t>
      </w:r>
      <w:r>
        <w:rPr>
          <w:rFonts w:ascii="Times New Roman" w:eastAsia="Times New Roman"/>
          <w:position w:val="2"/>
        </w:rPr>
        <w:t>76</w:t>
        <w:tab/>
      </w:r>
      <w:r>
        <w:rPr>
          <w:spacing w:val="-3"/>
          <w:position w:val="2"/>
        </w:rPr>
        <w:t>固定污染源烟气</w:t>
      </w:r>
      <w:r>
        <w:rPr>
          <w:position w:val="2"/>
        </w:rPr>
        <w:t>（</w:t>
      </w:r>
      <w:r>
        <w:rPr>
          <w:rFonts w:ascii="Times New Roman" w:eastAsia="Times New Roman"/>
          <w:position w:val="2"/>
        </w:rPr>
        <w:t>SO</w:t>
      </w:r>
      <w:r>
        <w:rPr>
          <w:rFonts w:ascii="Times New Roman" w:eastAsia="Times New Roman"/>
          <w:sz w:val="14"/>
        </w:rPr>
        <w:t>2</w:t>
      </w:r>
      <w:r>
        <w:rPr>
          <w:spacing w:val="-3"/>
          <w:position w:val="2"/>
        </w:rPr>
        <w:t>、</w:t>
      </w:r>
      <w:r>
        <w:rPr>
          <w:rFonts w:ascii="Times New Roman" w:eastAsia="Times New Roman"/>
          <w:position w:val="2"/>
        </w:rPr>
        <w:t>NO</w:t>
      </w:r>
      <w:r>
        <w:rPr>
          <w:rFonts w:ascii="Times New Roman" w:eastAsia="Times New Roman"/>
          <w:sz w:val="14"/>
        </w:rPr>
        <w:t>x</w:t>
      </w:r>
      <w:r>
        <w:rPr>
          <w:spacing w:val="-1"/>
          <w:position w:val="2"/>
        </w:rPr>
        <w:t>、颗粒物</w:t>
      </w:r>
      <w:r>
        <w:rPr>
          <w:spacing w:val="-3"/>
          <w:position w:val="2"/>
        </w:rPr>
        <w:t>）排放连续监测系统技术要求及检测方法</w:t>
      </w:r>
    </w:p>
    <w:p>
      <w:pPr>
        <w:pStyle w:val="BodyText"/>
        <w:tabs>
          <w:tab w:val="left" w:pos="1629"/>
        </w:tabs>
        <w:spacing w:before="43"/>
        <w:ind w:left="818"/>
      </w:pPr>
      <w:r>
        <w:rPr>
          <w:rFonts w:ascii="Times New Roman" w:eastAsia="Times New Roman"/>
        </w:rPr>
        <w:t>HJ 212</w:t>
        <w:tab/>
      </w:r>
      <w:r>
        <w:rPr>
          <w:spacing w:val="-3"/>
        </w:rPr>
        <w:t>污染物在线监控</w:t>
      </w:r>
      <w:r>
        <w:t>（</w:t>
      </w:r>
      <w:r>
        <w:rPr>
          <w:spacing w:val="-2"/>
        </w:rPr>
        <w:t>监测</w:t>
      </w:r>
      <w:r>
        <w:t>）</w:t>
      </w:r>
      <w:r>
        <w:rPr>
          <w:spacing w:val="-3"/>
        </w:rPr>
        <w:t>系统数据传输标准</w:t>
      </w:r>
    </w:p>
    <w:p>
      <w:pPr>
        <w:pStyle w:val="BodyText"/>
        <w:tabs>
          <w:tab w:val="left" w:pos="1629"/>
          <w:tab w:val="left" w:pos="3310"/>
        </w:tabs>
        <w:spacing w:before="43"/>
        <w:ind w:left="818"/>
      </w:pPr>
      <w:r>
        <w:rPr>
          <w:rFonts w:ascii="Times New Roman" w:eastAsia="Times New Roman"/>
        </w:rPr>
        <w:t>HJ 732</w:t>
        <w:tab/>
      </w:r>
      <w:r>
        <w:t>固</w:t>
      </w:r>
      <w:r>
        <w:rPr>
          <w:spacing w:val="-3"/>
        </w:rPr>
        <w:t>定</w:t>
      </w:r>
      <w:r>
        <w:t>污</w:t>
      </w:r>
      <w:r>
        <w:rPr>
          <w:spacing w:val="-3"/>
        </w:rPr>
        <w:t>染</w:t>
      </w:r>
      <w:r>
        <w:t>源</w:t>
      </w:r>
      <w:r>
        <w:rPr>
          <w:spacing w:val="-3"/>
        </w:rPr>
        <w:t>废</w:t>
      </w:r>
      <w:r>
        <w:t>气</w:t>
        <w:tab/>
        <w:t>挥</w:t>
      </w:r>
      <w:r>
        <w:rPr>
          <w:spacing w:val="-3"/>
        </w:rPr>
        <w:t>发</w:t>
      </w:r>
      <w:r>
        <w:t>性</w:t>
      </w:r>
      <w:r>
        <w:rPr>
          <w:spacing w:val="-3"/>
        </w:rPr>
        <w:t>有</w:t>
      </w:r>
      <w:r>
        <w:t>机</w:t>
      </w:r>
      <w:r>
        <w:rPr>
          <w:spacing w:val="-3"/>
        </w:rPr>
        <w:t>物</w:t>
      </w:r>
      <w:r>
        <w:t>的</w:t>
      </w:r>
      <w:r>
        <w:rPr>
          <w:spacing w:val="-3"/>
        </w:rPr>
        <w:t>采</w:t>
      </w:r>
      <w:r>
        <w:t xml:space="preserve">样 </w:t>
      </w:r>
      <w:r>
        <w:rPr>
          <w:spacing w:val="-3"/>
        </w:rPr>
        <w:t>气</w:t>
      </w:r>
      <w:r>
        <w:t>袋法</w:t>
      </w:r>
    </w:p>
    <w:p>
      <w:pPr>
        <w:pStyle w:val="BodyText"/>
        <w:tabs>
          <w:tab w:val="left" w:pos="1735"/>
        </w:tabs>
        <w:spacing w:before="43"/>
        <w:ind w:left="818"/>
      </w:pPr>
      <w:r>
        <w:rPr>
          <w:rFonts w:ascii="Times New Roman" w:eastAsia="Times New Roman"/>
        </w:rPr>
        <w:t>HJ 1013</w:t>
        <w:tab/>
      </w:r>
      <w:r>
        <w:rPr>
          <w:spacing w:val="-3"/>
        </w:rPr>
        <w:t>固定污染源废气非甲烷总烃连续监测系统技术要求及检测方法</w:t>
      </w:r>
    </w:p>
    <w:p>
      <w:pPr>
        <w:pStyle w:val="BodyText"/>
        <w:tabs>
          <w:tab w:val="left" w:pos="1735"/>
          <w:tab w:val="left" w:pos="3416"/>
        </w:tabs>
        <w:spacing w:before="44"/>
        <w:ind w:left="818"/>
      </w:pPr>
      <w:r>
        <w:rPr>
          <w:rFonts w:ascii="Times New Roman" w:eastAsia="Times New Roman"/>
        </w:rPr>
        <w:t>HJ 1286</w:t>
        <w:tab/>
      </w:r>
      <w:r>
        <w:t>固</w:t>
      </w:r>
      <w:r>
        <w:rPr>
          <w:spacing w:val="-3"/>
        </w:rPr>
        <w:t>定</w:t>
      </w:r>
      <w:r>
        <w:t>污</w:t>
      </w:r>
      <w:r>
        <w:rPr>
          <w:spacing w:val="-3"/>
        </w:rPr>
        <w:t>染</w:t>
      </w:r>
      <w:r>
        <w:t>源</w:t>
      </w:r>
      <w:r>
        <w:rPr>
          <w:spacing w:val="-3"/>
        </w:rPr>
        <w:t>废</w:t>
      </w:r>
      <w:r>
        <w:t>气</w:t>
        <w:tab/>
        <w:t>非</w:t>
      </w:r>
      <w:r>
        <w:rPr>
          <w:spacing w:val="-3"/>
        </w:rPr>
        <w:t>甲</w:t>
      </w:r>
      <w:r>
        <w:t>烷</w:t>
      </w:r>
      <w:r>
        <w:rPr>
          <w:spacing w:val="-3"/>
        </w:rPr>
        <w:t>总</w:t>
      </w:r>
      <w:r>
        <w:t>烃</w:t>
      </w:r>
      <w:r>
        <w:rPr>
          <w:spacing w:val="-3"/>
        </w:rPr>
        <w:t>连</w:t>
      </w:r>
      <w:r>
        <w:t>续</w:t>
      </w:r>
      <w:r>
        <w:rPr>
          <w:spacing w:val="-3"/>
        </w:rPr>
        <w:t>监</w:t>
      </w:r>
      <w:r>
        <w:t>测</w:t>
      </w:r>
      <w:r>
        <w:rPr>
          <w:spacing w:val="-3"/>
        </w:rPr>
        <w:t>技</w:t>
      </w:r>
      <w:r>
        <w:t>术规范</w:t>
      </w:r>
    </w:p>
    <w:p>
      <w:pPr>
        <w:pStyle w:val="BodyText"/>
        <w:spacing w:before="11"/>
        <w:rPr>
          <w:sz w:val="27"/>
        </w:rPr>
      </w:pPr>
    </w:p>
    <w:p>
      <w:pPr>
        <w:pStyle w:val="ListParagraph"/>
        <w:numPr>
          <w:ilvl w:val="0"/>
          <w:numId w:val="14"/>
        </w:numPr>
        <w:tabs>
          <w:tab w:val="left" w:pos="713"/>
          <w:tab w:val="left" w:pos="714"/>
        </w:tabs>
        <w:spacing w:before="0" w:after="0" w:line="240" w:lineRule="auto"/>
        <w:ind w:left="713" w:right="0" w:hanging="316"/>
        <w:jc w:val="left"/>
        <w:rPr>
          <w:rFonts w:ascii="黑体" w:eastAsia="黑体" w:hint="eastAsia"/>
          <w:sz w:val="21"/>
        </w:rPr>
      </w:pPr>
      <w:bookmarkStart w:id="3" w:name="_bookmark3"/>
      <w:bookmarkEnd w:id="3"/>
      <w:r>
        <w:rPr>
          <w:rFonts w:ascii="黑体" w:eastAsia="黑体" w:hint="eastAsia"/>
          <w:spacing w:val="-1"/>
          <w:sz w:val="21"/>
        </w:rPr>
        <w:t>术语和定义</w:t>
      </w:r>
    </w:p>
    <w:p>
      <w:pPr>
        <w:pStyle w:val="BodyText"/>
        <w:spacing w:before="6"/>
        <w:rPr>
          <w:rFonts w:ascii="黑体"/>
          <w:sz w:val="27"/>
        </w:rPr>
      </w:pPr>
    </w:p>
    <w:p>
      <w:pPr>
        <w:pStyle w:val="BodyText"/>
        <w:spacing w:before="1"/>
        <w:ind w:left="818"/>
      </w:pPr>
      <w:r>
        <w:drawing>
          <wp:anchor distT="0" distB="0" distL="0" distR="0" simplePos="0" relativeHeight="251663360" behindDoc="0" locked="0" layoutInCell="1" allowOverlap="1">
            <wp:simplePos x="0" y="0"/>
            <wp:positionH relativeFrom="page">
              <wp:posOffset>906860</wp:posOffset>
            </wp:positionH>
            <wp:positionV relativeFrom="paragraph">
              <wp:posOffset>238397</wp:posOffset>
            </wp:positionV>
            <wp:extent cx="173786" cy="9525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pic:nvPicPr>
                  <pic:blipFill>
                    <a:blip xmlns:r="http://schemas.openxmlformats.org/officeDocument/2006/relationships" r:embed="rId14" cstate="print"/>
                    <a:stretch>
                      <a:fillRect/>
                    </a:stretch>
                  </pic:blipFill>
                  <pic:spPr>
                    <a:xfrm>
                      <a:off x="0" y="0"/>
                      <a:ext cx="173786" cy="95250"/>
                    </a:xfrm>
                    <a:prstGeom prst="rect">
                      <a:avLst/>
                    </a:prstGeom>
                  </pic:spPr>
                </pic:pic>
              </a:graphicData>
            </a:graphic>
          </wp:anchor>
        </w:drawing>
      </w:r>
      <w:r>
        <w:t>下列术语和定义适用于本文件。</w:t>
      </w:r>
    </w:p>
    <w:p>
      <w:pPr>
        <w:pStyle w:val="BodyText"/>
        <w:spacing w:before="70"/>
        <w:ind w:left="818"/>
        <w:rPr>
          <w:rFonts w:ascii="黑体" w:eastAsia="黑体" w:hint="eastAsia"/>
        </w:rPr>
      </w:pPr>
      <w:r>
        <w:rPr>
          <w:rFonts w:ascii="黑体" w:eastAsia="黑体" w:hint="eastAsia"/>
        </w:rPr>
        <w:t>非甲烷总烃</w:t>
      </w:r>
    </w:p>
    <w:p>
      <w:pPr>
        <w:pStyle w:val="BodyText"/>
        <w:spacing w:before="43" w:line="278" w:lineRule="auto"/>
        <w:ind w:left="398" w:right="385" w:firstLine="420"/>
      </w:pPr>
      <w:r>
        <w:drawing>
          <wp:anchor distT="0" distB="0" distL="0" distR="0" simplePos="0" relativeHeight="251664384" behindDoc="0" locked="0" layoutInCell="1" allowOverlap="1">
            <wp:simplePos x="0" y="0"/>
            <wp:positionH relativeFrom="page">
              <wp:posOffset>906852</wp:posOffset>
            </wp:positionH>
            <wp:positionV relativeFrom="paragraph">
              <wp:posOffset>463187</wp:posOffset>
            </wp:positionV>
            <wp:extent cx="192258" cy="95250"/>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pic:nvPicPr>
                  <pic:blipFill>
                    <a:blip xmlns:r="http://schemas.openxmlformats.org/officeDocument/2006/relationships" r:embed="rId15" cstate="print"/>
                    <a:stretch>
                      <a:fillRect/>
                    </a:stretch>
                  </pic:blipFill>
                  <pic:spPr>
                    <a:xfrm>
                      <a:off x="0" y="0"/>
                      <a:ext cx="192258" cy="95250"/>
                    </a:xfrm>
                    <a:prstGeom prst="rect">
                      <a:avLst/>
                    </a:prstGeom>
                  </pic:spPr>
                </pic:pic>
              </a:graphicData>
            </a:graphic>
          </wp:anchor>
        </w:drawing>
      </w:r>
      <w:r>
        <w:t>采用规定的监测方法，在氢火焰离子化检测器（</w:t>
      </w:r>
      <w:r>
        <w:rPr>
          <w:rFonts w:ascii="Times New Roman" w:eastAsia="Times New Roman"/>
        </w:rPr>
        <w:t>FID</w:t>
      </w:r>
      <w:r>
        <w:t>）上有响应的除甲烷以外其他气态有机化合物的总和（除另有说明，结果以碳计），简称</w:t>
      </w:r>
      <w:r>
        <w:rPr>
          <w:rFonts w:ascii="Times New Roman" w:eastAsia="Times New Roman"/>
        </w:rPr>
        <w:t>NMHC</w:t>
      </w:r>
      <w:r>
        <w:t>。</w:t>
      </w:r>
    </w:p>
    <w:p>
      <w:pPr>
        <w:pStyle w:val="BodyText"/>
        <w:spacing w:before="70"/>
        <w:ind w:left="818"/>
        <w:rPr>
          <w:rFonts w:ascii="黑体" w:eastAsia="黑体" w:hint="eastAsia"/>
        </w:rPr>
      </w:pPr>
      <w:r>
        <w:rPr>
          <w:rFonts w:ascii="黑体" w:eastAsia="黑体" w:hint="eastAsia"/>
        </w:rPr>
        <w:t>连续监测系统</w:t>
      </w:r>
    </w:p>
    <w:p>
      <w:pPr>
        <w:pStyle w:val="BodyText"/>
        <w:spacing w:before="44" w:line="278" w:lineRule="auto"/>
        <w:ind w:left="398" w:right="405" w:firstLine="420"/>
      </w:pPr>
      <w:r>
        <w:drawing>
          <wp:anchor distT="0" distB="0" distL="0" distR="0" simplePos="0" relativeHeight="251665408" behindDoc="0" locked="0" layoutInCell="1" allowOverlap="1">
            <wp:simplePos x="0" y="0"/>
            <wp:positionH relativeFrom="page">
              <wp:posOffset>906852</wp:posOffset>
            </wp:positionH>
            <wp:positionV relativeFrom="paragraph">
              <wp:posOffset>463440</wp:posOffset>
            </wp:positionV>
            <wp:extent cx="192258" cy="95250"/>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pic:nvPicPr>
                  <pic:blipFill>
                    <a:blip xmlns:r="http://schemas.openxmlformats.org/officeDocument/2006/relationships" r:embed="rId16" cstate="print"/>
                    <a:stretch>
                      <a:fillRect/>
                    </a:stretch>
                  </pic:blipFill>
                  <pic:spPr>
                    <a:xfrm>
                      <a:off x="0" y="0"/>
                      <a:ext cx="192258" cy="95250"/>
                    </a:xfrm>
                    <a:prstGeom prst="rect">
                      <a:avLst/>
                    </a:prstGeom>
                  </pic:spPr>
                </pic:pic>
              </a:graphicData>
            </a:graphic>
          </wp:anchor>
        </w:drawing>
      </w:r>
      <w:r>
        <w:rPr>
          <w:spacing w:val="-5"/>
        </w:rPr>
        <w:t>连续监测固定污染源废气条件参数</w:t>
      </w:r>
      <w:r>
        <w:rPr>
          <w:spacing w:val="-3"/>
        </w:rPr>
        <w:t>（</w:t>
      </w:r>
      <w:r>
        <w:rPr>
          <w:spacing w:val="-9"/>
        </w:rPr>
        <w:t>温度、压力、流速或流量、湿度以及含氧量等</w:t>
      </w:r>
      <w:r>
        <w:rPr>
          <w:spacing w:val="-20"/>
        </w:rPr>
        <w:t>）</w:t>
      </w:r>
      <w:r>
        <w:rPr>
          <w:spacing w:val="-3"/>
        </w:rPr>
        <w:t>所需的全部设备，简称</w:t>
      </w:r>
      <w:r>
        <w:rPr>
          <w:rFonts w:ascii="Times New Roman" w:eastAsia="Times New Roman"/>
        </w:rPr>
        <w:t>CMS</w:t>
      </w:r>
      <w:r>
        <w:t>。</w:t>
      </w:r>
    </w:p>
    <w:p>
      <w:pPr>
        <w:pStyle w:val="BodyText"/>
        <w:spacing w:before="71"/>
        <w:ind w:left="818"/>
        <w:rPr>
          <w:rFonts w:ascii="黑体" w:eastAsia="黑体" w:hint="eastAsia"/>
        </w:rPr>
      </w:pPr>
      <w:r>
        <w:rPr>
          <w:rFonts w:ascii="黑体" w:eastAsia="黑体" w:hint="eastAsia"/>
        </w:rPr>
        <w:t>废气排放连续监测系统</w:t>
      </w:r>
    </w:p>
    <w:p>
      <w:pPr>
        <w:pStyle w:val="BodyText"/>
        <w:spacing w:before="43"/>
        <w:ind w:left="818"/>
      </w:pPr>
      <w:r>
        <w:drawing>
          <wp:anchor distT="0" distB="0" distL="0" distR="0" simplePos="0" relativeHeight="251666432" behindDoc="0" locked="0" layoutInCell="1" allowOverlap="1">
            <wp:simplePos x="0" y="0"/>
            <wp:positionH relativeFrom="page">
              <wp:posOffset>906886</wp:posOffset>
            </wp:positionH>
            <wp:positionV relativeFrom="paragraph">
              <wp:posOffset>264686</wp:posOffset>
            </wp:positionV>
            <wp:extent cx="198378" cy="95250"/>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pic:nvPicPr>
                  <pic:blipFill>
                    <a:blip xmlns:r="http://schemas.openxmlformats.org/officeDocument/2006/relationships" r:embed="rId17" cstate="print"/>
                    <a:stretch>
                      <a:fillRect/>
                    </a:stretch>
                  </pic:blipFill>
                  <pic:spPr>
                    <a:xfrm>
                      <a:off x="0" y="0"/>
                      <a:ext cx="198378" cy="95250"/>
                    </a:xfrm>
                    <a:prstGeom prst="rect">
                      <a:avLst/>
                    </a:prstGeom>
                  </pic:spPr>
                </pic:pic>
              </a:graphicData>
            </a:graphic>
          </wp:anchor>
        </w:drawing>
      </w:r>
      <w:r>
        <w:t>连续监测固定污染源废气污染物排放浓度和排放量所需的全部设备，简称</w:t>
      </w:r>
      <w:r>
        <w:rPr>
          <w:rFonts w:ascii="Times New Roman" w:eastAsia="Times New Roman"/>
        </w:rPr>
        <w:t>CEMS</w:t>
      </w:r>
      <w:r>
        <w:t>。</w:t>
      </w:r>
    </w:p>
    <w:p>
      <w:pPr>
        <w:pStyle w:val="BodyText"/>
        <w:spacing w:before="71"/>
        <w:ind w:left="818"/>
        <w:rPr>
          <w:rFonts w:ascii="黑体" w:eastAsia="黑体" w:hint="eastAsia"/>
        </w:rPr>
      </w:pPr>
      <w:r>
        <w:rPr>
          <w:rFonts w:ascii="黑体" w:eastAsia="黑体" w:hint="eastAsia"/>
        </w:rPr>
        <w:t>非甲烷总烃排放连续监测系统</w:t>
      </w:r>
    </w:p>
    <w:p>
      <w:pPr>
        <w:pStyle w:val="BodyText"/>
        <w:spacing w:before="43" w:line="278" w:lineRule="auto"/>
        <w:ind w:left="398" w:right="406" w:firstLine="420"/>
        <w:jc w:val="both"/>
      </w:pPr>
      <w:r>
        <w:rPr>
          <w:spacing w:val="-4"/>
        </w:rPr>
        <w:t>连续监测固定污染源废气中非甲烷总烃排放浓度和条件参数</w:t>
      </w:r>
      <w:r>
        <w:rPr>
          <w:spacing w:val="-3"/>
        </w:rPr>
        <w:t>（</w:t>
      </w:r>
      <w:r>
        <w:rPr>
          <w:spacing w:val="-11"/>
        </w:rPr>
        <w:t>温度、压力、流速或流量、湿度以及</w:t>
      </w:r>
      <w:r>
        <w:rPr>
          <w:spacing w:val="-7"/>
        </w:rPr>
        <w:t>含氧量等</w:t>
      </w:r>
      <w:r>
        <w:rPr>
          <w:spacing w:val="-25"/>
        </w:rPr>
        <w:t>）</w:t>
      </w:r>
      <w:r>
        <w:rPr>
          <w:spacing w:val="-6"/>
        </w:rPr>
        <w:t>所需的全部设备，简称</w:t>
      </w:r>
      <w:r>
        <w:rPr>
          <w:rFonts w:ascii="Times New Roman" w:eastAsia="Times New Roman"/>
          <w:spacing w:val="-4"/>
        </w:rPr>
        <w:t>NMHC-CEMS</w:t>
      </w:r>
      <w:r>
        <w:rPr>
          <w:spacing w:val="-2"/>
        </w:rPr>
        <w:t>，由</w:t>
      </w:r>
      <w:r>
        <w:rPr>
          <w:rFonts w:ascii="Times New Roman" w:eastAsia="Times New Roman"/>
        </w:rPr>
        <w:t>NMHC</w:t>
      </w:r>
      <w:r>
        <w:rPr>
          <w:spacing w:val="-9"/>
        </w:rPr>
        <w:t>监测单元、废气条件参数监测单元、数据采</w:t>
      </w:r>
      <w:r>
        <w:rPr>
          <w:spacing w:val="-5"/>
        </w:rPr>
        <w:t>集与处理单元以及其他辅助设备等组成。</w:t>
      </w:r>
    </w:p>
    <w:p>
      <w:pPr>
        <w:spacing w:after="0" w:line="278" w:lineRule="auto"/>
        <w:jc w:val="both"/>
        <w:sectPr>
          <w:headerReference w:type="even" r:id="rId18"/>
          <w:headerReference w:type="default" r:id="rId19"/>
          <w:footerReference w:type="even" r:id="rId20"/>
          <w:footerReference w:type="default" r:id="rId21"/>
          <w:pgSz w:w="11910" w:h="16840"/>
          <w:pgMar w:top="1640" w:right="720" w:bottom="1340" w:left="1020" w:header="1448" w:footer="1140"/>
          <w:pgNumType w:start="1"/>
          <w:cols w:space="708"/>
        </w:sectPr>
      </w:pPr>
    </w:p>
    <w:p>
      <w:pPr>
        <w:pStyle w:val="BodyText"/>
        <w:spacing w:before="97"/>
        <w:ind w:left="533"/>
        <w:rPr>
          <w:rFonts w:ascii="黑体" w:eastAsia="黑体" w:hint="eastAsia"/>
        </w:rPr>
      </w:pPr>
      <w:r>
        <w:rPr>
          <w:rFonts w:ascii="黑体" w:eastAsia="黑体" w:hint="eastAsia"/>
        </w:rPr>
        <w:t>有效数据</w:t>
      </w:r>
    </w:p>
    <w:p>
      <w:pPr>
        <w:pStyle w:val="BodyText"/>
        <w:spacing w:before="43"/>
        <w:ind w:left="533"/>
        <w:rPr>
          <w:rFonts w:ascii="Times New Roman" w:eastAsia="Times New Roman"/>
        </w:rPr>
      </w:pPr>
      <w:r>
        <w:rPr>
          <w:spacing w:val="-3"/>
          <w:w w:val="100"/>
        </w:rPr>
        <w:t>符合本文件的技术指标要求且经验收合格的</w:t>
      </w:r>
      <w:r>
        <w:rPr>
          <w:rFonts w:ascii="Times New Roman" w:eastAsia="Times New Roman"/>
          <w:w w:val="100"/>
        </w:rPr>
        <w:t>N</w:t>
      </w:r>
      <w:r>
        <w:rPr>
          <w:rFonts w:ascii="Times New Roman" w:eastAsia="Times New Roman"/>
          <w:spacing w:val="-3"/>
          <w:w w:val="100"/>
        </w:rPr>
        <w:t>M</w:t>
      </w:r>
      <w:r>
        <w:rPr>
          <w:rFonts w:ascii="Times New Roman" w:eastAsia="Times New Roman"/>
          <w:w w:val="100"/>
        </w:rPr>
        <w:t>H</w:t>
      </w:r>
      <w:r>
        <w:rPr>
          <w:rFonts w:ascii="Times New Roman" w:eastAsia="Times New Roman"/>
          <w:spacing w:val="1"/>
          <w:w w:val="100"/>
        </w:rPr>
        <w:t>C</w:t>
      </w:r>
      <w:r>
        <w:rPr>
          <w:rFonts w:ascii="Times New Roman" w:eastAsia="Times New Roman"/>
          <w:spacing w:val="-4"/>
          <w:w w:val="100"/>
        </w:rPr>
        <w:t>-</w:t>
      </w:r>
      <w:r>
        <w:rPr>
          <w:rFonts w:ascii="Times New Roman" w:eastAsia="Times New Roman"/>
          <w:w w:val="100"/>
        </w:rPr>
        <w:t>C</w:t>
      </w:r>
      <w:r>
        <w:rPr>
          <w:rFonts w:ascii="Times New Roman" w:eastAsia="Times New Roman"/>
          <w:w w:val="100"/>
        </w:rPr>
        <w:t>E</w:t>
      </w:r>
      <w:r>
        <w:rPr>
          <w:rFonts w:ascii="Times New Roman" w:eastAsia="Times New Roman"/>
          <w:spacing w:val="-3"/>
          <w:w w:val="100"/>
        </w:rPr>
        <w:t>M</w:t>
      </w:r>
      <w:r>
        <w:rPr>
          <w:rFonts w:ascii="Times New Roman" w:eastAsia="Times New Roman"/>
          <w:w w:val="100"/>
        </w:rPr>
        <w:t>S</w:t>
      </w:r>
      <w:r>
        <w:rPr>
          <w:spacing w:val="-17"/>
          <w:w w:val="100"/>
        </w:rPr>
        <w:t>，在固定污染源排放废气条件下，</w:t>
      </w:r>
      <w:r>
        <w:rPr>
          <w:rFonts w:ascii="Times New Roman" w:eastAsia="Times New Roman"/>
          <w:w w:val="100"/>
        </w:rPr>
        <w:t>N</w:t>
      </w:r>
      <w:r>
        <w:rPr>
          <w:rFonts w:ascii="Times New Roman" w:eastAsia="Times New Roman"/>
          <w:spacing w:val="-3"/>
          <w:w w:val="100"/>
        </w:rPr>
        <w:t>M</w:t>
      </w:r>
      <w:r>
        <w:rPr>
          <w:rFonts w:ascii="Times New Roman" w:eastAsia="Times New Roman"/>
          <w:w w:val="100"/>
        </w:rPr>
        <w:t>H</w:t>
      </w:r>
      <w:r>
        <w:rPr>
          <w:rFonts w:ascii="Times New Roman" w:eastAsia="Times New Roman"/>
          <w:spacing w:val="-1"/>
          <w:w w:val="100"/>
        </w:rPr>
        <w:t>C</w:t>
      </w:r>
      <w:r>
        <w:rPr>
          <w:rFonts w:ascii="Times New Roman" w:eastAsia="Times New Roman"/>
          <w:w w:val="100"/>
        </w:rPr>
        <w:t>-</w:t>
      </w:r>
    </w:p>
    <w:p>
      <w:pPr>
        <w:pStyle w:val="BodyText"/>
        <w:spacing w:before="43"/>
        <w:ind w:left="113"/>
      </w:pPr>
      <w:r>
        <w:drawing>
          <wp:anchor distT="0" distB="0" distL="0" distR="0" simplePos="0" relativeHeight="251668480" behindDoc="0" locked="0" layoutInCell="1" allowOverlap="1">
            <wp:simplePos x="0" y="0"/>
            <wp:positionH relativeFrom="page">
              <wp:posOffset>725494</wp:posOffset>
            </wp:positionH>
            <wp:positionV relativeFrom="paragraph">
              <wp:posOffset>265774</wp:posOffset>
            </wp:positionV>
            <wp:extent cx="193893" cy="95250"/>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pic:cNvPicPr/>
                  </pic:nvPicPr>
                  <pic:blipFill>
                    <a:blip xmlns:r="http://schemas.openxmlformats.org/officeDocument/2006/relationships" r:embed="rId22" cstate="print"/>
                    <a:stretch>
                      <a:fillRect/>
                    </a:stretch>
                  </pic:blipFill>
                  <pic:spPr>
                    <a:xfrm>
                      <a:off x="0" y="0"/>
                      <a:ext cx="193893" cy="95250"/>
                    </a:xfrm>
                    <a:prstGeom prst="rect">
                      <a:avLst/>
                    </a:prstGeom>
                  </pic:spPr>
                </pic:pic>
              </a:graphicData>
            </a:graphic>
          </wp:anchor>
        </w:drawing>
      </w:r>
      <w:r>
        <w:rPr>
          <w:rFonts w:ascii="Times New Roman" w:eastAsia="Times New Roman"/>
        </w:rPr>
        <w:t>CEMS</w:t>
      </w:r>
      <w:r>
        <w:t>正常运行所测得的数据。</w:t>
      </w:r>
    </w:p>
    <w:p>
      <w:pPr>
        <w:pStyle w:val="BodyText"/>
        <w:spacing w:before="69"/>
        <w:ind w:left="533"/>
        <w:rPr>
          <w:rFonts w:ascii="黑体" w:eastAsia="黑体" w:hint="eastAsia"/>
        </w:rPr>
      </w:pPr>
      <w:r>
        <w:rPr>
          <w:rFonts w:ascii="黑体" w:eastAsia="黑体" w:hint="eastAsia"/>
        </w:rPr>
        <w:t>有效小时均值</w:t>
      </w:r>
    </w:p>
    <w:p>
      <w:pPr>
        <w:pStyle w:val="BodyText"/>
        <w:spacing w:before="43"/>
        <w:ind w:left="533"/>
      </w:pPr>
      <w:r>
        <w:t>连续排放下，整点</w:t>
      </w:r>
      <w:r>
        <w:rPr>
          <w:rFonts w:ascii="Times New Roman" w:eastAsia="Times New Roman"/>
        </w:rPr>
        <w:t>1h</w:t>
      </w:r>
      <w:r>
        <w:t>内不少于</w:t>
      </w:r>
      <w:r>
        <w:rPr>
          <w:rFonts w:ascii="Times New Roman" w:eastAsia="Times New Roman"/>
        </w:rPr>
        <w:t>45min</w:t>
      </w:r>
      <w:r>
        <w:t>有效数据的算术平均值；间歇排放情况下，整点</w:t>
      </w:r>
      <w:r>
        <w:rPr>
          <w:rFonts w:ascii="Times New Roman" w:eastAsia="Times New Roman"/>
        </w:rPr>
        <w:t>1h</w:t>
      </w:r>
      <w:r>
        <w:t>内排放满</w:t>
      </w:r>
    </w:p>
    <w:p>
      <w:pPr>
        <w:pStyle w:val="BodyText"/>
        <w:spacing w:before="43"/>
        <w:ind w:left="113"/>
      </w:pPr>
      <w:r>
        <w:drawing>
          <wp:anchor distT="0" distB="0" distL="0" distR="0" simplePos="0" relativeHeight="251669504" behindDoc="0" locked="0" layoutInCell="1" allowOverlap="1">
            <wp:simplePos x="0" y="0"/>
            <wp:positionH relativeFrom="page">
              <wp:posOffset>725459</wp:posOffset>
            </wp:positionH>
            <wp:positionV relativeFrom="paragraph">
              <wp:posOffset>265702</wp:posOffset>
            </wp:positionV>
            <wp:extent cx="195373" cy="9525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pic:nvPicPr>
                  <pic:blipFill>
                    <a:blip xmlns:r="http://schemas.openxmlformats.org/officeDocument/2006/relationships" r:embed="rId23" cstate="print"/>
                    <a:stretch>
                      <a:fillRect/>
                    </a:stretch>
                  </pic:blipFill>
                  <pic:spPr>
                    <a:xfrm>
                      <a:off x="0" y="0"/>
                      <a:ext cx="195373" cy="95250"/>
                    </a:xfrm>
                    <a:prstGeom prst="rect">
                      <a:avLst/>
                    </a:prstGeom>
                  </pic:spPr>
                </pic:pic>
              </a:graphicData>
            </a:graphic>
          </wp:anchor>
        </w:drawing>
      </w:r>
      <w:r>
        <w:rPr>
          <w:rFonts w:ascii="Times New Roman" w:eastAsia="Times New Roman"/>
        </w:rPr>
        <w:t>30min</w:t>
      </w:r>
      <w:r>
        <w:t>的，有效小时均值为不少于</w:t>
      </w:r>
      <w:r>
        <w:rPr>
          <w:rFonts w:ascii="Times New Roman" w:eastAsia="Times New Roman"/>
        </w:rPr>
        <w:t>75%</w:t>
      </w:r>
      <w:r>
        <w:t>实际排放时间的有效数据的算术平均值。</w:t>
      </w:r>
    </w:p>
    <w:p>
      <w:pPr>
        <w:pStyle w:val="BodyText"/>
        <w:spacing w:before="69"/>
        <w:ind w:left="533"/>
        <w:rPr>
          <w:rFonts w:ascii="黑体" w:eastAsia="黑体" w:hint="eastAsia"/>
        </w:rPr>
      </w:pPr>
      <w:r>
        <w:rPr>
          <w:rFonts w:ascii="黑体" w:eastAsia="黑体" w:hint="eastAsia"/>
        </w:rPr>
        <w:t>参比方法</w:t>
      </w:r>
    </w:p>
    <w:p>
      <w:pPr>
        <w:pStyle w:val="BodyText"/>
        <w:spacing w:before="44"/>
        <w:ind w:left="533"/>
      </w:pPr>
      <w:r>
        <w:drawing>
          <wp:anchor distT="0" distB="0" distL="0" distR="0" simplePos="0" relativeHeight="251670528" behindDoc="0" locked="0" layoutInCell="1" allowOverlap="1">
            <wp:simplePos x="0" y="0"/>
            <wp:positionH relativeFrom="page">
              <wp:posOffset>725532</wp:posOffset>
            </wp:positionH>
            <wp:positionV relativeFrom="paragraph">
              <wp:posOffset>265956</wp:posOffset>
            </wp:positionV>
            <wp:extent cx="193760" cy="95250"/>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pic:cNvPicPr/>
                  </pic:nvPicPr>
                  <pic:blipFill>
                    <a:blip xmlns:r="http://schemas.openxmlformats.org/officeDocument/2006/relationships" r:embed="rId24" cstate="print"/>
                    <a:stretch>
                      <a:fillRect/>
                    </a:stretch>
                  </pic:blipFill>
                  <pic:spPr>
                    <a:xfrm>
                      <a:off x="0" y="0"/>
                      <a:ext cx="193760" cy="95250"/>
                    </a:xfrm>
                    <a:prstGeom prst="rect">
                      <a:avLst/>
                    </a:prstGeom>
                  </pic:spPr>
                </pic:pic>
              </a:graphicData>
            </a:graphic>
          </wp:anchor>
        </w:drawing>
      </w:r>
      <w:r>
        <w:t>用于与</w:t>
      </w:r>
      <w:r>
        <w:rPr>
          <w:rFonts w:ascii="Times New Roman" w:eastAsia="Times New Roman"/>
        </w:rPr>
        <w:t>NMHC-CEMS</w:t>
      </w:r>
      <w:r>
        <w:t>测量结果相比较的国家标准方法或行业标准方法。</w:t>
      </w:r>
    </w:p>
    <w:p>
      <w:pPr>
        <w:pStyle w:val="BodyText"/>
        <w:spacing w:before="70"/>
        <w:ind w:left="533"/>
        <w:rPr>
          <w:rFonts w:ascii="黑体" w:eastAsia="黑体" w:hint="eastAsia"/>
        </w:rPr>
      </w:pPr>
      <w:r>
        <w:rPr>
          <w:rFonts w:ascii="黑体" w:eastAsia="黑体" w:hint="eastAsia"/>
        </w:rPr>
        <w:t>分析周期</w:t>
      </w:r>
    </w:p>
    <w:p>
      <w:pPr>
        <w:pStyle w:val="BodyText"/>
        <w:spacing w:before="43"/>
        <w:ind w:left="533"/>
      </w:pPr>
      <w:r>
        <w:drawing>
          <wp:anchor distT="0" distB="0" distL="0" distR="0" simplePos="0" relativeHeight="251671552" behindDoc="0" locked="0" layoutInCell="1" allowOverlap="1">
            <wp:simplePos x="0" y="0"/>
            <wp:positionH relativeFrom="page">
              <wp:posOffset>725496</wp:posOffset>
            </wp:positionH>
            <wp:positionV relativeFrom="paragraph">
              <wp:posOffset>265321</wp:posOffset>
            </wp:positionV>
            <wp:extent cx="192258" cy="95250"/>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pic:nvPicPr>
                  <pic:blipFill>
                    <a:blip xmlns:r="http://schemas.openxmlformats.org/officeDocument/2006/relationships" r:embed="rId25" cstate="print"/>
                    <a:stretch>
                      <a:fillRect/>
                    </a:stretch>
                  </pic:blipFill>
                  <pic:spPr>
                    <a:xfrm>
                      <a:off x="0" y="0"/>
                      <a:ext cx="192258" cy="95250"/>
                    </a:xfrm>
                    <a:prstGeom prst="rect">
                      <a:avLst/>
                    </a:prstGeom>
                  </pic:spPr>
                </pic:pic>
              </a:graphicData>
            </a:graphic>
          </wp:anchor>
        </w:drawing>
      </w:r>
      <w:r>
        <w:rPr>
          <w:rFonts w:ascii="Times New Roman" w:eastAsia="Times New Roman"/>
        </w:rPr>
        <w:t>NMHC-CEMS</w:t>
      </w:r>
      <w:r>
        <w:t>连续运行时给出两组测量结果之间的时间间隔。</w:t>
      </w:r>
    </w:p>
    <w:p>
      <w:pPr>
        <w:pStyle w:val="BodyText"/>
        <w:spacing w:before="70"/>
        <w:ind w:left="533"/>
        <w:rPr>
          <w:rFonts w:ascii="黑体" w:eastAsia="黑体" w:hint="eastAsia"/>
        </w:rPr>
      </w:pPr>
      <w:r>
        <w:rPr>
          <w:rFonts w:ascii="黑体" w:eastAsia="黑体" w:hint="eastAsia"/>
        </w:rPr>
        <w:t>简易验收</w:t>
      </w:r>
    </w:p>
    <w:p>
      <w:pPr>
        <w:pStyle w:val="BodyText"/>
        <w:spacing w:before="43"/>
        <w:ind w:left="533"/>
      </w:pPr>
      <w:r>
        <w:t>日常运行中更换</w:t>
      </w:r>
      <w:r>
        <w:rPr>
          <w:rFonts w:ascii="Times New Roman" w:eastAsia="Times New Roman"/>
        </w:rPr>
        <w:t>CEMS</w:t>
      </w:r>
      <w:r>
        <w:t>分析仪表或变动取样点时进行的部分指标验收。</w:t>
      </w:r>
    </w:p>
    <w:p>
      <w:pPr>
        <w:pStyle w:val="BodyText"/>
        <w:spacing w:before="11"/>
        <w:rPr>
          <w:sz w:val="27"/>
        </w:rPr>
      </w:pPr>
    </w:p>
    <w:p>
      <w:pPr>
        <w:pStyle w:val="ListParagraph"/>
        <w:numPr>
          <w:ilvl w:val="0"/>
          <w:numId w:val="14"/>
        </w:numPr>
        <w:tabs>
          <w:tab w:val="left" w:pos="427"/>
          <w:tab w:val="left" w:pos="428"/>
        </w:tabs>
        <w:spacing w:before="0" w:after="0" w:line="240" w:lineRule="auto"/>
        <w:ind w:left="427" w:right="0" w:hanging="315"/>
        <w:jc w:val="left"/>
        <w:rPr>
          <w:rFonts w:ascii="黑体" w:eastAsia="黑体" w:hint="eastAsia"/>
          <w:sz w:val="21"/>
        </w:rPr>
      </w:pPr>
      <w:bookmarkStart w:id="4" w:name="_bookmark4"/>
      <w:bookmarkEnd w:id="4"/>
      <w:r>
        <w:rPr>
          <w:rFonts w:ascii="黑体" w:eastAsia="黑体" w:hint="eastAsia"/>
          <w:spacing w:val="-2"/>
          <w:sz w:val="21"/>
        </w:rPr>
        <w:t>系统功能和性能</w:t>
      </w:r>
    </w:p>
    <w:p>
      <w:pPr>
        <w:pStyle w:val="BodyText"/>
        <w:spacing w:before="12"/>
        <w:rPr>
          <w:rFonts w:ascii="黑体"/>
        </w:rPr>
      </w:pPr>
    </w:p>
    <w:p>
      <w:pPr>
        <w:spacing w:before="73"/>
        <w:ind w:left="117" w:right="0" w:firstLine="0"/>
        <w:jc w:val="left"/>
        <w:rPr>
          <w:rFonts w:ascii="黑体" w:eastAsia="黑体" w:hint="eastAsia"/>
          <w:sz w:val="21"/>
        </w:rPr>
      </w:pPr>
      <w:r>
        <w:drawing>
          <wp:inline distT="0" distB="0" distL="0" distR="0">
            <wp:extent cx="175220" cy="94342"/>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pic:cNvPicPr/>
                  </pic:nvPicPr>
                  <pic:blipFill>
                    <a:blip xmlns:r="http://schemas.openxmlformats.org/officeDocument/2006/relationships" r:embed="rId26" cstate="print"/>
                    <a:stretch>
                      <a:fillRect/>
                    </a:stretch>
                  </pic:blipFill>
                  <pic:spPr>
                    <a:xfrm>
                      <a:off x="0" y="0"/>
                      <a:ext cx="175220" cy="9434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5"/>
          <w:sz w:val="20"/>
        </w:rPr>
        <w:t xml:space="preserve"> </w:t>
      </w:r>
      <w:r>
        <w:rPr>
          <w:rFonts w:ascii="黑体" w:eastAsia="黑体" w:hint="eastAsia"/>
          <w:spacing w:val="-1"/>
          <w:sz w:val="21"/>
        </w:rPr>
        <w:t>功能要求</w:t>
      </w:r>
    </w:p>
    <w:p>
      <w:pPr>
        <w:pStyle w:val="BodyText"/>
        <w:spacing w:before="6"/>
        <w:rPr>
          <w:rFonts w:ascii="黑体"/>
          <w:sz w:val="15"/>
        </w:rPr>
      </w:pPr>
    </w:p>
    <w:p>
      <w:pPr>
        <w:pStyle w:val="BodyText"/>
        <w:ind w:left="533"/>
      </w:pPr>
      <w:r>
        <w:t>满足</w:t>
      </w:r>
      <w:r>
        <w:rPr>
          <w:rFonts w:ascii="Times New Roman" w:eastAsia="Times New Roman"/>
        </w:rPr>
        <w:t>HJ 1013</w:t>
      </w:r>
      <w:r>
        <w:t>的要求。</w:t>
      </w:r>
    </w:p>
    <w:p>
      <w:pPr>
        <w:pStyle w:val="BodyText"/>
        <w:spacing w:before="12"/>
        <w:rPr>
          <w:sz w:val="9"/>
        </w:rPr>
      </w:pPr>
    </w:p>
    <w:p>
      <w:pPr>
        <w:spacing w:before="72"/>
        <w:ind w:left="117" w:right="0" w:firstLine="0"/>
        <w:jc w:val="left"/>
        <w:rPr>
          <w:rFonts w:ascii="黑体" w:eastAsia="黑体" w:hint="eastAsia"/>
          <w:sz w:val="21"/>
        </w:rPr>
      </w:pPr>
      <w:r>
        <w:drawing>
          <wp:inline distT="0" distB="0" distL="0" distR="0">
            <wp:extent cx="193512" cy="94342"/>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pic:nvPicPr>
                  <pic:blipFill>
                    <a:blip xmlns:r="http://schemas.openxmlformats.org/officeDocument/2006/relationships" r:embed="rId27" cstate="print"/>
                    <a:stretch>
                      <a:fillRect/>
                    </a:stretch>
                  </pic:blipFill>
                  <pic:spPr>
                    <a:xfrm>
                      <a:off x="0" y="0"/>
                      <a:ext cx="193512" cy="9434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6"/>
          <w:sz w:val="20"/>
        </w:rPr>
        <w:t xml:space="preserve"> </w:t>
      </w:r>
      <w:r>
        <w:rPr>
          <w:rFonts w:ascii="黑体" w:eastAsia="黑体" w:hint="eastAsia"/>
          <w:spacing w:val="-2"/>
          <w:sz w:val="21"/>
        </w:rPr>
        <w:t>技术性能要求</w:t>
      </w:r>
    </w:p>
    <w:p>
      <w:pPr>
        <w:pStyle w:val="BodyText"/>
        <w:spacing w:before="6"/>
        <w:rPr>
          <w:rFonts w:ascii="黑体"/>
          <w:sz w:val="15"/>
        </w:rPr>
      </w:pPr>
    </w:p>
    <w:p>
      <w:pPr>
        <w:pStyle w:val="BodyText"/>
        <w:ind w:left="533"/>
      </w:pPr>
      <w:r>
        <w:rPr>
          <w:rFonts w:ascii="Times New Roman" w:eastAsia="Times New Roman"/>
        </w:rPr>
        <w:t>NMHC-CEMS</w:t>
      </w:r>
      <w:r>
        <w:t>除应满足</w:t>
      </w:r>
      <w:r>
        <w:rPr>
          <w:rFonts w:ascii="Times New Roman" w:eastAsia="Times New Roman"/>
        </w:rPr>
        <w:t>HJ 1013</w:t>
      </w:r>
      <w:r>
        <w:t>中的技术要求和性能指标要求外，还应满足以下要求：</w:t>
      </w:r>
    </w:p>
    <w:p>
      <w:pPr>
        <w:pStyle w:val="ListParagraph"/>
        <w:numPr>
          <w:ilvl w:val="1"/>
          <w:numId w:val="14"/>
        </w:numPr>
        <w:tabs>
          <w:tab w:val="left" w:pos="965"/>
          <w:tab w:val="left" w:pos="966"/>
        </w:tabs>
        <w:spacing w:before="43" w:after="0" w:line="240" w:lineRule="auto"/>
        <w:ind w:left="965" w:right="0" w:hanging="428"/>
        <w:jc w:val="left"/>
        <w:rPr>
          <w:sz w:val="21"/>
        </w:rPr>
      </w:pPr>
      <w:r>
        <w:rPr>
          <w:rFonts w:ascii="Times New Roman" w:eastAsia="Times New Roman" w:hAnsi="Times New Roman"/>
          <w:sz w:val="21"/>
        </w:rPr>
        <w:t>NMHC</w:t>
      </w:r>
      <w:r>
        <w:rPr>
          <w:rFonts w:ascii="Times New Roman" w:eastAsia="Times New Roman" w:hAnsi="Times New Roman"/>
          <w:spacing w:val="15"/>
          <w:sz w:val="21"/>
        </w:rPr>
        <w:t xml:space="preserve"> </w:t>
      </w:r>
      <w:r>
        <w:rPr>
          <w:spacing w:val="6"/>
          <w:sz w:val="21"/>
        </w:rPr>
        <w:t>示值误差：量程＞</w:t>
      </w:r>
      <w:r>
        <w:rPr>
          <w:rFonts w:ascii="Times New Roman" w:eastAsia="Times New Roman" w:hAnsi="Times New Roman"/>
          <w:sz w:val="21"/>
        </w:rPr>
        <w:t>100mg/m³</w:t>
      </w:r>
      <w:r>
        <w:rPr>
          <w:spacing w:val="7"/>
          <w:sz w:val="21"/>
        </w:rPr>
        <w:t>时，示值误差应在标准气体标称值的±</w:t>
      </w:r>
      <w:r>
        <w:rPr>
          <w:rFonts w:ascii="Times New Roman" w:eastAsia="Times New Roman" w:hAnsi="Times New Roman"/>
          <w:sz w:val="21"/>
        </w:rPr>
        <w:t>5%</w:t>
      </w:r>
      <w:r>
        <w:rPr>
          <w:spacing w:val="9"/>
          <w:sz w:val="21"/>
        </w:rPr>
        <w:t>以内；量程</w:t>
      </w:r>
    </w:p>
    <w:p>
      <w:pPr>
        <w:pStyle w:val="BodyText"/>
        <w:spacing w:before="43"/>
        <w:ind w:left="965"/>
      </w:pPr>
      <w:r>
        <w:t>≤</w:t>
      </w:r>
      <w:r>
        <w:rPr>
          <w:rFonts w:ascii="Times New Roman" w:eastAsia="Times New Roman" w:hAnsi="Times New Roman"/>
        </w:rPr>
        <w:t xml:space="preserve">100mg/m³ </w:t>
      </w:r>
      <w:r>
        <w:t>时，示值误差应在满量程（</w:t>
      </w:r>
      <w:r>
        <w:rPr>
          <w:rFonts w:ascii="Times New Roman" w:eastAsia="Times New Roman" w:hAnsi="Times New Roman"/>
        </w:rPr>
        <w:t>F.S.</w:t>
      </w:r>
      <w:r>
        <w:t>）的±</w:t>
      </w:r>
      <w:r>
        <w:rPr>
          <w:rFonts w:ascii="Times New Roman" w:eastAsia="Times New Roman" w:hAnsi="Times New Roman"/>
        </w:rPr>
        <w:t>2.5%</w:t>
      </w:r>
      <w:r>
        <w:t>以内；</w:t>
      </w:r>
    </w:p>
    <w:p>
      <w:pPr>
        <w:pStyle w:val="ListParagraph"/>
        <w:numPr>
          <w:ilvl w:val="1"/>
          <w:numId w:val="14"/>
        </w:numPr>
        <w:tabs>
          <w:tab w:val="left" w:pos="965"/>
          <w:tab w:val="left" w:pos="966"/>
        </w:tabs>
        <w:spacing w:before="43" w:after="0" w:line="240" w:lineRule="auto"/>
        <w:ind w:left="965" w:right="0" w:hanging="428"/>
        <w:jc w:val="left"/>
        <w:rPr>
          <w:sz w:val="21"/>
        </w:rPr>
      </w:pPr>
      <w:r>
        <w:rPr>
          <w:spacing w:val="25"/>
          <w:sz w:val="21"/>
        </w:rPr>
        <w:t>检测</w:t>
      </w:r>
      <w:r>
        <w:rPr>
          <w:rFonts w:ascii="Times New Roman" w:eastAsia="Times New Roman"/>
          <w:sz w:val="21"/>
        </w:rPr>
        <w:t>NMHC</w:t>
      </w:r>
      <w:r>
        <w:rPr>
          <w:rFonts w:ascii="Times New Roman" w:eastAsia="Times New Roman"/>
          <w:spacing w:val="1"/>
          <w:sz w:val="21"/>
        </w:rPr>
        <w:t xml:space="preserve"> </w:t>
      </w:r>
      <w:r>
        <w:rPr>
          <w:spacing w:val="-8"/>
          <w:sz w:val="21"/>
        </w:rPr>
        <w:t xml:space="preserve">系统响应时间不超过 </w:t>
      </w:r>
      <w:r>
        <w:rPr>
          <w:rFonts w:ascii="Times New Roman" w:eastAsia="Times New Roman"/>
          <w:sz w:val="21"/>
        </w:rPr>
        <w:t>300s</w:t>
      </w:r>
      <w:r>
        <w:rPr>
          <w:sz w:val="21"/>
        </w:rPr>
        <w:t>；</w:t>
      </w:r>
    </w:p>
    <w:p>
      <w:pPr>
        <w:pStyle w:val="ListParagraph"/>
        <w:numPr>
          <w:ilvl w:val="1"/>
          <w:numId w:val="14"/>
        </w:numPr>
        <w:tabs>
          <w:tab w:val="left" w:pos="965"/>
          <w:tab w:val="left" w:pos="966"/>
        </w:tabs>
        <w:spacing w:before="43" w:after="0" w:line="278" w:lineRule="auto"/>
        <w:ind w:left="965" w:right="691" w:hanging="428"/>
        <w:jc w:val="left"/>
        <w:rPr>
          <w:sz w:val="21"/>
        </w:rPr>
      </w:pPr>
      <w:r>
        <w:rPr>
          <w:spacing w:val="-6"/>
          <w:sz w:val="21"/>
        </w:rPr>
        <w:t xml:space="preserve">当用参比方法测量时，如果 </w:t>
      </w:r>
      <w:r>
        <w:rPr>
          <w:rFonts w:ascii="Times New Roman" w:eastAsia="Times New Roman" w:hAnsi="Times New Roman"/>
          <w:sz w:val="21"/>
        </w:rPr>
        <w:t>NMHC</w:t>
      </w:r>
      <w:r>
        <w:rPr>
          <w:rFonts w:ascii="Times New Roman" w:eastAsia="Times New Roman" w:hAnsi="Times New Roman"/>
          <w:spacing w:val="19"/>
          <w:sz w:val="21"/>
        </w:rPr>
        <w:t xml:space="preserve"> </w:t>
      </w:r>
      <w:r>
        <w:rPr>
          <w:spacing w:val="-2"/>
          <w:sz w:val="21"/>
        </w:rPr>
        <w:t>浓度</w:t>
      </w:r>
      <w:r>
        <w:rPr>
          <w:spacing w:val="-3"/>
          <w:sz w:val="21"/>
        </w:rPr>
        <w:t>（</w:t>
      </w:r>
      <w:r>
        <w:rPr>
          <w:spacing w:val="-2"/>
          <w:sz w:val="21"/>
        </w:rPr>
        <w:t>以碳计</w:t>
      </w:r>
      <w:r>
        <w:rPr>
          <w:spacing w:val="-3"/>
          <w:sz w:val="21"/>
        </w:rPr>
        <w:t>）</w:t>
      </w:r>
      <w:r>
        <w:rPr>
          <w:spacing w:val="-6"/>
          <w:sz w:val="21"/>
        </w:rPr>
        <w:t xml:space="preserve">平均值和排放限值均小于 </w:t>
      </w:r>
      <w:r>
        <w:rPr>
          <w:rFonts w:ascii="Times New Roman" w:eastAsia="Times New Roman" w:hAnsi="Times New Roman"/>
          <w:sz w:val="21"/>
        </w:rPr>
        <w:t>50mg/m³</w:t>
      </w:r>
      <w:r>
        <w:rPr>
          <w:spacing w:val="-2"/>
          <w:sz w:val="21"/>
        </w:rPr>
        <w:t>，绝对</w:t>
      </w:r>
      <w:r>
        <w:rPr>
          <w:spacing w:val="-3"/>
          <w:sz w:val="21"/>
        </w:rPr>
        <w:t>误差平均值应在</w:t>
      </w:r>
      <w:r>
        <w:rPr>
          <w:rFonts w:ascii="Times New Roman" w:eastAsia="Times New Roman" w:hAnsi="Times New Roman"/>
          <w:spacing w:val="-5"/>
          <w:sz w:val="21"/>
        </w:rPr>
        <w:t>±10mg/m³</w:t>
      </w:r>
      <w:r>
        <w:rPr>
          <w:rFonts w:ascii="Times New Roman" w:eastAsia="Times New Roman" w:hAnsi="Times New Roman"/>
          <w:spacing w:val="-32"/>
          <w:sz w:val="21"/>
        </w:rPr>
        <w:t xml:space="preserve"> </w:t>
      </w:r>
      <w:r>
        <w:rPr>
          <w:sz w:val="21"/>
        </w:rPr>
        <w:t>以内；</w:t>
      </w:r>
    </w:p>
    <w:p>
      <w:pPr>
        <w:pStyle w:val="ListParagraph"/>
        <w:numPr>
          <w:ilvl w:val="1"/>
          <w:numId w:val="14"/>
        </w:numPr>
        <w:tabs>
          <w:tab w:val="left" w:pos="965"/>
          <w:tab w:val="left" w:pos="966"/>
        </w:tabs>
        <w:spacing w:before="0" w:after="0" w:line="269" w:lineRule="exact"/>
        <w:ind w:left="965" w:right="0" w:hanging="428"/>
        <w:jc w:val="left"/>
        <w:rPr>
          <w:sz w:val="21"/>
        </w:rPr>
      </w:pPr>
      <w:r>
        <w:rPr>
          <w:spacing w:val="-1"/>
          <w:sz w:val="21"/>
        </w:rPr>
        <w:t>数据采集处理与传输单元应同时满足附录</w:t>
      </w:r>
      <w:r>
        <w:rPr>
          <w:rFonts w:ascii="Times New Roman" w:eastAsia="Times New Roman"/>
          <w:sz w:val="21"/>
        </w:rPr>
        <w:t>A</w:t>
      </w:r>
      <w:r>
        <w:rPr>
          <w:rFonts w:ascii="Times New Roman" w:eastAsia="Times New Roman"/>
          <w:spacing w:val="1"/>
          <w:sz w:val="21"/>
        </w:rPr>
        <w:t xml:space="preserve"> </w:t>
      </w:r>
      <w:r>
        <w:rPr>
          <w:spacing w:val="-3"/>
          <w:sz w:val="21"/>
        </w:rPr>
        <w:t>的要求。</w:t>
      </w:r>
    </w:p>
    <w:p>
      <w:pPr>
        <w:pStyle w:val="BodyText"/>
        <w:spacing w:before="4"/>
        <w:rPr>
          <w:sz w:val="22"/>
        </w:rPr>
      </w:pPr>
    </w:p>
    <w:p>
      <w:pPr>
        <w:pStyle w:val="ListParagraph"/>
        <w:numPr>
          <w:ilvl w:val="0"/>
          <w:numId w:val="14"/>
        </w:numPr>
        <w:tabs>
          <w:tab w:val="left" w:pos="427"/>
          <w:tab w:val="left" w:pos="428"/>
        </w:tabs>
        <w:spacing w:before="72" w:after="0" w:line="240" w:lineRule="auto"/>
        <w:ind w:left="427" w:right="0" w:hanging="315"/>
        <w:jc w:val="left"/>
        <w:rPr>
          <w:rFonts w:ascii="黑体" w:eastAsia="黑体" w:hint="eastAsia"/>
          <w:sz w:val="21"/>
        </w:rPr>
      </w:pPr>
      <w:bookmarkStart w:id="5" w:name="_bookmark5"/>
      <w:bookmarkEnd w:id="5"/>
      <w:r>
        <w:rPr>
          <w:rFonts w:ascii="黑体" w:eastAsia="黑体" w:hint="eastAsia"/>
          <w:spacing w:val="-2"/>
          <w:sz w:val="21"/>
        </w:rPr>
        <w:t>监测站房建设</w:t>
      </w:r>
    </w:p>
    <w:p>
      <w:pPr>
        <w:pStyle w:val="BodyText"/>
        <w:spacing w:before="5"/>
        <w:rPr>
          <w:rFonts w:ascii="黑体"/>
        </w:rPr>
      </w:pPr>
    </w:p>
    <w:p>
      <w:pPr>
        <w:pStyle w:val="BodyText"/>
        <w:spacing w:before="78" w:line="278" w:lineRule="auto"/>
        <w:ind w:left="113" w:right="691" w:firstLine="525"/>
        <w:jc w:val="both"/>
      </w:pPr>
      <w:r>
        <w:drawing>
          <wp:anchor distT="0" distB="0" distL="0" distR="0" simplePos="0" relativeHeight="251672576" behindDoc="1" locked="0" layoutInCell="1" allowOverlap="1">
            <wp:simplePos x="0" y="0"/>
            <wp:positionH relativeFrom="page">
              <wp:posOffset>722415</wp:posOffset>
            </wp:positionH>
            <wp:positionV relativeFrom="paragraph">
              <wp:posOffset>88863</wp:posOffset>
            </wp:positionV>
            <wp:extent cx="175220" cy="95794"/>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pic:cNvPicPr/>
                  </pic:nvPicPr>
                  <pic:blipFill>
                    <a:blip xmlns:r="http://schemas.openxmlformats.org/officeDocument/2006/relationships" r:embed="rId28" cstate="print"/>
                    <a:stretch>
                      <a:fillRect/>
                    </a:stretch>
                  </pic:blipFill>
                  <pic:spPr>
                    <a:xfrm>
                      <a:off x="0" y="0"/>
                      <a:ext cx="175220" cy="95794"/>
                    </a:xfrm>
                    <a:prstGeom prst="rect">
                      <a:avLst/>
                    </a:prstGeom>
                  </pic:spPr>
                </pic:pic>
              </a:graphicData>
            </a:graphic>
          </wp:anchor>
        </w:drawing>
      </w:r>
      <w:r>
        <w:rPr>
          <w:spacing w:val="25"/>
        </w:rPr>
        <w:t>应为</w:t>
      </w:r>
      <w:r>
        <w:rPr>
          <w:rFonts w:ascii="Times New Roman" w:eastAsia="Times New Roman"/>
        </w:rPr>
        <w:t xml:space="preserve">NMHC-CEMS </w:t>
      </w:r>
      <w:r>
        <w:rPr>
          <w:spacing w:val="-11"/>
        </w:rPr>
        <w:t>提供独立站房，监测站房与采样点之间的距离应尽可能近，采样传输管线长度</w:t>
      </w:r>
      <w:r>
        <w:rPr>
          <w:spacing w:val="-13"/>
        </w:rPr>
        <w:t xml:space="preserve">原则上不超过 </w:t>
      </w:r>
      <w:r>
        <w:rPr>
          <w:rFonts w:ascii="Times New Roman" w:eastAsia="Times New Roman"/>
          <w:spacing w:val="-3"/>
        </w:rPr>
        <w:t>70m</w:t>
      </w:r>
      <w:r>
        <w:t>。</w:t>
      </w:r>
    </w:p>
    <w:p>
      <w:pPr>
        <w:pStyle w:val="BodyText"/>
        <w:spacing w:line="278" w:lineRule="auto"/>
        <w:ind w:left="113" w:right="589" w:firstLine="525"/>
        <w:jc w:val="both"/>
      </w:pPr>
      <w:r>
        <w:drawing>
          <wp:anchor distT="0" distB="0" distL="0" distR="0" simplePos="0" relativeHeight="251673600" behindDoc="1" locked="0" layoutInCell="1" allowOverlap="1">
            <wp:simplePos x="0" y="0"/>
            <wp:positionH relativeFrom="page">
              <wp:posOffset>722411</wp:posOffset>
            </wp:positionH>
            <wp:positionV relativeFrom="paragraph">
              <wp:posOffset>39333</wp:posOffset>
            </wp:positionV>
            <wp:extent cx="193512" cy="95794"/>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pic:nvPicPr>
                  <pic:blipFill>
                    <a:blip xmlns:r="http://schemas.openxmlformats.org/officeDocument/2006/relationships" r:embed="rId29" cstate="print"/>
                    <a:stretch>
                      <a:fillRect/>
                    </a:stretch>
                  </pic:blipFill>
                  <pic:spPr>
                    <a:xfrm>
                      <a:off x="0" y="0"/>
                      <a:ext cx="193512" cy="95794"/>
                    </a:xfrm>
                    <a:prstGeom prst="rect">
                      <a:avLst/>
                    </a:prstGeom>
                  </pic:spPr>
                </pic:pic>
              </a:graphicData>
            </a:graphic>
          </wp:anchor>
        </w:drawing>
      </w:r>
      <w:r>
        <w:rPr>
          <w:spacing w:val="-3"/>
        </w:rPr>
        <w:t>监测站房的基础荷载强度应≥</w:t>
      </w:r>
      <w:r>
        <w:rPr>
          <w:rFonts w:ascii="Times New Roman" w:eastAsia="Times New Roman" w:hAnsi="Times New Roman"/>
        </w:rPr>
        <w:t>2000kg/m</w:t>
      </w:r>
      <w:r>
        <w:rPr>
          <w:rFonts w:ascii="Times New Roman" w:eastAsia="Times New Roman" w:hAnsi="Times New Roman"/>
          <w:position w:val="7"/>
          <w:sz w:val="14"/>
        </w:rPr>
        <w:t>2</w:t>
      </w:r>
      <w:r>
        <w:rPr>
          <w:spacing w:val="-10"/>
        </w:rPr>
        <w:t>。若站房内仅放置单台机柜，面积应≥</w:t>
      </w:r>
      <w:r>
        <w:rPr>
          <w:rFonts w:ascii="Times New Roman" w:eastAsia="Times New Roman" w:hAnsi="Times New Roman"/>
          <w:spacing w:val="-5"/>
        </w:rPr>
        <w:t xml:space="preserve">3m×4m </w:t>
      </w:r>
      <w:r>
        <w:rPr>
          <w:spacing w:val="-8"/>
        </w:rPr>
        <w:t>。若同一站</w:t>
      </w:r>
      <w:r>
        <w:rPr>
          <w:spacing w:val="-9"/>
        </w:rPr>
        <w:t xml:space="preserve">房放置多套分析仪表的，每增加一台机柜，站房面积应至少增加 </w:t>
      </w:r>
      <w:r>
        <w:rPr>
          <w:rFonts w:ascii="Times New Roman" w:eastAsia="Times New Roman" w:hAnsi="Times New Roman"/>
          <w:spacing w:val="-6"/>
        </w:rPr>
        <w:t>4m</w:t>
      </w:r>
      <w:r>
        <w:rPr>
          <w:rFonts w:ascii="Times New Roman" w:eastAsia="Times New Roman" w:hAnsi="Times New Roman"/>
          <w:spacing w:val="-6"/>
          <w:position w:val="7"/>
          <w:sz w:val="14"/>
        </w:rPr>
        <w:t>2</w:t>
      </w:r>
      <w:r>
        <w:rPr>
          <w:spacing w:val="-6"/>
        </w:rPr>
        <w:t>，便于开展运维操作。站房空间高度应≥</w:t>
      </w:r>
      <w:r>
        <w:rPr>
          <w:rFonts w:ascii="Times New Roman" w:eastAsia="Times New Roman" w:hAnsi="Times New Roman"/>
          <w:spacing w:val="-6"/>
        </w:rPr>
        <w:t>2.8m</w:t>
      </w:r>
      <w:r>
        <w:rPr>
          <w:spacing w:val="-5"/>
        </w:rPr>
        <w:t>，站房建在标高≥</w:t>
      </w:r>
      <w:r>
        <w:rPr>
          <w:rFonts w:ascii="Times New Roman" w:eastAsia="Times New Roman" w:hAnsi="Times New Roman"/>
        </w:rPr>
        <w:t xml:space="preserve">0m </w:t>
      </w:r>
      <w:r>
        <w:rPr>
          <w:spacing w:val="-1"/>
        </w:rPr>
        <w:t>处。采样传输管线进站房点位应高于分析仪表，同时做好防雨措施。</w:t>
      </w:r>
    </w:p>
    <w:p>
      <w:pPr>
        <w:pStyle w:val="BodyText"/>
        <w:spacing w:line="278" w:lineRule="auto"/>
        <w:ind w:left="113" w:right="687" w:firstLine="525"/>
      </w:pPr>
      <w:r>
        <w:drawing>
          <wp:anchor distT="0" distB="0" distL="0" distR="0" simplePos="0" relativeHeight="251674624" behindDoc="1" locked="0" layoutInCell="1" allowOverlap="1">
            <wp:simplePos x="0" y="0"/>
            <wp:positionH relativeFrom="page">
              <wp:posOffset>722411</wp:posOffset>
            </wp:positionH>
            <wp:positionV relativeFrom="paragraph">
              <wp:posOffset>39333</wp:posOffset>
            </wp:positionV>
            <wp:extent cx="193512" cy="95794"/>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pic:nvPicPr>
                  <pic:blipFill>
                    <a:blip xmlns:r="http://schemas.openxmlformats.org/officeDocument/2006/relationships" r:embed="rId30" cstate="print"/>
                    <a:stretch>
                      <a:fillRect/>
                    </a:stretch>
                  </pic:blipFill>
                  <pic:spPr>
                    <a:xfrm>
                      <a:off x="0" y="0"/>
                      <a:ext cx="193512" cy="95794"/>
                    </a:xfrm>
                    <a:prstGeom prst="rect">
                      <a:avLst/>
                    </a:prstGeom>
                  </pic:spPr>
                </pic:pic>
              </a:graphicData>
            </a:graphic>
          </wp:anchor>
        </w:drawing>
      </w:r>
      <w:r>
        <w:rPr>
          <w:spacing w:val="-5"/>
        </w:rPr>
        <w:t>监测站房内相对湿度应≤</w:t>
      </w:r>
      <w:r>
        <w:rPr>
          <w:rFonts w:ascii="Times New Roman" w:eastAsia="Times New Roman" w:hAnsi="Times New Roman"/>
          <w:spacing w:val="-5"/>
        </w:rPr>
        <w:t>85%</w:t>
      </w:r>
      <w:r>
        <w:rPr>
          <w:spacing w:val="-8"/>
        </w:rPr>
        <w:t>，监测站房应有防水、防火、防潮、防雷、隔热、保温措施，站房内</w:t>
      </w:r>
      <w:r>
        <w:rPr>
          <w:spacing w:val="-6"/>
        </w:rPr>
        <w:t>应安装可燃气体报警器。</w:t>
      </w:r>
    </w:p>
    <w:p>
      <w:pPr>
        <w:spacing w:after="0" w:line="278" w:lineRule="auto"/>
        <w:sectPr>
          <w:headerReference w:type="even" r:id="rId31"/>
          <w:headerReference w:type="default" r:id="rId32"/>
          <w:footerReference w:type="even" r:id="rId33"/>
          <w:footerReference w:type="default" r:id="rId34"/>
          <w:pgSz w:w="11910" w:h="16840"/>
          <w:pgMar w:top="2160" w:right="720" w:bottom="1340" w:left="1020" w:header="1448" w:footer="1140"/>
          <w:pgNumType w:start="2"/>
          <w:cols w:space="708"/>
        </w:sectPr>
      </w:pPr>
    </w:p>
    <w:p>
      <w:pPr>
        <w:pStyle w:val="BodyText"/>
        <w:spacing w:before="7"/>
        <w:rPr>
          <w:sz w:val="16"/>
        </w:rPr>
      </w:pPr>
    </w:p>
    <w:p>
      <w:pPr>
        <w:pStyle w:val="BodyText"/>
        <w:spacing w:before="79" w:line="278" w:lineRule="auto"/>
        <w:ind w:left="398" w:right="401" w:firstLine="525"/>
        <w:jc w:val="both"/>
      </w:pPr>
      <w:r>
        <w:drawing>
          <wp:anchor distT="0" distB="0" distL="0" distR="0" simplePos="0" relativeHeight="251678720" behindDoc="1" locked="0" layoutInCell="1" allowOverlap="1">
            <wp:simplePos x="0" y="0"/>
            <wp:positionH relativeFrom="page">
              <wp:posOffset>903801</wp:posOffset>
            </wp:positionH>
            <wp:positionV relativeFrom="paragraph">
              <wp:posOffset>90515</wp:posOffset>
            </wp:positionV>
            <wp:extent cx="199574" cy="95794"/>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pic:cNvPicPr/>
                  </pic:nvPicPr>
                  <pic:blipFill>
                    <a:blip xmlns:r="http://schemas.openxmlformats.org/officeDocument/2006/relationships" r:embed="rId35" cstate="print"/>
                    <a:stretch>
                      <a:fillRect/>
                    </a:stretch>
                  </pic:blipFill>
                  <pic:spPr>
                    <a:xfrm>
                      <a:off x="0" y="0"/>
                      <a:ext cx="199574" cy="95794"/>
                    </a:xfrm>
                    <a:prstGeom prst="rect">
                      <a:avLst/>
                    </a:prstGeom>
                  </pic:spPr>
                </pic:pic>
              </a:graphicData>
            </a:graphic>
          </wp:anchor>
        </w:drawing>
      </w:r>
      <w:r>
        <w:rPr>
          <w:spacing w:val="-13"/>
        </w:rPr>
        <w:t>监测站房内应配备有证标准气体，标准气体应在有效期内，不确定度不超过±</w:t>
      </w:r>
      <w:r>
        <w:rPr>
          <w:rFonts w:ascii="Times New Roman" w:eastAsia="Times New Roman" w:hAnsi="Times New Roman"/>
          <w:spacing w:val="-13"/>
        </w:rPr>
        <w:t>2%</w:t>
      </w:r>
      <w:r>
        <w:rPr>
          <w:spacing w:val="-7"/>
        </w:rPr>
        <w:t>，以满足日常零点</w:t>
      </w:r>
      <w:r>
        <w:rPr>
          <w:spacing w:val="-11"/>
        </w:rPr>
        <w:t>校准、量程校准、正确度核查的需要。零点气可使用氮气</w:t>
      </w:r>
      <w:r>
        <w:rPr>
          <w:spacing w:val="-5"/>
        </w:rPr>
        <w:t>（纯度≥</w:t>
      </w:r>
      <w:r>
        <w:rPr>
          <w:rFonts w:ascii="Times New Roman" w:eastAsia="Times New Roman" w:hAnsi="Times New Roman"/>
          <w:spacing w:val="-5"/>
        </w:rPr>
        <w:t>99.999%</w:t>
      </w:r>
      <w:r>
        <w:rPr>
          <w:spacing w:val="-5"/>
        </w:rPr>
        <w:t>）</w:t>
      </w:r>
      <w:r>
        <w:rPr>
          <w:spacing w:val="-7"/>
        </w:rPr>
        <w:t>或除烃空气</w:t>
      </w:r>
      <w:r>
        <w:rPr>
          <w:spacing w:val="-5"/>
        </w:rPr>
        <w:t>（</w:t>
      </w:r>
      <w:r>
        <w:rPr>
          <w:spacing w:val="-6"/>
        </w:rPr>
        <w:t>其中碳氢化合</w:t>
      </w:r>
      <w:r>
        <w:rPr>
          <w:spacing w:val="-14"/>
        </w:rPr>
        <w:t xml:space="preserve">物不得高于 </w:t>
      </w:r>
      <w:r>
        <w:rPr>
          <w:rFonts w:ascii="Times New Roman" w:eastAsia="Times New Roman" w:hAnsi="Times New Roman"/>
        </w:rPr>
        <w:t xml:space="preserve">0.3 </w:t>
      </w:r>
      <w:r>
        <w:rPr>
          <w:rFonts w:ascii="Times New Roman" w:eastAsia="Times New Roman" w:hAnsi="Times New Roman"/>
          <w:spacing w:val="-4"/>
        </w:rPr>
        <w:t>mg/m³</w:t>
      </w:r>
      <w:r>
        <w:rPr>
          <w:spacing w:val="-4"/>
        </w:rPr>
        <w:t>）</w:t>
      </w:r>
      <w:r>
        <w:rPr>
          <w:spacing w:val="-8"/>
        </w:rPr>
        <w:t>；工作气源纯度应满足分析仪器使用要求，氢气纯度应≥</w:t>
      </w:r>
      <w:r>
        <w:rPr>
          <w:rFonts w:ascii="Times New Roman" w:eastAsia="Times New Roman" w:hAnsi="Times New Roman"/>
          <w:spacing w:val="-3"/>
        </w:rPr>
        <w:t>99.99%</w:t>
      </w:r>
      <w:r>
        <w:t>。</w:t>
      </w:r>
    </w:p>
    <w:p>
      <w:pPr>
        <w:pStyle w:val="BodyText"/>
        <w:spacing w:line="278" w:lineRule="auto"/>
        <w:ind w:left="924" w:right="1930"/>
        <w:jc w:val="both"/>
      </w:pPr>
      <w:r>
        <w:drawing>
          <wp:anchor distT="0" distB="0" distL="0" distR="0" simplePos="0" relativeHeight="251675648" behindDoc="0" locked="0" layoutInCell="1" allowOverlap="1">
            <wp:simplePos x="0" y="0"/>
            <wp:positionH relativeFrom="page">
              <wp:posOffset>903802</wp:posOffset>
            </wp:positionH>
            <wp:positionV relativeFrom="paragraph">
              <wp:posOffset>41800</wp:posOffset>
            </wp:positionV>
            <wp:extent cx="195001" cy="94342"/>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pic:nvPicPr>
                  <pic:blipFill>
                    <a:blip xmlns:r="http://schemas.openxmlformats.org/officeDocument/2006/relationships" r:embed="rId36" cstate="print"/>
                    <a:stretch>
                      <a:fillRect/>
                    </a:stretch>
                  </pic:blipFill>
                  <pic:spPr>
                    <a:xfrm>
                      <a:off x="0" y="0"/>
                      <a:ext cx="195001" cy="94342"/>
                    </a:xfrm>
                    <a:prstGeom prst="rect">
                      <a:avLst/>
                    </a:prstGeom>
                  </pic:spPr>
                </pic:pic>
              </a:graphicData>
            </a:graphic>
          </wp:anchor>
        </w:drawing>
      </w:r>
      <w:r>
        <w:drawing>
          <wp:anchor distT="0" distB="0" distL="0" distR="0" simplePos="0" relativeHeight="251676672" behindDoc="0" locked="0" layoutInCell="1" allowOverlap="1">
            <wp:simplePos x="0" y="0"/>
            <wp:positionH relativeFrom="page">
              <wp:posOffset>903766</wp:posOffset>
            </wp:positionH>
            <wp:positionV relativeFrom="paragraph">
              <wp:posOffset>238469</wp:posOffset>
            </wp:positionV>
            <wp:extent cx="198085" cy="95794"/>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png"/>
                    <pic:cNvPicPr/>
                  </pic:nvPicPr>
                  <pic:blipFill>
                    <a:blip xmlns:r="http://schemas.openxmlformats.org/officeDocument/2006/relationships" r:embed="rId37" cstate="print"/>
                    <a:stretch>
                      <a:fillRect/>
                    </a:stretch>
                  </pic:blipFill>
                  <pic:spPr>
                    <a:xfrm>
                      <a:off x="0" y="0"/>
                      <a:ext cx="198085" cy="95794"/>
                    </a:xfrm>
                    <a:prstGeom prst="rect">
                      <a:avLst/>
                    </a:prstGeom>
                  </pic:spPr>
                </pic:pic>
              </a:graphicData>
            </a:graphic>
          </wp:anchor>
        </w:drawing>
      </w:r>
      <w:r>
        <w:rPr>
          <w:spacing w:val="-6"/>
        </w:rPr>
        <w:t xml:space="preserve">站房若设在防爆区域内，应按照 </w:t>
      </w:r>
      <w:r>
        <w:rPr>
          <w:rFonts w:ascii="Times New Roman" w:eastAsia="Times New Roman"/>
        </w:rPr>
        <w:t xml:space="preserve">GB/T 3836.1 </w:t>
      </w:r>
      <w:r>
        <w:rPr>
          <w:spacing w:val="-3"/>
        </w:rPr>
        <w:t>中相关规定配备防爆等安全设施。</w:t>
      </w:r>
      <w:r>
        <w:rPr>
          <w:spacing w:val="-13"/>
        </w:rPr>
        <w:t xml:space="preserve">其他要求按照 </w:t>
      </w:r>
      <w:r>
        <w:rPr>
          <w:rFonts w:ascii="Times New Roman" w:eastAsia="Times New Roman"/>
        </w:rPr>
        <w:t xml:space="preserve">HJ 75 </w:t>
      </w:r>
      <w:r>
        <w:rPr>
          <w:spacing w:val="-5"/>
        </w:rPr>
        <w:t>执行。</w:t>
      </w:r>
    </w:p>
    <w:p>
      <w:pPr>
        <w:pStyle w:val="BodyText"/>
        <w:spacing w:before="6"/>
        <w:rPr>
          <w:sz w:val="24"/>
        </w:rPr>
      </w:pPr>
    </w:p>
    <w:p>
      <w:pPr>
        <w:pStyle w:val="ListParagraph"/>
        <w:numPr>
          <w:ilvl w:val="0"/>
          <w:numId w:val="14"/>
        </w:numPr>
        <w:tabs>
          <w:tab w:val="left" w:pos="713"/>
          <w:tab w:val="left" w:pos="714"/>
        </w:tabs>
        <w:spacing w:before="0" w:after="0" w:line="240" w:lineRule="auto"/>
        <w:ind w:left="713" w:right="0" w:hanging="316"/>
        <w:jc w:val="left"/>
        <w:rPr>
          <w:rFonts w:ascii="黑体" w:eastAsia="黑体" w:hint="eastAsia"/>
          <w:sz w:val="21"/>
        </w:rPr>
      </w:pPr>
      <w:bookmarkStart w:id="6" w:name="_bookmark6"/>
      <w:bookmarkEnd w:id="6"/>
      <w:r>
        <w:rPr>
          <w:rFonts w:ascii="黑体" w:eastAsia="黑体" w:hint="eastAsia"/>
          <w:sz w:val="21"/>
        </w:rPr>
        <w:t>NMH</w:t>
      </w:r>
      <w:r>
        <w:rPr>
          <w:rFonts w:ascii="黑体" w:eastAsia="黑体" w:hint="eastAsia"/>
          <w:sz w:val="21"/>
        </w:rPr>
        <w:t>C-CEMS</w:t>
      </w:r>
      <w:r>
        <w:rPr>
          <w:rFonts w:ascii="黑体" w:eastAsia="黑体" w:hint="eastAsia"/>
          <w:spacing w:val="-19"/>
          <w:sz w:val="21"/>
        </w:rPr>
        <w:t xml:space="preserve"> 安装</w:t>
      </w:r>
    </w:p>
    <w:p>
      <w:pPr>
        <w:pStyle w:val="BodyText"/>
        <w:spacing w:before="12"/>
        <w:rPr>
          <w:rFonts w:ascii="黑体"/>
        </w:rPr>
      </w:pPr>
    </w:p>
    <w:p>
      <w:pPr>
        <w:spacing w:before="76"/>
        <w:ind w:left="408" w:right="0" w:firstLine="0"/>
        <w:jc w:val="left"/>
        <w:rPr>
          <w:rFonts w:ascii="黑体" w:eastAsia="黑体" w:hint="eastAsia"/>
          <w:sz w:val="21"/>
        </w:rPr>
      </w:pPr>
      <w:r>
        <w:drawing>
          <wp:inline distT="0" distB="0" distL="0" distR="0">
            <wp:extent cx="172131" cy="95794"/>
            <wp:effectExtent l="0" t="0" r="0" b="0"/>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png"/>
                    <pic:cNvPicPr/>
                  </pic:nvPicPr>
                  <pic:blipFill>
                    <a:blip xmlns:r="http://schemas.openxmlformats.org/officeDocument/2006/relationships" r:embed="rId38" cstate="print"/>
                    <a:stretch>
                      <a:fillRect/>
                    </a:stretch>
                  </pic:blipFill>
                  <pic:spPr>
                    <a:xfrm>
                      <a:off x="0" y="0"/>
                      <a:ext cx="172131" cy="9579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5"/>
          <w:sz w:val="20"/>
        </w:rPr>
        <w:t xml:space="preserve"> </w:t>
      </w:r>
      <w:r>
        <w:rPr>
          <w:rFonts w:ascii="黑体" w:eastAsia="黑体" w:hint="eastAsia"/>
          <w:spacing w:val="-2"/>
          <w:sz w:val="21"/>
        </w:rPr>
        <w:t>测定位置要求</w:t>
      </w:r>
    </w:p>
    <w:p>
      <w:pPr>
        <w:pStyle w:val="BodyText"/>
        <w:spacing w:before="8"/>
        <w:rPr>
          <w:rFonts w:ascii="黑体"/>
          <w:sz w:val="9"/>
        </w:rPr>
      </w:pPr>
    </w:p>
    <w:p>
      <w:pPr>
        <w:pStyle w:val="ListParagraph"/>
        <w:numPr>
          <w:ilvl w:val="2"/>
          <w:numId w:val="13"/>
        </w:numPr>
        <w:tabs>
          <w:tab w:val="left" w:pos="1133"/>
          <w:tab w:val="left" w:pos="1134"/>
        </w:tabs>
        <w:spacing w:before="71" w:after="0" w:line="278" w:lineRule="auto"/>
        <w:ind w:left="398" w:right="300" w:firstLine="0"/>
        <w:jc w:val="left"/>
        <w:rPr>
          <w:sz w:val="21"/>
        </w:rPr>
      </w:pPr>
      <w:r>
        <w:drawing>
          <wp:anchor distT="0" distB="0" distL="0" distR="0" simplePos="0" relativeHeight="251677696" behindDoc="0" locked="0" layoutInCell="1" allowOverlap="1">
            <wp:simplePos x="0" y="0"/>
            <wp:positionH relativeFrom="page">
              <wp:posOffset>1512112</wp:posOffset>
            </wp:positionH>
            <wp:positionV relativeFrom="paragraph">
              <wp:posOffset>2481</wp:posOffset>
            </wp:positionV>
            <wp:extent cx="4536320" cy="4536320"/>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rPr>
          <w:spacing w:val="-5"/>
          <w:sz w:val="21"/>
        </w:rPr>
        <w:t xml:space="preserve">测定位置应位于固定污染源排放控制设备的下游和比对监测断面上游，烟道振动幅度尽可能小， </w:t>
      </w:r>
      <w:r>
        <w:rPr>
          <w:spacing w:val="-8"/>
          <w:sz w:val="21"/>
        </w:rPr>
        <w:t>不受环境光线和电磁辐射的影响，安装位置不漏风。</w:t>
      </w:r>
    </w:p>
    <w:p>
      <w:pPr>
        <w:pStyle w:val="ListParagraph"/>
        <w:numPr>
          <w:ilvl w:val="2"/>
          <w:numId w:val="13"/>
        </w:numPr>
        <w:tabs>
          <w:tab w:val="left" w:pos="1133"/>
          <w:tab w:val="left" w:pos="1134"/>
        </w:tabs>
        <w:spacing w:before="1" w:after="0" w:line="278" w:lineRule="auto"/>
        <w:ind w:left="398" w:right="304" w:firstLine="0"/>
        <w:jc w:val="left"/>
        <w:rPr>
          <w:sz w:val="21"/>
        </w:rPr>
      </w:pPr>
      <w:r>
        <w:rPr>
          <w:spacing w:val="-13"/>
          <w:sz w:val="21"/>
        </w:rPr>
        <w:t xml:space="preserve">测定位置应尽量避开废气中水滴和水雾的干扰，如不能避开，应选用能够适用的检测探头及仪器， </w:t>
      </w:r>
      <w:r>
        <w:rPr>
          <w:spacing w:val="-8"/>
          <w:sz w:val="21"/>
        </w:rPr>
        <w:t>取样探头向下一定倾斜角度，防止冷凝水吸入。</w:t>
      </w:r>
    </w:p>
    <w:p>
      <w:pPr>
        <w:pStyle w:val="ListParagraph"/>
        <w:numPr>
          <w:ilvl w:val="2"/>
          <w:numId w:val="13"/>
        </w:numPr>
        <w:tabs>
          <w:tab w:val="left" w:pos="1133"/>
          <w:tab w:val="left" w:pos="1134"/>
        </w:tabs>
        <w:spacing w:before="0" w:after="0" w:line="269" w:lineRule="exact"/>
        <w:ind w:left="1133" w:right="0" w:hanging="736"/>
        <w:jc w:val="left"/>
        <w:rPr>
          <w:sz w:val="21"/>
        </w:rPr>
      </w:pPr>
      <w:r>
        <w:rPr>
          <w:spacing w:val="-8"/>
          <w:sz w:val="21"/>
        </w:rPr>
        <w:t>测定位置应优先选择在垂直管段和烟道负压区域，确保所采集样品的代表性。</w:t>
      </w:r>
    </w:p>
    <w:p>
      <w:pPr>
        <w:pStyle w:val="ListParagraph"/>
        <w:numPr>
          <w:ilvl w:val="2"/>
          <w:numId w:val="13"/>
        </w:numPr>
        <w:tabs>
          <w:tab w:val="left" w:pos="1134"/>
        </w:tabs>
        <w:spacing w:before="43" w:after="0" w:line="278" w:lineRule="auto"/>
        <w:ind w:left="398" w:right="406" w:firstLine="0"/>
        <w:jc w:val="both"/>
        <w:rPr>
          <w:sz w:val="21"/>
        </w:rPr>
      </w:pPr>
      <w:r>
        <w:rPr>
          <w:spacing w:val="-13"/>
          <w:sz w:val="21"/>
        </w:rPr>
        <w:t xml:space="preserve">测定位置应避开烟道弯头和断面急剧变化的部位。对于圆形烟道，流速 </w:t>
      </w:r>
      <w:r>
        <w:rPr>
          <w:rFonts w:ascii="Times New Roman" w:eastAsia="Times New Roman" w:hAnsi="Times New Roman"/>
          <w:spacing w:val="-3"/>
          <w:sz w:val="21"/>
        </w:rPr>
        <w:t>CMS</w:t>
      </w:r>
      <w:r>
        <w:rPr>
          <w:rFonts w:ascii="Times New Roman" w:eastAsia="Times New Roman" w:hAnsi="Times New Roman"/>
          <w:spacing w:val="12"/>
          <w:sz w:val="21"/>
        </w:rPr>
        <w:t xml:space="preserve"> </w:t>
      </w:r>
      <w:r>
        <w:rPr>
          <w:spacing w:val="-9"/>
          <w:sz w:val="21"/>
        </w:rPr>
        <w:t>应设置在距弯头、阀</w:t>
      </w:r>
      <w:r>
        <w:rPr>
          <w:spacing w:val="-7"/>
          <w:sz w:val="21"/>
        </w:rPr>
        <w:t>门、变径管下游方向≥</w:t>
      </w:r>
      <w:r>
        <w:rPr>
          <w:rFonts w:ascii="Times New Roman" w:eastAsia="Times New Roman" w:hAnsi="Times New Roman"/>
          <w:sz w:val="21"/>
        </w:rPr>
        <w:t>4</w:t>
      </w:r>
      <w:r>
        <w:rPr>
          <w:rFonts w:ascii="Times New Roman" w:eastAsia="Times New Roman" w:hAnsi="Times New Roman"/>
          <w:spacing w:val="18"/>
          <w:sz w:val="21"/>
        </w:rPr>
        <w:t xml:space="preserve"> </w:t>
      </w:r>
      <w:r>
        <w:rPr>
          <w:spacing w:val="-6"/>
          <w:sz w:val="21"/>
        </w:rPr>
        <w:t>倍烟道直径，以及距上述部件上游方向≥</w:t>
      </w:r>
      <w:r>
        <w:rPr>
          <w:rFonts w:ascii="Times New Roman" w:eastAsia="Times New Roman" w:hAnsi="Times New Roman"/>
          <w:sz w:val="21"/>
        </w:rPr>
        <w:t>2</w:t>
      </w:r>
      <w:r>
        <w:rPr>
          <w:rFonts w:ascii="Times New Roman" w:eastAsia="Times New Roman" w:hAnsi="Times New Roman"/>
          <w:spacing w:val="14"/>
          <w:sz w:val="21"/>
        </w:rPr>
        <w:t xml:space="preserve"> </w:t>
      </w:r>
      <w:r>
        <w:rPr>
          <w:spacing w:val="-4"/>
          <w:sz w:val="21"/>
        </w:rPr>
        <w:t>倍烟道直径处；</w:t>
      </w:r>
      <w:r>
        <w:rPr>
          <w:rFonts w:ascii="Times New Roman" w:eastAsia="Times New Roman" w:hAnsi="Times New Roman"/>
          <w:spacing w:val="-4"/>
          <w:sz w:val="21"/>
        </w:rPr>
        <w:t>NMHC-CEMS</w:t>
      </w:r>
      <w:r>
        <w:rPr>
          <w:rFonts w:ascii="Times New Roman" w:eastAsia="Times New Roman" w:hAnsi="Times New Roman"/>
          <w:spacing w:val="15"/>
          <w:sz w:val="21"/>
        </w:rPr>
        <w:t xml:space="preserve"> </w:t>
      </w:r>
      <w:r>
        <w:rPr>
          <w:spacing w:val="-3"/>
          <w:sz w:val="21"/>
        </w:rPr>
        <w:t>应设置在距弯头、阀门、变径管下游方向≥</w:t>
      </w:r>
      <w:r>
        <w:rPr>
          <w:rFonts w:ascii="Times New Roman" w:eastAsia="Times New Roman" w:hAnsi="Times New Roman"/>
          <w:sz w:val="21"/>
        </w:rPr>
        <w:t>2</w:t>
      </w:r>
      <w:r>
        <w:rPr>
          <w:rFonts w:ascii="Times New Roman" w:eastAsia="Times New Roman" w:hAnsi="Times New Roman"/>
          <w:spacing w:val="7"/>
          <w:sz w:val="21"/>
        </w:rPr>
        <w:t xml:space="preserve"> </w:t>
      </w:r>
      <w:r>
        <w:rPr>
          <w:spacing w:val="-3"/>
          <w:sz w:val="21"/>
        </w:rPr>
        <w:t>倍烟道直径，以及距上述部件上游方向≥</w:t>
      </w:r>
      <w:r>
        <w:rPr>
          <w:rFonts w:ascii="Times New Roman" w:eastAsia="Times New Roman" w:hAnsi="Times New Roman"/>
          <w:sz w:val="21"/>
        </w:rPr>
        <w:t>0.5</w:t>
      </w:r>
      <w:r>
        <w:rPr>
          <w:rFonts w:ascii="Times New Roman" w:eastAsia="Times New Roman" w:hAnsi="Times New Roman"/>
          <w:spacing w:val="10"/>
          <w:sz w:val="21"/>
        </w:rPr>
        <w:t xml:space="preserve"> </w:t>
      </w:r>
      <w:r>
        <w:rPr>
          <w:spacing w:val="-10"/>
          <w:sz w:val="21"/>
        </w:rPr>
        <w:t>倍烟道直径处。</w:t>
      </w:r>
    </w:p>
    <w:p>
      <w:pPr>
        <w:pStyle w:val="ListParagraph"/>
        <w:numPr>
          <w:ilvl w:val="2"/>
          <w:numId w:val="13"/>
        </w:numPr>
        <w:tabs>
          <w:tab w:val="left" w:pos="1134"/>
        </w:tabs>
        <w:spacing w:before="0" w:after="0" w:line="278" w:lineRule="auto"/>
        <w:ind w:left="398" w:right="404" w:firstLine="0"/>
        <w:jc w:val="both"/>
        <w:rPr>
          <w:sz w:val="21"/>
        </w:rPr>
      </w:pPr>
      <w:r>
        <w:rPr>
          <w:spacing w:val="-2"/>
          <w:sz w:val="21"/>
        </w:rPr>
        <w:t xml:space="preserve">一个排气筒安装一套 </w:t>
      </w:r>
      <w:r>
        <w:rPr>
          <w:rFonts w:ascii="Times New Roman" w:eastAsia="Times New Roman"/>
          <w:spacing w:val="-3"/>
          <w:sz w:val="21"/>
        </w:rPr>
        <w:t>NMHC-CEMS</w:t>
      </w:r>
      <w:r>
        <w:rPr>
          <w:spacing w:val="-5"/>
          <w:sz w:val="21"/>
        </w:rPr>
        <w:t>。若一个固定污染源排气先通过多个烟道或管道后进入该固</w:t>
      </w:r>
      <w:r>
        <w:rPr>
          <w:spacing w:val="-4"/>
          <w:sz w:val="21"/>
        </w:rPr>
        <w:t xml:space="preserve">定污染源的总排气管时，应将 </w:t>
      </w:r>
      <w:r>
        <w:rPr>
          <w:rFonts w:ascii="Times New Roman" w:eastAsia="Times New Roman"/>
          <w:spacing w:val="-3"/>
          <w:sz w:val="21"/>
        </w:rPr>
        <w:t>NMHC-CEMS</w:t>
      </w:r>
      <w:r>
        <w:rPr>
          <w:rFonts w:ascii="Times New Roman" w:eastAsia="Times New Roman"/>
          <w:spacing w:val="21"/>
          <w:sz w:val="21"/>
        </w:rPr>
        <w:t xml:space="preserve"> </w:t>
      </w:r>
      <w:r>
        <w:rPr>
          <w:spacing w:val="-5"/>
          <w:sz w:val="21"/>
        </w:rPr>
        <w:t>安装在总排气管上；否则每个烟道或管道上都要分别安装</w:t>
      </w:r>
      <w:r>
        <w:rPr>
          <w:rFonts w:ascii="Times New Roman" w:eastAsia="Times New Roman"/>
          <w:spacing w:val="-3"/>
          <w:sz w:val="21"/>
        </w:rPr>
        <w:t>NMHC-CEMS</w:t>
      </w:r>
      <w:r>
        <w:rPr>
          <w:sz w:val="21"/>
        </w:rPr>
        <w:t>。</w:t>
      </w:r>
    </w:p>
    <w:p>
      <w:pPr>
        <w:pStyle w:val="ListParagraph"/>
        <w:numPr>
          <w:ilvl w:val="2"/>
          <w:numId w:val="13"/>
        </w:numPr>
        <w:tabs>
          <w:tab w:val="left" w:pos="1134"/>
        </w:tabs>
        <w:spacing w:before="0" w:after="0" w:line="278" w:lineRule="auto"/>
        <w:ind w:left="398" w:right="406" w:firstLine="0"/>
        <w:jc w:val="both"/>
        <w:rPr>
          <w:sz w:val="21"/>
        </w:rPr>
      </w:pPr>
      <w:r>
        <w:rPr>
          <w:spacing w:val="-16"/>
          <w:sz w:val="21"/>
        </w:rPr>
        <w:t xml:space="preserve">对于新建排放源，采样平台应与排气装置同步设计、同步建设，确保采样断面满足本文件 </w:t>
      </w:r>
      <w:r>
        <w:rPr>
          <w:rFonts w:ascii="Times New Roman" w:eastAsia="Times New Roman"/>
          <w:sz w:val="21"/>
        </w:rPr>
        <w:t>6.1.4</w:t>
      </w:r>
      <w:r>
        <w:rPr>
          <w:rFonts w:ascii="Times New Roman" w:eastAsia="Times New Roman"/>
          <w:spacing w:val="18"/>
          <w:sz w:val="21"/>
        </w:rPr>
        <w:t xml:space="preserve"> </w:t>
      </w:r>
      <w:r>
        <w:rPr>
          <w:sz w:val="21"/>
        </w:rPr>
        <w:t>要</w:t>
      </w:r>
      <w:r>
        <w:rPr>
          <w:spacing w:val="-4"/>
          <w:sz w:val="21"/>
        </w:rPr>
        <w:t xml:space="preserve">求；对于现有排放源无法找到满足 </w:t>
      </w:r>
      <w:r>
        <w:rPr>
          <w:rFonts w:ascii="Times New Roman" w:eastAsia="Times New Roman"/>
          <w:sz w:val="21"/>
        </w:rPr>
        <w:t>6.1.4</w:t>
      </w:r>
      <w:r>
        <w:rPr>
          <w:rFonts w:ascii="Times New Roman" w:eastAsia="Times New Roman"/>
          <w:spacing w:val="41"/>
          <w:sz w:val="21"/>
        </w:rPr>
        <w:t xml:space="preserve"> </w:t>
      </w:r>
      <w:r>
        <w:rPr>
          <w:spacing w:val="-4"/>
          <w:sz w:val="21"/>
        </w:rPr>
        <w:t xml:space="preserve">的采样位置时，应尽可能选择在气流稳定的断面安装 </w:t>
      </w:r>
      <w:r>
        <w:rPr>
          <w:rFonts w:ascii="Times New Roman" w:eastAsia="Times New Roman"/>
          <w:sz w:val="21"/>
        </w:rPr>
        <w:t>NMHC- CEMS</w:t>
      </w:r>
      <w:r>
        <w:rPr>
          <w:rFonts w:ascii="Times New Roman" w:eastAsia="Times New Roman"/>
          <w:spacing w:val="1"/>
          <w:sz w:val="21"/>
        </w:rPr>
        <w:t xml:space="preserve"> </w:t>
      </w:r>
      <w:r>
        <w:rPr>
          <w:spacing w:val="-3"/>
          <w:sz w:val="21"/>
        </w:rPr>
        <w:t>采样或分析探头，并采取相应措施保证监测断面烟气分布相对均匀，断面无紊流。</w:t>
      </w:r>
    </w:p>
    <w:p>
      <w:pPr>
        <w:pStyle w:val="ListParagraph"/>
        <w:numPr>
          <w:ilvl w:val="2"/>
          <w:numId w:val="13"/>
        </w:numPr>
        <w:tabs>
          <w:tab w:val="left" w:pos="1134"/>
        </w:tabs>
        <w:spacing w:before="0" w:after="0" w:line="240" w:lineRule="auto"/>
        <w:ind w:left="1133" w:right="0" w:hanging="736"/>
        <w:jc w:val="both"/>
        <w:rPr>
          <w:sz w:val="21"/>
        </w:rPr>
      </w:pPr>
      <w:r>
        <w:rPr>
          <w:spacing w:val="6"/>
          <w:sz w:val="21"/>
        </w:rPr>
        <w:t>其他要求按照</w:t>
      </w:r>
      <w:r>
        <w:rPr>
          <w:rFonts w:ascii="Times New Roman" w:eastAsia="Times New Roman"/>
          <w:sz w:val="21"/>
        </w:rPr>
        <w:t>HJ</w:t>
      </w:r>
      <w:r>
        <w:rPr>
          <w:rFonts w:ascii="Times New Roman" w:eastAsia="Times New Roman"/>
          <w:spacing w:val="1"/>
          <w:sz w:val="21"/>
        </w:rPr>
        <w:t xml:space="preserve"> </w:t>
      </w:r>
      <w:r>
        <w:rPr>
          <w:rFonts w:ascii="Times New Roman" w:eastAsia="Times New Roman"/>
          <w:sz w:val="21"/>
        </w:rPr>
        <w:t xml:space="preserve">75 </w:t>
      </w:r>
      <w:r>
        <w:rPr>
          <w:spacing w:val="-3"/>
          <w:sz w:val="21"/>
        </w:rPr>
        <w:t>执行。</w:t>
      </w:r>
    </w:p>
    <w:p>
      <w:pPr>
        <w:pStyle w:val="BodyText"/>
        <w:spacing w:before="11"/>
        <w:rPr>
          <w:sz w:val="9"/>
        </w:rPr>
      </w:pPr>
    </w:p>
    <w:p>
      <w:pPr>
        <w:spacing w:before="75"/>
        <w:ind w:left="408" w:right="0" w:firstLine="0"/>
        <w:jc w:val="left"/>
        <w:rPr>
          <w:rFonts w:ascii="黑体" w:eastAsia="黑体" w:hint="eastAsia"/>
          <w:sz w:val="21"/>
        </w:rPr>
      </w:pPr>
      <w:r>
        <w:drawing>
          <wp:inline distT="0" distB="0" distL="0" distR="0">
            <wp:extent cx="190427" cy="95794"/>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png"/>
                    <pic:cNvPicPr/>
                  </pic:nvPicPr>
                  <pic:blipFill>
                    <a:blip xmlns:r="http://schemas.openxmlformats.org/officeDocument/2006/relationships" r:embed="rId39" cstate="print"/>
                    <a:stretch>
                      <a:fillRect/>
                    </a:stretch>
                  </pic:blipFill>
                  <pic:spPr>
                    <a:xfrm>
                      <a:off x="0" y="0"/>
                      <a:ext cx="190427" cy="9579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6"/>
          <w:sz w:val="20"/>
        </w:rPr>
        <w:t xml:space="preserve"> </w:t>
      </w:r>
      <w:r>
        <w:rPr>
          <w:rFonts w:ascii="黑体" w:eastAsia="黑体" w:hint="eastAsia"/>
          <w:spacing w:val="-2"/>
          <w:sz w:val="21"/>
        </w:rPr>
        <w:t>安装施工要求</w:t>
      </w:r>
    </w:p>
    <w:p>
      <w:pPr>
        <w:pStyle w:val="BodyText"/>
        <w:spacing w:before="8"/>
        <w:rPr>
          <w:rFonts w:ascii="黑体"/>
          <w:sz w:val="9"/>
        </w:rPr>
      </w:pPr>
    </w:p>
    <w:p>
      <w:pPr>
        <w:pStyle w:val="ListParagraph"/>
        <w:numPr>
          <w:ilvl w:val="2"/>
          <w:numId w:val="12"/>
        </w:numPr>
        <w:tabs>
          <w:tab w:val="left" w:pos="1134"/>
        </w:tabs>
        <w:spacing w:before="72" w:after="0" w:line="278" w:lineRule="auto"/>
        <w:ind w:left="398" w:right="404" w:firstLine="0"/>
        <w:jc w:val="both"/>
        <w:rPr>
          <w:sz w:val="21"/>
        </w:rPr>
      </w:pPr>
      <w:r>
        <w:rPr>
          <w:spacing w:val="-11"/>
          <w:sz w:val="21"/>
        </w:rPr>
        <w:t>设置采样或监测平台时，应易于人员和监测仪器到达，有足够的工作空间，安全且便于操作；采</w:t>
      </w:r>
      <w:r>
        <w:rPr>
          <w:spacing w:val="-7"/>
          <w:sz w:val="21"/>
        </w:rPr>
        <w:t>样平台应牢固，并有符合要求的安全措施。</w:t>
      </w:r>
    </w:p>
    <w:p>
      <w:pPr>
        <w:pStyle w:val="ListParagraph"/>
        <w:numPr>
          <w:ilvl w:val="2"/>
          <w:numId w:val="12"/>
        </w:numPr>
        <w:tabs>
          <w:tab w:val="left" w:pos="1134"/>
        </w:tabs>
        <w:spacing w:before="0" w:after="0" w:line="278" w:lineRule="auto"/>
        <w:ind w:left="398" w:right="407" w:firstLine="0"/>
        <w:jc w:val="both"/>
        <w:rPr>
          <w:sz w:val="21"/>
        </w:rPr>
      </w:pPr>
      <w:r>
        <w:rPr>
          <w:spacing w:val="-8"/>
          <w:sz w:val="21"/>
        </w:rPr>
        <w:t xml:space="preserve">样品传输管线应具备稳定、均匀加热和保温的功能，其加热温度应保证 </w:t>
      </w:r>
      <w:r>
        <w:rPr>
          <w:rFonts w:ascii="Times New Roman" w:eastAsia="Times New Roman" w:hAnsi="Times New Roman"/>
          <w:spacing w:val="-4"/>
          <w:sz w:val="21"/>
        </w:rPr>
        <w:t>120</w:t>
      </w:r>
      <w:r>
        <w:rPr>
          <w:spacing w:val="-5"/>
          <w:sz w:val="21"/>
        </w:rPr>
        <w:t>℃以上，加热温度值</w:t>
      </w:r>
      <w:r>
        <w:rPr>
          <w:spacing w:val="-13"/>
          <w:sz w:val="21"/>
        </w:rPr>
        <w:t>应能够在机柜或系统软件中显示查询。废气中含强腐蚀性气体时，样品经过的器件或管路应选用耐腐蚀性材料。</w:t>
      </w:r>
    </w:p>
    <w:p>
      <w:pPr>
        <w:pStyle w:val="ListParagraph"/>
        <w:numPr>
          <w:ilvl w:val="2"/>
          <w:numId w:val="12"/>
        </w:numPr>
        <w:tabs>
          <w:tab w:val="left" w:pos="1133"/>
          <w:tab w:val="left" w:pos="1134"/>
        </w:tabs>
        <w:spacing w:before="0" w:after="0" w:line="278" w:lineRule="auto"/>
        <w:ind w:left="398" w:right="301" w:firstLine="0"/>
        <w:jc w:val="left"/>
        <w:rPr>
          <w:sz w:val="21"/>
        </w:rPr>
      </w:pPr>
      <w:r>
        <w:rPr>
          <w:spacing w:val="-5"/>
          <w:sz w:val="21"/>
        </w:rPr>
        <w:t xml:space="preserve">各连接管路、法兰、阀门封口垫圈应牢固完整，均不得有漏气、漏水现象。保持所有管路畅通， </w:t>
      </w:r>
      <w:r>
        <w:rPr>
          <w:spacing w:val="-7"/>
          <w:sz w:val="21"/>
        </w:rPr>
        <w:t>保证气路阀门、排水系统畅通和启闭灵活。</w:t>
      </w:r>
      <w:r>
        <w:rPr>
          <w:rFonts w:ascii="Times New Roman" w:eastAsia="Times New Roman"/>
          <w:spacing w:val="-4"/>
          <w:sz w:val="21"/>
        </w:rPr>
        <w:t>NMHC-CEMS</w:t>
      </w:r>
      <w:r>
        <w:rPr>
          <w:rFonts w:ascii="Times New Roman" w:eastAsia="Times New Roman"/>
          <w:spacing w:val="12"/>
          <w:sz w:val="21"/>
        </w:rPr>
        <w:t xml:space="preserve"> </w:t>
      </w:r>
      <w:r>
        <w:rPr>
          <w:spacing w:val="-13"/>
          <w:sz w:val="21"/>
        </w:rPr>
        <w:t xml:space="preserve">空载运行 </w:t>
      </w:r>
      <w:r>
        <w:rPr>
          <w:rFonts w:ascii="Times New Roman" w:eastAsia="Times New Roman"/>
          <w:sz w:val="21"/>
        </w:rPr>
        <w:t>24h</w:t>
      </w:r>
      <w:r>
        <w:rPr>
          <w:rFonts w:ascii="Times New Roman" w:eastAsia="Times New Roman"/>
          <w:spacing w:val="10"/>
          <w:sz w:val="21"/>
        </w:rPr>
        <w:t xml:space="preserve"> </w:t>
      </w:r>
      <w:r>
        <w:rPr>
          <w:spacing w:val="-8"/>
          <w:sz w:val="21"/>
        </w:rPr>
        <w:t>后，管路不得出现脱落、渗漏和</w:t>
      </w:r>
      <w:r>
        <w:rPr>
          <w:spacing w:val="-5"/>
          <w:sz w:val="21"/>
        </w:rPr>
        <w:t>振动强烈现象。</w:t>
      </w:r>
    </w:p>
    <w:p>
      <w:pPr>
        <w:pStyle w:val="ListParagraph"/>
        <w:numPr>
          <w:ilvl w:val="2"/>
          <w:numId w:val="12"/>
        </w:numPr>
        <w:tabs>
          <w:tab w:val="left" w:pos="1133"/>
          <w:tab w:val="left" w:pos="1134"/>
        </w:tabs>
        <w:spacing w:before="0" w:after="0" w:line="240" w:lineRule="auto"/>
        <w:ind w:left="1133" w:right="0" w:hanging="736"/>
        <w:jc w:val="left"/>
        <w:rPr>
          <w:sz w:val="21"/>
        </w:rPr>
      </w:pPr>
      <w:r>
        <w:rPr>
          <w:spacing w:val="-10"/>
          <w:sz w:val="21"/>
        </w:rPr>
        <w:t xml:space="preserve">反吹气应为干燥清洁气体；反吹系统应进行耐压强度试验，试验压力为常用工作压力的 </w:t>
      </w:r>
      <w:r>
        <w:rPr>
          <w:rFonts w:ascii="Times New Roman" w:eastAsia="Times New Roman"/>
          <w:sz w:val="21"/>
        </w:rPr>
        <w:t>1.5</w:t>
      </w:r>
      <w:r>
        <w:rPr>
          <w:rFonts w:ascii="Times New Roman" w:eastAsia="Times New Roman"/>
          <w:spacing w:val="-1"/>
          <w:sz w:val="21"/>
        </w:rPr>
        <w:t xml:space="preserve"> </w:t>
      </w:r>
      <w:r>
        <w:rPr>
          <w:spacing w:val="-5"/>
          <w:sz w:val="21"/>
        </w:rPr>
        <w:t>倍。</w:t>
      </w:r>
    </w:p>
    <w:p>
      <w:pPr>
        <w:pStyle w:val="ListParagraph"/>
        <w:numPr>
          <w:ilvl w:val="2"/>
          <w:numId w:val="12"/>
        </w:numPr>
        <w:tabs>
          <w:tab w:val="left" w:pos="1133"/>
          <w:tab w:val="left" w:pos="1134"/>
        </w:tabs>
        <w:spacing w:before="43" w:after="0" w:line="240" w:lineRule="auto"/>
        <w:ind w:left="1133" w:right="0" w:hanging="736"/>
        <w:jc w:val="left"/>
        <w:rPr>
          <w:sz w:val="21"/>
        </w:rPr>
      </w:pPr>
      <w:r>
        <w:rPr>
          <w:spacing w:val="-7"/>
          <w:sz w:val="21"/>
        </w:rPr>
        <w:t>应进行管路气体流向标识。</w:t>
      </w:r>
    </w:p>
    <w:p>
      <w:pPr>
        <w:pStyle w:val="ListParagraph"/>
        <w:numPr>
          <w:ilvl w:val="2"/>
          <w:numId w:val="12"/>
        </w:numPr>
        <w:tabs>
          <w:tab w:val="left" w:pos="1133"/>
          <w:tab w:val="left" w:pos="1134"/>
        </w:tabs>
        <w:spacing w:before="43" w:after="0" w:line="240" w:lineRule="auto"/>
        <w:ind w:left="1133" w:right="0" w:hanging="736"/>
        <w:jc w:val="left"/>
        <w:rPr>
          <w:sz w:val="21"/>
        </w:rPr>
      </w:pPr>
      <w:r>
        <w:rPr>
          <w:spacing w:val="6"/>
          <w:sz w:val="21"/>
        </w:rPr>
        <w:t>其他要求按照</w:t>
      </w:r>
      <w:r>
        <w:rPr>
          <w:rFonts w:ascii="Times New Roman" w:eastAsia="Times New Roman"/>
          <w:sz w:val="21"/>
        </w:rPr>
        <w:t>HJ</w:t>
      </w:r>
      <w:r>
        <w:rPr>
          <w:rFonts w:ascii="Times New Roman" w:eastAsia="Times New Roman"/>
          <w:spacing w:val="5"/>
          <w:sz w:val="21"/>
        </w:rPr>
        <w:t xml:space="preserve"> </w:t>
      </w:r>
      <w:r>
        <w:rPr>
          <w:rFonts w:ascii="Times New Roman" w:eastAsia="Times New Roman"/>
          <w:sz w:val="21"/>
        </w:rPr>
        <w:t>75</w:t>
      </w:r>
      <w:r>
        <w:rPr>
          <w:rFonts w:ascii="Times New Roman" w:eastAsia="Times New Roman"/>
          <w:spacing w:val="4"/>
          <w:sz w:val="21"/>
        </w:rPr>
        <w:t xml:space="preserve"> </w:t>
      </w:r>
      <w:r>
        <w:rPr>
          <w:spacing w:val="-3"/>
          <w:sz w:val="21"/>
        </w:rPr>
        <w:t>执行。</w:t>
      </w:r>
    </w:p>
    <w:p>
      <w:pPr>
        <w:pStyle w:val="BodyText"/>
        <w:spacing w:before="11"/>
        <w:rPr>
          <w:sz w:val="27"/>
        </w:rPr>
      </w:pPr>
    </w:p>
    <w:p>
      <w:pPr>
        <w:pStyle w:val="ListParagraph"/>
        <w:numPr>
          <w:ilvl w:val="0"/>
          <w:numId w:val="14"/>
        </w:numPr>
        <w:tabs>
          <w:tab w:val="left" w:pos="713"/>
          <w:tab w:val="left" w:pos="714"/>
        </w:tabs>
        <w:spacing w:before="0" w:after="0" w:line="240" w:lineRule="auto"/>
        <w:ind w:left="713" w:right="0" w:hanging="316"/>
        <w:jc w:val="left"/>
        <w:rPr>
          <w:rFonts w:ascii="黑体" w:eastAsia="黑体" w:hint="eastAsia"/>
          <w:sz w:val="21"/>
        </w:rPr>
      </w:pPr>
      <w:bookmarkStart w:id="7" w:name="_bookmark7"/>
      <w:bookmarkEnd w:id="7"/>
      <w:r>
        <w:rPr>
          <w:rFonts w:ascii="黑体" w:eastAsia="黑体" w:hint="eastAsia"/>
          <w:spacing w:val="-3"/>
          <w:sz w:val="21"/>
        </w:rPr>
        <w:t>技术指标调试检测</w:t>
      </w:r>
    </w:p>
    <w:p>
      <w:pPr>
        <w:spacing w:after="0" w:line="240" w:lineRule="auto"/>
        <w:jc w:val="left"/>
        <w:rPr>
          <w:rFonts w:ascii="黑体" w:eastAsia="黑体" w:hint="eastAsia"/>
          <w:sz w:val="21"/>
        </w:rPr>
        <w:sectPr>
          <w:headerReference w:type="even" r:id="rId40"/>
          <w:headerReference w:type="default" r:id="rId41"/>
          <w:footerReference w:type="even" r:id="rId42"/>
          <w:footerReference w:type="default" r:id="rId43"/>
          <w:pgSz w:w="11910" w:h="16840"/>
          <w:pgMar w:top="1640" w:right="720" w:bottom="1340" w:left="1020" w:header="1448" w:footer="1140"/>
          <w:pgNumType w:start="3"/>
          <w:cols w:space="708"/>
        </w:sectPr>
      </w:pPr>
    </w:p>
    <w:p>
      <w:pPr>
        <w:pStyle w:val="BodyText"/>
        <w:spacing w:before="7"/>
        <w:rPr>
          <w:rFonts w:ascii="黑体"/>
          <w:sz w:val="16"/>
        </w:rPr>
      </w:pPr>
    </w:p>
    <w:p>
      <w:pPr>
        <w:pStyle w:val="BodyText"/>
        <w:spacing w:before="79" w:line="278" w:lineRule="auto"/>
        <w:ind w:left="113" w:right="691" w:firstLine="525"/>
        <w:jc w:val="both"/>
      </w:pPr>
      <w:r>
        <w:drawing>
          <wp:anchor distT="0" distB="0" distL="0" distR="0" simplePos="0" relativeHeight="251681792" behindDoc="1" locked="0" layoutInCell="1" allowOverlap="1">
            <wp:simplePos x="0" y="0"/>
            <wp:positionH relativeFrom="page">
              <wp:posOffset>725504</wp:posOffset>
            </wp:positionH>
            <wp:positionV relativeFrom="paragraph">
              <wp:posOffset>90442</wp:posOffset>
            </wp:positionV>
            <wp:extent cx="172131" cy="94342"/>
            <wp:effectExtent l="0" t="0" r="0" b="0"/>
            <wp:wrapNone/>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png"/>
                    <pic:cNvPicPr/>
                  </pic:nvPicPr>
                  <pic:blipFill>
                    <a:blip xmlns:r="http://schemas.openxmlformats.org/officeDocument/2006/relationships" r:embed="rId44" cstate="print"/>
                    <a:stretch>
                      <a:fillRect/>
                    </a:stretch>
                  </pic:blipFill>
                  <pic:spPr>
                    <a:xfrm>
                      <a:off x="0" y="0"/>
                      <a:ext cx="172131" cy="94342"/>
                    </a:xfrm>
                    <a:prstGeom prst="rect">
                      <a:avLst/>
                    </a:prstGeom>
                  </pic:spPr>
                </pic:pic>
              </a:graphicData>
            </a:graphic>
          </wp:anchor>
        </w:drawing>
      </w:r>
      <w:r>
        <w:rPr>
          <w:spacing w:val="-7"/>
        </w:rPr>
        <w:t>调试检测的技术性能指标包括：</w:t>
      </w:r>
      <w:r>
        <w:rPr>
          <w:rFonts w:ascii="Times New Roman" w:eastAsia="Times New Roman"/>
          <w:spacing w:val="-3"/>
        </w:rPr>
        <w:t xml:space="preserve">NMHC </w:t>
      </w:r>
      <w:r>
        <w:rPr>
          <w:spacing w:val="-8"/>
        </w:rPr>
        <w:t>监测单元分析周期、</w:t>
      </w:r>
      <w:r>
        <w:rPr>
          <w:rFonts w:ascii="Times New Roman" w:eastAsia="Times New Roman"/>
        </w:rPr>
        <w:t xml:space="preserve">24h </w:t>
      </w:r>
      <w:r>
        <w:rPr>
          <w:spacing w:val="-6"/>
        </w:rPr>
        <w:t>零点漂移、</w:t>
      </w:r>
      <w:r>
        <w:rPr>
          <w:rFonts w:ascii="Times New Roman" w:eastAsia="Times New Roman"/>
          <w:spacing w:val="-3"/>
        </w:rPr>
        <w:t xml:space="preserve">24h </w:t>
      </w:r>
      <w:r>
        <w:rPr>
          <w:spacing w:val="-5"/>
        </w:rPr>
        <w:t>量程漂移、示值误</w:t>
      </w:r>
      <w:r>
        <w:rPr>
          <w:spacing w:val="-10"/>
        </w:rPr>
        <w:t xml:space="preserve">差、系统响应时间、正确度；氧气 </w:t>
      </w:r>
      <w:r>
        <w:rPr>
          <w:rFonts w:ascii="Times New Roman" w:eastAsia="Times New Roman"/>
        </w:rPr>
        <w:t xml:space="preserve">CMS 24h </w:t>
      </w:r>
      <w:r>
        <w:rPr>
          <w:spacing w:val="-6"/>
        </w:rPr>
        <w:t>零点漂移、</w:t>
      </w:r>
      <w:r>
        <w:rPr>
          <w:rFonts w:ascii="Times New Roman" w:eastAsia="Times New Roman"/>
        </w:rPr>
        <w:t xml:space="preserve">24h </w:t>
      </w:r>
      <w:r>
        <w:rPr>
          <w:spacing w:val="-8"/>
        </w:rPr>
        <w:t>量程漂移、示值误差、系统响应时间、正确</w:t>
      </w:r>
      <w:r>
        <w:rPr>
          <w:spacing w:val="-12"/>
        </w:rPr>
        <w:t xml:space="preserve">度；速度场系数精密度；温度 </w:t>
      </w:r>
      <w:r>
        <w:rPr>
          <w:rFonts w:ascii="Times New Roman" w:eastAsia="Times New Roman"/>
        </w:rPr>
        <w:t xml:space="preserve">CMS </w:t>
      </w:r>
      <w:r>
        <w:rPr>
          <w:spacing w:val="-13"/>
        </w:rPr>
        <w:t xml:space="preserve">正确度；湿度 </w:t>
      </w:r>
      <w:r>
        <w:rPr>
          <w:rFonts w:ascii="Times New Roman" w:eastAsia="Times New Roman"/>
          <w:spacing w:val="-3"/>
        </w:rPr>
        <w:t xml:space="preserve">CMS </w:t>
      </w:r>
      <w:r>
        <w:rPr>
          <w:spacing w:val="-5"/>
        </w:rPr>
        <w:t>正确度。</w:t>
      </w:r>
    </w:p>
    <w:p>
      <w:pPr>
        <w:pStyle w:val="BodyText"/>
        <w:spacing w:line="278" w:lineRule="auto"/>
        <w:ind w:left="113" w:right="690" w:firstLine="525"/>
        <w:jc w:val="both"/>
      </w:pPr>
      <w:r>
        <w:drawing>
          <wp:anchor distT="0" distB="0" distL="0" distR="0" simplePos="0" relativeHeight="251682816" behindDoc="1" locked="0" layoutInCell="1" allowOverlap="1">
            <wp:simplePos x="0" y="0"/>
            <wp:positionH relativeFrom="page">
              <wp:posOffset>725496</wp:posOffset>
            </wp:positionH>
            <wp:positionV relativeFrom="paragraph">
              <wp:posOffset>40276</wp:posOffset>
            </wp:positionV>
            <wp:extent cx="190427" cy="94342"/>
            <wp:effectExtent l="0" t="0" r="0" b="0"/>
            <wp:wrapNone/>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png"/>
                    <pic:cNvPicPr/>
                  </pic:nvPicPr>
                  <pic:blipFill>
                    <a:blip xmlns:r="http://schemas.openxmlformats.org/officeDocument/2006/relationships" r:embed="rId45" cstate="print"/>
                    <a:stretch>
                      <a:fillRect/>
                    </a:stretch>
                  </pic:blipFill>
                  <pic:spPr>
                    <a:xfrm>
                      <a:off x="0" y="0"/>
                      <a:ext cx="190427" cy="94342"/>
                    </a:xfrm>
                    <a:prstGeom prst="rect">
                      <a:avLst/>
                    </a:prstGeom>
                  </pic:spPr>
                </pic:pic>
              </a:graphicData>
            </a:graphic>
          </wp:anchor>
        </w:drawing>
      </w:r>
      <w:r>
        <w:rPr>
          <w:spacing w:val="-10"/>
        </w:rPr>
        <w:t xml:space="preserve">各技术指标的调试检测方法按附录 </w:t>
      </w:r>
      <w:r>
        <w:rPr>
          <w:rFonts w:ascii="Times New Roman" w:eastAsia="Times New Roman"/>
        </w:rPr>
        <w:t xml:space="preserve">B </w:t>
      </w:r>
      <w:r>
        <w:rPr>
          <w:spacing w:val="-13"/>
        </w:rPr>
        <w:t xml:space="preserve">进行，调试检测结果应达到本文件表 </w:t>
      </w:r>
      <w:r>
        <w:rPr>
          <w:rFonts w:ascii="Times New Roman" w:eastAsia="Times New Roman"/>
        </w:rPr>
        <w:t xml:space="preserve">B.2 </w:t>
      </w:r>
      <w:r>
        <w:rPr>
          <w:spacing w:val="-10"/>
        </w:rPr>
        <w:t>的要求，不满足本文</w:t>
      </w:r>
      <w:r>
        <w:rPr>
          <w:spacing w:val="-14"/>
        </w:rPr>
        <w:t xml:space="preserve">件技术指标要求时按附录 </w:t>
      </w:r>
      <w:r>
        <w:rPr>
          <w:rFonts w:ascii="Times New Roman" w:eastAsia="Times New Roman"/>
        </w:rPr>
        <w:t xml:space="preserve">C </w:t>
      </w:r>
      <w:r>
        <w:rPr>
          <w:spacing w:val="-10"/>
        </w:rPr>
        <w:t xml:space="preserve">处理，调试检测数据可参照附录 </w:t>
      </w:r>
      <w:r>
        <w:rPr>
          <w:rFonts w:ascii="Times New Roman" w:eastAsia="Times New Roman"/>
        </w:rPr>
        <w:t xml:space="preserve">D </w:t>
      </w:r>
      <w:r>
        <w:rPr>
          <w:spacing w:val="48"/>
        </w:rPr>
        <w:t>和</w:t>
      </w:r>
      <w:r>
        <w:rPr>
          <w:rFonts w:ascii="Times New Roman" w:eastAsia="Times New Roman"/>
        </w:rPr>
        <w:t xml:space="preserve">HJ </w:t>
      </w:r>
      <w:r>
        <w:rPr>
          <w:rFonts w:ascii="Times New Roman" w:eastAsia="Times New Roman"/>
          <w:spacing w:val="-3"/>
        </w:rPr>
        <w:t xml:space="preserve">1286 </w:t>
      </w:r>
      <w:r>
        <w:rPr>
          <w:spacing w:val="-8"/>
        </w:rPr>
        <w:t>记录，调试检测完成后编制调</w:t>
      </w:r>
      <w:r>
        <w:rPr>
          <w:spacing w:val="-11"/>
        </w:rPr>
        <w:t xml:space="preserve">试检测报告，报告的格式可参照 </w:t>
      </w:r>
      <w:r>
        <w:rPr>
          <w:rFonts w:ascii="Times New Roman" w:eastAsia="Times New Roman"/>
        </w:rPr>
        <w:t>HJ</w:t>
      </w:r>
      <w:r>
        <w:rPr>
          <w:rFonts w:ascii="Times New Roman" w:eastAsia="Times New Roman"/>
          <w:spacing w:val="-3"/>
        </w:rPr>
        <w:t xml:space="preserve"> 1286 </w:t>
      </w:r>
      <w:r>
        <w:rPr>
          <w:spacing w:val="-4"/>
        </w:rPr>
        <w:t>记录。</w:t>
      </w:r>
    </w:p>
    <w:p>
      <w:pPr>
        <w:pStyle w:val="BodyText"/>
        <w:spacing w:before="6"/>
        <w:rPr>
          <w:sz w:val="24"/>
        </w:rPr>
      </w:pPr>
    </w:p>
    <w:p>
      <w:pPr>
        <w:pStyle w:val="ListParagraph"/>
        <w:numPr>
          <w:ilvl w:val="0"/>
          <w:numId w:val="14"/>
        </w:numPr>
        <w:tabs>
          <w:tab w:val="left" w:pos="427"/>
          <w:tab w:val="left" w:pos="428"/>
        </w:tabs>
        <w:spacing w:before="0" w:after="0" w:line="240" w:lineRule="auto"/>
        <w:ind w:left="427" w:right="0" w:hanging="315"/>
        <w:jc w:val="left"/>
        <w:rPr>
          <w:rFonts w:ascii="黑体" w:eastAsia="黑体" w:hint="eastAsia"/>
          <w:sz w:val="21"/>
        </w:rPr>
      </w:pPr>
      <w:bookmarkStart w:id="8" w:name="_bookmark8"/>
      <w:bookmarkEnd w:id="8"/>
      <w:r>
        <w:rPr>
          <w:rFonts w:ascii="黑体" w:eastAsia="黑体" w:hint="eastAsia"/>
          <w:sz w:val="21"/>
        </w:rPr>
        <w:t>联网</w:t>
      </w:r>
    </w:p>
    <w:p>
      <w:pPr>
        <w:pStyle w:val="BodyText"/>
        <w:spacing w:before="5"/>
        <w:rPr>
          <w:rFonts w:ascii="黑体"/>
        </w:rPr>
      </w:pPr>
    </w:p>
    <w:p>
      <w:pPr>
        <w:pStyle w:val="BodyText"/>
        <w:spacing w:before="78"/>
        <w:ind w:left="638"/>
      </w:pPr>
      <w:r>
        <w:drawing>
          <wp:anchor distT="0" distB="0" distL="0" distR="0" simplePos="0" relativeHeight="251679744" behindDoc="0" locked="0" layoutInCell="1" allowOverlap="1">
            <wp:simplePos x="0" y="0"/>
            <wp:positionH relativeFrom="page">
              <wp:posOffset>724020</wp:posOffset>
            </wp:positionH>
            <wp:positionV relativeFrom="paragraph">
              <wp:posOffset>89807</wp:posOffset>
            </wp:positionV>
            <wp:extent cx="173615" cy="94342"/>
            <wp:effectExtent l="0" t="0" r="0" b="0"/>
            <wp:wrapNone/>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png"/>
                    <pic:cNvPicPr/>
                  </pic:nvPicPr>
                  <pic:blipFill>
                    <a:blip xmlns:r="http://schemas.openxmlformats.org/officeDocument/2006/relationships" r:embed="rId46" cstate="print"/>
                    <a:stretch>
                      <a:fillRect/>
                    </a:stretch>
                  </pic:blipFill>
                  <pic:spPr>
                    <a:xfrm>
                      <a:off x="0" y="0"/>
                      <a:ext cx="173615" cy="94342"/>
                    </a:xfrm>
                    <a:prstGeom prst="rect">
                      <a:avLst/>
                    </a:prstGeom>
                  </pic:spPr>
                </pic:pic>
              </a:graphicData>
            </a:graphic>
          </wp:anchor>
        </w:drawing>
      </w:r>
      <w:r>
        <w:t xml:space="preserve">数据传输协议符合 </w:t>
      </w:r>
      <w:r>
        <w:rPr>
          <w:rFonts w:ascii="Times New Roman" w:eastAsia="Times New Roman"/>
        </w:rPr>
        <w:t xml:space="preserve">HJ 212 </w:t>
      </w:r>
      <w:r>
        <w:t>的要求。</w:t>
      </w:r>
    </w:p>
    <w:p>
      <w:pPr>
        <w:pStyle w:val="BodyText"/>
        <w:spacing w:before="44"/>
        <w:ind w:left="638"/>
      </w:pPr>
      <w:r>
        <w:drawing>
          <wp:anchor distT="0" distB="0" distL="0" distR="0" simplePos="0" relativeHeight="251680768" behindDoc="0" locked="0" layoutInCell="1" allowOverlap="1">
            <wp:simplePos x="0" y="0"/>
            <wp:positionH relativeFrom="page">
              <wp:posOffset>724008</wp:posOffset>
            </wp:positionH>
            <wp:positionV relativeFrom="paragraph">
              <wp:posOffset>67837</wp:posOffset>
            </wp:positionV>
            <wp:extent cx="191915" cy="94341"/>
            <wp:effectExtent l="0" t="0" r="0" b="0"/>
            <wp:wrapNone/>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pic:cNvPicPr/>
                  </pic:nvPicPr>
                  <pic:blipFill>
                    <a:blip xmlns:r="http://schemas.openxmlformats.org/officeDocument/2006/relationships" r:embed="rId47" cstate="print"/>
                    <a:stretch>
                      <a:fillRect/>
                    </a:stretch>
                  </pic:blipFill>
                  <pic:spPr>
                    <a:xfrm>
                      <a:off x="0" y="0"/>
                      <a:ext cx="191915" cy="94341"/>
                    </a:xfrm>
                    <a:prstGeom prst="rect">
                      <a:avLst/>
                    </a:prstGeom>
                  </pic:spPr>
                </pic:pic>
              </a:graphicData>
            </a:graphic>
          </wp:anchor>
        </w:drawing>
      </w:r>
      <w:r>
        <w:t xml:space="preserve">数据采集处理与传输技术应符合本文件 </w:t>
      </w:r>
      <w:r>
        <w:rPr>
          <w:rFonts w:ascii="Times New Roman" w:eastAsia="Times New Roman"/>
        </w:rPr>
        <w:t xml:space="preserve">4.2 </w:t>
      </w:r>
      <w:r>
        <w:t xml:space="preserve">和附录 </w:t>
      </w:r>
      <w:r>
        <w:rPr>
          <w:rFonts w:ascii="Times New Roman" w:eastAsia="Times New Roman"/>
        </w:rPr>
        <w:t xml:space="preserve">F </w:t>
      </w:r>
      <w:r>
        <w:t>的要求。</w:t>
      </w:r>
    </w:p>
    <w:p>
      <w:pPr>
        <w:pStyle w:val="BodyText"/>
        <w:spacing w:before="4"/>
        <w:rPr>
          <w:sz w:val="22"/>
        </w:rPr>
      </w:pPr>
    </w:p>
    <w:p>
      <w:pPr>
        <w:pStyle w:val="ListParagraph"/>
        <w:numPr>
          <w:ilvl w:val="0"/>
          <w:numId w:val="14"/>
        </w:numPr>
        <w:tabs>
          <w:tab w:val="left" w:pos="427"/>
          <w:tab w:val="left" w:pos="428"/>
        </w:tabs>
        <w:spacing w:before="72" w:after="0" w:line="240" w:lineRule="auto"/>
        <w:ind w:left="427" w:right="0" w:hanging="315"/>
        <w:jc w:val="left"/>
        <w:rPr>
          <w:rFonts w:ascii="黑体" w:eastAsia="黑体" w:hint="eastAsia"/>
          <w:sz w:val="21"/>
        </w:rPr>
      </w:pPr>
      <w:bookmarkStart w:id="9" w:name="_bookmark9"/>
      <w:bookmarkEnd w:id="9"/>
      <w:r>
        <w:rPr>
          <w:rFonts w:ascii="黑体" w:eastAsia="黑体" w:hint="eastAsia"/>
          <w:sz w:val="21"/>
        </w:rPr>
        <w:t>验收</w:t>
      </w:r>
    </w:p>
    <w:p>
      <w:pPr>
        <w:pStyle w:val="BodyText"/>
        <w:spacing w:before="11"/>
        <w:rPr>
          <w:rFonts w:ascii="黑体"/>
        </w:rPr>
      </w:pPr>
    </w:p>
    <w:p>
      <w:pPr>
        <w:spacing w:before="73"/>
        <w:ind w:left="117" w:right="0" w:firstLine="0"/>
        <w:jc w:val="left"/>
        <w:rPr>
          <w:rFonts w:ascii="黑体" w:eastAsia="黑体" w:hint="eastAsia"/>
          <w:sz w:val="21"/>
        </w:rPr>
      </w:pPr>
      <w:r>
        <w:drawing>
          <wp:inline distT="0" distB="0" distL="0" distR="0">
            <wp:extent cx="175220" cy="94342"/>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png"/>
                    <pic:cNvPicPr/>
                  </pic:nvPicPr>
                  <pic:blipFill>
                    <a:blip xmlns:r="http://schemas.openxmlformats.org/officeDocument/2006/relationships" r:embed="rId48" cstate="print"/>
                    <a:stretch>
                      <a:fillRect/>
                    </a:stretch>
                  </pic:blipFill>
                  <pic:spPr>
                    <a:xfrm>
                      <a:off x="0" y="0"/>
                      <a:ext cx="175220" cy="9434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5"/>
          <w:sz w:val="20"/>
        </w:rPr>
        <w:t xml:space="preserve"> </w:t>
      </w:r>
      <w:r>
        <w:rPr>
          <w:rFonts w:ascii="黑体" w:eastAsia="黑体" w:hint="eastAsia"/>
          <w:spacing w:val="-1"/>
          <w:sz w:val="21"/>
        </w:rPr>
        <w:t>一般要求</w:t>
      </w:r>
    </w:p>
    <w:p>
      <w:pPr>
        <w:pStyle w:val="BodyText"/>
        <w:spacing w:before="4"/>
        <w:rPr>
          <w:rFonts w:ascii="黑体"/>
          <w:sz w:val="9"/>
        </w:rPr>
      </w:pPr>
    </w:p>
    <w:p>
      <w:pPr>
        <w:pStyle w:val="ListParagraph"/>
        <w:numPr>
          <w:ilvl w:val="2"/>
          <w:numId w:val="11"/>
        </w:numPr>
        <w:tabs>
          <w:tab w:val="left" w:pos="847"/>
          <w:tab w:val="left" w:pos="848"/>
        </w:tabs>
        <w:spacing w:before="79" w:after="0" w:line="278" w:lineRule="auto"/>
        <w:ind w:left="113" w:right="690" w:firstLine="0"/>
        <w:jc w:val="left"/>
        <w:rPr>
          <w:sz w:val="21"/>
        </w:rPr>
      </w:pPr>
      <w:r>
        <w:rPr>
          <w:spacing w:val="-6"/>
          <w:sz w:val="21"/>
        </w:rPr>
        <w:t xml:space="preserve">新建 </w:t>
      </w:r>
      <w:r>
        <w:rPr>
          <w:rFonts w:ascii="Times New Roman" w:eastAsia="Times New Roman"/>
          <w:spacing w:val="-3"/>
          <w:sz w:val="21"/>
        </w:rPr>
        <w:t>NMHC-CEMS</w:t>
      </w:r>
      <w:r>
        <w:rPr>
          <w:rFonts w:ascii="Times New Roman" w:eastAsia="Times New Roman"/>
          <w:spacing w:val="45"/>
          <w:sz w:val="21"/>
        </w:rPr>
        <w:t xml:space="preserve"> </w:t>
      </w:r>
      <w:r>
        <w:rPr>
          <w:spacing w:val="-8"/>
          <w:sz w:val="21"/>
        </w:rPr>
        <w:t>完成安装、调试检测后，应进行验收。安装、调试、联网和验收工作应在两</w:t>
      </w:r>
      <w:r>
        <w:rPr>
          <w:spacing w:val="-5"/>
          <w:sz w:val="21"/>
        </w:rPr>
        <w:t>个月内完成。</w:t>
      </w:r>
    </w:p>
    <w:p>
      <w:pPr>
        <w:pStyle w:val="ListParagraph"/>
        <w:numPr>
          <w:ilvl w:val="2"/>
          <w:numId w:val="11"/>
        </w:numPr>
        <w:tabs>
          <w:tab w:val="left" w:pos="847"/>
          <w:tab w:val="left" w:pos="848"/>
        </w:tabs>
        <w:spacing w:before="0" w:after="0" w:line="278" w:lineRule="auto"/>
        <w:ind w:left="113" w:right="692" w:firstLine="0"/>
        <w:jc w:val="left"/>
        <w:rPr>
          <w:sz w:val="21"/>
        </w:rPr>
      </w:pPr>
      <w:r>
        <w:rPr>
          <w:spacing w:val="-10"/>
          <w:sz w:val="21"/>
        </w:rPr>
        <w:t xml:space="preserve">日常运行中更换 </w:t>
      </w:r>
      <w:r>
        <w:rPr>
          <w:rFonts w:ascii="Times New Roman" w:eastAsia="Times New Roman"/>
          <w:spacing w:val="-3"/>
          <w:sz w:val="21"/>
        </w:rPr>
        <w:t>CEMS</w:t>
      </w:r>
      <w:r>
        <w:rPr>
          <w:rFonts w:ascii="Times New Roman" w:eastAsia="Times New Roman"/>
          <w:spacing w:val="16"/>
          <w:sz w:val="21"/>
        </w:rPr>
        <w:t xml:space="preserve"> </w:t>
      </w:r>
      <w:r>
        <w:rPr>
          <w:spacing w:val="-11"/>
          <w:sz w:val="21"/>
        </w:rPr>
        <w:t>分析仪表或变动取样点时，应进行简易验收。安装、调试、联网和验收工</w:t>
      </w:r>
      <w:r>
        <w:rPr>
          <w:spacing w:val="-21"/>
          <w:sz w:val="21"/>
        </w:rPr>
        <w:t xml:space="preserve">作应在 </w:t>
      </w:r>
      <w:r>
        <w:rPr>
          <w:rFonts w:ascii="Times New Roman" w:eastAsia="Times New Roman"/>
          <w:spacing w:val="-3"/>
          <w:sz w:val="21"/>
        </w:rPr>
        <w:t>168h</w:t>
      </w:r>
      <w:r>
        <w:rPr>
          <w:rFonts w:ascii="Times New Roman" w:eastAsia="Times New Roman"/>
          <w:spacing w:val="-5"/>
          <w:sz w:val="21"/>
        </w:rPr>
        <w:t xml:space="preserve"> </w:t>
      </w:r>
      <w:r>
        <w:rPr>
          <w:spacing w:val="-4"/>
          <w:sz w:val="21"/>
        </w:rPr>
        <w:t>内完成。</w:t>
      </w:r>
    </w:p>
    <w:p>
      <w:pPr>
        <w:pStyle w:val="ListParagraph"/>
        <w:numPr>
          <w:ilvl w:val="2"/>
          <w:numId w:val="11"/>
        </w:numPr>
        <w:tabs>
          <w:tab w:val="left" w:pos="847"/>
          <w:tab w:val="left" w:pos="848"/>
        </w:tabs>
        <w:spacing w:before="0" w:after="0" w:line="269" w:lineRule="exact"/>
        <w:ind w:left="847" w:right="0" w:hanging="735"/>
        <w:jc w:val="left"/>
        <w:rPr>
          <w:sz w:val="21"/>
        </w:rPr>
      </w:pPr>
      <w:r>
        <w:rPr>
          <w:spacing w:val="-3"/>
          <w:sz w:val="21"/>
        </w:rPr>
        <w:t>验收工作由排污单位组织实施。</w:t>
      </w:r>
    </w:p>
    <w:p>
      <w:pPr>
        <w:pStyle w:val="ListParagraph"/>
        <w:numPr>
          <w:ilvl w:val="2"/>
          <w:numId w:val="11"/>
        </w:numPr>
        <w:tabs>
          <w:tab w:val="left" w:pos="847"/>
          <w:tab w:val="left" w:pos="848"/>
        </w:tabs>
        <w:spacing w:before="42" w:after="0" w:line="278" w:lineRule="auto"/>
        <w:ind w:left="113" w:right="692" w:firstLine="0"/>
        <w:jc w:val="left"/>
        <w:rPr>
          <w:sz w:val="21"/>
        </w:rPr>
      </w:pPr>
      <w:r>
        <w:rPr>
          <w:spacing w:val="-3"/>
          <w:sz w:val="21"/>
        </w:rPr>
        <w:t>排污单位应委托有资质的生态环境领域检验检测机构，开展正确度指标验收工作，其余技术指标验收可请专业技术人员开展，现场验收期间，生产设备应正常且稳定运行。</w:t>
      </w:r>
    </w:p>
    <w:p>
      <w:pPr>
        <w:spacing w:before="157"/>
        <w:ind w:left="117" w:right="0" w:firstLine="0"/>
        <w:jc w:val="left"/>
        <w:rPr>
          <w:rFonts w:ascii="黑体" w:eastAsia="黑体" w:hint="eastAsia"/>
          <w:sz w:val="21"/>
        </w:rPr>
      </w:pPr>
      <w:r>
        <w:drawing>
          <wp:inline distT="0" distB="0" distL="0" distR="0">
            <wp:extent cx="193512" cy="94342"/>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png"/>
                    <pic:cNvPicPr/>
                  </pic:nvPicPr>
                  <pic:blipFill>
                    <a:blip xmlns:r="http://schemas.openxmlformats.org/officeDocument/2006/relationships" r:embed="rId49" cstate="print"/>
                    <a:stretch>
                      <a:fillRect/>
                    </a:stretch>
                  </pic:blipFill>
                  <pic:spPr>
                    <a:xfrm>
                      <a:off x="0" y="0"/>
                      <a:ext cx="193512" cy="9434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6"/>
          <w:sz w:val="20"/>
        </w:rPr>
        <w:t xml:space="preserve"> </w:t>
      </w:r>
      <w:r>
        <w:rPr>
          <w:rFonts w:ascii="黑体" w:eastAsia="黑体" w:hint="eastAsia"/>
          <w:spacing w:val="-18"/>
          <w:sz w:val="21"/>
        </w:rPr>
        <w:t xml:space="preserve">新建 </w:t>
      </w:r>
      <w:r>
        <w:rPr>
          <w:rFonts w:ascii="黑体" w:eastAsia="黑体" w:hint="eastAsia"/>
          <w:sz w:val="21"/>
        </w:rPr>
        <w:t>NMHC-CEMS</w:t>
      </w:r>
      <w:r>
        <w:rPr>
          <w:rFonts w:ascii="黑体" w:eastAsia="黑体" w:hint="eastAsia"/>
          <w:spacing w:val="-19"/>
          <w:sz w:val="21"/>
        </w:rPr>
        <w:t xml:space="preserve"> 验收</w:t>
      </w:r>
    </w:p>
    <w:p>
      <w:pPr>
        <w:pStyle w:val="BodyText"/>
        <w:spacing w:before="5"/>
        <w:rPr>
          <w:rFonts w:ascii="黑体"/>
          <w:sz w:val="9"/>
        </w:rPr>
      </w:pPr>
    </w:p>
    <w:p>
      <w:pPr>
        <w:pStyle w:val="ListParagraph"/>
        <w:numPr>
          <w:ilvl w:val="2"/>
          <w:numId w:val="10"/>
        </w:numPr>
        <w:tabs>
          <w:tab w:val="left" w:pos="847"/>
          <w:tab w:val="left" w:pos="848"/>
        </w:tabs>
        <w:spacing w:before="78" w:after="0" w:line="240" w:lineRule="auto"/>
        <w:ind w:left="847" w:right="0" w:hanging="735"/>
        <w:jc w:val="left"/>
        <w:rPr>
          <w:sz w:val="21"/>
        </w:rPr>
      </w:pPr>
      <w:r>
        <w:rPr>
          <w:rFonts w:ascii="Times New Roman" w:eastAsia="Times New Roman"/>
          <w:spacing w:val="-3"/>
          <w:sz w:val="21"/>
        </w:rPr>
        <w:t>NMHC-CEMS</w:t>
      </w:r>
      <w:r>
        <w:rPr>
          <w:rFonts w:ascii="Times New Roman" w:eastAsia="Times New Roman"/>
          <w:spacing w:val="-5"/>
          <w:sz w:val="21"/>
        </w:rPr>
        <w:t xml:space="preserve"> </w:t>
      </w:r>
      <w:r>
        <w:rPr>
          <w:spacing w:val="-10"/>
          <w:sz w:val="21"/>
        </w:rPr>
        <w:t xml:space="preserve">系统技术性能应符合本文件第 </w:t>
      </w:r>
      <w:r>
        <w:rPr>
          <w:rFonts w:ascii="Times New Roman" w:eastAsia="Times New Roman"/>
          <w:sz w:val="21"/>
        </w:rPr>
        <w:t>4</w:t>
      </w:r>
      <w:r>
        <w:rPr>
          <w:rFonts w:ascii="Times New Roman" w:eastAsia="Times New Roman"/>
          <w:spacing w:val="-4"/>
          <w:sz w:val="21"/>
        </w:rPr>
        <w:t xml:space="preserve"> </w:t>
      </w:r>
      <w:r>
        <w:rPr>
          <w:spacing w:val="-6"/>
          <w:sz w:val="21"/>
        </w:rPr>
        <w:t>章的要求。</w:t>
      </w:r>
    </w:p>
    <w:p>
      <w:pPr>
        <w:pStyle w:val="ListParagraph"/>
        <w:numPr>
          <w:ilvl w:val="2"/>
          <w:numId w:val="10"/>
        </w:numPr>
        <w:tabs>
          <w:tab w:val="left" w:pos="847"/>
          <w:tab w:val="left" w:pos="848"/>
        </w:tabs>
        <w:spacing w:before="43" w:after="0" w:line="240" w:lineRule="auto"/>
        <w:ind w:left="847" w:right="0" w:hanging="735"/>
        <w:jc w:val="left"/>
        <w:rPr>
          <w:sz w:val="21"/>
        </w:rPr>
      </w:pPr>
      <w:r>
        <w:rPr>
          <w:spacing w:val="-11"/>
          <w:sz w:val="21"/>
        </w:rPr>
        <w:t xml:space="preserve">监测站房建设应符合本文件第 </w:t>
      </w:r>
      <w:r>
        <w:rPr>
          <w:rFonts w:ascii="Times New Roman" w:eastAsia="Times New Roman"/>
          <w:sz w:val="21"/>
        </w:rPr>
        <w:t>5</w:t>
      </w:r>
      <w:r>
        <w:rPr>
          <w:rFonts w:ascii="Times New Roman" w:eastAsia="Times New Roman"/>
          <w:spacing w:val="-5"/>
          <w:sz w:val="21"/>
        </w:rPr>
        <w:t xml:space="preserve"> </w:t>
      </w:r>
      <w:r>
        <w:rPr>
          <w:spacing w:val="-4"/>
          <w:sz w:val="21"/>
        </w:rPr>
        <w:t>章的要求。</w:t>
      </w:r>
    </w:p>
    <w:p>
      <w:pPr>
        <w:pStyle w:val="ListParagraph"/>
        <w:numPr>
          <w:ilvl w:val="2"/>
          <w:numId w:val="10"/>
        </w:numPr>
        <w:tabs>
          <w:tab w:val="left" w:pos="847"/>
          <w:tab w:val="left" w:pos="848"/>
        </w:tabs>
        <w:spacing w:before="43" w:after="0" w:line="240" w:lineRule="auto"/>
        <w:ind w:left="847" w:right="0" w:hanging="735"/>
        <w:jc w:val="left"/>
        <w:rPr>
          <w:sz w:val="21"/>
        </w:rPr>
      </w:pPr>
      <w:r>
        <w:rPr>
          <w:spacing w:val="-11"/>
          <w:sz w:val="21"/>
        </w:rPr>
        <w:t xml:space="preserve">安装位置及施工应符合本文件第 </w:t>
      </w:r>
      <w:r>
        <w:rPr>
          <w:rFonts w:ascii="Times New Roman" w:eastAsia="Times New Roman"/>
          <w:sz w:val="21"/>
        </w:rPr>
        <w:t>6</w:t>
      </w:r>
      <w:r>
        <w:rPr>
          <w:rFonts w:ascii="Times New Roman" w:eastAsia="Times New Roman"/>
          <w:spacing w:val="-5"/>
          <w:sz w:val="21"/>
        </w:rPr>
        <w:t xml:space="preserve"> </w:t>
      </w:r>
      <w:r>
        <w:rPr>
          <w:spacing w:val="-4"/>
          <w:sz w:val="21"/>
        </w:rPr>
        <w:t>章的要求。</w:t>
      </w:r>
    </w:p>
    <w:p>
      <w:pPr>
        <w:pStyle w:val="ListParagraph"/>
        <w:numPr>
          <w:ilvl w:val="2"/>
          <w:numId w:val="10"/>
        </w:numPr>
        <w:tabs>
          <w:tab w:val="left" w:pos="847"/>
          <w:tab w:val="left" w:pos="848"/>
        </w:tabs>
        <w:spacing w:before="43" w:after="0" w:line="278" w:lineRule="auto"/>
        <w:ind w:left="113" w:right="691" w:firstLine="0"/>
        <w:jc w:val="left"/>
        <w:rPr>
          <w:sz w:val="21"/>
        </w:rPr>
      </w:pPr>
      <w:r>
        <w:rPr>
          <w:rFonts w:ascii="Times New Roman" w:eastAsia="Times New Roman"/>
          <w:sz w:val="21"/>
        </w:rPr>
        <w:t>NMHC-CEMS</w:t>
      </w:r>
      <w:r>
        <w:rPr>
          <w:rFonts w:ascii="Times New Roman" w:eastAsia="Times New Roman"/>
          <w:spacing w:val="24"/>
          <w:sz w:val="21"/>
        </w:rPr>
        <w:t xml:space="preserve"> </w:t>
      </w:r>
      <w:r>
        <w:rPr>
          <w:spacing w:val="-5"/>
          <w:sz w:val="21"/>
        </w:rPr>
        <w:t xml:space="preserve">在现场安装、初调并连续运行 </w:t>
      </w:r>
      <w:r>
        <w:rPr>
          <w:rFonts w:ascii="Times New Roman" w:eastAsia="Times New Roman"/>
          <w:sz w:val="21"/>
        </w:rPr>
        <w:t>168h</w:t>
      </w:r>
      <w:r>
        <w:rPr>
          <w:rFonts w:ascii="Times New Roman" w:eastAsia="Times New Roman"/>
          <w:spacing w:val="25"/>
          <w:sz w:val="21"/>
        </w:rPr>
        <w:t xml:space="preserve"> </w:t>
      </w:r>
      <w:r>
        <w:rPr>
          <w:spacing w:val="-3"/>
          <w:sz w:val="21"/>
        </w:rPr>
        <w:t>后，应在生产设备正常且稳定运行的条件下</w:t>
      </w:r>
      <w:r>
        <w:rPr>
          <w:spacing w:val="-13"/>
          <w:sz w:val="21"/>
        </w:rPr>
        <w:t xml:space="preserve">进行为期 </w:t>
      </w:r>
      <w:r>
        <w:rPr>
          <w:rFonts w:ascii="Times New Roman" w:eastAsia="Times New Roman"/>
          <w:sz w:val="21"/>
        </w:rPr>
        <w:t>72h</w:t>
      </w:r>
      <w:r>
        <w:rPr>
          <w:rFonts w:ascii="Times New Roman" w:eastAsia="Times New Roman"/>
          <w:spacing w:val="1"/>
          <w:sz w:val="21"/>
        </w:rPr>
        <w:t xml:space="preserve"> </w:t>
      </w:r>
      <w:r>
        <w:rPr>
          <w:spacing w:val="-6"/>
          <w:sz w:val="21"/>
        </w:rPr>
        <w:t xml:space="preserve">技术指标的调试检测，调试检测应符合本文件第 </w:t>
      </w:r>
      <w:r>
        <w:rPr>
          <w:rFonts w:ascii="Times New Roman" w:eastAsia="Times New Roman"/>
          <w:sz w:val="21"/>
        </w:rPr>
        <w:t xml:space="preserve">7 </w:t>
      </w:r>
      <w:r>
        <w:rPr>
          <w:spacing w:val="-3"/>
          <w:sz w:val="21"/>
        </w:rPr>
        <w:t>章的要求。</w:t>
      </w:r>
    </w:p>
    <w:p>
      <w:pPr>
        <w:pStyle w:val="ListParagraph"/>
        <w:numPr>
          <w:ilvl w:val="2"/>
          <w:numId w:val="10"/>
        </w:numPr>
        <w:tabs>
          <w:tab w:val="left" w:pos="847"/>
          <w:tab w:val="left" w:pos="848"/>
        </w:tabs>
        <w:spacing w:before="0" w:after="0" w:line="269" w:lineRule="exact"/>
        <w:ind w:left="847" w:right="0" w:hanging="735"/>
        <w:jc w:val="left"/>
        <w:rPr>
          <w:sz w:val="21"/>
        </w:rPr>
      </w:pPr>
      <w:r>
        <w:rPr>
          <w:spacing w:val="-11"/>
          <w:sz w:val="21"/>
        </w:rPr>
        <w:t xml:space="preserve">调试检测后至少稳定运行 </w:t>
      </w:r>
      <w:r>
        <w:rPr>
          <w:rFonts w:ascii="Times New Roman" w:eastAsia="Times New Roman"/>
          <w:spacing w:val="-4"/>
          <w:sz w:val="21"/>
        </w:rPr>
        <w:t>7d</w:t>
      </w:r>
      <w:r>
        <w:rPr>
          <w:spacing w:val="-9"/>
          <w:sz w:val="21"/>
        </w:rPr>
        <w:t xml:space="preserve">，可开展技术指标验收。现场技术指标验收应在 </w:t>
      </w:r>
      <w:r>
        <w:rPr>
          <w:rFonts w:ascii="Times New Roman" w:eastAsia="Times New Roman"/>
          <w:sz w:val="21"/>
        </w:rPr>
        <w:t>1d</w:t>
      </w:r>
      <w:r>
        <w:rPr>
          <w:rFonts w:ascii="Times New Roman" w:eastAsia="Times New Roman"/>
          <w:spacing w:val="-2"/>
          <w:sz w:val="21"/>
        </w:rPr>
        <w:t xml:space="preserve"> </w:t>
      </w:r>
      <w:r>
        <w:rPr>
          <w:spacing w:val="-1"/>
          <w:sz w:val="21"/>
        </w:rPr>
        <w:t>内完成。</w:t>
      </w:r>
    </w:p>
    <w:p>
      <w:pPr>
        <w:pStyle w:val="ListParagraph"/>
        <w:numPr>
          <w:ilvl w:val="2"/>
          <w:numId w:val="10"/>
        </w:numPr>
        <w:tabs>
          <w:tab w:val="left" w:pos="848"/>
        </w:tabs>
        <w:spacing w:before="43" w:after="0" w:line="278" w:lineRule="auto"/>
        <w:ind w:left="113" w:right="694" w:firstLine="0"/>
        <w:jc w:val="both"/>
        <w:rPr>
          <w:sz w:val="21"/>
        </w:rPr>
      </w:pPr>
      <w:r>
        <w:rPr>
          <w:rFonts w:ascii="Times New Roman" w:eastAsia="Times New Roman"/>
          <w:sz w:val="21"/>
        </w:rPr>
        <w:t>NMHC-CEMS</w:t>
      </w:r>
      <w:r>
        <w:rPr>
          <w:rFonts w:ascii="Times New Roman" w:eastAsia="Times New Roman"/>
          <w:spacing w:val="4"/>
          <w:sz w:val="21"/>
        </w:rPr>
        <w:t xml:space="preserve"> </w:t>
      </w:r>
      <w:r>
        <w:rPr>
          <w:spacing w:val="-8"/>
          <w:sz w:val="21"/>
        </w:rPr>
        <w:t xml:space="preserve">技术指标验收包括 </w:t>
      </w:r>
      <w:r>
        <w:rPr>
          <w:rFonts w:ascii="Times New Roman" w:eastAsia="Times New Roman"/>
          <w:sz w:val="21"/>
        </w:rPr>
        <w:t>NMHC</w:t>
      </w:r>
      <w:r>
        <w:rPr>
          <w:rFonts w:ascii="Times New Roman" w:eastAsia="Times New Roman"/>
          <w:spacing w:val="7"/>
          <w:sz w:val="21"/>
        </w:rPr>
        <w:t xml:space="preserve"> </w:t>
      </w:r>
      <w:r>
        <w:rPr>
          <w:spacing w:val="1"/>
          <w:sz w:val="21"/>
        </w:rPr>
        <w:t>监测单元和废气条件参数</w:t>
      </w:r>
      <w:r>
        <w:rPr>
          <w:rFonts w:ascii="Times New Roman" w:eastAsia="Times New Roman"/>
          <w:sz w:val="21"/>
        </w:rPr>
        <w:t>CMS</w:t>
      </w:r>
      <w:r>
        <w:rPr>
          <w:rFonts w:ascii="Times New Roman" w:eastAsia="Times New Roman"/>
          <w:spacing w:val="5"/>
          <w:sz w:val="21"/>
        </w:rPr>
        <w:t xml:space="preserve"> </w:t>
      </w:r>
      <w:r>
        <w:rPr>
          <w:spacing w:val="-11"/>
          <w:sz w:val="21"/>
        </w:rPr>
        <w:t>的技术指标验收，验收</w:t>
      </w:r>
      <w:r>
        <w:rPr>
          <w:spacing w:val="4"/>
          <w:sz w:val="21"/>
        </w:rPr>
        <w:t>方法按附录</w:t>
      </w:r>
      <w:r>
        <w:rPr>
          <w:rFonts w:ascii="Times New Roman" w:eastAsia="Times New Roman"/>
          <w:sz w:val="21"/>
        </w:rPr>
        <w:t>B</w:t>
      </w:r>
      <w:r>
        <w:rPr>
          <w:rFonts w:ascii="Times New Roman" w:eastAsia="Times New Roman"/>
          <w:spacing w:val="-1"/>
          <w:sz w:val="21"/>
        </w:rPr>
        <w:t xml:space="preserve"> </w:t>
      </w:r>
      <w:r>
        <w:rPr>
          <w:spacing w:val="-7"/>
          <w:sz w:val="21"/>
        </w:rPr>
        <w:t xml:space="preserve">进行，验收结果应达到本文件表 </w:t>
      </w:r>
      <w:r>
        <w:rPr>
          <w:rFonts w:ascii="Times New Roman" w:eastAsia="Times New Roman"/>
          <w:sz w:val="21"/>
        </w:rPr>
        <w:t xml:space="preserve">B.2 </w:t>
      </w:r>
      <w:r>
        <w:rPr>
          <w:spacing w:val="-6"/>
          <w:sz w:val="21"/>
        </w:rPr>
        <w:t xml:space="preserve">的要求，验收报告的格式可参照附录 </w:t>
      </w:r>
      <w:r>
        <w:rPr>
          <w:rFonts w:ascii="Times New Roman" w:eastAsia="Times New Roman"/>
          <w:sz w:val="21"/>
        </w:rPr>
        <w:t>E</w:t>
      </w:r>
      <w:r>
        <w:rPr>
          <w:sz w:val="21"/>
        </w:rPr>
        <w:t>。</w:t>
      </w:r>
    </w:p>
    <w:p>
      <w:pPr>
        <w:pStyle w:val="ListParagraph"/>
        <w:numPr>
          <w:ilvl w:val="2"/>
          <w:numId w:val="10"/>
        </w:numPr>
        <w:tabs>
          <w:tab w:val="left" w:pos="848"/>
        </w:tabs>
        <w:spacing w:before="0" w:after="0" w:line="278" w:lineRule="auto"/>
        <w:ind w:left="113" w:right="689" w:firstLine="0"/>
        <w:jc w:val="both"/>
        <w:rPr>
          <w:sz w:val="21"/>
        </w:rPr>
      </w:pPr>
      <w:r>
        <w:rPr>
          <w:spacing w:val="-7"/>
          <w:sz w:val="21"/>
        </w:rPr>
        <w:t>技术指标验收项目包括：</w:t>
      </w:r>
      <w:r>
        <w:rPr>
          <w:rFonts w:ascii="Times New Roman" w:eastAsia="Times New Roman"/>
          <w:spacing w:val="-7"/>
          <w:sz w:val="21"/>
        </w:rPr>
        <w:t>NMHC</w:t>
      </w:r>
      <w:r>
        <w:rPr>
          <w:rFonts w:ascii="Times New Roman" w:eastAsia="Times New Roman"/>
          <w:spacing w:val="31"/>
          <w:sz w:val="21"/>
        </w:rPr>
        <w:t xml:space="preserve"> </w:t>
      </w:r>
      <w:r>
        <w:rPr>
          <w:spacing w:val="-12"/>
          <w:sz w:val="21"/>
        </w:rPr>
        <w:t>监测单元零点漂移、量程漂移、示值误差、分析周期、系统响应</w:t>
      </w:r>
      <w:r>
        <w:rPr>
          <w:spacing w:val="-11"/>
          <w:sz w:val="21"/>
        </w:rPr>
        <w:t xml:space="preserve">时间和正确度；氧气 </w:t>
      </w:r>
      <w:r>
        <w:rPr>
          <w:rFonts w:ascii="Times New Roman" w:eastAsia="Times New Roman"/>
          <w:sz w:val="21"/>
        </w:rPr>
        <w:t>CMS</w:t>
      </w:r>
      <w:r>
        <w:rPr>
          <w:rFonts w:ascii="Times New Roman" w:eastAsia="Times New Roman"/>
          <w:spacing w:val="13"/>
          <w:sz w:val="21"/>
        </w:rPr>
        <w:t xml:space="preserve"> </w:t>
      </w:r>
      <w:r>
        <w:rPr>
          <w:spacing w:val="-12"/>
          <w:sz w:val="21"/>
        </w:rPr>
        <w:t>零点漂移、量程漂移、示值误差、系统响应时间和正确度；流速、温度、湿度</w:t>
      </w:r>
      <w:r>
        <w:rPr>
          <w:rFonts w:ascii="Times New Roman" w:eastAsia="Times New Roman"/>
          <w:spacing w:val="-12"/>
          <w:sz w:val="21"/>
        </w:rPr>
        <w:t>CMS</w:t>
      </w:r>
      <w:r>
        <w:rPr>
          <w:rFonts w:ascii="Times New Roman" w:eastAsia="Times New Roman"/>
          <w:spacing w:val="-5"/>
          <w:sz w:val="21"/>
        </w:rPr>
        <w:t xml:space="preserve"> </w:t>
      </w:r>
      <w:r>
        <w:rPr>
          <w:spacing w:val="-5"/>
          <w:sz w:val="21"/>
        </w:rPr>
        <w:t>正确度。</w:t>
      </w:r>
    </w:p>
    <w:p>
      <w:pPr>
        <w:pStyle w:val="ListParagraph"/>
        <w:numPr>
          <w:ilvl w:val="2"/>
          <w:numId w:val="10"/>
        </w:numPr>
        <w:tabs>
          <w:tab w:val="left" w:pos="847"/>
          <w:tab w:val="left" w:pos="848"/>
        </w:tabs>
        <w:spacing w:before="0" w:after="0" w:line="278" w:lineRule="auto"/>
        <w:ind w:left="113" w:right="690" w:firstLine="0"/>
        <w:jc w:val="left"/>
        <w:rPr>
          <w:sz w:val="21"/>
        </w:rPr>
      </w:pPr>
      <w:r>
        <w:rPr>
          <w:spacing w:val="-6"/>
          <w:sz w:val="21"/>
        </w:rPr>
        <w:t xml:space="preserve">技术指标现场验收时先做 </w:t>
      </w:r>
      <w:r>
        <w:rPr>
          <w:rFonts w:ascii="Times New Roman" w:eastAsia="Times New Roman"/>
          <w:spacing w:val="-3"/>
          <w:sz w:val="21"/>
        </w:rPr>
        <w:t>NMHC</w:t>
      </w:r>
      <w:r>
        <w:rPr>
          <w:rFonts w:ascii="Times New Roman" w:eastAsia="Times New Roman"/>
          <w:spacing w:val="4"/>
          <w:sz w:val="21"/>
        </w:rPr>
        <w:t xml:space="preserve"> </w:t>
      </w:r>
      <w:r>
        <w:rPr>
          <w:spacing w:val="-8"/>
          <w:sz w:val="21"/>
        </w:rPr>
        <w:t>监测单元示值误差和系统响应时间的验收测试，不符合技术要</w:t>
      </w:r>
      <w:r>
        <w:rPr>
          <w:spacing w:val="-7"/>
          <w:sz w:val="21"/>
        </w:rPr>
        <w:t>求的，可不再继续开展其余项目验收。</w:t>
      </w:r>
    </w:p>
    <w:p>
      <w:pPr>
        <w:pStyle w:val="ListParagraph"/>
        <w:numPr>
          <w:ilvl w:val="2"/>
          <w:numId w:val="10"/>
        </w:numPr>
        <w:tabs>
          <w:tab w:val="left" w:pos="847"/>
          <w:tab w:val="left" w:pos="848"/>
        </w:tabs>
        <w:spacing w:before="0" w:after="0" w:line="269" w:lineRule="exact"/>
        <w:ind w:left="847" w:right="0" w:hanging="735"/>
        <w:jc w:val="left"/>
        <w:rPr>
          <w:rFonts w:ascii="Times New Roman" w:eastAsia="Times New Roman"/>
          <w:sz w:val="21"/>
        </w:rPr>
      </w:pPr>
      <w:r>
        <w:rPr>
          <w:spacing w:val="-1"/>
          <w:sz w:val="21"/>
        </w:rPr>
        <w:t>流速、温度、湿度</w:t>
      </w:r>
      <w:r>
        <w:rPr>
          <w:rFonts w:ascii="Times New Roman" w:eastAsia="Times New Roman"/>
          <w:sz w:val="21"/>
        </w:rPr>
        <w:t>CMS</w:t>
      </w:r>
      <w:r>
        <w:rPr>
          <w:rFonts w:ascii="Times New Roman" w:eastAsia="Times New Roman"/>
          <w:spacing w:val="-1"/>
          <w:sz w:val="21"/>
        </w:rPr>
        <w:t xml:space="preserve"> </w:t>
      </w:r>
      <w:r>
        <w:rPr>
          <w:spacing w:val="-7"/>
          <w:sz w:val="21"/>
        </w:rPr>
        <w:t xml:space="preserve">正确度验收应采集不少于 </w:t>
      </w:r>
      <w:r>
        <w:rPr>
          <w:rFonts w:ascii="Times New Roman" w:eastAsia="Times New Roman"/>
          <w:sz w:val="21"/>
        </w:rPr>
        <w:t>5</w:t>
      </w:r>
      <w:r>
        <w:rPr>
          <w:rFonts w:ascii="Times New Roman" w:eastAsia="Times New Roman"/>
          <w:spacing w:val="-1"/>
          <w:sz w:val="21"/>
        </w:rPr>
        <w:t xml:space="preserve"> </w:t>
      </w:r>
      <w:r>
        <w:rPr>
          <w:spacing w:val="-3"/>
          <w:sz w:val="21"/>
        </w:rPr>
        <w:t>个有效数据对，</w:t>
      </w:r>
      <w:r>
        <w:rPr>
          <w:rFonts w:ascii="Times New Roman" w:eastAsia="Times New Roman"/>
          <w:spacing w:val="-3"/>
          <w:sz w:val="21"/>
        </w:rPr>
        <w:t>NMHC-CEMS</w:t>
      </w:r>
      <w:r>
        <w:rPr>
          <w:rFonts w:ascii="Times New Roman" w:eastAsia="Times New Roman"/>
          <w:spacing w:val="3"/>
          <w:sz w:val="21"/>
        </w:rPr>
        <w:t xml:space="preserve"> </w:t>
      </w:r>
      <w:r>
        <w:rPr>
          <w:spacing w:val="15"/>
          <w:sz w:val="21"/>
        </w:rPr>
        <w:t>和氧气</w:t>
      </w:r>
      <w:r>
        <w:rPr>
          <w:rFonts w:ascii="Times New Roman" w:eastAsia="Times New Roman"/>
          <w:sz w:val="21"/>
        </w:rPr>
        <w:t>CMS</w:t>
      </w:r>
    </w:p>
    <w:p>
      <w:pPr>
        <w:pStyle w:val="BodyText"/>
        <w:spacing w:before="43"/>
        <w:ind w:left="113"/>
      </w:pPr>
      <w:r>
        <w:t xml:space="preserve">正确度验收应采集不少于 </w:t>
      </w:r>
      <w:r>
        <w:rPr>
          <w:rFonts w:ascii="Times New Roman" w:eastAsia="Times New Roman"/>
        </w:rPr>
        <w:t xml:space="preserve">9 </w:t>
      </w:r>
      <w:r>
        <w:t>个有效数据对。</w:t>
      </w:r>
    </w:p>
    <w:p>
      <w:pPr>
        <w:pStyle w:val="ListParagraph"/>
        <w:numPr>
          <w:ilvl w:val="2"/>
          <w:numId w:val="10"/>
        </w:numPr>
        <w:tabs>
          <w:tab w:val="left" w:pos="953"/>
          <w:tab w:val="left" w:pos="954"/>
        </w:tabs>
        <w:spacing w:before="43" w:after="0" w:line="240" w:lineRule="auto"/>
        <w:ind w:left="953" w:right="0" w:hanging="841"/>
        <w:jc w:val="left"/>
        <w:rPr>
          <w:sz w:val="21"/>
        </w:rPr>
      </w:pPr>
      <w:r>
        <w:rPr>
          <w:spacing w:val="-1"/>
          <w:sz w:val="21"/>
        </w:rPr>
        <w:t xml:space="preserve">新建 </w:t>
      </w:r>
      <w:r>
        <w:rPr>
          <w:rFonts w:ascii="Times New Roman" w:eastAsia="Times New Roman"/>
          <w:sz w:val="21"/>
        </w:rPr>
        <w:t>NMHC-CEMS</w:t>
      </w:r>
      <w:r>
        <w:rPr>
          <w:rFonts w:ascii="Times New Roman" w:eastAsia="Times New Roman"/>
          <w:spacing w:val="3"/>
          <w:sz w:val="21"/>
        </w:rPr>
        <w:t xml:space="preserve"> </w:t>
      </w:r>
      <w:r>
        <w:rPr>
          <w:spacing w:val="-3"/>
          <w:sz w:val="21"/>
        </w:rPr>
        <w:t>技术指标验收合格后应向生态环境主管部门申请联网，并进行联网验收。</w:t>
      </w:r>
    </w:p>
    <w:p>
      <w:pPr>
        <w:pStyle w:val="ListParagraph"/>
        <w:numPr>
          <w:ilvl w:val="2"/>
          <w:numId w:val="10"/>
        </w:numPr>
        <w:tabs>
          <w:tab w:val="left" w:pos="953"/>
          <w:tab w:val="left" w:pos="954"/>
        </w:tabs>
        <w:spacing w:before="43" w:after="0" w:line="278" w:lineRule="auto"/>
        <w:ind w:left="113" w:right="691" w:firstLine="0"/>
        <w:jc w:val="left"/>
        <w:rPr>
          <w:sz w:val="21"/>
        </w:rPr>
      </w:pPr>
      <w:r>
        <w:rPr>
          <w:spacing w:val="25"/>
          <w:sz w:val="21"/>
        </w:rPr>
        <w:t>新建</w:t>
      </w:r>
      <w:r>
        <w:rPr>
          <w:rFonts w:ascii="Times New Roman" w:eastAsia="Times New Roman"/>
          <w:sz w:val="21"/>
        </w:rPr>
        <w:t>NMHC-CEMS</w:t>
      </w:r>
      <w:r>
        <w:rPr>
          <w:rFonts w:ascii="Times New Roman" w:eastAsia="Times New Roman"/>
          <w:spacing w:val="23"/>
          <w:sz w:val="21"/>
        </w:rPr>
        <w:t xml:space="preserve"> </w:t>
      </w:r>
      <w:r>
        <w:rPr>
          <w:spacing w:val="-3"/>
          <w:sz w:val="21"/>
        </w:rPr>
        <w:t>联网验收由通信及数据传输验收、数据比对验收和联网稳定性验收三部分</w:t>
      </w:r>
      <w:r>
        <w:rPr>
          <w:spacing w:val="-8"/>
          <w:sz w:val="21"/>
        </w:rPr>
        <w:t xml:space="preserve">组成，验收结果应符合表 </w:t>
      </w:r>
      <w:r>
        <w:rPr>
          <w:rFonts w:ascii="Times New Roman" w:eastAsia="Times New Roman"/>
          <w:sz w:val="21"/>
        </w:rPr>
        <w:t>1</w:t>
      </w:r>
      <w:r>
        <w:rPr>
          <w:rFonts w:ascii="Times New Roman" w:eastAsia="Times New Roman"/>
          <w:spacing w:val="1"/>
          <w:sz w:val="21"/>
        </w:rPr>
        <w:t xml:space="preserve"> </w:t>
      </w:r>
      <w:r>
        <w:rPr>
          <w:spacing w:val="-1"/>
          <w:sz w:val="21"/>
        </w:rPr>
        <w:t>的要求，联网验收报告的格式可参照附录</w:t>
      </w:r>
      <w:r>
        <w:rPr>
          <w:rFonts w:ascii="Times New Roman" w:eastAsia="Times New Roman"/>
          <w:sz w:val="21"/>
        </w:rPr>
        <w:t>E</w:t>
      </w:r>
      <w:r>
        <w:rPr>
          <w:sz w:val="21"/>
        </w:rPr>
        <w:t>。</w:t>
      </w:r>
    </w:p>
    <w:p>
      <w:pPr>
        <w:spacing w:after="0" w:line="278" w:lineRule="auto"/>
        <w:jc w:val="left"/>
        <w:rPr>
          <w:sz w:val="21"/>
        </w:rPr>
        <w:sectPr>
          <w:headerReference w:type="even" r:id="rId50"/>
          <w:headerReference w:type="default" r:id="rId51"/>
          <w:footerReference w:type="even" r:id="rId52"/>
          <w:footerReference w:type="default" r:id="rId53"/>
          <w:pgSz w:w="11910" w:h="16840"/>
          <w:pgMar w:top="1640" w:right="720" w:bottom="1340" w:left="1020" w:header="1448" w:footer="1140"/>
          <w:pgNumType w:start="4"/>
          <w:cols w:space="708"/>
        </w:sectPr>
      </w:pPr>
    </w:p>
    <w:p>
      <w:pPr>
        <w:pStyle w:val="BodyText"/>
        <w:spacing w:before="1"/>
        <w:rPr>
          <w:sz w:val="17"/>
        </w:rPr>
      </w:pPr>
    </w:p>
    <w:p>
      <w:pPr>
        <w:pStyle w:val="BodyText"/>
        <w:tabs>
          <w:tab w:val="left" w:pos="525"/>
        </w:tabs>
        <w:spacing w:before="72"/>
        <w:ind w:right="12"/>
        <w:jc w:val="center"/>
        <w:rPr>
          <w:rFonts w:ascii="黑体" w:eastAsia="黑体" w:hint="eastAsia"/>
        </w:rPr>
      </w:pPr>
      <w:r>
        <w:rPr>
          <w:rFonts w:ascii="黑体" w:eastAsia="黑体" w:hint="eastAsia"/>
        </w:rPr>
        <w:t>表1</w:t>
        <w:tab/>
        <w:t>联网</w:t>
      </w:r>
      <w:r>
        <w:rPr>
          <w:rFonts w:ascii="黑体" w:eastAsia="黑体" w:hint="eastAsia"/>
          <w:spacing w:val="-3"/>
        </w:rPr>
        <w:t>验</w:t>
      </w:r>
      <w:r>
        <w:rPr>
          <w:rFonts w:ascii="黑体" w:eastAsia="黑体" w:hint="eastAsia"/>
        </w:rPr>
        <w:t>收</w:t>
      </w:r>
      <w:r>
        <w:rPr>
          <w:rFonts w:ascii="黑体" w:eastAsia="黑体" w:hint="eastAsia"/>
          <w:spacing w:val="-3"/>
        </w:rPr>
        <w:t>技</w:t>
      </w:r>
      <w:r>
        <w:rPr>
          <w:rFonts w:ascii="黑体" w:eastAsia="黑体" w:hint="eastAsia"/>
        </w:rPr>
        <w:t>术</w:t>
      </w:r>
      <w:r>
        <w:rPr>
          <w:rFonts w:ascii="黑体" w:eastAsia="黑体" w:hint="eastAsia"/>
          <w:spacing w:val="-3"/>
        </w:rPr>
        <w:t>指</w:t>
      </w:r>
      <w:r>
        <w:rPr>
          <w:rFonts w:ascii="黑体" w:eastAsia="黑体" w:hint="eastAsia"/>
        </w:rPr>
        <w:t>标</w:t>
      </w:r>
      <w:r>
        <w:rPr>
          <w:rFonts w:ascii="黑体" w:eastAsia="黑体" w:hint="eastAsia"/>
          <w:spacing w:val="-3"/>
        </w:rPr>
        <w:t>要</w:t>
      </w:r>
      <w:r>
        <w:rPr>
          <w:rFonts w:ascii="黑体" w:eastAsia="黑体" w:hint="eastAsia"/>
        </w:rPr>
        <w:t>求</w:t>
      </w:r>
    </w:p>
    <w:p>
      <w:pPr>
        <w:pStyle w:val="BodyText"/>
        <w:spacing w:before="9" w:after="1"/>
        <w:rPr>
          <w:rFonts w:ascii="黑体"/>
          <w:sz w:val="13"/>
        </w:rPr>
      </w:pPr>
    </w:p>
    <w:tbl>
      <w:tblPr>
        <w:tblStyle w:val="TableNormal0"/>
        <w:tblW w:w="0" w:type="auto"/>
        <w:jc w:val="left"/>
        <w:tblInd w:w="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76"/>
        <w:gridCol w:w="7360"/>
      </w:tblGrid>
      <w:tr>
        <w:tblPrEx>
          <w:tblW w:w="0" w:type="auto"/>
          <w:jc w:val="left"/>
          <w:tblInd w:w="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Ex>
        <w:trPr>
          <w:trHeight w:val="301"/>
          <w:jc w:val="left"/>
        </w:trPr>
        <w:tc>
          <w:tcPr>
            <w:tcW w:w="1976" w:type="dxa"/>
            <w:tcBorders>
              <w:right w:val="single" w:sz="4" w:space="0" w:color="000000"/>
            </w:tcBorders>
          </w:tcPr>
          <w:p>
            <w:pPr>
              <w:pStyle w:val="TableParagraph"/>
              <w:spacing w:before="62" w:line="220" w:lineRule="exact"/>
              <w:ind w:left="336" w:right="321"/>
              <w:jc w:val="center"/>
              <w:rPr>
                <w:sz w:val="18"/>
              </w:rPr>
            </w:pPr>
            <w:r>
              <w:rPr>
                <w:sz w:val="18"/>
              </w:rPr>
              <w:t>联网验收项目</w:t>
            </w:r>
          </w:p>
        </w:tc>
        <w:tc>
          <w:tcPr>
            <w:tcW w:w="7360" w:type="dxa"/>
            <w:tcBorders>
              <w:left w:val="single" w:sz="4" w:space="0" w:color="000000"/>
            </w:tcBorders>
          </w:tcPr>
          <w:p>
            <w:pPr>
              <w:pStyle w:val="TableParagraph"/>
              <w:spacing w:before="62" w:line="220" w:lineRule="exact"/>
              <w:ind w:left="3301" w:right="3283"/>
              <w:jc w:val="center"/>
              <w:rPr>
                <w:sz w:val="18"/>
              </w:rPr>
            </w:pPr>
            <w:r>
              <w:rPr>
                <w:sz w:val="18"/>
              </w:rPr>
              <w:t>验收指标</w:t>
            </w:r>
          </w:p>
        </w:tc>
      </w:tr>
      <w:tr>
        <w:tblPrEx>
          <w:tblW w:w="0" w:type="auto"/>
          <w:jc w:val="left"/>
          <w:tblInd w:w="418" w:type="dxa"/>
          <w:tblLayout w:type="fixed"/>
          <w:tblCellMar>
            <w:top w:w="0" w:type="dxa"/>
            <w:left w:w="0" w:type="dxa"/>
            <w:bottom w:w="0" w:type="dxa"/>
            <w:right w:w="0" w:type="dxa"/>
          </w:tblCellMar>
          <w:tblLook w:val="01E0"/>
        </w:tblPrEx>
        <w:trPr>
          <w:trHeight w:val="1499"/>
          <w:jc w:val="left"/>
        </w:trPr>
        <w:tc>
          <w:tcPr>
            <w:tcW w:w="1976" w:type="dxa"/>
            <w:tcBorders>
              <w:bottom w:val="single" w:sz="4" w:space="0" w:color="000000"/>
              <w:right w:val="single" w:sz="4" w:space="0" w:color="000000"/>
            </w:tcBorders>
          </w:tcPr>
          <w:p>
            <w:pPr>
              <w:pStyle w:val="TableParagraph"/>
              <w:rPr>
                <w:rFonts w:ascii="黑体"/>
                <w:sz w:val="18"/>
              </w:rPr>
            </w:pPr>
          </w:p>
          <w:p>
            <w:pPr>
              <w:pStyle w:val="TableParagraph"/>
              <w:rPr>
                <w:rFonts w:ascii="黑体"/>
                <w:sz w:val="18"/>
              </w:rPr>
            </w:pPr>
          </w:p>
          <w:p>
            <w:pPr>
              <w:pStyle w:val="TableParagraph"/>
              <w:spacing w:before="6"/>
              <w:rPr>
                <w:rFonts w:ascii="黑体"/>
                <w:sz w:val="15"/>
              </w:rPr>
            </w:pPr>
          </w:p>
          <w:p>
            <w:pPr>
              <w:pStyle w:val="TableParagraph"/>
              <w:ind w:left="339" w:right="321"/>
              <w:jc w:val="center"/>
              <w:rPr>
                <w:sz w:val="18"/>
              </w:rPr>
            </w:pPr>
            <w:r>
              <w:rPr>
                <w:sz w:val="18"/>
              </w:rPr>
              <w:t>通信稳定性</w:t>
            </w:r>
          </w:p>
        </w:tc>
        <w:tc>
          <w:tcPr>
            <w:tcW w:w="7360" w:type="dxa"/>
            <w:tcBorders>
              <w:left w:val="single" w:sz="4" w:space="0" w:color="000000"/>
              <w:bottom w:val="single" w:sz="4" w:space="0" w:color="000000"/>
            </w:tcBorders>
          </w:tcPr>
          <w:p>
            <w:pPr>
              <w:pStyle w:val="TableParagraph"/>
              <w:numPr>
                <w:ilvl w:val="0"/>
                <w:numId w:val="9"/>
              </w:numPr>
              <w:tabs>
                <w:tab w:val="left" w:pos="144"/>
              </w:tabs>
              <w:spacing w:before="59" w:after="0" w:line="240" w:lineRule="auto"/>
              <w:ind w:left="143" w:right="0" w:hanging="135"/>
              <w:jc w:val="left"/>
              <w:rPr>
                <w:sz w:val="18"/>
              </w:rPr>
            </w:pPr>
            <w:r>
              <w:rPr>
                <w:spacing w:val="-9"/>
                <w:sz w:val="18"/>
              </w:rPr>
              <w:t xml:space="preserve">现场机在线率为 </w:t>
            </w:r>
            <w:r>
              <w:rPr>
                <w:rFonts w:ascii="Times New Roman" w:eastAsia="Times New Roman"/>
                <w:sz w:val="18"/>
              </w:rPr>
              <w:t>99%</w:t>
            </w:r>
            <w:r>
              <w:rPr>
                <w:spacing w:val="-3"/>
                <w:sz w:val="18"/>
              </w:rPr>
              <w:t>以上；</w:t>
            </w:r>
          </w:p>
          <w:p>
            <w:pPr>
              <w:pStyle w:val="TableParagraph"/>
              <w:numPr>
                <w:ilvl w:val="0"/>
                <w:numId w:val="9"/>
              </w:numPr>
              <w:tabs>
                <w:tab w:val="left" w:pos="144"/>
              </w:tabs>
              <w:spacing w:before="70" w:after="0" w:line="240" w:lineRule="auto"/>
              <w:ind w:left="143" w:right="0" w:hanging="135"/>
              <w:jc w:val="left"/>
              <w:rPr>
                <w:sz w:val="18"/>
              </w:rPr>
            </w:pPr>
            <w:r>
              <w:rPr>
                <w:spacing w:val="-11"/>
                <w:sz w:val="18"/>
              </w:rPr>
              <w:t xml:space="preserve">掉线后应在 </w:t>
            </w:r>
            <w:r>
              <w:rPr>
                <w:rFonts w:ascii="Times New Roman" w:eastAsia="Times New Roman"/>
                <w:sz w:val="18"/>
              </w:rPr>
              <w:t>5min</w:t>
            </w:r>
            <w:r>
              <w:rPr>
                <w:rFonts w:ascii="Times New Roman" w:eastAsia="Times New Roman"/>
                <w:spacing w:val="-1"/>
                <w:sz w:val="18"/>
              </w:rPr>
              <w:t xml:space="preserve"> </w:t>
            </w:r>
            <w:r>
              <w:rPr>
                <w:spacing w:val="-3"/>
                <w:sz w:val="18"/>
              </w:rPr>
              <w:t>之内重新上线；</w:t>
            </w:r>
          </w:p>
          <w:p>
            <w:pPr>
              <w:pStyle w:val="TableParagraph"/>
              <w:numPr>
                <w:ilvl w:val="0"/>
                <w:numId w:val="9"/>
              </w:numPr>
              <w:tabs>
                <w:tab w:val="left" w:pos="144"/>
              </w:tabs>
              <w:spacing w:before="69" w:after="0" w:line="240" w:lineRule="auto"/>
              <w:ind w:left="143" w:right="0" w:hanging="135"/>
              <w:jc w:val="left"/>
              <w:rPr>
                <w:sz w:val="18"/>
              </w:rPr>
            </w:pPr>
            <w:r>
              <w:rPr>
                <w:spacing w:val="-6"/>
                <w:sz w:val="18"/>
              </w:rPr>
              <w:t xml:space="preserve">单台数据采集传输仪每日掉线次数在 </w:t>
            </w:r>
            <w:r>
              <w:rPr>
                <w:rFonts w:ascii="Times New Roman" w:eastAsia="Times New Roman"/>
                <w:sz w:val="18"/>
              </w:rPr>
              <w:t>3</w:t>
            </w:r>
            <w:r>
              <w:rPr>
                <w:rFonts w:ascii="Times New Roman" w:eastAsia="Times New Roman"/>
                <w:spacing w:val="-1"/>
                <w:sz w:val="18"/>
              </w:rPr>
              <w:t xml:space="preserve"> </w:t>
            </w:r>
            <w:r>
              <w:rPr>
                <w:spacing w:val="-3"/>
                <w:sz w:val="18"/>
              </w:rPr>
              <w:t>次以内；</w:t>
            </w:r>
          </w:p>
          <w:p>
            <w:pPr>
              <w:pStyle w:val="TableParagraph"/>
              <w:numPr>
                <w:ilvl w:val="0"/>
                <w:numId w:val="9"/>
              </w:numPr>
              <w:tabs>
                <w:tab w:val="left" w:pos="144"/>
              </w:tabs>
              <w:spacing w:before="0" w:after="0" w:line="300" w:lineRule="atLeast"/>
              <w:ind w:left="9" w:right="-15" w:firstLine="0"/>
              <w:jc w:val="left"/>
              <w:rPr>
                <w:sz w:val="18"/>
              </w:rPr>
            </w:pPr>
            <w:r>
              <w:rPr>
                <w:spacing w:val="-3"/>
                <w:sz w:val="18"/>
              </w:rPr>
              <w:t>报文传输稳定性在</w:t>
            </w:r>
            <w:r>
              <w:rPr>
                <w:rFonts w:ascii="Times New Roman" w:eastAsia="Times New Roman"/>
                <w:sz w:val="18"/>
              </w:rPr>
              <w:t>99%</w:t>
            </w:r>
            <w:r>
              <w:rPr>
                <w:spacing w:val="-9"/>
                <w:sz w:val="18"/>
              </w:rPr>
              <w:t>以上，当出现报文错误或丢失时，启动纠错逻辑，要求数据采集传输仪</w:t>
            </w:r>
            <w:r>
              <w:rPr>
                <w:spacing w:val="-3"/>
                <w:sz w:val="18"/>
              </w:rPr>
              <w:t>重新发送报文。</w:t>
            </w:r>
          </w:p>
        </w:tc>
      </w:tr>
      <w:tr>
        <w:tblPrEx>
          <w:tblW w:w="0" w:type="auto"/>
          <w:jc w:val="left"/>
          <w:tblInd w:w="418" w:type="dxa"/>
          <w:tblLayout w:type="fixed"/>
          <w:tblCellMar>
            <w:top w:w="0" w:type="dxa"/>
            <w:left w:w="0" w:type="dxa"/>
            <w:bottom w:w="0" w:type="dxa"/>
            <w:right w:w="0" w:type="dxa"/>
          </w:tblCellMar>
          <w:tblLook w:val="01E0"/>
        </w:tblPrEx>
        <w:trPr>
          <w:trHeight w:val="599"/>
          <w:jc w:val="left"/>
        </w:trPr>
        <w:tc>
          <w:tcPr>
            <w:tcW w:w="1976" w:type="dxa"/>
            <w:tcBorders>
              <w:top w:val="single" w:sz="4" w:space="0" w:color="000000"/>
              <w:bottom w:val="single" w:sz="4" w:space="0" w:color="000000"/>
              <w:right w:val="single" w:sz="4" w:space="0" w:color="000000"/>
            </w:tcBorders>
          </w:tcPr>
          <w:p>
            <w:pPr>
              <w:pStyle w:val="TableParagraph"/>
              <w:spacing w:before="6"/>
              <w:rPr>
                <w:rFonts w:ascii="黑体"/>
                <w:sz w:val="16"/>
              </w:rPr>
            </w:pPr>
          </w:p>
          <w:p>
            <w:pPr>
              <w:pStyle w:val="TableParagraph"/>
              <w:ind w:left="339" w:right="321"/>
              <w:jc w:val="center"/>
              <w:rPr>
                <w:sz w:val="18"/>
              </w:rPr>
            </w:pPr>
            <w:r>
              <w:rPr>
                <w:sz w:val="18"/>
              </w:rPr>
              <w:t>数据传输安全性</w:t>
            </w:r>
          </w:p>
        </w:tc>
        <w:tc>
          <w:tcPr>
            <w:tcW w:w="7360" w:type="dxa"/>
            <w:tcBorders>
              <w:top w:val="single" w:sz="4" w:space="0" w:color="000000"/>
              <w:left w:val="single" w:sz="4" w:space="0" w:color="000000"/>
              <w:bottom w:val="single" w:sz="4" w:space="0" w:color="000000"/>
            </w:tcBorders>
          </w:tcPr>
          <w:p>
            <w:pPr>
              <w:pStyle w:val="TableParagraph"/>
              <w:numPr>
                <w:ilvl w:val="0"/>
                <w:numId w:val="8"/>
              </w:numPr>
              <w:tabs>
                <w:tab w:val="left" w:pos="147"/>
              </w:tabs>
              <w:spacing w:before="60" w:after="0" w:line="240" w:lineRule="auto"/>
              <w:ind w:left="146" w:right="-72" w:hanging="138"/>
              <w:jc w:val="left"/>
              <w:rPr>
                <w:sz w:val="18"/>
              </w:rPr>
            </w:pPr>
            <w:r>
              <w:rPr>
                <w:spacing w:val="-5"/>
                <w:sz w:val="18"/>
              </w:rPr>
              <w:t xml:space="preserve">所传输的数据应按照 </w:t>
            </w:r>
            <w:r>
              <w:rPr>
                <w:rFonts w:ascii="Times New Roman" w:eastAsia="Times New Roman"/>
                <w:sz w:val="18"/>
              </w:rPr>
              <w:t>HJ</w:t>
            </w:r>
            <w:r>
              <w:rPr>
                <w:rFonts w:ascii="Times New Roman" w:eastAsia="Times New Roman"/>
                <w:spacing w:val="-2"/>
                <w:sz w:val="18"/>
              </w:rPr>
              <w:t xml:space="preserve"> </w:t>
            </w:r>
            <w:r>
              <w:rPr>
                <w:rFonts w:ascii="Times New Roman" w:eastAsia="Times New Roman"/>
                <w:sz w:val="18"/>
              </w:rPr>
              <w:t>212</w:t>
            </w:r>
            <w:r>
              <w:rPr>
                <w:rFonts w:ascii="Times New Roman" w:eastAsia="Times New Roman"/>
                <w:spacing w:val="-1"/>
                <w:sz w:val="18"/>
              </w:rPr>
              <w:t xml:space="preserve"> </w:t>
            </w:r>
            <w:r>
              <w:rPr>
                <w:sz w:val="18"/>
              </w:rPr>
              <w:t>中规定的加密方法进行加密处理传输，保证数据传输的安全性；</w:t>
            </w:r>
          </w:p>
          <w:p>
            <w:pPr>
              <w:pStyle w:val="TableParagraph"/>
              <w:numPr>
                <w:ilvl w:val="0"/>
                <w:numId w:val="8"/>
              </w:numPr>
              <w:tabs>
                <w:tab w:val="left" w:pos="147"/>
              </w:tabs>
              <w:spacing w:before="69" w:after="0" w:line="220" w:lineRule="exact"/>
              <w:ind w:left="146" w:right="0" w:hanging="138"/>
              <w:jc w:val="left"/>
              <w:rPr>
                <w:sz w:val="18"/>
              </w:rPr>
            </w:pPr>
            <w:r>
              <w:rPr>
                <w:spacing w:val="-1"/>
                <w:sz w:val="18"/>
              </w:rPr>
              <w:t>服务器端对请求连接的客户端进行身份验证。</w:t>
            </w:r>
          </w:p>
        </w:tc>
      </w:tr>
      <w:tr>
        <w:tblPrEx>
          <w:tblW w:w="0" w:type="auto"/>
          <w:jc w:val="left"/>
          <w:tblInd w:w="418" w:type="dxa"/>
          <w:tblLayout w:type="fixed"/>
          <w:tblCellMar>
            <w:top w:w="0" w:type="dxa"/>
            <w:left w:w="0" w:type="dxa"/>
            <w:bottom w:w="0" w:type="dxa"/>
            <w:right w:w="0" w:type="dxa"/>
          </w:tblCellMar>
          <w:tblLook w:val="01E0"/>
        </w:tblPrEx>
        <w:trPr>
          <w:trHeight w:val="300"/>
          <w:jc w:val="left"/>
        </w:trPr>
        <w:tc>
          <w:tcPr>
            <w:tcW w:w="1976" w:type="dxa"/>
            <w:tcBorders>
              <w:top w:val="single" w:sz="4" w:space="0" w:color="000000"/>
              <w:bottom w:val="single" w:sz="4" w:space="0" w:color="000000"/>
              <w:right w:val="single" w:sz="4" w:space="0" w:color="000000"/>
            </w:tcBorders>
          </w:tcPr>
          <w:p>
            <w:pPr>
              <w:pStyle w:val="TableParagraph"/>
              <w:spacing w:before="60" w:line="220" w:lineRule="exact"/>
              <w:ind w:left="339" w:right="321"/>
              <w:jc w:val="center"/>
              <w:rPr>
                <w:sz w:val="18"/>
              </w:rPr>
            </w:pPr>
            <w:r>
              <w:rPr>
                <w:sz w:val="18"/>
              </w:rPr>
              <w:t>通信协议正确性</w:t>
            </w:r>
          </w:p>
        </w:tc>
        <w:tc>
          <w:tcPr>
            <w:tcW w:w="7360" w:type="dxa"/>
            <w:tcBorders>
              <w:top w:val="single" w:sz="4" w:space="0" w:color="000000"/>
              <w:left w:val="single" w:sz="4" w:space="0" w:color="000000"/>
              <w:bottom w:val="single" w:sz="4" w:space="0" w:color="000000"/>
            </w:tcBorders>
          </w:tcPr>
          <w:p>
            <w:pPr>
              <w:pStyle w:val="TableParagraph"/>
              <w:spacing w:before="60" w:line="220" w:lineRule="exact"/>
              <w:ind w:left="9"/>
              <w:rPr>
                <w:sz w:val="18"/>
              </w:rPr>
            </w:pPr>
            <w:r>
              <w:rPr>
                <w:sz w:val="18"/>
              </w:rPr>
              <w:t>现场机和上位机的通信协议应符合</w:t>
            </w:r>
            <w:r>
              <w:rPr>
                <w:rFonts w:ascii="Times New Roman" w:eastAsia="Times New Roman"/>
                <w:sz w:val="18"/>
              </w:rPr>
              <w:t xml:space="preserve">HJ 212  </w:t>
            </w:r>
            <w:r>
              <w:rPr>
                <w:sz w:val="18"/>
              </w:rPr>
              <w:t>的规定，正确率</w:t>
            </w:r>
            <w:r>
              <w:rPr>
                <w:rFonts w:ascii="Times New Roman" w:eastAsia="Times New Roman"/>
                <w:sz w:val="18"/>
              </w:rPr>
              <w:t>100%</w:t>
            </w:r>
            <w:r>
              <w:rPr>
                <w:sz w:val="18"/>
              </w:rPr>
              <w:t>。</w:t>
            </w:r>
          </w:p>
        </w:tc>
      </w:tr>
      <w:tr>
        <w:tblPrEx>
          <w:tblW w:w="0" w:type="auto"/>
          <w:jc w:val="left"/>
          <w:tblInd w:w="418" w:type="dxa"/>
          <w:tblLayout w:type="fixed"/>
          <w:tblCellMar>
            <w:top w:w="0" w:type="dxa"/>
            <w:left w:w="0" w:type="dxa"/>
            <w:bottom w:w="0" w:type="dxa"/>
            <w:right w:w="0" w:type="dxa"/>
          </w:tblCellMar>
          <w:tblLook w:val="01E0"/>
        </w:tblPrEx>
        <w:trPr>
          <w:trHeight w:val="601"/>
          <w:jc w:val="left"/>
        </w:trPr>
        <w:tc>
          <w:tcPr>
            <w:tcW w:w="1976" w:type="dxa"/>
            <w:tcBorders>
              <w:top w:val="single" w:sz="4" w:space="0" w:color="000000"/>
              <w:right w:val="single" w:sz="4" w:space="0" w:color="000000"/>
            </w:tcBorders>
          </w:tcPr>
          <w:p>
            <w:pPr>
              <w:pStyle w:val="TableParagraph"/>
              <w:spacing w:before="6"/>
              <w:rPr>
                <w:rFonts w:ascii="黑体"/>
                <w:sz w:val="16"/>
              </w:rPr>
            </w:pPr>
          </w:p>
          <w:p>
            <w:pPr>
              <w:pStyle w:val="TableParagraph"/>
              <w:ind w:left="339" w:right="321"/>
              <w:jc w:val="center"/>
              <w:rPr>
                <w:sz w:val="18"/>
              </w:rPr>
            </w:pPr>
            <w:r>
              <w:rPr>
                <w:sz w:val="18"/>
              </w:rPr>
              <w:t>数据传输正确性</w:t>
            </w:r>
          </w:p>
        </w:tc>
        <w:tc>
          <w:tcPr>
            <w:tcW w:w="7360" w:type="dxa"/>
            <w:tcBorders>
              <w:top w:val="single" w:sz="4" w:space="0" w:color="000000"/>
              <w:left w:val="single" w:sz="4" w:space="0" w:color="000000"/>
            </w:tcBorders>
          </w:tcPr>
          <w:p>
            <w:pPr>
              <w:pStyle w:val="TableParagraph"/>
              <w:spacing w:before="59"/>
              <w:ind w:left="9" w:right="-15"/>
              <w:rPr>
                <w:sz w:val="18"/>
              </w:rPr>
            </w:pPr>
            <w:r>
              <w:rPr>
                <w:spacing w:val="-4"/>
                <w:sz w:val="18"/>
              </w:rPr>
              <w:t>系统联网运行后，对运行期间的数据进行检查，对比接收的数据和现场数据的一致性，精确至</w:t>
            </w:r>
          </w:p>
          <w:p>
            <w:pPr>
              <w:pStyle w:val="TableParagraph"/>
              <w:spacing w:before="70" w:line="222" w:lineRule="exact"/>
              <w:ind w:left="9"/>
              <w:rPr>
                <w:sz w:val="18"/>
              </w:rPr>
            </w:pPr>
            <w:r>
              <w:rPr>
                <w:sz w:val="18"/>
              </w:rPr>
              <w:t>一位小数，抽查数据正确率</w:t>
            </w:r>
            <w:r>
              <w:rPr>
                <w:rFonts w:ascii="Times New Roman" w:eastAsia="Times New Roman"/>
                <w:sz w:val="18"/>
              </w:rPr>
              <w:t>100%</w:t>
            </w:r>
            <w:r>
              <w:rPr>
                <w:sz w:val="18"/>
              </w:rPr>
              <w:t>，检查传输项目是否符合要求，设置计算公式是否正确。</w:t>
            </w:r>
          </w:p>
        </w:tc>
      </w:tr>
    </w:tbl>
    <w:p>
      <w:pPr>
        <w:pStyle w:val="ListParagraph"/>
        <w:numPr>
          <w:ilvl w:val="2"/>
          <w:numId w:val="10"/>
        </w:numPr>
        <w:tabs>
          <w:tab w:val="left" w:pos="1239"/>
        </w:tabs>
        <w:spacing w:before="22" w:after="0" w:line="240" w:lineRule="auto"/>
        <w:ind w:left="1238" w:right="0" w:hanging="841"/>
        <w:jc w:val="both"/>
        <w:rPr>
          <w:sz w:val="21"/>
        </w:rPr>
      </w:pPr>
      <w:r>
        <w:drawing>
          <wp:anchor distT="0" distB="0" distL="0" distR="0" simplePos="0" relativeHeight="251683840" behindDoc="0" locked="0" layoutInCell="1" allowOverlap="1">
            <wp:simplePos x="0" y="0"/>
            <wp:positionH relativeFrom="page">
              <wp:posOffset>1512112</wp:posOffset>
            </wp:positionH>
            <wp:positionV relativeFrom="paragraph">
              <wp:posOffset>-597466</wp:posOffset>
            </wp:positionV>
            <wp:extent cx="4536320" cy="4536320"/>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rPr>
          <w:spacing w:val="1"/>
          <w:sz w:val="21"/>
        </w:rPr>
        <w:t>通信及数据传输验收按照</w:t>
      </w:r>
      <w:r>
        <w:rPr>
          <w:rFonts w:ascii="Times New Roman" w:eastAsia="Times New Roman"/>
          <w:sz w:val="21"/>
        </w:rPr>
        <w:t>HJ</w:t>
      </w:r>
      <w:r>
        <w:rPr>
          <w:rFonts w:ascii="Times New Roman" w:eastAsia="Times New Roman"/>
          <w:spacing w:val="1"/>
          <w:sz w:val="21"/>
        </w:rPr>
        <w:t xml:space="preserve"> </w:t>
      </w:r>
      <w:r>
        <w:rPr>
          <w:rFonts w:ascii="Times New Roman" w:eastAsia="Times New Roman"/>
          <w:sz w:val="21"/>
        </w:rPr>
        <w:t xml:space="preserve">212 </w:t>
      </w:r>
      <w:r>
        <w:rPr>
          <w:spacing w:val="-3"/>
          <w:sz w:val="21"/>
        </w:rPr>
        <w:t>的规定检查通信协议的正确性。</w:t>
      </w:r>
    </w:p>
    <w:p>
      <w:pPr>
        <w:pStyle w:val="ListParagraph"/>
        <w:numPr>
          <w:ilvl w:val="2"/>
          <w:numId w:val="10"/>
        </w:numPr>
        <w:tabs>
          <w:tab w:val="left" w:pos="1239"/>
        </w:tabs>
        <w:spacing w:before="43" w:after="0" w:line="278" w:lineRule="auto"/>
        <w:ind w:left="398" w:right="406" w:firstLine="0"/>
        <w:jc w:val="both"/>
        <w:rPr>
          <w:sz w:val="21"/>
        </w:rPr>
      </w:pPr>
      <w:r>
        <w:rPr>
          <w:spacing w:val="-8"/>
          <w:sz w:val="21"/>
        </w:rPr>
        <w:t>数据比对验收要求在联网运行后，对联网数据进行数据比对验收，抽查对比上位机接收到的数</w:t>
      </w:r>
      <w:r>
        <w:rPr>
          <w:spacing w:val="-9"/>
          <w:sz w:val="21"/>
        </w:rPr>
        <w:t xml:space="preserve">据和现场机存储的数据是否一致，精确到一位小数，同时按照附录 </w:t>
      </w:r>
      <w:r>
        <w:rPr>
          <w:rFonts w:ascii="Times New Roman" w:eastAsia="Times New Roman"/>
          <w:spacing w:val="-5"/>
          <w:sz w:val="21"/>
        </w:rPr>
        <w:t>F</w:t>
      </w:r>
      <w:r>
        <w:rPr>
          <w:spacing w:val="-8"/>
          <w:sz w:val="21"/>
        </w:rPr>
        <w:t>、</w:t>
      </w:r>
      <w:r>
        <w:rPr>
          <w:rFonts w:ascii="Times New Roman" w:eastAsia="Times New Roman"/>
          <w:sz w:val="21"/>
        </w:rPr>
        <w:t>HJ</w:t>
      </w:r>
      <w:r>
        <w:rPr>
          <w:rFonts w:ascii="Times New Roman" w:eastAsia="Times New Roman"/>
          <w:spacing w:val="-5"/>
          <w:sz w:val="21"/>
        </w:rPr>
        <w:t xml:space="preserve"> </w:t>
      </w:r>
      <w:r>
        <w:rPr>
          <w:rFonts w:ascii="Times New Roman" w:eastAsia="Times New Roman"/>
          <w:sz w:val="21"/>
        </w:rPr>
        <w:t>75</w:t>
      </w:r>
      <w:r>
        <w:rPr>
          <w:rFonts w:ascii="Times New Roman" w:eastAsia="Times New Roman"/>
          <w:spacing w:val="5"/>
          <w:sz w:val="21"/>
        </w:rPr>
        <w:t xml:space="preserve"> </w:t>
      </w:r>
      <w:r>
        <w:rPr>
          <w:spacing w:val="-24"/>
          <w:sz w:val="21"/>
        </w:rPr>
        <w:t xml:space="preserve">和 </w:t>
      </w:r>
      <w:r>
        <w:rPr>
          <w:rFonts w:ascii="Times New Roman" w:eastAsia="Times New Roman"/>
          <w:sz w:val="21"/>
        </w:rPr>
        <w:t>HJ</w:t>
      </w:r>
      <w:r>
        <w:rPr>
          <w:rFonts w:ascii="Times New Roman" w:eastAsia="Times New Roman"/>
          <w:spacing w:val="-7"/>
          <w:sz w:val="21"/>
        </w:rPr>
        <w:t xml:space="preserve"> </w:t>
      </w:r>
      <w:r>
        <w:rPr>
          <w:rFonts w:ascii="Times New Roman" w:eastAsia="Times New Roman"/>
          <w:sz w:val="21"/>
        </w:rPr>
        <w:t>212</w:t>
      </w:r>
      <w:r>
        <w:rPr>
          <w:rFonts w:ascii="Times New Roman" w:eastAsia="Times New Roman"/>
          <w:spacing w:val="7"/>
          <w:sz w:val="21"/>
        </w:rPr>
        <w:t xml:space="preserve"> </w:t>
      </w:r>
      <w:r>
        <w:rPr>
          <w:spacing w:val="-3"/>
          <w:sz w:val="21"/>
        </w:rPr>
        <w:t>的要求检查数据的传输项目和计算公式是否正确。</w:t>
      </w:r>
    </w:p>
    <w:p>
      <w:pPr>
        <w:pStyle w:val="ListParagraph"/>
        <w:numPr>
          <w:ilvl w:val="2"/>
          <w:numId w:val="10"/>
        </w:numPr>
        <w:tabs>
          <w:tab w:val="left" w:pos="1239"/>
        </w:tabs>
        <w:spacing w:before="0" w:after="0" w:line="278" w:lineRule="auto"/>
        <w:ind w:left="398" w:right="300" w:firstLine="0"/>
        <w:jc w:val="both"/>
        <w:rPr>
          <w:sz w:val="21"/>
        </w:rPr>
      </w:pPr>
      <w:r>
        <w:rPr>
          <w:spacing w:val="-12"/>
          <w:sz w:val="21"/>
        </w:rPr>
        <w:t>联网稳定性验收要求在连续一个月内，数据采集与处理单元能稳定运行，不出现除通信稳定性、</w:t>
      </w:r>
      <w:r>
        <w:rPr>
          <w:spacing w:val="-6"/>
          <w:sz w:val="21"/>
        </w:rPr>
        <w:t>通信协议正确性、数据传输正确性以外的其他联网问题。</w:t>
      </w:r>
    </w:p>
    <w:p>
      <w:pPr>
        <w:spacing w:before="157"/>
        <w:ind w:left="403" w:right="0" w:firstLine="0"/>
        <w:jc w:val="left"/>
        <w:rPr>
          <w:rFonts w:ascii="黑体" w:eastAsia="黑体" w:hint="eastAsia"/>
          <w:sz w:val="21"/>
        </w:rPr>
      </w:pPr>
      <w:r>
        <w:drawing>
          <wp:inline distT="0" distB="0" distL="0" distR="0">
            <wp:extent cx="193512" cy="94342"/>
            <wp:effectExtent l="0" t="0" r="0" b="0"/>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8.png"/>
                    <pic:cNvPicPr/>
                  </pic:nvPicPr>
                  <pic:blipFill>
                    <a:blip xmlns:r="http://schemas.openxmlformats.org/officeDocument/2006/relationships" r:embed="rId54" cstate="print"/>
                    <a:stretch>
                      <a:fillRect/>
                    </a:stretch>
                  </pic:blipFill>
                  <pic:spPr>
                    <a:xfrm>
                      <a:off x="0" y="0"/>
                      <a:ext cx="193512" cy="9434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6"/>
          <w:sz w:val="20"/>
        </w:rPr>
        <w:t xml:space="preserve"> </w:t>
      </w:r>
      <w:r>
        <w:rPr>
          <w:rFonts w:ascii="黑体" w:eastAsia="黑体" w:hint="eastAsia"/>
          <w:spacing w:val="-2"/>
          <w:sz w:val="21"/>
        </w:rPr>
        <w:t>简易验收</w:t>
      </w:r>
    </w:p>
    <w:p>
      <w:pPr>
        <w:pStyle w:val="BodyText"/>
        <w:spacing w:before="4"/>
        <w:rPr>
          <w:rFonts w:ascii="黑体"/>
          <w:sz w:val="9"/>
        </w:rPr>
      </w:pPr>
    </w:p>
    <w:p>
      <w:pPr>
        <w:pStyle w:val="ListParagraph"/>
        <w:numPr>
          <w:ilvl w:val="2"/>
          <w:numId w:val="7"/>
        </w:numPr>
        <w:tabs>
          <w:tab w:val="left" w:pos="1133"/>
          <w:tab w:val="left" w:pos="1134"/>
        </w:tabs>
        <w:spacing w:before="78" w:after="0" w:line="240" w:lineRule="auto"/>
        <w:ind w:left="1133" w:right="0" w:hanging="736"/>
        <w:jc w:val="left"/>
        <w:rPr>
          <w:sz w:val="21"/>
        </w:rPr>
      </w:pPr>
      <w:r>
        <w:rPr>
          <w:spacing w:val="-11"/>
          <w:sz w:val="21"/>
        </w:rPr>
        <w:t xml:space="preserve">日常运行中更换的分析仪技术性能应符合本文件第 </w:t>
      </w:r>
      <w:r>
        <w:rPr>
          <w:rFonts w:ascii="Times New Roman" w:eastAsia="Times New Roman"/>
          <w:sz w:val="21"/>
        </w:rPr>
        <w:t>4</w:t>
      </w:r>
      <w:r>
        <w:rPr>
          <w:rFonts w:ascii="Times New Roman" w:eastAsia="Times New Roman"/>
          <w:spacing w:val="-5"/>
          <w:sz w:val="21"/>
        </w:rPr>
        <w:t xml:space="preserve"> </w:t>
      </w:r>
      <w:r>
        <w:rPr>
          <w:spacing w:val="-4"/>
          <w:sz w:val="21"/>
        </w:rPr>
        <w:t>章的要求。</w:t>
      </w:r>
    </w:p>
    <w:p>
      <w:pPr>
        <w:pStyle w:val="ListParagraph"/>
        <w:numPr>
          <w:ilvl w:val="2"/>
          <w:numId w:val="7"/>
        </w:numPr>
        <w:tabs>
          <w:tab w:val="left" w:pos="1133"/>
          <w:tab w:val="left" w:pos="1134"/>
        </w:tabs>
        <w:spacing w:before="44" w:after="0" w:line="240" w:lineRule="auto"/>
        <w:ind w:left="1133" w:right="0" w:hanging="736"/>
        <w:jc w:val="left"/>
        <w:rPr>
          <w:sz w:val="21"/>
        </w:rPr>
      </w:pPr>
      <w:r>
        <w:rPr>
          <w:spacing w:val="-10"/>
          <w:sz w:val="21"/>
        </w:rPr>
        <w:t xml:space="preserve">日常运行中变动后的取样点位应符合本文件第 </w:t>
      </w:r>
      <w:r>
        <w:rPr>
          <w:rFonts w:ascii="Times New Roman" w:eastAsia="Times New Roman"/>
          <w:sz w:val="21"/>
        </w:rPr>
        <w:t>6</w:t>
      </w:r>
      <w:r>
        <w:rPr>
          <w:rFonts w:ascii="Times New Roman" w:eastAsia="Times New Roman"/>
          <w:spacing w:val="-5"/>
          <w:sz w:val="21"/>
        </w:rPr>
        <w:t xml:space="preserve"> </w:t>
      </w:r>
      <w:r>
        <w:rPr>
          <w:spacing w:val="-6"/>
          <w:sz w:val="21"/>
        </w:rPr>
        <w:t>章的要求。</w:t>
      </w:r>
    </w:p>
    <w:p>
      <w:pPr>
        <w:pStyle w:val="ListParagraph"/>
        <w:numPr>
          <w:ilvl w:val="2"/>
          <w:numId w:val="7"/>
        </w:numPr>
        <w:tabs>
          <w:tab w:val="left" w:pos="1133"/>
          <w:tab w:val="left" w:pos="1134"/>
        </w:tabs>
        <w:spacing w:before="43" w:after="0" w:line="278" w:lineRule="auto"/>
        <w:ind w:left="398" w:right="405" w:firstLine="0"/>
        <w:jc w:val="left"/>
        <w:rPr>
          <w:sz w:val="21"/>
        </w:rPr>
      </w:pPr>
      <w:r>
        <w:rPr>
          <w:spacing w:val="-13"/>
          <w:sz w:val="21"/>
        </w:rPr>
        <w:t>日常运行中完成设备更换后，可直接进行</w:t>
      </w:r>
      <w:r>
        <w:rPr>
          <w:rFonts w:ascii="Times New Roman" w:eastAsia="Times New Roman"/>
          <w:sz w:val="21"/>
        </w:rPr>
        <w:t>72h</w:t>
      </w:r>
      <w:r>
        <w:rPr>
          <w:rFonts w:ascii="Times New Roman" w:eastAsia="Times New Roman"/>
          <w:spacing w:val="9"/>
          <w:sz w:val="21"/>
        </w:rPr>
        <w:t xml:space="preserve"> </w:t>
      </w:r>
      <w:r>
        <w:rPr>
          <w:spacing w:val="-17"/>
          <w:sz w:val="21"/>
        </w:rPr>
        <w:t xml:space="preserve">的调试检测，仅对更换设备开展技术指标调试检测， </w:t>
      </w:r>
      <w:r>
        <w:rPr>
          <w:spacing w:val="-11"/>
          <w:sz w:val="21"/>
        </w:rPr>
        <w:t xml:space="preserve">调试检测应符合本文件第 </w:t>
      </w:r>
      <w:r>
        <w:rPr>
          <w:rFonts w:ascii="Times New Roman" w:eastAsia="Times New Roman"/>
          <w:sz w:val="21"/>
        </w:rPr>
        <w:t>7</w:t>
      </w:r>
      <w:r>
        <w:rPr>
          <w:rFonts w:ascii="Times New Roman" w:eastAsia="Times New Roman"/>
          <w:spacing w:val="-5"/>
          <w:sz w:val="21"/>
        </w:rPr>
        <w:t xml:space="preserve"> </w:t>
      </w:r>
      <w:r>
        <w:rPr>
          <w:spacing w:val="-5"/>
          <w:sz w:val="21"/>
        </w:rPr>
        <w:t>章的要求。</w:t>
      </w:r>
    </w:p>
    <w:p>
      <w:pPr>
        <w:pStyle w:val="ListParagraph"/>
        <w:numPr>
          <w:ilvl w:val="2"/>
          <w:numId w:val="7"/>
        </w:numPr>
        <w:tabs>
          <w:tab w:val="left" w:pos="1133"/>
          <w:tab w:val="left" w:pos="1134"/>
        </w:tabs>
        <w:spacing w:before="0" w:after="0" w:line="269" w:lineRule="exact"/>
        <w:ind w:left="1133" w:right="0" w:hanging="736"/>
        <w:jc w:val="left"/>
        <w:rPr>
          <w:sz w:val="21"/>
        </w:rPr>
      </w:pPr>
      <w:r>
        <w:rPr>
          <w:spacing w:val="-11"/>
          <w:sz w:val="21"/>
        </w:rPr>
        <w:t xml:space="preserve">变动取样点位后可直接进行 </w:t>
      </w:r>
      <w:r>
        <w:rPr>
          <w:rFonts w:ascii="Times New Roman" w:eastAsia="Times New Roman"/>
          <w:sz w:val="21"/>
        </w:rPr>
        <w:t>72h</w:t>
      </w:r>
      <w:r>
        <w:rPr>
          <w:rFonts w:ascii="Times New Roman" w:eastAsia="Times New Roman"/>
          <w:spacing w:val="-4"/>
          <w:sz w:val="21"/>
        </w:rPr>
        <w:t xml:space="preserve"> </w:t>
      </w:r>
      <w:r>
        <w:rPr>
          <w:spacing w:val="-9"/>
          <w:sz w:val="21"/>
        </w:rPr>
        <w:t xml:space="preserve">的调试检测，调试检测应符合本文件第 </w:t>
      </w:r>
      <w:r>
        <w:rPr>
          <w:rFonts w:ascii="Times New Roman" w:eastAsia="Times New Roman"/>
          <w:sz w:val="21"/>
        </w:rPr>
        <w:t>7</w:t>
      </w:r>
      <w:r>
        <w:rPr>
          <w:rFonts w:ascii="Times New Roman" w:eastAsia="Times New Roman"/>
          <w:spacing w:val="-4"/>
          <w:sz w:val="21"/>
        </w:rPr>
        <w:t xml:space="preserve"> </w:t>
      </w:r>
      <w:r>
        <w:rPr>
          <w:spacing w:val="-6"/>
          <w:sz w:val="21"/>
        </w:rPr>
        <w:t>章的要求。</w:t>
      </w:r>
    </w:p>
    <w:p>
      <w:pPr>
        <w:pStyle w:val="ListParagraph"/>
        <w:numPr>
          <w:ilvl w:val="2"/>
          <w:numId w:val="7"/>
        </w:numPr>
        <w:tabs>
          <w:tab w:val="left" w:pos="1133"/>
          <w:tab w:val="left" w:pos="1134"/>
        </w:tabs>
        <w:spacing w:before="43" w:after="0" w:line="240" w:lineRule="auto"/>
        <w:ind w:left="1133" w:right="0" w:hanging="736"/>
        <w:jc w:val="left"/>
        <w:rPr>
          <w:sz w:val="21"/>
        </w:rPr>
      </w:pPr>
      <w:r>
        <w:rPr>
          <w:spacing w:val="-7"/>
          <w:sz w:val="21"/>
        </w:rPr>
        <w:t>完成调试检测后直接进行技术指标验收。</w:t>
      </w:r>
    </w:p>
    <w:p>
      <w:pPr>
        <w:pStyle w:val="ListParagraph"/>
        <w:numPr>
          <w:ilvl w:val="2"/>
          <w:numId w:val="7"/>
        </w:numPr>
        <w:tabs>
          <w:tab w:val="left" w:pos="1134"/>
        </w:tabs>
        <w:spacing w:before="43" w:after="0" w:line="278" w:lineRule="auto"/>
        <w:ind w:left="398" w:right="403" w:firstLine="0"/>
        <w:jc w:val="both"/>
        <w:rPr>
          <w:sz w:val="21"/>
        </w:rPr>
      </w:pPr>
      <w:r>
        <w:rPr>
          <w:spacing w:val="-13"/>
          <w:w w:val="100"/>
          <w:sz w:val="21"/>
        </w:rPr>
        <w:t>日常运行中更换分析仪技术指标验收项目包括：</w:t>
      </w:r>
      <w:r>
        <w:rPr>
          <w:rFonts w:ascii="Times New Roman" w:eastAsia="Times New Roman"/>
          <w:spacing w:val="-2"/>
          <w:w w:val="100"/>
          <w:sz w:val="21"/>
        </w:rPr>
        <w:t>N</w:t>
      </w:r>
      <w:r>
        <w:rPr>
          <w:rFonts w:ascii="Times New Roman" w:eastAsia="Times New Roman"/>
          <w:spacing w:val="-6"/>
          <w:w w:val="100"/>
          <w:sz w:val="21"/>
        </w:rPr>
        <w:t>M</w:t>
      </w:r>
      <w:r>
        <w:rPr>
          <w:rFonts w:ascii="Times New Roman" w:eastAsia="Times New Roman"/>
          <w:spacing w:val="-4"/>
          <w:w w:val="100"/>
          <w:sz w:val="21"/>
        </w:rPr>
        <w:t>H</w:t>
      </w:r>
      <w:r>
        <w:rPr>
          <w:rFonts w:ascii="Times New Roman" w:eastAsia="Times New Roman"/>
          <w:w w:val="100"/>
          <w:sz w:val="21"/>
        </w:rPr>
        <w:t>C</w:t>
      </w:r>
      <w:r>
        <w:rPr>
          <w:rFonts w:ascii="Times New Roman" w:eastAsia="Times New Roman"/>
          <w:spacing w:val="-4"/>
          <w:sz w:val="21"/>
        </w:rPr>
        <w:t xml:space="preserve"> </w:t>
      </w:r>
      <w:r>
        <w:rPr>
          <w:spacing w:val="-21"/>
          <w:w w:val="100"/>
          <w:sz w:val="21"/>
        </w:rPr>
        <w:t>监测单元零点漂移、量程漂移、示值误差、</w:t>
      </w:r>
      <w:r>
        <w:rPr>
          <w:spacing w:val="-18"/>
          <w:sz w:val="21"/>
        </w:rPr>
        <w:t xml:space="preserve">分析周期、系统响应时间和正确度，技术指标验收方法按附录 </w:t>
      </w:r>
      <w:r>
        <w:rPr>
          <w:rFonts w:ascii="Times New Roman" w:eastAsia="Times New Roman"/>
          <w:sz w:val="21"/>
        </w:rPr>
        <w:t>B</w:t>
      </w:r>
      <w:r>
        <w:rPr>
          <w:rFonts w:ascii="Times New Roman" w:eastAsia="Times New Roman"/>
          <w:spacing w:val="24"/>
          <w:sz w:val="21"/>
        </w:rPr>
        <w:t xml:space="preserve"> </w:t>
      </w:r>
      <w:r>
        <w:rPr>
          <w:spacing w:val="-8"/>
          <w:sz w:val="21"/>
        </w:rPr>
        <w:t xml:space="preserve">进行，验收结果应达到本文件表 </w:t>
      </w:r>
      <w:r>
        <w:rPr>
          <w:rFonts w:ascii="Times New Roman" w:eastAsia="Times New Roman"/>
          <w:sz w:val="21"/>
        </w:rPr>
        <w:t>B.2</w:t>
      </w:r>
      <w:r>
        <w:rPr>
          <w:rFonts w:ascii="Times New Roman" w:eastAsia="Times New Roman"/>
          <w:spacing w:val="23"/>
          <w:sz w:val="21"/>
        </w:rPr>
        <w:t xml:space="preserve"> </w:t>
      </w:r>
      <w:r>
        <w:rPr>
          <w:sz w:val="21"/>
        </w:rPr>
        <w:t>的</w:t>
      </w:r>
      <w:r>
        <w:rPr>
          <w:spacing w:val="-10"/>
          <w:sz w:val="21"/>
        </w:rPr>
        <w:t xml:space="preserve">要求，技术指标验收报告的格式可参照附录 </w:t>
      </w:r>
      <w:r>
        <w:rPr>
          <w:rFonts w:ascii="Times New Roman" w:eastAsia="Times New Roman"/>
          <w:sz w:val="21"/>
        </w:rPr>
        <w:t>E</w:t>
      </w:r>
      <w:r>
        <w:rPr>
          <w:sz w:val="21"/>
        </w:rPr>
        <w:t>。</w:t>
      </w:r>
    </w:p>
    <w:p>
      <w:pPr>
        <w:pStyle w:val="ListParagraph"/>
        <w:numPr>
          <w:ilvl w:val="2"/>
          <w:numId w:val="7"/>
        </w:numPr>
        <w:tabs>
          <w:tab w:val="left" w:pos="1134"/>
        </w:tabs>
        <w:spacing w:before="0" w:after="0" w:line="269" w:lineRule="exact"/>
        <w:ind w:left="1133" w:right="0" w:hanging="736"/>
        <w:jc w:val="both"/>
        <w:rPr>
          <w:sz w:val="21"/>
        </w:rPr>
      </w:pPr>
      <w:r>
        <w:rPr>
          <w:spacing w:val="-10"/>
          <w:sz w:val="21"/>
        </w:rPr>
        <w:t xml:space="preserve">变动取样点位后技术指标验收应符合本文件 </w:t>
      </w:r>
      <w:r>
        <w:rPr>
          <w:rFonts w:ascii="Times New Roman" w:eastAsia="Times New Roman"/>
          <w:spacing w:val="-3"/>
          <w:sz w:val="21"/>
        </w:rPr>
        <w:t>9.2.6</w:t>
      </w:r>
      <w:r>
        <w:rPr>
          <w:spacing w:val="-3"/>
          <w:sz w:val="21"/>
        </w:rPr>
        <w:t>～</w:t>
      </w:r>
      <w:r>
        <w:rPr>
          <w:rFonts w:ascii="Times New Roman" w:eastAsia="Times New Roman"/>
          <w:spacing w:val="-3"/>
          <w:sz w:val="21"/>
        </w:rPr>
        <w:t>9.2.9</w:t>
      </w:r>
      <w:r>
        <w:rPr>
          <w:rFonts w:ascii="Times New Roman" w:eastAsia="Times New Roman"/>
          <w:spacing w:val="-5"/>
          <w:sz w:val="21"/>
        </w:rPr>
        <w:t xml:space="preserve"> </w:t>
      </w:r>
      <w:r>
        <w:rPr>
          <w:spacing w:val="-4"/>
          <w:sz w:val="21"/>
        </w:rPr>
        <w:t>的要求。</w:t>
      </w:r>
    </w:p>
    <w:p>
      <w:pPr>
        <w:pStyle w:val="ListParagraph"/>
        <w:numPr>
          <w:ilvl w:val="2"/>
          <w:numId w:val="7"/>
        </w:numPr>
        <w:tabs>
          <w:tab w:val="left" w:pos="1134"/>
        </w:tabs>
        <w:spacing w:before="43" w:after="0" w:line="240" w:lineRule="auto"/>
        <w:ind w:left="1133" w:right="0" w:hanging="736"/>
        <w:jc w:val="both"/>
        <w:rPr>
          <w:sz w:val="21"/>
        </w:rPr>
      </w:pPr>
      <w:r>
        <w:rPr>
          <w:spacing w:val="-10"/>
          <w:sz w:val="21"/>
        </w:rPr>
        <w:t xml:space="preserve">现场技术指标验收应在 </w:t>
      </w:r>
      <w:r>
        <w:rPr>
          <w:rFonts w:ascii="Times New Roman" w:eastAsia="Times New Roman"/>
          <w:sz w:val="21"/>
        </w:rPr>
        <w:t>1d</w:t>
      </w:r>
      <w:r>
        <w:rPr>
          <w:rFonts w:ascii="Times New Roman" w:eastAsia="Times New Roman"/>
          <w:spacing w:val="-7"/>
          <w:sz w:val="21"/>
        </w:rPr>
        <w:t xml:space="preserve"> </w:t>
      </w:r>
      <w:r>
        <w:rPr>
          <w:spacing w:val="-5"/>
          <w:sz w:val="21"/>
        </w:rPr>
        <w:t>内完成。</w:t>
      </w:r>
    </w:p>
    <w:p>
      <w:pPr>
        <w:pStyle w:val="ListParagraph"/>
        <w:numPr>
          <w:ilvl w:val="2"/>
          <w:numId w:val="7"/>
        </w:numPr>
        <w:tabs>
          <w:tab w:val="left" w:pos="1134"/>
        </w:tabs>
        <w:spacing w:before="43" w:after="0" w:line="278" w:lineRule="auto"/>
        <w:ind w:left="398" w:right="407" w:firstLine="0"/>
        <w:jc w:val="both"/>
        <w:rPr>
          <w:sz w:val="21"/>
        </w:rPr>
      </w:pPr>
      <w:r>
        <w:rPr>
          <w:spacing w:val="-10"/>
          <w:sz w:val="21"/>
        </w:rPr>
        <w:t xml:space="preserve">日常运行中更换 </w:t>
      </w:r>
      <w:r>
        <w:rPr>
          <w:rFonts w:ascii="Times New Roman" w:eastAsia="Times New Roman"/>
          <w:spacing w:val="-3"/>
          <w:sz w:val="21"/>
        </w:rPr>
        <w:t>CEMS</w:t>
      </w:r>
      <w:r>
        <w:rPr>
          <w:rFonts w:ascii="Times New Roman" w:eastAsia="Times New Roman"/>
          <w:spacing w:val="17"/>
          <w:sz w:val="21"/>
        </w:rPr>
        <w:t xml:space="preserve"> </w:t>
      </w:r>
      <w:r>
        <w:rPr>
          <w:spacing w:val="-12"/>
          <w:sz w:val="21"/>
        </w:rPr>
        <w:t>分析仪表应进行联网验收，只须进行数据传输正确性验收，验收结果应符</w:t>
      </w:r>
      <w:r>
        <w:rPr>
          <w:spacing w:val="-25"/>
          <w:sz w:val="21"/>
        </w:rPr>
        <w:t xml:space="preserve">合表 </w:t>
      </w:r>
      <w:r>
        <w:rPr>
          <w:rFonts w:ascii="Times New Roman" w:eastAsia="Times New Roman"/>
          <w:sz w:val="21"/>
        </w:rPr>
        <w:t>1</w:t>
      </w:r>
      <w:r>
        <w:rPr>
          <w:rFonts w:ascii="Times New Roman" w:eastAsia="Times New Roman"/>
          <w:spacing w:val="-5"/>
          <w:sz w:val="21"/>
        </w:rPr>
        <w:t xml:space="preserve"> </w:t>
      </w:r>
      <w:r>
        <w:rPr>
          <w:spacing w:val="-9"/>
          <w:sz w:val="21"/>
        </w:rPr>
        <w:t xml:space="preserve">的要求，联网验收报告的格式可参照附录 </w:t>
      </w:r>
      <w:r>
        <w:rPr>
          <w:rFonts w:ascii="Times New Roman" w:eastAsia="Times New Roman"/>
          <w:sz w:val="21"/>
        </w:rPr>
        <w:t>E</w:t>
      </w:r>
      <w:r>
        <w:rPr>
          <w:sz w:val="21"/>
        </w:rPr>
        <w:t>。</w:t>
      </w:r>
    </w:p>
    <w:p>
      <w:pPr>
        <w:pStyle w:val="ListParagraph"/>
        <w:numPr>
          <w:ilvl w:val="2"/>
          <w:numId w:val="7"/>
        </w:numPr>
        <w:tabs>
          <w:tab w:val="left" w:pos="1239"/>
        </w:tabs>
        <w:spacing w:before="0" w:after="0" w:line="240" w:lineRule="auto"/>
        <w:ind w:left="1238" w:right="0" w:hanging="841"/>
        <w:jc w:val="both"/>
        <w:rPr>
          <w:sz w:val="21"/>
        </w:rPr>
      </w:pPr>
      <w:r>
        <w:rPr>
          <w:spacing w:val="-3"/>
          <w:sz w:val="21"/>
        </w:rPr>
        <w:t>变动取样点位无需进行联网验收。</w:t>
      </w:r>
    </w:p>
    <w:p>
      <w:pPr>
        <w:spacing w:after="0" w:line="240" w:lineRule="auto"/>
        <w:jc w:val="both"/>
        <w:rPr>
          <w:sz w:val="21"/>
        </w:rPr>
        <w:sectPr>
          <w:headerReference w:type="even" r:id="rId55"/>
          <w:headerReference w:type="default" r:id="rId56"/>
          <w:footerReference w:type="even" r:id="rId57"/>
          <w:footerReference w:type="default" r:id="rId58"/>
          <w:pgSz w:w="11910" w:h="16840"/>
          <w:pgMar w:top="1640" w:right="720" w:bottom="1340" w:left="1020" w:header="1448" w:footer="1140"/>
          <w:pgNumType w:start="5"/>
          <w:cols w:space="708"/>
        </w:sectPr>
      </w:pPr>
    </w:p>
    <w:p>
      <w:pPr>
        <w:pStyle w:val="BodyText"/>
        <w:rPr>
          <w:sz w:val="20"/>
        </w:rPr>
      </w:pPr>
    </w:p>
    <w:p>
      <w:pPr>
        <w:pStyle w:val="BodyText"/>
        <w:rPr>
          <w:sz w:val="20"/>
        </w:rPr>
      </w:pPr>
    </w:p>
    <w:p>
      <w:pPr>
        <w:pStyle w:val="BodyText"/>
        <w:spacing w:before="12"/>
        <w:rPr>
          <w:sz w:val="20"/>
        </w:rPr>
      </w:pPr>
    </w:p>
    <w:p>
      <w:pPr>
        <w:pStyle w:val="BodyText"/>
        <w:spacing w:before="72"/>
        <w:ind w:left="41" w:right="723"/>
        <w:jc w:val="center"/>
        <w:rPr>
          <w:rFonts w:ascii="黑体" w:eastAsia="黑体" w:hint="eastAsia"/>
        </w:rPr>
      </w:pPr>
      <w:r>
        <w:rPr>
          <w:rFonts w:ascii="黑体" w:eastAsia="黑体" w:hint="eastAsia"/>
        </w:rPr>
        <w:t>附  录 A</w:t>
      </w:r>
    </w:p>
    <w:p>
      <w:pPr>
        <w:pStyle w:val="BodyText"/>
        <w:spacing w:before="43"/>
        <w:ind w:left="41" w:right="624"/>
        <w:jc w:val="center"/>
        <w:rPr>
          <w:rFonts w:ascii="黑体" w:eastAsia="黑体" w:hint="eastAsia"/>
        </w:rPr>
      </w:pPr>
      <w:bookmarkStart w:id="10" w:name="_bookmark10"/>
      <w:bookmarkEnd w:id="10"/>
      <w:r>
        <w:rPr>
          <w:rFonts w:ascii="黑体" w:eastAsia="黑体" w:hint="eastAsia"/>
        </w:rPr>
        <w:t>（规范性）</w:t>
      </w:r>
    </w:p>
    <w:p>
      <w:pPr>
        <w:pStyle w:val="BodyText"/>
        <w:spacing w:before="43"/>
        <w:ind w:left="41" w:right="624"/>
        <w:jc w:val="center"/>
        <w:rPr>
          <w:rFonts w:ascii="黑体" w:eastAsia="黑体" w:hint="eastAsia"/>
        </w:rPr>
      </w:pPr>
      <w:r>
        <w:rPr>
          <w:rFonts w:ascii="黑体" w:eastAsia="黑体" w:hint="eastAsia"/>
        </w:rPr>
        <w:t>NMHC-CEMS 数据采集处理和传输系统要求</w:t>
      </w:r>
    </w:p>
    <w:p>
      <w:pPr>
        <w:pStyle w:val="BodyText"/>
        <w:spacing w:before="6"/>
        <w:rPr>
          <w:rFonts w:ascii="黑体"/>
          <w:sz w:val="15"/>
        </w:rPr>
      </w:pPr>
    </w:p>
    <w:p>
      <w:pPr>
        <w:pStyle w:val="BodyText"/>
        <w:spacing w:line="278" w:lineRule="auto"/>
        <w:ind w:left="113" w:right="694" w:firstLine="420"/>
      </w:pPr>
      <w:r>
        <w:rPr>
          <w:spacing w:val="-10"/>
        </w:rPr>
        <w:t>系统应具有数据采集、处理、存储、表格和图文显示、故障警告、安全管理和支持打印功能；系统</w:t>
      </w:r>
      <w:r>
        <w:rPr>
          <w:spacing w:val="-5"/>
        </w:rPr>
        <w:t>应设置通信接口，用于数据输出和通讯。</w:t>
      </w:r>
    </w:p>
    <w:p>
      <w:pPr>
        <w:pStyle w:val="ListParagraph"/>
        <w:numPr>
          <w:ilvl w:val="1"/>
          <w:numId w:val="6"/>
        </w:numPr>
        <w:tabs>
          <w:tab w:val="left" w:pos="638"/>
          <w:tab w:val="left" w:pos="639"/>
        </w:tabs>
        <w:spacing w:before="156" w:after="0" w:line="240" w:lineRule="auto"/>
        <w:ind w:left="638" w:right="0" w:hanging="526"/>
        <w:jc w:val="left"/>
        <w:rPr>
          <w:rFonts w:ascii="黑体" w:eastAsia="黑体" w:hint="eastAsia"/>
          <w:sz w:val="21"/>
        </w:rPr>
      </w:pPr>
      <w:r>
        <w:rPr>
          <w:rFonts w:ascii="黑体" w:eastAsia="黑体" w:hint="eastAsia"/>
          <w:spacing w:val="-3"/>
          <w:sz w:val="21"/>
        </w:rPr>
        <w:t>实时数据采集和数据格式</w:t>
      </w:r>
    </w:p>
    <w:p>
      <w:pPr>
        <w:pStyle w:val="BodyText"/>
        <w:spacing w:before="7"/>
        <w:rPr>
          <w:rFonts w:ascii="黑体"/>
          <w:sz w:val="15"/>
        </w:rPr>
      </w:pPr>
    </w:p>
    <w:p>
      <w:pPr>
        <w:pStyle w:val="BodyText"/>
        <w:ind w:left="533"/>
      </w:pPr>
      <w:r>
        <w:t>数据采集和记录格式要求按照</w:t>
      </w:r>
      <w:r>
        <w:rPr>
          <w:rFonts w:ascii="Times New Roman" w:eastAsia="Times New Roman"/>
        </w:rPr>
        <w:t>HJ 76</w:t>
      </w:r>
      <w:r>
        <w:t>执行。</w:t>
      </w:r>
    </w:p>
    <w:p>
      <w:pPr>
        <w:pStyle w:val="BodyText"/>
        <w:spacing w:before="7"/>
        <w:rPr>
          <w:sz w:val="15"/>
        </w:rPr>
      </w:pPr>
    </w:p>
    <w:p>
      <w:pPr>
        <w:pStyle w:val="ListParagraph"/>
        <w:numPr>
          <w:ilvl w:val="1"/>
          <w:numId w:val="6"/>
        </w:numPr>
        <w:tabs>
          <w:tab w:val="left" w:pos="638"/>
          <w:tab w:val="left" w:pos="639"/>
        </w:tabs>
        <w:spacing w:before="0" w:after="0" w:line="240" w:lineRule="auto"/>
        <w:ind w:left="638" w:right="0" w:hanging="526"/>
        <w:jc w:val="left"/>
        <w:rPr>
          <w:rFonts w:ascii="黑体" w:eastAsia="黑体" w:hint="eastAsia"/>
          <w:sz w:val="21"/>
        </w:rPr>
      </w:pPr>
      <w:r>
        <w:rPr>
          <w:rFonts w:ascii="黑体" w:eastAsia="黑体" w:hint="eastAsia"/>
          <w:spacing w:val="-2"/>
          <w:sz w:val="21"/>
        </w:rPr>
        <w:t>数据状态标记</w:t>
      </w:r>
    </w:p>
    <w:p>
      <w:pPr>
        <w:pStyle w:val="BodyText"/>
        <w:spacing w:before="7"/>
        <w:rPr>
          <w:rFonts w:ascii="黑体"/>
          <w:sz w:val="15"/>
        </w:rPr>
      </w:pPr>
    </w:p>
    <w:p>
      <w:pPr>
        <w:pStyle w:val="BodyText"/>
        <w:ind w:left="533"/>
      </w:pPr>
      <w:r>
        <w:t>系统应在分钟数据报表和小时数据报表的数据组后面给出系统或污染源运行状态标记。</w:t>
      </w:r>
    </w:p>
    <w:p>
      <w:pPr>
        <w:pStyle w:val="BodyText"/>
        <w:spacing w:before="43" w:line="278" w:lineRule="auto"/>
        <w:ind w:left="113" w:right="691" w:firstLine="420"/>
        <w:jc w:val="both"/>
      </w:pPr>
      <w:r>
        <w:rPr>
          <w:spacing w:val="-4"/>
        </w:rPr>
        <w:t>分钟数据标记方法为：</w:t>
      </w:r>
      <w:r>
        <w:rPr>
          <w:rFonts w:ascii="Times New Roman" w:eastAsia="Times New Roman" w:hAnsi="Times New Roman"/>
          <w:spacing w:val="-6"/>
        </w:rPr>
        <w:t>“N”</w:t>
      </w:r>
      <w:r>
        <w:rPr>
          <w:spacing w:val="-4"/>
        </w:rPr>
        <w:t>表示系统各检测参数正常，</w:t>
      </w:r>
      <w:r>
        <w:rPr>
          <w:rFonts w:ascii="Times New Roman" w:eastAsia="Times New Roman" w:hAnsi="Times New Roman"/>
          <w:spacing w:val="-6"/>
        </w:rPr>
        <w:t>“F”</w:t>
      </w:r>
      <w:r>
        <w:rPr>
          <w:spacing w:val="-3"/>
        </w:rPr>
        <w:t>表示排放源停运，</w:t>
      </w:r>
      <w:r>
        <w:rPr>
          <w:rFonts w:ascii="Times New Roman" w:eastAsia="Times New Roman" w:hAnsi="Times New Roman"/>
          <w:spacing w:val="-5"/>
        </w:rPr>
        <w:t>“St”</w:t>
      </w:r>
      <w:r>
        <w:rPr>
          <w:spacing w:val="-3"/>
        </w:rPr>
        <w:t>表示排放源启炉过</w:t>
      </w:r>
      <w:r>
        <w:rPr>
          <w:spacing w:val="-5"/>
        </w:rPr>
        <w:t>程，</w:t>
      </w:r>
      <w:r>
        <w:rPr>
          <w:rFonts w:ascii="Times New Roman" w:eastAsia="Times New Roman" w:hAnsi="Times New Roman"/>
          <w:spacing w:val="-6"/>
        </w:rPr>
        <w:t>“Sd”</w:t>
      </w:r>
      <w:r>
        <w:rPr>
          <w:spacing w:val="-4"/>
        </w:rPr>
        <w:t>表示排放源停炉过程，</w:t>
      </w:r>
      <w:r>
        <w:rPr>
          <w:rFonts w:ascii="Times New Roman" w:eastAsia="Times New Roman" w:hAnsi="Times New Roman"/>
          <w:spacing w:val="-8"/>
        </w:rPr>
        <w:t>“B”</w:t>
      </w:r>
      <w:r>
        <w:rPr>
          <w:spacing w:val="-4"/>
        </w:rPr>
        <w:t>表示排放源闷炉，</w:t>
      </w:r>
      <w:r>
        <w:rPr>
          <w:rFonts w:ascii="Times New Roman" w:eastAsia="Times New Roman" w:hAnsi="Times New Roman"/>
          <w:spacing w:val="-7"/>
        </w:rPr>
        <w:t>“C”</w:t>
      </w:r>
      <w:r>
        <w:rPr>
          <w:spacing w:val="-4"/>
        </w:rPr>
        <w:t>表示校准，</w:t>
      </w:r>
      <w:r>
        <w:rPr>
          <w:rFonts w:ascii="Times New Roman" w:eastAsia="Times New Roman" w:hAnsi="Times New Roman"/>
          <w:spacing w:val="-8"/>
        </w:rPr>
        <w:t>“M”</w:t>
      </w:r>
      <w:r>
        <w:rPr>
          <w:spacing w:val="-4"/>
        </w:rPr>
        <w:t>表示维护保养，</w:t>
      </w:r>
      <w:r>
        <w:rPr>
          <w:rFonts w:ascii="Times New Roman" w:eastAsia="Times New Roman" w:hAnsi="Times New Roman"/>
          <w:spacing w:val="-7"/>
        </w:rPr>
        <w:t>“Md”</w:t>
      </w:r>
      <w:r>
        <w:rPr>
          <w:spacing w:val="-2"/>
        </w:rPr>
        <w:t>表示系统</w:t>
      </w:r>
      <w:r>
        <w:rPr>
          <w:spacing w:val="-3"/>
        </w:rPr>
        <w:t>无数据，</w:t>
      </w:r>
      <w:r>
        <w:rPr>
          <w:rFonts w:ascii="Times New Roman" w:eastAsia="Times New Roman" w:hAnsi="Times New Roman"/>
        </w:rPr>
        <w:t>“T”</w:t>
      </w:r>
      <w:r>
        <w:rPr>
          <w:spacing w:val="-3"/>
        </w:rPr>
        <w:t>表示超测定上限，</w:t>
      </w:r>
      <w:r>
        <w:rPr>
          <w:rFonts w:ascii="Times New Roman" w:eastAsia="Times New Roman" w:hAnsi="Times New Roman"/>
        </w:rPr>
        <w:t>“D”</w:t>
      </w:r>
      <w:r>
        <w:rPr>
          <w:spacing w:val="-3"/>
        </w:rPr>
        <w:t>表示系统故障。</w:t>
      </w:r>
    </w:p>
    <w:p>
      <w:pPr>
        <w:pStyle w:val="ListParagraph"/>
        <w:numPr>
          <w:ilvl w:val="1"/>
          <w:numId w:val="6"/>
        </w:numPr>
        <w:tabs>
          <w:tab w:val="left" w:pos="638"/>
          <w:tab w:val="left" w:pos="639"/>
        </w:tabs>
        <w:spacing w:before="155" w:after="0" w:line="240" w:lineRule="auto"/>
        <w:ind w:left="638" w:right="0" w:hanging="526"/>
        <w:jc w:val="left"/>
        <w:rPr>
          <w:rFonts w:ascii="黑体" w:eastAsia="黑体" w:hint="eastAsia"/>
          <w:sz w:val="21"/>
        </w:rPr>
      </w:pPr>
      <w:r>
        <w:rPr>
          <w:rFonts w:ascii="黑体" w:eastAsia="黑体" w:hint="eastAsia"/>
          <w:spacing w:val="-1"/>
          <w:sz w:val="21"/>
        </w:rPr>
        <w:t>数据处理</w:t>
      </w:r>
    </w:p>
    <w:p>
      <w:pPr>
        <w:pStyle w:val="BodyText"/>
        <w:spacing w:before="7"/>
        <w:rPr>
          <w:rFonts w:ascii="黑体"/>
          <w:sz w:val="15"/>
        </w:rPr>
      </w:pPr>
    </w:p>
    <w:p>
      <w:pPr>
        <w:pStyle w:val="ListParagraph"/>
        <w:numPr>
          <w:ilvl w:val="2"/>
          <w:numId w:val="6"/>
        </w:numPr>
        <w:tabs>
          <w:tab w:val="left" w:pos="847"/>
          <w:tab w:val="left" w:pos="848"/>
        </w:tabs>
        <w:spacing w:before="0" w:after="0" w:line="240" w:lineRule="auto"/>
        <w:ind w:left="847" w:right="0" w:hanging="735"/>
        <w:jc w:val="left"/>
        <w:rPr>
          <w:rFonts w:ascii="黑体" w:eastAsia="黑体" w:hint="eastAsia"/>
          <w:sz w:val="21"/>
        </w:rPr>
      </w:pPr>
      <w:r>
        <w:rPr>
          <w:rFonts w:ascii="黑体" w:eastAsia="黑体" w:hint="eastAsia"/>
          <w:spacing w:val="-3"/>
          <w:sz w:val="21"/>
        </w:rPr>
        <w:t>生成定时段数据组</w:t>
      </w:r>
    </w:p>
    <w:p>
      <w:pPr>
        <w:pStyle w:val="BodyText"/>
        <w:spacing w:before="7"/>
        <w:rPr>
          <w:rFonts w:ascii="黑体"/>
          <w:sz w:val="15"/>
        </w:rPr>
      </w:pPr>
    </w:p>
    <w:p>
      <w:pPr>
        <w:pStyle w:val="BodyText"/>
        <w:spacing w:line="278" w:lineRule="auto"/>
        <w:ind w:left="113" w:right="694" w:firstLine="420"/>
        <w:jc w:val="both"/>
      </w:pPr>
      <w:r>
        <w:t>系统能够将采集和记录的实时数据自动处理为分钟数据组和整点</w:t>
      </w:r>
      <w:r>
        <w:rPr>
          <w:rFonts w:ascii="Times New Roman" w:eastAsia="Times New Roman"/>
        </w:rPr>
        <w:t>1h</w:t>
      </w:r>
      <w:r>
        <w:rPr>
          <w:spacing w:val="-1"/>
        </w:rPr>
        <w:t>数据组。分钟数据组包括以下</w:t>
      </w:r>
      <w:r>
        <w:rPr>
          <w:spacing w:val="-9"/>
        </w:rPr>
        <w:t>项目：时间标签、分析仪表完成一次检测周期的物理量、污染物体积浓度</w:t>
      </w:r>
      <w:r>
        <w:rPr>
          <w:spacing w:val="-3"/>
        </w:rPr>
        <w:t>（</w:t>
      </w:r>
      <w:r>
        <w:rPr>
          <w:spacing w:val="-2"/>
        </w:rPr>
        <w:t>或质量浓度</w:t>
      </w:r>
      <w:r>
        <w:rPr>
          <w:spacing w:val="-17"/>
        </w:rPr>
        <w:t>）</w:t>
      </w:r>
      <w:r>
        <w:rPr>
          <w:spacing w:val="-5"/>
        </w:rPr>
        <w:t>、污染物排放</w:t>
      </w:r>
      <w:r>
        <w:rPr>
          <w:spacing w:val="-12"/>
        </w:rPr>
        <w:t>量、实际状态废气流量、标准状态干废气流量、废气含氧量、废气温度、废气静压、废气湿度和大气压</w:t>
      </w:r>
    </w:p>
    <w:p>
      <w:pPr>
        <w:pStyle w:val="BodyText"/>
        <w:spacing w:line="278" w:lineRule="auto"/>
        <w:ind w:left="533" w:right="692" w:hanging="420"/>
      </w:pPr>
      <w:r>
        <w:t>（</w:t>
      </w:r>
      <w:r>
        <w:rPr>
          <w:spacing w:val="-3"/>
        </w:rPr>
        <w:t>可输入当地年平均值）的分钟数据平均值。在分钟数据组后面应给出系统或污染源运行状态标记。</w:t>
      </w:r>
      <w:r>
        <w:rPr>
          <w:spacing w:val="-1"/>
        </w:rPr>
        <w:t>整点</w:t>
      </w:r>
      <w:r>
        <w:rPr>
          <w:rFonts w:ascii="Times New Roman" w:eastAsia="Times New Roman"/>
          <w:spacing w:val="-1"/>
        </w:rPr>
        <w:t>1h</w:t>
      </w:r>
      <w:r>
        <w:rPr>
          <w:spacing w:val="-10"/>
        </w:rPr>
        <w:t>数据组包括以下项目：时间标签、污染物质量浓度、废气含氧量、废气温度、废气静压、废</w:t>
      </w:r>
    </w:p>
    <w:p>
      <w:pPr>
        <w:pStyle w:val="BodyText"/>
        <w:spacing w:line="278" w:lineRule="auto"/>
        <w:ind w:left="113" w:right="691"/>
      </w:pPr>
      <w:r>
        <w:rPr>
          <w:spacing w:val="-10"/>
        </w:rPr>
        <w:t>气湿度、污染物折算浓度、废气流量的</w:t>
      </w:r>
      <w:r>
        <w:rPr>
          <w:rFonts w:ascii="Times New Roman" w:eastAsia="Times New Roman"/>
        </w:rPr>
        <w:t>1h</w:t>
      </w:r>
      <w:r>
        <w:rPr>
          <w:spacing w:val="-6"/>
        </w:rPr>
        <w:t>数据平均值和污染物排放量。在整点</w:t>
      </w:r>
      <w:r>
        <w:rPr>
          <w:rFonts w:ascii="Times New Roman" w:eastAsia="Times New Roman"/>
        </w:rPr>
        <w:t>1h</w:t>
      </w:r>
      <w:r>
        <w:rPr>
          <w:spacing w:val="-3"/>
        </w:rPr>
        <w:t>数据组后面应给出系统或污染源运行状态标记。数据时间标签格式按照</w:t>
      </w:r>
      <w:r>
        <w:rPr>
          <w:rFonts w:ascii="Times New Roman" w:eastAsia="Times New Roman"/>
        </w:rPr>
        <w:t>HJ 76</w:t>
      </w:r>
      <w:r>
        <w:rPr>
          <w:spacing w:val="-2"/>
        </w:rPr>
        <w:t>执行。</w:t>
      </w:r>
    </w:p>
    <w:p>
      <w:pPr>
        <w:pStyle w:val="ListParagraph"/>
        <w:numPr>
          <w:ilvl w:val="2"/>
          <w:numId w:val="6"/>
        </w:numPr>
        <w:tabs>
          <w:tab w:val="left" w:pos="829"/>
        </w:tabs>
        <w:spacing w:before="156" w:after="0" w:line="240" w:lineRule="auto"/>
        <w:ind w:left="828" w:right="0" w:hanging="716"/>
        <w:jc w:val="left"/>
        <w:rPr>
          <w:rFonts w:ascii="黑体" w:eastAsia="黑体" w:hint="eastAsia"/>
          <w:sz w:val="21"/>
        </w:rPr>
      </w:pPr>
      <w:r>
        <w:rPr>
          <w:rFonts w:ascii="黑体" w:eastAsia="黑体" w:hint="eastAsia"/>
          <w:spacing w:val="-8"/>
          <w:sz w:val="21"/>
        </w:rPr>
        <w:t>其他要求</w:t>
      </w:r>
    </w:p>
    <w:p>
      <w:pPr>
        <w:pStyle w:val="BodyText"/>
        <w:spacing w:before="6"/>
        <w:rPr>
          <w:rFonts w:ascii="黑体"/>
          <w:sz w:val="15"/>
        </w:rPr>
      </w:pPr>
    </w:p>
    <w:p>
      <w:pPr>
        <w:pStyle w:val="BodyText"/>
        <w:ind w:left="521"/>
      </w:pPr>
      <w:r>
        <w:t>其他要求包括 ：</w:t>
      </w:r>
    </w:p>
    <w:p>
      <w:pPr>
        <w:pStyle w:val="ListParagraph"/>
        <w:numPr>
          <w:ilvl w:val="3"/>
          <w:numId w:val="6"/>
        </w:numPr>
        <w:tabs>
          <w:tab w:val="left" w:pos="965"/>
          <w:tab w:val="left" w:pos="966"/>
        </w:tabs>
        <w:spacing w:before="43" w:after="0" w:line="240" w:lineRule="auto"/>
        <w:ind w:left="965" w:right="0" w:hanging="428"/>
        <w:jc w:val="left"/>
        <w:rPr>
          <w:sz w:val="21"/>
        </w:rPr>
      </w:pPr>
      <w:r>
        <w:rPr>
          <w:spacing w:val="-27"/>
          <w:sz w:val="21"/>
        </w:rPr>
        <w:t xml:space="preserve">当 </w:t>
      </w:r>
      <w:r>
        <w:rPr>
          <w:rFonts w:ascii="Times New Roman" w:eastAsia="Times New Roman"/>
          <w:sz w:val="21"/>
        </w:rPr>
        <w:t>1h</w:t>
      </w:r>
      <w:r>
        <w:rPr>
          <w:rFonts w:ascii="Times New Roman" w:eastAsia="Times New Roman"/>
          <w:spacing w:val="-9"/>
          <w:sz w:val="21"/>
        </w:rPr>
        <w:t xml:space="preserve"> </w:t>
      </w:r>
      <w:r>
        <w:rPr>
          <w:spacing w:val="-3"/>
          <w:sz w:val="21"/>
        </w:rPr>
        <w:t>污染物折算浓度平均值超过排放标准时，系统应能发出超标报警信息；</w:t>
      </w:r>
    </w:p>
    <w:p>
      <w:pPr>
        <w:pStyle w:val="ListParagraph"/>
        <w:numPr>
          <w:ilvl w:val="3"/>
          <w:numId w:val="6"/>
        </w:numPr>
        <w:tabs>
          <w:tab w:val="left" w:pos="965"/>
          <w:tab w:val="left" w:pos="966"/>
        </w:tabs>
        <w:spacing w:before="43" w:after="0" w:line="240" w:lineRule="auto"/>
        <w:ind w:left="965" w:right="0" w:hanging="428"/>
        <w:jc w:val="left"/>
        <w:rPr>
          <w:sz w:val="21"/>
        </w:rPr>
      </w:pPr>
      <w:r>
        <w:rPr>
          <w:spacing w:val="-3"/>
          <w:sz w:val="21"/>
        </w:rPr>
        <w:t>当污染物检测值高于系统测量上限时，实时和分钟数据组的质量浓度值记录为仪器测量上限；</w:t>
      </w:r>
    </w:p>
    <w:p>
      <w:pPr>
        <w:pStyle w:val="ListParagraph"/>
        <w:numPr>
          <w:ilvl w:val="3"/>
          <w:numId w:val="6"/>
        </w:numPr>
        <w:tabs>
          <w:tab w:val="left" w:pos="965"/>
          <w:tab w:val="left" w:pos="966"/>
        </w:tabs>
        <w:spacing w:before="43" w:after="0" w:line="240" w:lineRule="auto"/>
        <w:ind w:left="965" w:right="0" w:hanging="428"/>
        <w:jc w:val="left"/>
        <w:rPr>
          <w:sz w:val="21"/>
        </w:rPr>
      </w:pPr>
      <w:r>
        <w:rPr>
          <w:spacing w:val="-3"/>
          <w:sz w:val="21"/>
        </w:rPr>
        <w:t>系统采集和处理数据时，污染物浓度、废气流量、含氧量均为标准状态干基值。</w:t>
      </w:r>
    </w:p>
    <w:p>
      <w:pPr>
        <w:pStyle w:val="BodyText"/>
        <w:spacing w:before="7"/>
        <w:rPr>
          <w:sz w:val="15"/>
        </w:rPr>
      </w:pPr>
    </w:p>
    <w:p>
      <w:pPr>
        <w:pStyle w:val="ListParagraph"/>
        <w:numPr>
          <w:ilvl w:val="1"/>
          <w:numId w:val="6"/>
        </w:numPr>
        <w:tabs>
          <w:tab w:val="left" w:pos="638"/>
          <w:tab w:val="left" w:pos="639"/>
        </w:tabs>
        <w:spacing w:before="1" w:after="0" w:line="240" w:lineRule="auto"/>
        <w:ind w:left="638" w:right="0" w:hanging="526"/>
        <w:jc w:val="left"/>
        <w:rPr>
          <w:rFonts w:ascii="黑体" w:eastAsia="黑体" w:hint="eastAsia"/>
          <w:sz w:val="21"/>
        </w:rPr>
      </w:pPr>
      <w:r>
        <w:rPr>
          <w:rFonts w:ascii="黑体" w:eastAsia="黑体" w:hint="eastAsia"/>
          <w:spacing w:val="-1"/>
          <w:sz w:val="21"/>
        </w:rPr>
        <w:t>数据存储</w:t>
      </w:r>
    </w:p>
    <w:p>
      <w:pPr>
        <w:pStyle w:val="BodyText"/>
        <w:spacing w:before="6"/>
        <w:rPr>
          <w:rFonts w:ascii="黑体"/>
          <w:sz w:val="15"/>
        </w:rPr>
      </w:pPr>
    </w:p>
    <w:p>
      <w:pPr>
        <w:pStyle w:val="BodyText"/>
        <w:spacing w:line="278" w:lineRule="auto"/>
        <w:ind w:left="113" w:right="585" w:firstLine="420"/>
      </w:pPr>
      <w:r>
        <w:rPr>
          <w:spacing w:val="-9"/>
          <w:w w:val="100"/>
        </w:rPr>
        <w:t>系统应能存储定时段数据和实时数据，其中分钟数据存储不少于</w:t>
      </w:r>
      <w:r>
        <w:rPr>
          <w:rFonts w:ascii="Times New Roman" w:eastAsia="Times New Roman"/>
          <w:w w:val="100"/>
        </w:rPr>
        <w:t>12</w:t>
      </w:r>
      <w:r>
        <w:rPr>
          <w:spacing w:val="-36"/>
          <w:w w:val="100"/>
        </w:rPr>
        <w:t>个月；</w:t>
      </w:r>
      <w:r>
        <w:rPr>
          <w:rFonts w:ascii="Times New Roman" w:eastAsia="Times New Roman"/>
          <w:w w:val="100"/>
        </w:rPr>
        <w:t>1h</w:t>
      </w:r>
      <w:r>
        <w:rPr>
          <w:spacing w:val="-3"/>
          <w:w w:val="100"/>
        </w:rPr>
        <w:t>数据存储不少于</w:t>
      </w:r>
      <w:r>
        <w:rPr>
          <w:rFonts w:ascii="Times New Roman" w:eastAsia="Times New Roman"/>
          <w:w w:val="100"/>
        </w:rPr>
        <w:t>36</w:t>
      </w:r>
      <w:r>
        <w:rPr>
          <w:spacing w:val="-2"/>
          <w:w w:val="100"/>
        </w:rPr>
        <w:t>个月；</w:t>
      </w:r>
      <w:r>
        <w:rPr>
          <w:spacing w:val="-3"/>
        </w:rPr>
        <w:t>实时数据存储时间可根据需要设定。系统存储的定时段数据应能够自动在非系统磁盘中备份。</w:t>
      </w:r>
    </w:p>
    <w:p>
      <w:pPr>
        <w:pStyle w:val="ListParagraph"/>
        <w:numPr>
          <w:ilvl w:val="1"/>
          <w:numId w:val="6"/>
        </w:numPr>
        <w:tabs>
          <w:tab w:val="left" w:pos="638"/>
          <w:tab w:val="left" w:pos="639"/>
        </w:tabs>
        <w:spacing w:before="156" w:after="0" w:line="240" w:lineRule="auto"/>
        <w:ind w:left="638" w:right="0" w:hanging="526"/>
        <w:jc w:val="left"/>
        <w:rPr>
          <w:rFonts w:ascii="黑体" w:eastAsia="黑体" w:hint="eastAsia"/>
          <w:sz w:val="21"/>
        </w:rPr>
      </w:pPr>
      <w:r>
        <w:rPr>
          <w:rFonts w:ascii="黑体" w:eastAsia="黑体" w:hint="eastAsia"/>
          <w:spacing w:val="-3"/>
          <w:sz w:val="21"/>
        </w:rPr>
        <w:t>数据显示、查询和文档管理</w:t>
      </w:r>
    </w:p>
    <w:p>
      <w:pPr>
        <w:pStyle w:val="BodyText"/>
        <w:spacing w:before="7"/>
        <w:rPr>
          <w:rFonts w:ascii="黑体"/>
          <w:sz w:val="15"/>
        </w:rPr>
      </w:pPr>
    </w:p>
    <w:p>
      <w:pPr>
        <w:pStyle w:val="BodyText"/>
        <w:spacing w:line="278" w:lineRule="auto"/>
        <w:ind w:left="113" w:right="692" w:firstLine="420"/>
        <w:jc w:val="both"/>
      </w:pPr>
      <w:r>
        <w:rPr>
          <w:spacing w:val="-8"/>
        </w:rPr>
        <w:t>系统的显示和操作界面均应为简体中文，数据调取应根据使用权限进行操作。系统能够定时显示污</w:t>
      </w:r>
      <w:r>
        <w:rPr>
          <w:spacing w:val="-12"/>
        </w:rPr>
        <w:t>染物排放数据、相关废气参数和报警信息；可查询和导出设定期间的定时段数据；能够自动生成</w:t>
      </w:r>
      <w:r>
        <w:rPr>
          <w:rFonts w:ascii="Times New Roman" w:eastAsia="Times New Roman"/>
        </w:rPr>
        <w:t>1h</w:t>
      </w:r>
      <w:r>
        <w:rPr>
          <w:spacing w:val="-3"/>
        </w:rPr>
        <w:t>数据</w:t>
      </w:r>
      <w:r>
        <w:rPr>
          <w:spacing w:val="-9"/>
        </w:rPr>
        <w:t>构成的月数据曲线图。软件应具备参数设置功能，能够查询和修改设置相关参数，主要包括：系统运行</w:t>
      </w:r>
      <w:r>
        <w:rPr>
          <w:spacing w:val="-14"/>
        </w:rPr>
        <w:t>参数：日期、时间、地点、污染源排放口尺寸和截面积、污染物测量量程、超标报警值、皮托管系数以</w:t>
      </w:r>
    </w:p>
    <w:p>
      <w:pPr>
        <w:spacing w:after="0" w:line="278" w:lineRule="auto"/>
        <w:jc w:val="both"/>
        <w:sectPr>
          <w:headerReference w:type="even" r:id="rId59"/>
          <w:headerReference w:type="default" r:id="rId60"/>
          <w:footerReference w:type="even" r:id="rId61"/>
          <w:footerReference w:type="default" r:id="rId62"/>
          <w:pgSz w:w="11910" w:h="16840"/>
          <w:pgMar w:top="1640" w:right="720" w:bottom="1340" w:left="1020" w:header="1448" w:footer="1140"/>
          <w:pgNumType w:start="6"/>
          <w:cols w:space="708"/>
        </w:sectPr>
      </w:pPr>
    </w:p>
    <w:p>
      <w:pPr>
        <w:pStyle w:val="BodyText"/>
        <w:spacing w:before="1"/>
        <w:rPr>
          <w:sz w:val="17"/>
        </w:rPr>
      </w:pPr>
    </w:p>
    <w:p>
      <w:pPr>
        <w:pStyle w:val="BodyText"/>
        <w:spacing w:before="72" w:line="278" w:lineRule="auto"/>
        <w:ind w:left="398" w:right="391"/>
        <w:jc w:val="both"/>
      </w:pPr>
      <w:r>
        <w:rPr>
          <w:spacing w:val="-5"/>
        </w:rPr>
        <w:t>及标准过量空气系数</w:t>
      </w:r>
      <w:r>
        <w:t>（</w:t>
      </w:r>
      <w:r>
        <w:rPr>
          <w:spacing w:val="-3"/>
        </w:rPr>
        <w:t>基准含氧量</w:t>
      </w:r>
      <w:r>
        <w:rPr>
          <w:spacing w:val="-20"/>
        </w:rPr>
        <w:t>）</w:t>
      </w:r>
      <w:r>
        <w:rPr>
          <w:spacing w:val="-10"/>
        </w:rPr>
        <w:t>等。系统维护参数：系统反吹、维护的时间间隔设置；耗材和部件的维护周期等。系统测量参数：废气流速速度场系数、相关校准曲线的斜率和截距等。系统能够生成并</w:t>
      </w:r>
      <w:r>
        <w:rPr>
          <w:spacing w:val="-20"/>
        </w:rPr>
        <w:t>保存《废气排放连续监测小时平均值日报表》《废气排放连续监测日平均值月报表》《废气排放连续监测月</w:t>
      </w:r>
      <w:r>
        <w:rPr>
          <w:spacing w:val="-23"/>
        </w:rPr>
        <w:t>平均值年报表》，其格式按照</w:t>
      </w:r>
      <w:r>
        <w:rPr>
          <w:rFonts w:ascii="Times New Roman" w:eastAsia="Times New Roman"/>
          <w:spacing w:val="-5"/>
        </w:rPr>
        <w:t xml:space="preserve">HJ </w:t>
      </w:r>
      <w:r>
        <w:rPr>
          <w:rFonts w:ascii="Times New Roman" w:eastAsia="Times New Roman"/>
          <w:spacing w:val="-9"/>
        </w:rPr>
        <w:t>1286</w:t>
      </w:r>
      <w:r>
        <w:rPr>
          <w:spacing w:val="-9"/>
        </w:rPr>
        <w:t>记录；能够生成并保存运行操作记录报告，格式不作统一规定。系统</w:t>
      </w:r>
      <w:r>
        <w:rPr>
          <w:spacing w:val="-5"/>
        </w:rPr>
        <w:t>具有支持打印数据、图表和报表的功能。</w:t>
      </w:r>
    </w:p>
    <w:p>
      <w:pPr>
        <w:pStyle w:val="ListParagraph"/>
        <w:numPr>
          <w:ilvl w:val="1"/>
          <w:numId w:val="6"/>
        </w:numPr>
        <w:tabs>
          <w:tab w:val="left" w:pos="924"/>
          <w:tab w:val="left" w:pos="925"/>
        </w:tabs>
        <w:spacing w:before="155" w:after="0" w:line="240" w:lineRule="auto"/>
        <w:ind w:left="924" w:right="0" w:hanging="527"/>
        <w:jc w:val="left"/>
        <w:rPr>
          <w:rFonts w:ascii="黑体" w:eastAsia="黑体" w:hint="eastAsia"/>
          <w:sz w:val="21"/>
        </w:rPr>
      </w:pPr>
      <w:r>
        <w:rPr>
          <w:rFonts w:ascii="黑体" w:eastAsia="黑体" w:hint="eastAsia"/>
          <w:spacing w:val="-2"/>
          <w:sz w:val="21"/>
        </w:rPr>
        <w:t>数据输出和通讯</w:t>
      </w:r>
    </w:p>
    <w:p>
      <w:pPr>
        <w:pStyle w:val="BodyText"/>
        <w:spacing w:before="7"/>
        <w:rPr>
          <w:rFonts w:ascii="黑体"/>
          <w:sz w:val="15"/>
        </w:rPr>
      </w:pPr>
    </w:p>
    <w:p>
      <w:pPr>
        <w:pStyle w:val="BodyText"/>
        <w:ind w:left="818"/>
      </w:pPr>
      <w:r>
        <w:t>数据输出和通讯要求按照</w:t>
      </w:r>
      <w:r>
        <w:rPr>
          <w:rFonts w:ascii="Times New Roman" w:eastAsia="Times New Roman"/>
        </w:rPr>
        <w:t>HJ 212</w:t>
      </w:r>
      <w:r>
        <w:t>和附录</w:t>
      </w:r>
      <w:r>
        <w:rPr>
          <w:rFonts w:ascii="Times New Roman" w:eastAsia="Times New Roman"/>
        </w:rPr>
        <w:t>F</w:t>
      </w:r>
      <w:r>
        <w:t>执行。</w:t>
      </w:r>
    </w:p>
    <w:p>
      <w:pPr>
        <w:pStyle w:val="BodyText"/>
        <w:spacing w:before="7"/>
        <w:rPr>
          <w:sz w:val="15"/>
        </w:rPr>
      </w:pPr>
    </w:p>
    <w:p>
      <w:pPr>
        <w:pStyle w:val="ListParagraph"/>
        <w:numPr>
          <w:ilvl w:val="1"/>
          <w:numId w:val="6"/>
        </w:numPr>
        <w:tabs>
          <w:tab w:val="left" w:pos="924"/>
          <w:tab w:val="left" w:pos="925"/>
        </w:tabs>
        <w:spacing w:before="0" w:after="0" w:line="240" w:lineRule="auto"/>
        <w:ind w:left="924" w:right="0" w:hanging="527"/>
        <w:jc w:val="left"/>
        <w:rPr>
          <w:rFonts w:ascii="黑体" w:eastAsia="黑体" w:hint="eastAsia"/>
          <w:sz w:val="21"/>
        </w:rPr>
      </w:pPr>
      <w:r>
        <w:drawing>
          <wp:anchor distT="0" distB="0" distL="0" distR="0" simplePos="0" relativeHeight="251684864" behindDoc="0" locked="0" layoutInCell="1" allowOverlap="1">
            <wp:simplePos x="0" y="0"/>
            <wp:positionH relativeFrom="page">
              <wp:posOffset>1512112</wp:posOffset>
            </wp:positionH>
            <wp:positionV relativeFrom="paragraph">
              <wp:posOffset>155516</wp:posOffset>
            </wp:positionV>
            <wp:extent cx="4536320" cy="4536320"/>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png"/>
                    <pic:cNvPicPr/>
                  </pic:nvPicPr>
                  <pic:blipFill>
                    <a:blip xmlns:r="http://schemas.openxmlformats.org/officeDocument/2006/relationships" r:embed="rId9" cstate="print"/>
                    <a:stretch>
                      <a:fillRect/>
                    </a:stretch>
                  </pic:blipFill>
                  <pic:spPr>
                    <a:xfrm>
                      <a:off x="0" y="0"/>
                      <a:ext cx="4536320" cy="4536320"/>
                    </a:xfrm>
                    <a:prstGeom prst="rect">
                      <a:avLst/>
                    </a:prstGeom>
                  </pic:spPr>
                </pic:pic>
              </a:graphicData>
            </a:graphic>
          </wp:anchor>
        </w:drawing>
      </w:r>
      <w:r>
        <w:rPr>
          <w:rFonts w:ascii="黑体" w:eastAsia="黑体" w:hint="eastAsia"/>
          <w:spacing w:val="-1"/>
          <w:sz w:val="21"/>
        </w:rPr>
        <w:t>安全管理</w:t>
      </w:r>
    </w:p>
    <w:p>
      <w:pPr>
        <w:pStyle w:val="BodyText"/>
        <w:spacing w:before="7"/>
        <w:rPr>
          <w:rFonts w:ascii="黑体"/>
          <w:sz w:val="15"/>
        </w:rPr>
      </w:pPr>
    </w:p>
    <w:p>
      <w:pPr>
        <w:pStyle w:val="BodyText"/>
        <w:spacing w:line="278" w:lineRule="auto"/>
        <w:ind w:left="398" w:right="405" w:firstLine="408"/>
      </w:pPr>
      <w:r>
        <w:rPr>
          <w:spacing w:val="-12"/>
        </w:rPr>
        <w:t>系统应具有安全管理功能，能够以只读方式记录系统登录、操作和运行日志。操作人员需经有权限的</w:t>
      </w:r>
      <w:r>
        <w:rPr>
          <w:spacing w:val="-22"/>
        </w:rPr>
        <w:t>管理人员授权，输入工号和密码后，才能进行操作维护。系统安全管理功能应为两级系统操作管理权限：</w:t>
      </w:r>
    </w:p>
    <w:p>
      <w:pPr>
        <w:pStyle w:val="ListParagraph"/>
        <w:numPr>
          <w:ilvl w:val="0"/>
          <w:numId w:val="5"/>
        </w:numPr>
        <w:tabs>
          <w:tab w:val="left" w:pos="1250"/>
          <w:tab w:val="left" w:pos="1251"/>
        </w:tabs>
        <w:spacing w:before="0" w:after="0" w:line="278" w:lineRule="auto"/>
        <w:ind w:left="1250" w:right="407" w:hanging="428"/>
        <w:jc w:val="left"/>
        <w:rPr>
          <w:sz w:val="21"/>
        </w:rPr>
      </w:pPr>
      <w:r>
        <w:rPr>
          <w:spacing w:val="-10"/>
          <w:sz w:val="21"/>
        </w:rPr>
        <w:t>系统管理员：可以进行所有的系统设置工作，如：设定操作人员密码、操作级别，设定系统的</w:t>
      </w:r>
      <w:r>
        <w:rPr>
          <w:spacing w:val="-5"/>
          <w:sz w:val="21"/>
        </w:rPr>
        <w:t>设备配置等。系统对所有的控制操作均自动记录并入库保存。</w:t>
      </w:r>
    </w:p>
    <w:p>
      <w:pPr>
        <w:pStyle w:val="ListParagraph"/>
        <w:numPr>
          <w:ilvl w:val="0"/>
          <w:numId w:val="5"/>
        </w:numPr>
        <w:tabs>
          <w:tab w:val="left" w:pos="1250"/>
          <w:tab w:val="left" w:pos="1251"/>
        </w:tabs>
        <w:spacing w:before="0" w:after="0" w:line="269" w:lineRule="exact"/>
        <w:ind w:left="1250" w:right="0" w:hanging="428"/>
        <w:jc w:val="left"/>
        <w:rPr>
          <w:sz w:val="21"/>
        </w:rPr>
      </w:pPr>
      <w:r>
        <w:rPr>
          <w:spacing w:val="-3"/>
          <w:sz w:val="21"/>
        </w:rPr>
        <w:t>一般操作人员：只进行日常查询、例行维护和操作，不能更改系统的设置。</w:t>
      </w:r>
    </w:p>
    <w:p>
      <w:pPr>
        <w:pStyle w:val="BodyText"/>
        <w:spacing w:before="43" w:line="278" w:lineRule="auto"/>
        <w:ind w:left="398" w:right="406" w:firstLine="420"/>
      </w:pPr>
      <w:r>
        <w:rPr>
          <w:spacing w:val="-7"/>
        </w:rPr>
        <w:t>系统受外界强干扰或掉电后又上电等偶然意外情况发生，造成程序中断，应能实现自动启动，自动</w:t>
      </w:r>
      <w:r>
        <w:rPr>
          <w:spacing w:val="-5"/>
        </w:rPr>
        <w:t>恢复运行状态并记录出现故障时的时间和恢复运行时的时间。</w:t>
      </w:r>
    </w:p>
    <w:p>
      <w:pPr>
        <w:spacing w:after="0" w:line="278" w:lineRule="auto"/>
        <w:sectPr>
          <w:headerReference w:type="even" r:id="rId63"/>
          <w:headerReference w:type="default" r:id="rId64"/>
          <w:footerReference w:type="even" r:id="rId65"/>
          <w:footerReference w:type="default" r:id="rId66"/>
          <w:pgSz w:w="11910" w:h="16840"/>
          <w:pgMar w:top="1640" w:right="720" w:bottom="1340" w:left="1020" w:header="1448" w:footer="1140"/>
          <w:pgNumType w:start="7"/>
          <w:cols w:space="708"/>
        </w:sectPr>
      </w:pPr>
    </w:p>
    <w:p>
      <w:pPr>
        <w:pStyle w:val="BodyText"/>
        <w:rPr>
          <w:sz w:val="20"/>
        </w:rPr>
      </w:pPr>
    </w:p>
    <w:p>
      <w:pPr>
        <w:pStyle w:val="BodyText"/>
        <w:rPr>
          <w:sz w:val="20"/>
        </w:rPr>
      </w:pPr>
    </w:p>
    <w:p>
      <w:pPr>
        <w:pStyle w:val="BodyText"/>
        <w:spacing w:before="12"/>
        <w:rPr>
          <w:sz w:val="20"/>
        </w:rPr>
      </w:pPr>
    </w:p>
    <w:p>
      <w:pPr>
        <w:pStyle w:val="BodyText"/>
        <w:spacing w:before="72"/>
        <w:ind w:left="41" w:right="723"/>
        <w:jc w:val="center"/>
        <w:rPr>
          <w:rFonts w:ascii="黑体" w:eastAsia="黑体" w:hint="eastAsia"/>
        </w:rPr>
      </w:pPr>
      <w:r>
        <w:rPr>
          <w:rFonts w:ascii="黑体" w:eastAsia="黑体" w:hint="eastAsia"/>
        </w:rPr>
        <w:t>附  录 B</w:t>
      </w:r>
    </w:p>
    <w:p>
      <w:pPr>
        <w:pStyle w:val="BodyText"/>
        <w:spacing w:before="43"/>
        <w:ind w:left="41" w:right="624"/>
        <w:jc w:val="center"/>
        <w:rPr>
          <w:rFonts w:ascii="黑体" w:eastAsia="黑体" w:hint="eastAsia"/>
        </w:rPr>
      </w:pPr>
      <w:bookmarkStart w:id="11" w:name="_bookmark11"/>
      <w:bookmarkEnd w:id="11"/>
      <w:r>
        <w:rPr>
          <w:rFonts w:ascii="黑体" w:eastAsia="黑体" w:hint="eastAsia"/>
        </w:rPr>
        <w:t>（规范性）</w:t>
      </w:r>
    </w:p>
    <w:p>
      <w:pPr>
        <w:pStyle w:val="BodyText"/>
        <w:spacing w:before="43"/>
        <w:ind w:left="41" w:right="622"/>
        <w:jc w:val="center"/>
        <w:rPr>
          <w:rFonts w:ascii="黑体" w:eastAsia="黑体" w:hint="eastAsia"/>
        </w:rPr>
      </w:pPr>
      <w:r>
        <w:rPr>
          <w:rFonts w:ascii="黑体" w:eastAsia="黑体" w:hint="eastAsia"/>
        </w:rPr>
        <w:t>NMHC-CEMS 技术指标调试检测方法和验收方法</w:t>
      </w:r>
    </w:p>
    <w:p>
      <w:pPr>
        <w:pStyle w:val="BodyText"/>
        <w:spacing w:before="11"/>
        <w:rPr>
          <w:rFonts w:ascii="黑体"/>
          <w:sz w:val="9"/>
        </w:rPr>
      </w:pPr>
    </w:p>
    <w:p>
      <w:pPr>
        <w:pStyle w:val="ListParagraph"/>
        <w:numPr>
          <w:ilvl w:val="1"/>
          <w:numId w:val="16"/>
        </w:numPr>
        <w:tabs>
          <w:tab w:val="left" w:pos="638"/>
          <w:tab w:val="left" w:pos="639"/>
        </w:tabs>
        <w:spacing w:before="72" w:after="0" w:line="240" w:lineRule="auto"/>
        <w:ind w:left="638" w:right="0" w:hanging="526"/>
        <w:jc w:val="left"/>
        <w:rPr>
          <w:rFonts w:ascii="黑体" w:eastAsia="黑体" w:hint="eastAsia"/>
          <w:sz w:val="21"/>
        </w:rPr>
      </w:pPr>
      <w:r>
        <w:rPr>
          <w:rFonts w:ascii="黑体" w:eastAsia="黑体" w:hint="eastAsia"/>
          <w:spacing w:val="-1"/>
          <w:sz w:val="21"/>
        </w:rPr>
        <w:t>一般要求</w:t>
      </w:r>
    </w:p>
    <w:p>
      <w:pPr>
        <w:pStyle w:val="BodyText"/>
        <w:spacing w:before="5"/>
        <w:rPr>
          <w:rFonts w:ascii="黑体"/>
          <w:sz w:val="17"/>
        </w:rPr>
      </w:pPr>
    </w:p>
    <w:p>
      <w:pPr>
        <w:pStyle w:val="ListParagraph"/>
        <w:numPr>
          <w:ilvl w:val="2"/>
          <w:numId w:val="16"/>
        </w:numPr>
        <w:tabs>
          <w:tab w:val="left" w:pos="847"/>
          <w:tab w:val="left" w:pos="848"/>
        </w:tabs>
        <w:spacing w:before="0" w:after="0" w:line="319" w:lineRule="auto"/>
        <w:ind w:left="113" w:right="691" w:firstLine="0"/>
        <w:jc w:val="left"/>
        <w:rPr>
          <w:sz w:val="21"/>
        </w:rPr>
      </w:pPr>
      <w:r>
        <w:rPr>
          <w:spacing w:val="-3"/>
          <w:sz w:val="21"/>
        </w:rPr>
        <w:t>在调试检测或验收期间，不允许计划外的检修和调节仪器。如果因</w:t>
      </w:r>
      <w:r>
        <w:rPr>
          <w:rFonts w:ascii="Times New Roman" w:eastAsia="Times New Roman"/>
          <w:sz w:val="21"/>
        </w:rPr>
        <w:t>NMHC-CEMS</w:t>
      </w:r>
      <w:r>
        <w:rPr>
          <w:spacing w:val="-3"/>
          <w:sz w:val="21"/>
        </w:rPr>
        <w:t>故障、断电等原因造成调试检测中断，在上述因素恢复正常后，应重新开始进行调试检测或验收。</w:t>
      </w:r>
    </w:p>
    <w:p>
      <w:pPr>
        <w:pStyle w:val="ListParagraph"/>
        <w:numPr>
          <w:ilvl w:val="2"/>
          <w:numId w:val="16"/>
        </w:numPr>
        <w:tabs>
          <w:tab w:val="left" w:pos="847"/>
          <w:tab w:val="left" w:pos="848"/>
        </w:tabs>
        <w:spacing w:before="2" w:after="0" w:line="319" w:lineRule="auto"/>
        <w:ind w:left="113" w:right="695" w:firstLine="0"/>
        <w:jc w:val="left"/>
        <w:rPr>
          <w:sz w:val="21"/>
        </w:rPr>
      </w:pPr>
      <w:r>
        <w:rPr>
          <w:sz w:val="21"/>
        </w:rPr>
        <w:t>标准物质采用丙烷和甲烷的混合标准气体，一般甲烷量程标准气体浓度为</w:t>
      </w:r>
      <w:r>
        <w:rPr>
          <w:rFonts w:ascii="Times New Roman" w:eastAsia="Times New Roman"/>
          <w:sz w:val="21"/>
        </w:rPr>
        <w:t>20mg/m</w:t>
      </w:r>
      <w:r>
        <w:rPr>
          <w:rFonts w:ascii="Times New Roman" w:eastAsia="Times New Roman"/>
          <w:position w:val="7"/>
          <w:sz w:val="14"/>
        </w:rPr>
        <w:t>3</w:t>
      </w:r>
      <w:r>
        <w:rPr>
          <w:spacing w:val="-3"/>
          <w:sz w:val="21"/>
        </w:rPr>
        <w:t>或废气实际</w:t>
      </w:r>
      <w:r>
        <w:rPr>
          <w:spacing w:val="-1"/>
          <w:sz w:val="21"/>
        </w:rPr>
        <w:t>浓度的</w:t>
      </w:r>
      <w:r>
        <w:rPr>
          <w:rFonts w:ascii="Times New Roman" w:eastAsia="Times New Roman"/>
          <w:sz w:val="21"/>
        </w:rPr>
        <w:t>1.5</w:t>
      </w:r>
      <w:r>
        <w:rPr>
          <w:spacing w:val="-3"/>
          <w:sz w:val="21"/>
        </w:rPr>
        <w:t>倍，两者取高值，丙烷标准气体浓度为</w:t>
      </w:r>
      <w:r>
        <w:rPr>
          <w:rFonts w:ascii="Times New Roman" w:eastAsia="Times New Roman"/>
          <w:sz w:val="21"/>
        </w:rPr>
        <w:t>80%</w:t>
      </w:r>
      <w:r>
        <w:rPr>
          <w:sz w:val="21"/>
        </w:rPr>
        <w:t>～</w:t>
      </w:r>
      <w:r>
        <w:rPr>
          <w:rFonts w:ascii="Times New Roman" w:eastAsia="Times New Roman"/>
          <w:sz w:val="21"/>
        </w:rPr>
        <w:t>100%</w:t>
      </w:r>
      <w:r>
        <w:rPr>
          <w:spacing w:val="-3"/>
          <w:sz w:val="21"/>
        </w:rPr>
        <w:t>的满量程值。标准气体应在有效期内。</w:t>
      </w:r>
    </w:p>
    <w:p>
      <w:pPr>
        <w:pStyle w:val="ListParagraph"/>
        <w:numPr>
          <w:ilvl w:val="2"/>
          <w:numId w:val="16"/>
        </w:numPr>
        <w:tabs>
          <w:tab w:val="left" w:pos="847"/>
          <w:tab w:val="left" w:pos="848"/>
        </w:tabs>
        <w:spacing w:before="3" w:after="0" w:line="319" w:lineRule="auto"/>
        <w:ind w:left="113" w:right="691" w:firstLine="0"/>
        <w:jc w:val="left"/>
        <w:rPr>
          <w:sz w:val="21"/>
        </w:rPr>
      </w:pPr>
      <w:r>
        <w:rPr>
          <w:sz w:val="21"/>
        </w:rPr>
        <w:t>对</w:t>
      </w:r>
      <w:r>
        <w:rPr>
          <w:rFonts w:ascii="Times New Roman" w:eastAsia="Times New Roman"/>
          <w:sz w:val="21"/>
        </w:rPr>
        <w:t>NMHC-CEMS</w:t>
      </w:r>
      <w:r>
        <w:rPr>
          <w:spacing w:val="-4"/>
          <w:sz w:val="21"/>
        </w:rPr>
        <w:t>进行技术性能指标调试检测和验收检测时，标准气体应通过预设管线输送至采</w:t>
      </w:r>
      <w:r>
        <w:rPr>
          <w:spacing w:val="-3"/>
          <w:sz w:val="21"/>
        </w:rPr>
        <w:t>样探头处，经由样品传输管线回到站房，经过全套预处理设施后进入气体分析仪。</w:t>
      </w:r>
    </w:p>
    <w:p>
      <w:pPr>
        <w:pStyle w:val="ListParagraph"/>
        <w:numPr>
          <w:ilvl w:val="2"/>
          <w:numId w:val="16"/>
        </w:numPr>
        <w:tabs>
          <w:tab w:val="left" w:pos="847"/>
          <w:tab w:val="left" w:pos="848"/>
        </w:tabs>
        <w:spacing w:before="2" w:after="0" w:line="240" w:lineRule="auto"/>
        <w:ind w:left="847" w:right="0" w:hanging="735"/>
        <w:jc w:val="left"/>
        <w:rPr>
          <w:sz w:val="21"/>
        </w:rPr>
      </w:pPr>
      <w:r>
        <w:rPr>
          <w:spacing w:val="-3"/>
          <w:sz w:val="21"/>
        </w:rPr>
        <w:t>调试检测和验收后应编制调试检测报告和验收报告。</w:t>
      </w:r>
    </w:p>
    <w:p>
      <w:pPr>
        <w:pStyle w:val="BodyText"/>
        <w:spacing w:before="2"/>
        <w:rPr>
          <w:sz w:val="17"/>
        </w:rPr>
      </w:pPr>
    </w:p>
    <w:p>
      <w:pPr>
        <w:pStyle w:val="ListParagraph"/>
        <w:numPr>
          <w:ilvl w:val="1"/>
          <w:numId w:val="16"/>
        </w:numPr>
        <w:tabs>
          <w:tab w:val="left" w:pos="638"/>
          <w:tab w:val="left" w:pos="639"/>
        </w:tabs>
        <w:spacing w:before="0" w:after="0" w:line="240" w:lineRule="auto"/>
        <w:ind w:left="638" w:right="0" w:hanging="526"/>
        <w:jc w:val="left"/>
        <w:rPr>
          <w:rFonts w:ascii="黑体" w:eastAsia="黑体" w:hint="eastAsia"/>
          <w:sz w:val="21"/>
        </w:rPr>
      </w:pPr>
      <w:r>
        <w:rPr>
          <w:rFonts w:ascii="黑体" w:eastAsia="黑体" w:hint="eastAsia"/>
          <w:sz w:val="21"/>
        </w:rPr>
        <w:t>NMHC-CEMS</w:t>
      </w:r>
      <w:r>
        <w:rPr>
          <w:rFonts w:ascii="黑体" w:eastAsia="黑体" w:hint="eastAsia"/>
          <w:spacing w:val="-8"/>
          <w:sz w:val="21"/>
        </w:rPr>
        <w:t xml:space="preserve"> 零点漂移、量程漂移技术指标的调试检测和验收</w:t>
      </w:r>
    </w:p>
    <w:p>
      <w:pPr>
        <w:pStyle w:val="BodyText"/>
        <w:spacing w:before="6"/>
        <w:rPr>
          <w:rFonts w:ascii="黑体"/>
          <w:sz w:val="15"/>
        </w:rPr>
      </w:pPr>
    </w:p>
    <w:p>
      <w:pPr>
        <w:pStyle w:val="BodyText"/>
        <w:spacing w:line="278" w:lineRule="auto"/>
        <w:ind w:left="113" w:right="692" w:firstLine="420"/>
        <w:jc w:val="both"/>
      </w:pPr>
      <w:r>
        <w:rPr>
          <w:spacing w:val="-6"/>
          <w:position w:val="2"/>
        </w:rPr>
        <w:t>待系统运行稳定后，校准仪器零点和量程，记录零点稳定读数为</w:t>
      </w:r>
      <w:r>
        <w:rPr>
          <w:rFonts w:ascii="Times New Roman" w:eastAsia="Times New Roman"/>
          <w:spacing w:val="-7"/>
          <w:position w:val="2"/>
        </w:rPr>
        <w:t>Z</w:t>
      </w:r>
      <w:r>
        <w:rPr>
          <w:rFonts w:ascii="Times New Roman" w:eastAsia="Times New Roman"/>
          <w:spacing w:val="-7"/>
          <w:sz w:val="14"/>
        </w:rPr>
        <w:t>0</w:t>
      </w:r>
      <w:r>
        <w:rPr>
          <w:spacing w:val="-4"/>
          <w:position w:val="2"/>
        </w:rPr>
        <w:t>，记录量程稳定读数</w:t>
      </w:r>
      <w:r>
        <w:rPr>
          <w:rFonts w:ascii="Times New Roman" w:eastAsia="Times New Roman"/>
          <w:position w:val="2"/>
        </w:rPr>
        <w:t>S</w:t>
      </w:r>
      <w:r>
        <w:rPr>
          <w:rFonts w:ascii="Times New Roman" w:eastAsia="Times New Roman"/>
          <w:sz w:val="14"/>
        </w:rPr>
        <w:t>0</w:t>
      </w:r>
      <w:r>
        <w:rPr>
          <w:spacing w:val="-6"/>
          <w:position w:val="2"/>
        </w:rPr>
        <w:t>。通气结</w:t>
      </w:r>
      <w:r>
        <w:rPr>
          <w:spacing w:val="-4"/>
        </w:rPr>
        <w:t>束后，待测系统连续运行</w:t>
      </w:r>
      <w:r>
        <w:rPr>
          <w:rFonts w:ascii="Times New Roman" w:eastAsia="Times New Roman"/>
        </w:rPr>
        <w:t>24h</w:t>
      </w:r>
      <w:r>
        <w:t>（</w:t>
      </w:r>
      <w:r>
        <w:rPr>
          <w:spacing w:val="-3"/>
        </w:rPr>
        <w:t>期间不允许任何校准和维护</w:t>
      </w:r>
      <w:r>
        <w:t>）</w:t>
      </w:r>
      <w:r>
        <w:rPr>
          <w:spacing w:val="-3"/>
        </w:rPr>
        <w:t>后分别通入同一零点气和量程标准气体重</w:t>
      </w:r>
      <w:r>
        <w:rPr>
          <w:spacing w:val="-4"/>
        </w:rPr>
        <w:t>复上述操作，并分别记录稳定后读数。调试检测时按公式</w:t>
      </w:r>
      <w:r>
        <w:t>（</w:t>
      </w:r>
      <w:r>
        <w:rPr>
          <w:rFonts w:ascii="Times New Roman" w:eastAsia="Times New Roman"/>
        </w:rPr>
        <w:t>B.1</w:t>
      </w:r>
      <w:r>
        <w:t>）</w:t>
      </w:r>
      <w:r>
        <w:rPr>
          <w:spacing w:val="-8"/>
        </w:rPr>
        <w:t>、</w:t>
      </w:r>
      <w:r>
        <w:t>（</w:t>
      </w:r>
      <w:r>
        <w:rPr>
          <w:rFonts w:ascii="Times New Roman" w:eastAsia="Times New Roman"/>
        </w:rPr>
        <w:t>B.2</w:t>
      </w:r>
      <w:r>
        <w:t>）</w:t>
      </w:r>
      <w:r>
        <w:rPr>
          <w:spacing w:val="-5"/>
        </w:rPr>
        <w:t>、</w:t>
      </w:r>
      <w:r>
        <w:t>（</w:t>
      </w:r>
      <w:r>
        <w:rPr>
          <w:rFonts w:ascii="Times New Roman" w:eastAsia="Times New Roman"/>
        </w:rPr>
        <w:t>B.3</w:t>
      </w:r>
      <w:r>
        <w:t>）</w:t>
      </w:r>
      <w:r>
        <w:rPr>
          <w:spacing w:val="-8"/>
        </w:rPr>
        <w:t>、</w:t>
      </w:r>
      <w:r>
        <w:t>（</w:t>
      </w:r>
      <w:r>
        <w:rPr>
          <w:rFonts w:ascii="Times New Roman" w:eastAsia="Times New Roman"/>
        </w:rPr>
        <w:t>B.4</w:t>
      </w:r>
      <w:r>
        <w:t>）</w:t>
      </w:r>
      <w:r>
        <w:rPr>
          <w:spacing w:val="-2"/>
        </w:rPr>
        <w:t>计算待</w:t>
      </w:r>
      <w:r>
        <w:rPr>
          <w:spacing w:val="-3"/>
          <w:position w:val="2"/>
        </w:rPr>
        <w:t>测系统</w:t>
      </w:r>
      <w:r>
        <w:rPr>
          <w:rFonts w:ascii="Times New Roman" w:eastAsia="Times New Roman"/>
          <w:position w:val="2"/>
        </w:rPr>
        <w:t>24h</w:t>
      </w:r>
      <w:r>
        <w:rPr>
          <w:spacing w:val="-2"/>
          <w:position w:val="2"/>
        </w:rPr>
        <w:t>零点漂移</w:t>
      </w:r>
      <w:r>
        <w:rPr>
          <w:rFonts w:ascii="Times New Roman" w:eastAsia="Times New Roman"/>
          <w:position w:val="2"/>
        </w:rPr>
        <w:t>Z</w:t>
      </w:r>
      <w:r>
        <w:rPr>
          <w:rFonts w:ascii="Times New Roman" w:eastAsia="Times New Roman"/>
          <w:sz w:val="14"/>
        </w:rPr>
        <w:t>d</w:t>
      </w:r>
      <w:r>
        <w:rPr>
          <w:position w:val="2"/>
        </w:rPr>
        <w:t>和</w:t>
      </w:r>
      <w:r>
        <w:rPr>
          <w:rFonts w:ascii="Times New Roman" w:eastAsia="Times New Roman"/>
          <w:position w:val="2"/>
        </w:rPr>
        <w:t>24h</w:t>
      </w:r>
      <w:r>
        <w:rPr>
          <w:spacing w:val="-3"/>
          <w:position w:val="2"/>
        </w:rPr>
        <w:t>量程漂移</w:t>
      </w:r>
      <w:r>
        <w:rPr>
          <w:rFonts w:ascii="Times New Roman" w:eastAsia="Times New Roman"/>
          <w:spacing w:val="-11"/>
          <w:position w:val="2"/>
        </w:rPr>
        <w:t>S</w:t>
      </w:r>
      <w:r>
        <w:rPr>
          <w:rFonts w:ascii="Times New Roman" w:eastAsia="Times New Roman"/>
          <w:spacing w:val="-11"/>
          <w:sz w:val="14"/>
        </w:rPr>
        <w:t>d</w:t>
      </w:r>
      <w:r>
        <w:rPr>
          <w:spacing w:val="-4"/>
          <w:position w:val="2"/>
        </w:rPr>
        <w:t>，调试检测连续测试</w:t>
      </w:r>
      <w:r>
        <w:rPr>
          <w:rFonts w:ascii="Times New Roman" w:eastAsia="Times New Roman"/>
          <w:spacing w:val="-12"/>
          <w:position w:val="2"/>
        </w:rPr>
        <w:t>3d</w:t>
      </w:r>
      <w:r>
        <w:rPr>
          <w:spacing w:val="-4"/>
          <w:position w:val="2"/>
        </w:rPr>
        <w:t>；验收时待气态污染物和氧气正确度验收</w:t>
      </w:r>
      <w:r>
        <w:rPr>
          <w:spacing w:val="-6"/>
        </w:rPr>
        <w:t>结束后，且至少距离初始测试</w:t>
      </w:r>
      <w:r>
        <w:rPr>
          <w:rFonts w:ascii="Times New Roman" w:eastAsia="Times New Roman"/>
          <w:spacing w:val="-6"/>
        </w:rPr>
        <w:t>6h</w:t>
      </w:r>
      <w:r>
        <w:rPr>
          <w:spacing w:val="-6"/>
        </w:rPr>
        <w:t>，再通入零点气和量程标准气体，按公式</w:t>
      </w:r>
      <w:r>
        <w:rPr>
          <w:spacing w:val="-4"/>
        </w:rPr>
        <w:t>（</w:t>
      </w:r>
      <w:r>
        <w:rPr>
          <w:rFonts w:ascii="Times New Roman" w:eastAsia="Times New Roman"/>
          <w:spacing w:val="-4"/>
        </w:rPr>
        <w:t>B.1</w:t>
      </w:r>
      <w:r>
        <w:rPr>
          <w:spacing w:val="-4"/>
        </w:rPr>
        <w:t>）</w:t>
      </w:r>
      <w:r>
        <w:rPr>
          <w:spacing w:val="-29"/>
        </w:rPr>
        <w:t>、</w:t>
      </w:r>
      <w:r>
        <w:rPr>
          <w:spacing w:val="-4"/>
        </w:rPr>
        <w:t>（</w:t>
      </w:r>
      <w:r>
        <w:rPr>
          <w:rFonts w:ascii="Times New Roman" w:eastAsia="Times New Roman"/>
          <w:spacing w:val="-4"/>
        </w:rPr>
        <w:t>B.2</w:t>
      </w:r>
      <w:r>
        <w:rPr>
          <w:spacing w:val="-4"/>
        </w:rPr>
        <w:t>）</w:t>
      </w:r>
      <w:r>
        <w:rPr>
          <w:spacing w:val="-29"/>
        </w:rPr>
        <w:t>、</w:t>
      </w:r>
      <w:r>
        <w:rPr>
          <w:spacing w:val="-4"/>
        </w:rPr>
        <w:t>（</w:t>
      </w:r>
      <w:r>
        <w:rPr>
          <w:rFonts w:ascii="Times New Roman" w:eastAsia="Times New Roman"/>
          <w:spacing w:val="-4"/>
        </w:rPr>
        <w:t>B.3</w:t>
      </w:r>
      <w:r>
        <w:rPr>
          <w:spacing w:val="-4"/>
        </w:rPr>
        <w:t>）</w:t>
      </w:r>
      <w:r>
        <w:rPr>
          <w:spacing w:val="-17"/>
        </w:rPr>
        <w:t>、</w:t>
      </w:r>
    </w:p>
    <w:p>
      <w:pPr>
        <w:pStyle w:val="BodyText"/>
        <w:spacing w:line="257" w:lineRule="exact"/>
        <w:ind w:left="113"/>
      </w:pPr>
      <w:r>
        <w:rPr>
          <w:position w:val="2"/>
        </w:rPr>
        <w:t>（</w:t>
      </w:r>
      <w:r>
        <w:rPr>
          <w:rFonts w:ascii="Times New Roman" w:eastAsia="Times New Roman"/>
          <w:position w:val="2"/>
        </w:rPr>
        <w:t>B.4</w:t>
      </w:r>
      <w:r>
        <w:rPr>
          <w:position w:val="2"/>
        </w:rPr>
        <w:t>）计算待测系统零点漂移</w:t>
      </w:r>
      <w:r>
        <w:rPr>
          <w:rFonts w:ascii="Times New Roman" w:eastAsia="Times New Roman"/>
          <w:position w:val="2"/>
        </w:rPr>
        <w:t>Z</w:t>
      </w:r>
      <w:r>
        <w:rPr>
          <w:rFonts w:ascii="Times New Roman" w:eastAsia="Times New Roman"/>
          <w:sz w:val="14"/>
        </w:rPr>
        <w:t>d</w:t>
      </w:r>
      <w:r>
        <w:rPr>
          <w:position w:val="2"/>
        </w:rPr>
        <w:t>和量程漂移</w:t>
      </w:r>
      <w:r>
        <w:rPr>
          <w:rFonts w:ascii="Times New Roman" w:eastAsia="Times New Roman"/>
          <w:position w:val="2"/>
        </w:rPr>
        <w:t>S</w:t>
      </w:r>
      <w:r>
        <w:rPr>
          <w:rFonts w:ascii="Times New Roman" w:eastAsia="Times New Roman"/>
          <w:sz w:val="14"/>
        </w:rPr>
        <w:t>d</w:t>
      </w:r>
      <w:r>
        <w:rPr>
          <w:position w:val="2"/>
        </w:rPr>
        <w:t>。</w:t>
      </w:r>
    </w:p>
    <w:p>
      <w:pPr>
        <w:pStyle w:val="BodyText"/>
        <w:tabs>
          <w:tab w:val="left" w:leader="middleDot" w:pos="8942"/>
        </w:tabs>
        <w:spacing w:line="375" w:lineRule="exact"/>
        <w:ind w:left="4133"/>
      </w:pPr>
      <w:r>
        <w:rPr>
          <w:rFonts w:ascii="Cambria Math" w:eastAsia="Cambria Math" w:hAnsi="Cambria Math"/>
          <w:spacing w:val="-4"/>
        </w:rPr>
        <w:t>Δ𝑍</w:t>
      </w:r>
      <w:r>
        <w:rPr>
          <w:rFonts w:ascii="Cambria Math" w:eastAsia="Cambria Math" w:hAnsi="Cambria Math"/>
          <w:spacing w:val="-4"/>
          <w:vertAlign w:val="subscript"/>
        </w:rPr>
        <w:t>𝑛</w:t>
      </w:r>
      <w:r>
        <w:rPr>
          <w:rFonts w:ascii="Cambria Math" w:eastAsia="Cambria Math" w:hAnsi="Cambria Math"/>
          <w:spacing w:val="-4"/>
          <w:vertAlign w:val="baseline"/>
        </w:rPr>
        <w:t xml:space="preserve">  </w:t>
      </w:r>
      <w:r>
        <w:rPr>
          <w:rFonts w:ascii="Cambria Math" w:eastAsia="Cambria Math" w:hAnsi="Cambria Math"/>
          <w:vertAlign w:val="baseline"/>
        </w:rPr>
        <w:t xml:space="preserve">= </w:t>
      </w:r>
      <w:r>
        <w:rPr>
          <w:rFonts w:ascii="Cambria Math" w:eastAsia="Cambria Math" w:hAnsi="Cambria Math"/>
          <w:spacing w:val="-4"/>
          <w:vertAlign w:val="baseline"/>
        </w:rPr>
        <w:t>𝑍</w:t>
      </w:r>
      <w:r>
        <w:rPr>
          <w:rFonts w:ascii="Cambria Math" w:eastAsia="Cambria Math" w:hAnsi="Cambria Math"/>
          <w:spacing w:val="-4"/>
          <w:vertAlign w:val="subscript"/>
        </w:rPr>
        <w:t>𝑛</w:t>
      </w:r>
      <w:r>
        <w:rPr>
          <w:rFonts w:ascii="Cambria Math" w:eastAsia="Cambria Math" w:hAnsi="Cambria Math"/>
          <w:spacing w:val="10"/>
          <w:vertAlign w:val="baseline"/>
        </w:rPr>
        <w:t xml:space="preserve"> </w:t>
      </w:r>
      <w:r>
        <w:rPr>
          <w:rFonts w:ascii="Cambria Math" w:eastAsia="Cambria Math" w:hAnsi="Cambria Math"/>
          <w:vertAlign w:val="baseline"/>
        </w:rPr>
        <w:t>−</w:t>
      </w:r>
      <w:r>
        <w:rPr>
          <w:rFonts w:ascii="Cambria Math" w:eastAsia="Cambria Math" w:hAnsi="Cambria Math"/>
          <w:spacing w:val="-2"/>
          <w:vertAlign w:val="baseline"/>
        </w:rPr>
        <w:t xml:space="preserve"> </w:t>
      </w:r>
      <w:r>
        <w:rPr>
          <w:rFonts w:ascii="Cambria Math" w:eastAsia="Cambria Math" w:hAnsi="Cambria Math"/>
          <w:spacing w:val="-4"/>
          <w:vertAlign w:val="baseline"/>
        </w:rPr>
        <w:t>𝑍</w:t>
      </w:r>
      <w:r>
        <w:rPr>
          <w:rFonts w:ascii="Cambria Math" w:eastAsia="Cambria Math" w:hAnsi="Cambria Math"/>
          <w:spacing w:val="-4"/>
          <w:vertAlign w:val="subscript"/>
        </w:rPr>
        <w:t>0</w:t>
      </w:r>
      <w:r>
        <w:rPr>
          <w:rFonts w:ascii="Cambria Math" w:eastAsia="Cambria Math" w:hAnsi="Cambria Math"/>
          <w:spacing w:val="-4"/>
          <w:position w:val="-3"/>
          <w:vertAlign w:val="baseline"/>
        </w:rPr>
        <w:tab/>
      </w:r>
      <w:r>
        <w:rPr>
          <w:vertAlign w:val="baseline"/>
        </w:rPr>
        <w:t>(B.1)</w:t>
      </w:r>
    </w:p>
    <w:p>
      <w:pPr>
        <w:pStyle w:val="BodyText"/>
        <w:tabs>
          <w:tab w:val="left" w:leader="middleDot" w:pos="8942"/>
        </w:tabs>
        <w:spacing w:before="144"/>
        <w:ind w:left="3922"/>
      </w:pPr>
      <w:r>
        <w:pict>
          <v:shape id="_x0000_s1028" type="#_x0000_t202" style="width:5pt;height:8.9pt;margin-top:15.8pt;margin-left:281.11pt;mso-position-horizontal-relative:page;position:absolute;z-index:-251630592" filled="f" stroked="f">
            <v:textbox inset="0,0,0,0">
              <w:txbxContent>
                <w:p>
                  <w:pPr>
                    <w:spacing w:before="1"/>
                    <w:ind w:left="0" w:right="0" w:firstLine="0"/>
                    <w:jc w:val="left"/>
                    <w:rPr>
                      <w:rFonts w:ascii="Cambria Math" w:eastAsia="Cambria Math"/>
                      <w:sz w:val="15"/>
                    </w:rPr>
                  </w:pPr>
                  <w:r>
                    <w:rPr>
                      <w:rFonts w:ascii="Cambria Math" w:eastAsia="Cambria Math"/>
                      <w:sz w:val="15"/>
                    </w:rPr>
                    <w:t>𝑅</w:t>
                  </w:r>
                </w:p>
              </w:txbxContent>
            </v:textbox>
          </v:shape>
        </w:pict>
      </w:r>
      <w:r>
        <w:rPr>
          <w:rFonts w:ascii="Cambria Math" w:eastAsia="Cambria Math" w:hAnsi="Cambria Math"/>
          <w:spacing w:val="-4"/>
          <w:w w:val="105"/>
        </w:rPr>
        <w:t>𝑍</w:t>
      </w:r>
      <w:r>
        <w:rPr>
          <w:rFonts w:ascii="Cambria Math" w:eastAsia="Cambria Math" w:hAnsi="Cambria Math"/>
          <w:spacing w:val="-4"/>
          <w:w w:val="105"/>
          <w:vertAlign w:val="subscript"/>
        </w:rPr>
        <w:t>𝑑</w:t>
      </w:r>
      <w:r>
        <w:rPr>
          <w:rFonts w:ascii="Cambria Math" w:eastAsia="Cambria Math" w:hAnsi="Cambria Math"/>
          <w:spacing w:val="-4"/>
          <w:w w:val="105"/>
          <w:vertAlign w:val="baseline"/>
        </w:rPr>
        <w:t xml:space="preserve">  </w:t>
      </w:r>
      <w:r>
        <w:rPr>
          <w:rFonts w:ascii="Cambria Math" w:eastAsia="Cambria Math" w:hAnsi="Cambria Math"/>
          <w:w w:val="105"/>
          <w:vertAlign w:val="baseline"/>
        </w:rPr>
        <w:t>=</w:t>
      </w:r>
      <w:r>
        <w:rPr>
          <w:rFonts w:ascii="Cambria Math" w:eastAsia="Cambria Math" w:hAnsi="Cambria Math"/>
          <w:w w:val="105"/>
          <w:u w:val="single"/>
          <w:vertAlign w:val="superscript"/>
        </w:rPr>
        <w:t xml:space="preserve"> ∆𝑍𝑚𝑎𝑥</w:t>
      </w:r>
      <w:r>
        <w:rPr>
          <w:rFonts w:ascii="Cambria Math" w:eastAsia="Cambria Math" w:hAnsi="Cambria Math"/>
          <w:spacing w:val="-11"/>
          <w:w w:val="105"/>
          <w:vertAlign w:val="baseline"/>
        </w:rPr>
        <w:t xml:space="preserve"> </w:t>
      </w:r>
      <w:r>
        <w:rPr>
          <w:rFonts w:ascii="Cambria Math" w:eastAsia="Cambria Math" w:hAnsi="Cambria Math"/>
          <w:w w:val="105"/>
          <w:vertAlign w:val="baseline"/>
        </w:rPr>
        <w:t>×</w:t>
      </w:r>
      <w:r>
        <w:rPr>
          <w:rFonts w:ascii="Cambria Math" w:eastAsia="Cambria Math" w:hAnsi="Cambria Math"/>
          <w:spacing w:val="-3"/>
          <w:w w:val="105"/>
          <w:vertAlign w:val="baseline"/>
        </w:rPr>
        <w:t xml:space="preserve"> </w:t>
      </w:r>
      <w:r>
        <w:rPr>
          <w:rFonts w:ascii="Cambria Math" w:eastAsia="Cambria Math" w:hAnsi="Cambria Math"/>
          <w:w w:val="105"/>
          <w:vertAlign w:val="baseline"/>
        </w:rPr>
        <w:t>100%</w:t>
        <w:tab/>
      </w:r>
      <w:r>
        <w:rPr>
          <w:w w:val="105"/>
          <w:vertAlign w:val="baseline"/>
        </w:rPr>
        <w:t>(B.2)</w:t>
      </w:r>
    </w:p>
    <w:p>
      <w:pPr>
        <w:pStyle w:val="BodyText"/>
        <w:spacing w:before="3"/>
        <w:rPr>
          <w:sz w:val="10"/>
        </w:rPr>
      </w:pPr>
    </w:p>
    <w:p>
      <w:pPr>
        <w:pStyle w:val="BodyText"/>
        <w:spacing w:before="72"/>
        <w:ind w:left="533"/>
      </w:pPr>
      <w:r>
        <w:t>式中：</w:t>
      </w:r>
    </w:p>
    <w:p>
      <w:pPr>
        <w:pStyle w:val="BodyText"/>
        <w:spacing w:before="42"/>
        <w:ind w:left="528"/>
      </w:pPr>
      <w:r>
        <w:rPr>
          <w:rFonts w:ascii="Times New Roman" w:eastAsia="Times New Roman" w:hAnsi="Times New Roman"/>
          <w:i/>
          <w:position w:val="2"/>
        </w:rPr>
        <w:t>Z</w:t>
      </w:r>
      <w:r>
        <w:rPr>
          <w:rFonts w:ascii="Times New Roman" w:eastAsia="Times New Roman" w:hAnsi="Times New Roman"/>
          <w:i/>
          <w:sz w:val="14"/>
        </w:rPr>
        <w:t>d</w:t>
      </w:r>
      <w:r>
        <w:rPr>
          <w:rFonts w:ascii="Times New Roman" w:eastAsia="Times New Roman" w:hAnsi="Times New Roman"/>
          <w:position w:val="2"/>
        </w:rPr>
        <w:t>——24h</w:t>
      </w:r>
      <w:r>
        <w:rPr>
          <w:position w:val="2"/>
        </w:rPr>
        <w:t>零点漂移，</w:t>
      </w:r>
      <w:r>
        <w:rPr>
          <w:rFonts w:ascii="Times New Roman" w:eastAsia="Times New Roman" w:hAnsi="Times New Roman"/>
          <w:position w:val="2"/>
        </w:rPr>
        <w:t>%</w:t>
      </w:r>
      <w:r>
        <w:rPr>
          <w:position w:val="2"/>
        </w:rPr>
        <w:t>；</w:t>
      </w:r>
    </w:p>
    <w:p>
      <w:pPr>
        <w:pStyle w:val="BodyText"/>
        <w:spacing w:before="43" w:line="273" w:lineRule="auto"/>
        <w:ind w:left="533" w:right="5196" w:hanging="5"/>
      </w:pPr>
      <w:r>
        <w:rPr>
          <w:rFonts w:ascii="Times New Roman" w:eastAsia="Times New Roman" w:hAnsi="Times New Roman"/>
          <w:i/>
          <w:position w:val="2"/>
        </w:rPr>
        <w:t>Z</w:t>
      </w:r>
      <w:r>
        <w:rPr>
          <w:rFonts w:ascii="Times New Roman" w:eastAsia="Times New Roman" w:hAnsi="Times New Roman"/>
          <w:i/>
          <w:sz w:val="14"/>
        </w:rPr>
        <w:t>0</w:t>
      </w:r>
      <w:r>
        <w:rPr>
          <w:rFonts w:ascii="Times New Roman" w:eastAsia="Times New Roman" w:hAnsi="Times New Roman"/>
          <w:position w:val="2"/>
        </w:rPr>
        <w:t>——</w:t>
      </w:r>
      <w:r>
        <w:rPr>
          <w:position w:val="2"/>
        </w:rPr>
        <w:t>通入零点气的初始测量值，</w:t>
      </w:r>
      <w:r>
        <w:rPr>
          <w:rFonts w:ascii="Times New Roman" w:eastAsia="Times New Roman" w:hAnsi="Times New Roman"/>
          <w:position w:val="2"/>
        </w:rPr>
        <w:t>mg/m</w:t>
      </w:r>
      <w:r>
        <w:rPr>
          <w:rFonts w:ascii="Times New Roman" w:eastAsia="Times New Roman" w:hAnsi="Times New Roman"/>
          <w:position w:val="2"/>
          <w:vertAlign w:val="superscript"/>
        </w:rPr>
        <w:t>3</w:t>
      </w:r>
      <w:r>
        <w:rPr>
          <w:position w:val="2"/>
          <w:vertAlign w:val="baseline"/>
        </w:rPr>
        <w:t xml:space="preserve">； </w:t>
      </w:r>
      <w:r>
        <w:rPr>
          <w:rFonts w:ascii="Times New Roman" w:eastAsia="Times New Roman" w:hAnsi="Times New Roman"/>
          <w:i/>
          <w:position w:val="2"/>
          <w:vertAlign w:val="baseline"/>
        </w:rPr>
        <w:t>Z</w:t>
      </w:r>
      <w:r>
        <w:rPr>
          <w:rFonts w:ascii="Times New Roman" w:eastAsia="Times New Roman" w:hAnsi="Times New Roman"/>
          <w:i/>
          <w:sz w:val="14"/>
          <w:vertAlign w:val="baseline"/>
        </w:rPr>
        <w:t>n</w:t>
      </w:r>
      <w:r>
        <w:rPr>
          <w:rFonts w:ascii="Times New Roman" w:eastAsia="Times New Roman" w:hAnsi="Times New Roman"/>
          <w:position w:val="2"/>
          <w:vertAlign w:val="baseline"/>
        </w:rPr>
        <w:t>——</w:t>
      </w:r>
      <w:r>
        <w:rPr>
          <w:position w:val="2"/>
          <w:vertAlign w:val="baseline"/>
        </w:rPr>
        <w:t>运行</w:t>
      </w:r>
      <w:r>
        <w:rPr>
          <w:rFonts w:ascii="Times New Roman" w:eastAsia="Times New Roman" w:hAnsi="Times New Roman"/>
          <w:position w:val="2"/>
          <w:vertAlign w:val="baseline"/>
        </w:rPr>
        <w:t>24h</w:t>
      </w:r>
      <w:r>
        <w:rPr>
          <w:position w:val="2"/>
          <w:vertAlign w:val="baseline"/>
        </w:rPr>
        <w:t>后通入零点气的测量值，</w:t>
      </w:r>
      <w:r>
        <w:rPr>
          <w:rFonts w:ascii="Times New Roman" w:eastAsia="Times New Roman" w:hAnsi="Times New Roman"/>
          <w:position w:val="2"/>
          <w:vertAlign w:val="baseline"/>
        </w:rPr>
        <w:t>mg/m</w:t>
      </w:r>
      <w:r>
        <w:rPr>
          <w:rFonts w:ascii="Times New Roman" w:eastAsia="Times New Roman" w:hAnsi="Times New Roman"/>
          <w:position w:val="2"/>
          <w:vertAlign w:val="superscript"/>
        </w:rPr>
        <w:t>3</w:t>
      </w:r>
      <w:r>
        <w:rPr>
          <w:position w:val="2"/>
          <w:vertAlign w:val="baseline"/>
        </w:rPr>
        <w:t xml:space="preserve">； </w:t>
      </w:r>
      <w:r>
        <w:rPr>
          <w:rFonts w:ascii="Times New Roman" w:eastAsia="Times New Roman" w:hAnsi="Times New Roman"/>
          <w:i/>
          <w:position w:val="2"/>
          <w:vertAlign w:val="baseline"/>
        </w:rPr>
        <w:t>ΔZ</w:t>
      </w:r>
      <w:r>
        <w:rPr>
          <w:rFonts w:ascii="Times New Roman" w:eastAsia="Times New Roman" w:hAnsi="Times New Roman"/>
          <w:i/>
          <w:sz w:val="14"/>
          <w:vertAlign w:val="baseline"/>
        </w:rPr>
        <w:t>n</w:t>
      </w:r>
      <w:r>
        <w:rPr>
          <w:rFonts w:ascii="Times New Roman" w:eastAsia="Times New Roman" w:hAnsi="Times New Roman"/>
          <w:position w:val="2"/>
          <w:vertAlign w:val="baseline"/>
        </w:rPr>
        <w:t>——</w:t>
      </w:r>
      <w:r>
        <w:rPr>
          <w:position w:val="2"/>
          <w:vertAlign w:val="baseline"/>
        </w:rPr>
        <w:t>运行</w:t>
      </w:r>
      <w:r>
        <w:rPr>
          <w:rFonts w:ascii="Times New Roman" w:eastAsia="Times New Roman" w:hAnsi="Times New Roman"/>
          <w:position w:val="2"/>
          <w:vertAlign w:val="baseline"/>
        </w:rPr>
        <w:t>24h</w:t>
      </w:r>
      <w:r>
        <w:rPr>
          <w:position w:val="2"/>
          <w:vertAlign w:val="baseline"/>
        </w:rPr>
        <w:t>后的零点变化值，</w:t>
      </w:r>
      <w:r>
        <w:rPr>
          <w:rFonts w:ascii="Times New Roman" w:eastAsia="Times New Roman" w:hAnsi="Times New Roman"/>
          <w:position w:val="2"/>
          <w:vertAlign w:val="baseline"/>
        </w:rPr>
        <w:t>mg/m</w:t>
      </w:r>
      <w:r>
        <w:rPr>
          <w:rFonts w:ascii="Times New Roman" w:eastAsia="Times New Roman" w:hAnsi="Times New Roman"/>
          <w:position w:val="2"/>
          <w:vertAlign w:val="superscript"/>
        </w:rPr>
        <w:t>3</w:t>
      </w:r>
      <w:r>
        <w:rPr>
          <w:position w:val="2"/>
          <w:vertAlign w:val="baseline"/>
        </w:rPr>
        <w:t>；</w:t>
      </w:r>
    </w:p>
    <w:p>
      <w:pPr>
        <w:pStyle w:val="BodyText"/>
        <w:spacing w:line="272" w:lineRule="exact"/>
        <w:ind w:left="533"/>
      </w:pPr>
      <w:r>
        <w:rPr>
          <w:rFonts w:ascii="Times New Roman" w:eastAsia="Times New Roman" w:hAnsi="Times New Roman"/>
          <w:position w:val="2"/>
        </w:rPr>
        <w:t>ΔZ</w:t>
      </w:r>
      <w:r>
        <w:rPr>
          <w:rFonts w:ascii="Times New Roman" w:eastAsia="Times New Roman" w:hAnsi="Times New Roman"/>
          <w:i/>
          <w:sz w:val="14"/>
        </w:rPr>
        <w:t>max</w:t>
      </w:r>
      <w:r>
        <w:rPr>
          <w:rFonts w:ascii="Times New Roman" w:eastAsia="Times New Roman" w:hAnsi="Times New Roman"/>
          <w:position w:val="2"/>
        </w:rPr>
        <w:t>——</w:t>
      </w:r>
      <w:r>
        <w:rPr>
          <w:position w:val="2"/>
        </w:rPr>
        <w:t>零点测试绝对误差最大值，</w:t>
      </w:r>
      <w:r>
        <w:rPr>
          <w:rFonts w:ascii="Times New Roman" w:eastAsia="Times New Roman" w:hAnsi="Times New Roman"/>
          <w:position w:val="2"/>
        </w:rPr>
        <w:t>mg/m</w:t>
      </w:r>
      <w:r>
        <w:rPr>
          <w:rFonts w:ascii="Times New Roman" w:eastAsia="Times New Roman" w:hAnsi="Times New Roman"/>
          <w:position w:val="2"/>
          <w:vertAlign w:val="superscript"/>
        </w:rPr>
        <w:t>3</w:t>
      </w:r>
      <w:r>
        <w:rPr>
          <w:position w:val="2"/>
          <w:vertAlign w:val="baseline"/>
        </w:rPr>
        <w:t>；</w:t>
      </w:r>
    </w:p>
    <w:p>
      <w:pPr>
        <w:pStyle w:val="BodyText"/>
        <w:spacing w:before="38"/>
        <w:ind w:left="533"/>
      </w:pPr>
      <w:r>
        <w:rPr>
          <w:rFonts w:ascii="Times New Roman" w:eastAsia="Times New Roman" w:hAnsi="Times New Roman"/>
          <w:i/>
        </w:rPr>
        <w:t>R</w:t>
      </w:r>
      <w:r>
        <w:rPr>
          <w:rFonts w:ascii="Times New Roman" w:eastAsia="Times New Roman" w:hAnsi="Times New Roman"/>
        </w:rPr>
        <w:t>——</w:t>
      </w:r>
      <w:r>
        <w:t>满量程值，</w:t>
      </w:r>
      <w:r>
        <w:rPr>
          <w:rFonts w:ascii="Times New Roman" w:eastAsia="Times New Roman" w:hAnsi="Times New Roman"/>
        </w:rPr>
        <w:t>mg/m</w:t>
      </w:r>
      <w:r>
        <w:rPr>
          <w:rFonts w:ascii="Times New Roman" w:eastAsia="Times New Roman" w:hAnsi="Times New Roman"/>
          <w:position w:val="7"/>
          <w:sz w:val="14"/>
        </w:rPr>
        <w:t>3</w:t>
      </w:r>
      <w:r>
        <w:t>。</w:t>
      </w:r>
    </w:p>
    <w:p>
      <w:pPr>
        <w:spacing w:after="0"/>
        <w:sectPr>
          <w:headerReference w:type="even" r:id="rId67"/>
          <w:headerReference w:type="default" r:id="rId68"/>
          <w:footerReference w:type="even" r:id="rId69"/>
          <w:footerReference w:type="default" r:id="rId70"/>
          <w:pgSz w:w="11910" w:h="16840"/>
          <w:pgMar w:top="1640" w:right="720" w:bottom="1340" w:left="1020" w:header="1448" w:footer="1140"/>
          <w:pgNumType w:start="8"/>
          <w:cols w:space="708"/>
        </w:sect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ind w:left="533"/>
      </w:pPr>
      <w:r>
        <w:t>式中：</w:t>
      </w:r>
    </w:p>
    <w:p>
      <w:pPr>
        <w:pStyle w:val="BodyText"/>
        <w:spacing w:before="42"/>
        <w:ind w:left="528"/>
      </w:pPr>
      <w:r>
        <w:rPr>
          <w:rFonts w:ascii="Times New Roman" w:eastAsia="Times New Roman" w:hAnsi="Times New Roman"/>
          <w:i/>
          <w:position w:val="2"/>
        </w:rPr>
        <w:t>S</w:t>
      </w:r>
      <w:r>
        <w:rPr>
          <w:rFonts w:ascii="Times New Roman" w:eastAsia="Times New Roman" w:hAnsi="Times New Roman"/>
          <w:i/>
          <w:sz w:val="14"/>
        </w:rPr>
        <w:t>d</w:t>
      </w:r>
      <w:r>
        <w:rPr>
          <w:rFonts w:ascii="Times New Roman" w:eastAsia="Times New Roman" w:hAnsi="Times New Roman"/>
          <w:position w:val="2"/>
        </w:rPr>
        <w:t>——24h</w:t>
      </w:r>
      <w:r>
        <w:rPr>
          <w:position w:val="2"/>
        </w:rPr>
        <w:t>量程漂移，</w:t>
      </w:r>
      <w:r>
        <w:rPr>
          <w:rFonts w:ascii="Times New Roman" w:eastAsia="Times New Roman" w:hAnsi="Times New Roman"/>
          <w:position w:val="2"/>
        </w:rPr>
        <w:t>%</w:t>
      </w:r>
      <w:r>
        <w:rPr>
          <w:position w:val="2"/>
        </w:rPr>
        <w:t>；</w:t>
      </w:r>
    </w:p>
    <w:p>
      <w:pPr>
        <w:pStyle w:val="BodyText"/>
        <w:tabs>
          <w:tab w:val="left" w:leader="middleDot" w:pos="5536"/>
        </w:tabs>
        <w:spacing w:line="363" w:lineRule="exact"/>
        <w:ind w:left="751"/>
      </w:pPr>
      <w:r>
        <w:br w:type="column"/>
      </w:r>
      <w:r>
        <w:rPr>
          <w:rFonts w:ascii="Cambria Math" w:eastAsia="Cambria Math" w:hAnsi="Cambria Math"/>
          <w:spacing w:val="-4"/>
        </w:rPr>
        <w:t>Δ𝑆</w:t>
      </w:r>
      <w:r>
        <w:rPr>
          <w:rFonts w:ascii="Cambria Math" w:eastAsia="Cambria Math" w:hAnsi="Cambria Math"/>
          <w:spacing w:val="-4"/>
          <w:vertAlign w:val="subscript"/>
        </w:rPr>
        <w:t>𝑛</w:t>
      </w:r>
      <w:r>
        <w:rPr>
          <w:rFonts w:ascii="Cambria Math" w:eastAsia="Cambria Math" w:hAnsi="Cambria Math"/>
          <w:spacing w:val="-4"/>
          <w:vertAlign w:val="baseline"/>
        </w:rPr>
        <w:t xml:space="preserve">  </w:t>
      </w:r>
      <w:r>
        <w:rPr>
          <w:rFonts w:ascii="Cambria Math" w:eastAsia="Cambria Math" w:hAnsi="Cambria Math"/>
          <w:vertAlign w:val="baseline"/>
        </w:rPr>
        <w:t xml:space="preserve">= </w:t>
      </w:r>
      <w:r>
        <w:rPr>
          <w:rFonts w:ascii="Cambria Math" w:eastAsia="Cambria Math" w:hAnsi="Cambria Math"/>
          <w:spacing w:val="-5"/>
          <w:vertAlign w:val="baseline"/>
        </w:rPr>
        <w:t>𝑆</w:t>
      </w:r>
      <w:r>
        <w:rPr>
          <w:rFonts w:ascii="Cambria Math" w:eastAsia="Cambria Math" w:hAnsi="Cambria Math"/>
          <w:spacing w:val="-5"/>
          <w:vertAlign w:val="subscript"/>
        </w:rPr>
        <w:t>𝑛</w:t>
      </w:r>
      <w:r>
        <w:rPr>
          <w:rFonts w:ascii="Cambria Math" w:eastAsia="Cambria Math" w:hAnsi="Cambria Math"/>
          <w:spacing w:val="6"/>
          <w:vertAlign w:val="baseline"/>
        </w:rPr>
        <w:t xml:space="preserve"> </w:t>
      </w:r>
      <w:r>
        <w:rPr>
          <w:rFonts w:ascii="Cambria Math" w:eastAsia="Cambria Math" w:hAnsi="Cambria Math"/>
          <w:vertAlign w:val="baseline"/>
        </w:rPr>
        <w:t xml:space="preserve">− </w:t>
      </w:r>
      <w:r>
        <w:rPr>
          <w:rFonts w:ascii="Cambria Math" w:eastAsia="Cambria Math" w:hAnsi="Cambria Math"/>
          <w:spacing w:val="-5"/>
          <w:vertAlign w:val="baseline"/>
        </w:rPr>
        <w:t>𝑆</w:t>
      </w:r>
      <w:r>
        <w:rPr>
          <w:rFonts w:ascii="Cambria Math" w:eastAsia="Cambria Math" w:hAnsi="Cambria Math"/>
          <w:spacing w:val="-5"/>
          <w:vertAlign w:val="subscript"/>
        </w:rPr>
        <w:t>0</w:t>
      </w:r>
      <w:r>
        <w:rPr>
          <w:rFonts w:ascii="Cambria Math" w:eastAsia="Cambria Math" w:hAnsi="Cambria Math"/>
          <w:spacing w:val="-5"/>
          <w:position w:val="-3"/>
          <w:vertAlign w:val="baseline"/>
        </w:rPr>
        <w:tab/>
      </w:r>
      <w:r>
        <w:rPr>
          <w:vertAlign w:val="baseline"/>
        </w:rPr>
        <w:t>(B.3)</w:t>
      </w:r>
    </w:p>
    <w:p>
      <w:pPr>
        <w:pStyle w:val="BodyText"/>
        <w:tabs>
          <w:tab w:val="left" w:leader="middleDot" w:pos="5536"/>
        </w:tabs>
        <w:spacing w:before="143"/>
        <w:ind w:left="528"/>
      </w:pPr>
      <w:r>
        <w:pict>
          <v:shape id="_x0000_s1029" type="#_x0000_t202" style="width:5pt;height:8.9pt;margin-top:15.75pt;margin-left:280.63pt;mso-position-horizontal-relative:page;position:absolute;z-index:-251629568" filled="f" stroked="f">
            <v:textbox inset="0,0,0,0">
              <w:txbxContent>
                <w:p>
                  <w:pPr>
                    <w:spacing w:before="1"/>
                    <w:ind w:left="0" w:right="0" w:firstLine="0"/>
                    <w:jc w:val="left"/>
                    <w:rPr>
                      <w:rFonts w:ascii="Cambria Math" w:eastAsia="Cambria Math"/>
                      <w:sz w:val="15"/>
                    </w:rPr>
                  </w:pPr>
                  <w:r>
                    <w:rPr>
                      <w:rFonts w:ascii="Cambria Math" w:eastAsia="Cambria Math"/>
                      <w:sz w:val="15"/>
                    </w:rPr>
                    <w:t>𝑅</w:t>
                  </w:r>
                </w:p>
              </w:txbxContent>
            </v:textbox>
          </v:shape>
        </w:pict>
      </w:r>
      <w:r>
        <w:rPr>
          <w:rFonts w:ascii="Cambria Math" w:eastAsia="Cambria Math" w:hAnsi="Cambria Math"/>
          <w:spacing w:val="-5"/>
          <w:w w:val="105"/>
        </w:rPr>
        <w:t>𝑆</w:t>
      </w:r>
      <w:r>
        <w:rPr>
          <w:rFonts w:ascii="Cambria Math" w:eastAsia="Cambria Math" w:hAnsi="Cambria Math"/>
          <w:spacing w:val="-5"/>
          <w:w w:val="105"/>
          <w:vertAlign w:val="subscript"/>
        </w:rPr>
        <w:t>𝑑</w:t>
      </w:r>
      <w:r>
        <w:rPr>
          <w:rFonts w:ascii="Cambria Math" w:eastAsia="Cambria Math" w:hAnsi="Cambria Math"/>
          <w:spacing w:val="-5"/>
          <w:w w:val="105"/>
          <w:vertAlign w:val="baseline"/>
        </w:rPr>
        <w:t xml:space="preserve">  </w:t>
      </w:r>
      <w:r>
        <w:rPr>
          <w:rFonts w:ascii="Cambria Math" w:eastAsia="Cambria Math" w:hAnsi="Cambria Math"/>
          <w:w w:val="105"/>
          <w:vertAlign w:val="baseline"/>
        </w:rPr>
        <w:t>=</w:t>
      </w:r>
      <w:r>
        <w:rPr>
          <w:rFonts w:ascii="Cambria Math" w:eastAsia="Cambria Math" w:hAnsi="Cambria Math"/>
          <w:w w:val="105"/>
          <w:u w:val="single"/>
          <w:vertAlign w:val="superscript"/>
        </w:rPr>
        <w:t xml:space="preserve"> ∆𝑆𝑚𝑎𝑥</w:t>
      </w:r>
      <w:r>
        <w:rPr>
          <w:rFonts w:ascii="Cambria Math" w:eastAsia="Cambria Math" w:hAnsi="Cambria Math"/>
          <w:spacing w:val="-7"/>
          <w:w w:val="105"/>
          <w:vertAlign w:val="baseline"/>
        </w:rPr>
        <w:t xml:space="preserve"> </w:t>
      </w:r>
      <w:r>
        <w:rPr>
          <w:rFonts w:ascii="Cambria Math" w:eastAsia="Cambria Math" w:hAnsi="Cambria Math"/>
          <w:w w:val="105"/>
          <w:vertAlign w:val="baseline"/>
        </w:rPr>
        <w:t>×</w:t>
      </w:r>
      <w:r>
        <w:rPr>
          <w:rFonts w:ascii="Cambria Math" w:eastAsia="Cambria Math" w:hAnsi="Cambria Math"/>
          <w:spacing w:val="-2"/>
          <w:w w:val="105"/>
          <w:vertAlign w:val="baseline"/>
        </w:rPr>
        <w:t xml:space="preserve"> </w:t>
      </w:r>
      <w:r>
        <w:rPr>
          <w:rFonts w:ascii="Cambria Math" w:eastAsia="Cambria Math" w:hAnsi="Cambria Math"/>
          <w:w w:val="105"/>
          <w:vertAlign w:val="baseline"/>
        </w:rPr>
        <w:t>100%</w:t>
        <w:tab/>
      </w:r>
      <w:r>
        <w:rPr>
          <w:w w:val="105"/>
          <w:vertAlign w:val="baseline"/>
        </w:rPr>
        <w:t>(B.4)</w:t>
      </w:r>
    </w:p>
    <w:p>
      <w:pPr>
        <w:spacing w:after="0"/>
        <w:sectPr>
          <w:headerReference w:type="even" r:id="rId71"/>
          <w:headerReference w:type="default" r:id="rId72"/>
          <w:footerReference w:type="even" r:id="rId73"/>
          <w:footerReference w:type="default" r:id="rId74"/>
          <w:type w:val="continuous"/>
          <w:pgSz w:w="11910" w:h="16840"/>
          <w:pgMar w:top="540" w:right="720" w:bottom="280" w:left="1020" w:header="708" w:footer="708"/>
          <w:pgNumType w:start="9"/>
          <w:cols w:num="2" w:space="708" w:equalWidth="0">
            <w:col w:w="2893" w:space="513"/>
            <w:col w:w="6764" w:space="0"/>
          </w:cols>
        </w:sectPr>
      </w:pPr>
    </w:p>
    <w:p>
      <w:pPr>
        <w:pStyle w:val="BodyText"/>
        <w:spacing w:before="43" w:line="273" w:lineRule="auto"/>
        <w:ind w:left="526" w:right="4842" w:firstLine="2"/>
      </w:pPr>
      <w:r>
        <w:rPr>
          <w:rFonts w:ascii="Times New Roman" w:eastAsia="Times New Roman" w:hAnsi="Times New Roman"/>
          <w:i/>
          <w:position w:val="2"/>
        </w:rPr>
        <w:t>S</w:t>
      </w:r>
      <w:r>
        <w:rPr>
          <w:rFonts w:ascii="Times New Roman" w:eastAsia="Times New Roman" w:hAnsi="Times New Roman"/>
          <w:i/>
          <w:sz w:val="14"/>
        </w:rPr>
        <w:t>0</w:t>
      </w:r>
      <w:r>
        <w:rPr>
          <w:rFonts w:ascii="Times New Roman" w:eastAsia="Times New Roman" w:hAnsi="Times New Roman"/>
          <w:position w:val="2"/>
        </w:rPr>
        <w:t>——</w:t>
      </w:r>
      <w:r>
        <w:rPr>
          <w:spacing w:val="-7"/>
          <w:position w:val="2"/>
        </w:rPr>
        <w:t>通入量程标准气体的初始测量值，</w:t>
      </w:r>
      <w:r>
        <w:rPr>
          <w:rFonts w:ascii="Times New Roman" w:eastAsia="Times New Roman" w:hAnsi="Times New Roman"/>
          <w:spacing w:val="-4"/>
          <w:position w:val="2"/>
        </w:rPr>
        <w:t>mg/m</w:t>
      </w:r>
      <w:r>
        <w:rPr>
          <w:rFonts w:ascii="Times New Roman" w:eastAsia="Times New Roman" w:hAnsi="Times New Roman"/>
          <w:spacing w:val="-4"/>
          <w:position w:val="2"/>
          <w:vertAlign w:val="superscript"/>
        </w:rPr>
        <w:t>3</w:t>
      </w:r>
      <w:r>
        <w:rPr>
          <w:spacing w:val="-4"/>
          <w:position w:val="2"/>
          <w:vertAlign w:val="baseline"/>
        </w:rPr>
        <w:t xml:space="preserve">； </w:t>
      </w:r>
      <w:r>
        <w:rPr>
          <w:rFonts w:ascii="Times New Roman" w:eastAsia="Times New Roman" w:hAnsi="Times New Roman"/>
          <w:i/>
          <w:spacing w:val="-1"/>
          <w:position w:val="2"/>
          <w:vertAlign w:val="baseline"/>
        </w:rPr>
        <w:t>S</w:t>
      </w:r>
      <w:r>
        <w:rPr>
          <w:rFonts w:ascii="Times New Roman" w:eastAsia="Times New Roman" w:hAnsi="Times New Roman"/>
          <w:i/>
          <w:spacing w:val="-1"/>
          <w:sz w:val="14"/>
          <w:vertAlign w:val="baseline"/>
        </w:rPr>
        <w:t>n</w:t>
      </w:r>
      <w:r>
        <w:rPr>
          <w:rFonts w:ascii="Times New Roman" w:eastAsia="Times New Roman" w:hAnsi="Times New Roman"/>
          <w:spacing w:val="-1"/>
          <w:position w:val="2"/>
          <w:vertAlign w:val="baseline"/>
        </w:rPr>
        <w:t>——</w:t>
      </w:r>
      <w:r>
        <w:rPr>
          <w:spacing w:val="-2"/>
          <w:position w:val="2"/>
          <w:vertAlign w:val="baseline"/>
        </w:rPr>
        <w:t>运行</w:t>
      </w:r>
      <w:r>
        <w:rPr>
          <w:rFonts w:ascii="Times New Roman" w:eastAsia="Times New Roman" w:hAnsi="Times New Roman"/>
          <w:position w:val="2"/>
          <w:vertAlign w:val="baseline"/>
        </w:rPr>
        <w:t>24h</w:t>
      </w:r>
      <w:r>
        <w:rPr>
          <w:spacing w:val="-3"/>
          <w:position w:val="2"/>
          <w:vertAlign w:val="baseline"/>
        </w:rPr>
        <w:t>后通入量程标准气体的测量值</w:t>
      </w:r>
      <w:r>
        <w:rPr>
          <w:rFonts w:ascii="Times New Roman" w:eastAsia="Times New Roman" w:hAnsi="Times New Roman"/>
          <w:position w:val="2"/>
          <w:vertAlign w:val="baseline"/>
        </w:rPr>
        <w:t>mg/m</w:t>
      </w:r>
      <w:r>
        <w:rPr>
          <w:rFonts w:ascii="Times New Roman" w:eastAsia="Times New Roman" w:hAnsi="Times New Roman"/>
          <w:position w:val="2"/>
          <w:vertAlign w:val="superscript"/>
        </w:rPr>
        <w:t>3</w:t>
      </w:r>
      <w:r>
        <w:rPr>
          <w:position w:val="2"/>
          <w:vertAlign w:val="baseline"/>
        </w:rPr>
        <w:t xml:space="preserve">； </w:t>
      </w:r>
      <w:r>
        <w:rPr>
          <w:rFonts w:ascii="Times New Roman" w:eastAsia="Times New Roman" w:hAnsi="Times New Roman"/>
          <w:position w:val="2"/>
          <w:vertAlign w:val="baseline"/>
        </w:rPr>
        <w:t>Δ</w:t>
      </w:r>
      <w:r>
        <w:rPr>
          <w:rFonts w:ascii="Times New Roman" w:eastAsia="Times New Roman" w:hAnsi="Times New Roman"/>
          <w:i/>
          <w:position w:val="2"/>
          <w:vertAlign w:val="baseline"/>
        </w:rPr>
        <w:t>S</w:t>
      </w:r>
      <w:r>
        <w:rPr>
          <w:rFonts w:ascii="Times New Roman" w:eastAsia="Times New Roman" w:hAnsi="Times New Roman"/>
          <w:i/>
          <w:sz w:val="14"/>
          <w:vertAlign w:val="baseline"/>
        </w:rPr>
        <w:t>n</w:t>
      </w:r>
      <w:r>
        <w:rPr>
          <w:rFonts w:ascii="Times New Roman" w:eastAsia="Times New Roman" w:hAnsi="Times New Roman"/>
          <w:position w:val="2"/>
          <w:vertAlign w:val="baseline"/>
        </w:rPr>
        <w:t>——</w:t>
      </w:r>
      <w:r>
        <w:rPr>
          <w:spacing w:val="-2"/>
          <w:position w:val="2"/>
          <w:vertAlign w:val="baseline"/>
        </w:rPr>
        <w:t>运行</w:t>
      </w:r>
      <w:r>
        <w:rPr>
          <w:rFonts w:ascii="Times New Roman" w:eastAsia="Times New Roman" w:hAnsi="Times New Roman"/>
          <w:position w:val="2"/>
          <w:vertAlign w:val="baseline"/>
        </w:rPr>
        <w:t>24h</w:t>
      </w:r>
      <w:r>
        <w:rPr>
          <w:spacing w:val="-3"/>
          <w:position w:val="2"/>
          <w:vertAlign w:val="baseline"/>
        </w:rPr>
        <w:t>后的量程变化值，</w:t>
      </w:r>
      <w:r>
        <w:rPr>
          <w:rFonts w:ascii="Times New Roman" w:eastAsia="Times New Roman" w:hAnsi="Times New Roman"/>
          <w:position w:val="2"/>
          <w:vertAlign w:val="baseline"/>
        </w:rPr>
        <w:t>mg/m</w:t>
      </w:r>
      <w:r>
        <w:rPr>
          <w:rFonts w:ascii="Times New Roman" w:eastAsia="Times New Roman" w:hAnsi="Times New Roman"/>
          <w:position w:val="2"/>
          <w:vertAlign w:val="superscript"/>
        </w:rPr>
        <w:t>3</w:t>
      </w:r>
      <w:r>
        <w:rPr>
          <w:position w:val="2"/>
          <w:vertAlign w:val="baseline"/>
        </w:rPr>
        <w:t xml:space="preserve">； </w:t>
      </w:r>
      <w:r>
        <w:rPr>
          <w:rFonts w:ascii="Times New Roman" w:eastAsia="Times New Roman" w:hAnsi="Times New Roman"/>
          <w:position w:val="2"/>
          <w:vertAlign w:val="baseline"/>
        </w:rPr>
        <w:t>Δ</w:t>
      </w:r>
      <w:r>
        <w:rPr>
          <w:rFonts w:ascii="Times New Roman" w:eastAsia="Times New Roman" w:hAnsi="Times New Roman"/>
          <w:i/>
          <w:position w:val="2"/>
          <w:vertAlign w:val="baseline"/>
        </w:rPr>
        <w:t>S</w:t>
      </w:r>
      <w:r>
        <w:rPr>
          <w:rFonts w:ascii="Times New Roman" w:eastAsia="Times New Roman" w:hAnsi="Times New Roman"/>
          <w:i/>
          <w:sz w:val="14"/>
          <w:vertAlign w:val="baseline"/>
        </w:rPr>
        <w:t>max</w:t>
      </w:r>
      <w:r>
        <w:rPr>
          <w:rFonts w:ascii="Times New Roman" w:eastAsia="Times New Roman" w:hAnsi="Times New Roman"/>
          <w:position w:val="2"/>
          <w:vertAlign w:val="baseline"/>
        </w:rPr>
        <w:t>——</w:t>
      </w:r>
      <w:r>
        <w:rPr>
          <w:spacing w:val="-3"/>
          <w:position w:val="2"/>
          <w:vertAlign w:val="baseline"/>
        </w:rPr>
        <w:t>量程测试绝对误差最大值，</w:t>
      </w:r>
      <w:r>
        <w:rPr>
          <w:rFonts w:ascii="Times New Roman" w:eastAsia="Times New Roman" w:hAnsi="Times New Roman"/>
          <w:position w:val="2"/>
          <w:vertAlign w:val="baseline"/>
        </w:rPr>
        <w:t>mg/m</w:t>
      </w:r>
      <w:r>
        <w:rPr>
          <w:rFonts w:ascii="Times New Roman" w:eastAsia="Times New Roman" w:hAnsi="Times New Roman"/>
          <w:position w:val="2"/>
          <w:vertAlign w:val="superscript"/>
        </w:rPr>
        <w:t>3</w:t>
      </w:r>
      <w:r>
        <w:rPr>
          <w:position w:val="2"/>
          <w:vertAlign w:val="baseline"/>
        </w:rPr>
        <w:t>；</w:t>
      </w:r>
    </w:p>
    <w:p>
      <w:pPr>
        <w:pStyle w:val="BodyText"/>
        <w:spacing w:line="265" w:lineRule="exact"/>
        <w:ind w:left="533"/>
      </w:pPr>
      <w:r>
        <w:rPr>
          <w:rFonts w:ascii="Times New Roman" w:eastAsia="Times New Roman" w:hAnsi="Times New Roman"/>
          <w:i/>
        </w:rPr>
        <w:t>R</w:t>
      </w:r>
      <w:r>
        <w:rPr>
          <w:rFonts w:ascii="Times New Roman" w:eastAsia="Times New Roman" w:hAnsi="Times New Roman"/>
        </w:rPr>
        <w:t>——</w:t>
      </w:r>
      <w:r>
        <w:t>满量程值，</w:t>
      </w:r>
      <w:r>
        <w:rPr>
          <w:rFonts w:ascii="Times New Roman" w:eastAsia="Times New Roman" w:hAnsi="Times New Roman"/>
        </w:rPr>
        <w:t>mg/m</w:t>
      </w:r>
      <w:r>
        <w:rPr>
          <w:rFonts w:ascii="Times New Roman" w:eastAsia="Times New Roman" w:hAnsi="Times New Roman"/>
          <w:position w:val="7"/>
          <w:sz w:val="14"/>
        </w:rPr>
        <w:t>3</w:t>
      </w:r>
      <w:r>
        <w:t>。</w:t>
      </w:r>
    </w:p>
    <w:p>
      <w:pPr>
        <w:spacing w:after="0" w:line="265" w:lineRule="exact"/>
      </w:pPr>
      <w:r>
        <w:br/>
      </w:r>
      <w:r>
        <w:br/>
      </w:r>
    </w:p>
    <w:p>
      <w:pPr>
        <w:widowControl/>
        <w:autoSpaceDE/>
        <w:autoSpaceDN/>
        <w:spacing w:before="0" w:after="0" w:line="240" w:lineRule="auto"/>
        <w:ind w:left="0" w:right="0"/>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75" w:history="1">
        <w:r>
          <w:rPr>
            <w:rFonts w:ascii="SimSun" w:eastAsia="SimSun" w:hAnsi="SimSun" w:cs="SimSun"/>
            <w:b/>
            <w:bCs/>
            <w:color w:val="0000EE"/>
            <w:sz w:val="30"/>
            <w:szCs w:val="30"/>
            <w:u w:val="single" w:color="0000EE"/>
          </w:rPr>
          <w:t>https://d.book118.com/176135135134010042</w:t>
        </w:r>
      </w:hyperlink>
    </w:p>
    <w:p>
      <w:pPr>
        <w:spacing w:after="0" w:line="265" w:lineRule="exact"/>
      </w:pPr>
    </w:p>
    <w:sectPr>
      <w:headerReference w:type="even" r:id="rId76"/>
      <w:headerReference w:type="default" r:id="rId77"/>
      <w:footerReference w:type="even" r:id="rId78"/>
      <w:footerReference w:type="default" r:id="rId79"/>
      <w:type w:val="continuous"/>
      <w:pgSz w:w="11910" w:h="16840"/>
      <w:pgMar w:top="540" w:right="720" w:bottom="280" w:left="1020" w:header="708" w:footer="708"/>
      <w:pgNumType w:start="10"/>
      <w:cols w:space="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0"/>
    <w:family w:val="roman"/>
    <w:pitch w:val="variable"/>
    <w:sig w:usb0="00000000" w:usb1="00000000" w:usb2="00000000" w:usb3="00000000" w:csb0="00000001" w:csb1="00000000"/>
  </w:font>
  <w:font w:name="Arial">
    <w:altName w:val="Arial"/>
    <w:charset w:val="00"/>
    <w:family w:val="swiss"/>
    <w:pitch w:val="variable"/>
    <w:sig w:usb0="00000000" w:usb1="00000000" w:usb2="00000000" w:usb3="00000000" w:csb0="00000001" w:csb1="00000000"/>
  </w:font>
  <w:font w:name="黑体">
    <w:altName w:val="黑体"/>
    <w:charset w:val="86"/>
    <w:family w:val="modern"/>
    <w:pitch w:val="fixed"/>
    <w:sig w:usb0="00000000" w:usb1="00000000" w:usb2="00000000" w:usb3="00000000" w:csb0="00040000" w:csb1="00000000"/>
  </w:font>
  <w:font w:name="宋体">
    <w:altName w:val="宋体"/>
    <w:charset w:val="86"/>
    <w:family w:val="auto"/>
    <w:pitch w:val="variable"/>
    <w:sig w:usb0="00000000" w:usb1="00000000" w:usb2="00000000" w:usb3="00000000" w:csb0="00040000" w:csb1="00000000"/>
  </w:font>
  <w:font w:name="Cambria Math">
    <w:altName w:val="Cambria Math"/>
    <w:charset w:val="00"/>
    <w:family w:val="roman"/>
    <w:pitch w:val="variable"/>
    <w:sig w:usb0="00000000" w:usb1="00000000" w:usb2="00000000" w:usb3="00000000" w:csb0="00000001" w:csb1="00000000"/>
  </w:font>
  <w:font w:name="微软雅黑">
    <w:altName w:val="微软雅黑"/>
    <w:charset w:val="86"/>
    <w:family w:val="swiss"/>
    <w:pitch w:val="variable"/>
    <w:sig w:usb0="00000000" w:usb1="00000000" w:usb2="00000000" w:usb3="00000000" w:csb0="00040000" w:csb1="00000000"/>
  </w:font>
  <w:font w:name="Arial Unicode MS">
    <w:altName w:val="Arial Unicode MS"/>
    <w:charset w:val="86"/>
    <w:family w:val="swiss"/>
    <w:pitch w:val="variable"/>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width:11.15pt;height:11pt;margin-top:773.91pt;margin-left:65.5pt;mso-position-horizontal-relative:page;mso-position-vertical-relative:page;position:absolute;z-index:-251657216" filled="f" stroked="f">
          <v:textbox inset="0,0,0,0">
            <w:txbxContent>
              <w:p>
                <w:pPr>
                  <w:spacing w:before="0" w:line="220" w:lineRule="exact"/>
                  <w:ind w:left="20" w:right="0" w:firstLine="0"/>
                  <w:jc w:val="left"/>
                  <w:rPr>
                    <w:sz w:val="18"/>
                  </w:rPr>
                </w:pPr>
                <w:r>
                  <w:rPr>
                    <w:sz w:val="18"/>
                  </w:rPr>
                  <w:t>II</w:t>
                </w:r>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width:15.15pt;height:11pt;margin-top:773.91pt;margin-left:515.4pt;mso-position-horizontal-relative:page;mso-position-vertical-relative:page;position:absolute;z-index:-251650048"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3</w:t>
                </w:r>
                <w:r>
                  <w:fldChar w:fldCharType="end"/>
                </w:r>
              </w:p>
            </w:txbxContent>
          </v:textbox>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width:15.15pt;height:11pt;margin-top:773.91pt;margin-left:63.5pt;mso-position-horizontal-relative:page;mso-position-vertical-relative:page;position:absolute;z-index:-251648000"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4</w:t>
                </w:r>
                <w:r>
                  <w:fldChar w:fldCharType="end"/>
                </w:r>
              </w:p>
            </w:txbxContent>
          </v:textbox>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width:10.5pt;height:11pt;margin-top:773.91pt;margin-left:519.84pt;mso-position-horizontal-relative:page;mso-position-vertical-relative:page;position:absolute;z-index:-251646976"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21</w:t>
                </w:r>
                <w:r>
                  <w:fldChar w:fldCharType="end"/>
                </w:r>
              </w:p>
            </w:txbxContent>
          </v:textbox>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width:15.15pt;height:11pt;margin-top:773.91pt;margin-left:63.5pt;mso-position-horizontal-relative:page;mso-position-vertical-relative:page;position:absolute;z-index:-251645952"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22</w:t>
                </w:r>
                <w:r>
                  <w:fldChar w:fldCharType="end"/>
                </w:r>
              </w:p>
            </w:txbxContent>
          </v:textbox>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width:10.5pt;height:11pt;margin-top:773.91pt;margin-left:519.84pt;mso-position-horizontal-relative:page;mso-position-vertical-relative:page;position:absolute;z-index:-251644928"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5</w:t>
                </w:r>
                <w:r>
                  <w:fldChar w:fldCharType="end"/>
                </w:r>
              </w:p>
            </w:txbxContent>
          </v:textbox>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width:15.15pt;height:11pt;margin-top:773.91pt;margin-left:63.5pt;mso-position-horizontal-relative:page;mso-position-vertical-relative:page;position:absolute;z-index:-251643904"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6</w:t>
                </w:r>
                <w:r>
                  <w:fldChar w:fldCharType="end"/>
                </w:r>
              </w:p>
            </w:txbxContent>
          </v:textbox>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width:10.5pt;height:11pt;margin-top:773.91pt;margin-left:519.84pt;mso-position-horizontal-relative:page;mso-position-vertical-relative:page;position:absolute;z-index:-251642880"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21</w:t>
                </w:r>
                <w:r>
                  <w:fldChar w:fldCharType="end"/>
                </w:r>
              </w:p>
            </w:txbxContent>
          </v:textbox>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width:15.15pt;height:11pt;margin-top:773.91pt;margin-left:63.5pt;mso-position-horizontal-relative:page;mso-position-vertical-relative:page;position:absolute;z-index:-251641856"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22</w:t>
                </w:r>
                <w:r>
                  <w:fldChar w:fldCharType="end"/>
                </w:r>
              </w:p>
            </w:txbxContent>
          </v:textbox>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width:10.5pt;height:11pt;margin-top:773.91pt;margin-left:519.84pt;mso-position-horizontal-relative:page;mso-position-vertical-relative:page;position:absolute;z-index:-251640832"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7</w:t>
                </w:r>
                <w:r>
                  <w:fldChar w:fldCharType="end"/>
                </w:r>
              </w:p>
            </w:txbxContent>
          </v:textbox>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width:15.15pt;height:11pt;margin-top:773.91pt;margin-left:63.5pt;mso-position-horizontal-relative:page;mso-position-vertical-relative:page;position:absolute;z-index:-251639808"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8</w:t>
                </w:r>
                <w: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width:6.5pt;height:11pt;margin-top:773.91pt;margin-left:521.84pt;mso-position-horizontal-relative:page;mso-position-vertical-relative:page;position:absolute;z-index:-251658240" filled="f" stroked="f">
          <v:textbox inset="0,0,0,0">
            <w:txbxContent>
              <w:p>
                <w:pPr>
                  <w:spacing w:before="0" w:line="220" w:lineRule="exact"/>
                  <w:ind w:left="20" w:right="0" w:firstLine="0"/>
                  <w:jc w:val="left"/>
                  <w:rPr>
                    <w:sz w:val="18"/>
                  </w:rPr>
                </w:pPr>
                <w:r>
                  <w:rPr>
                    <w:sz w:val="18"/>
                  </w:rPr>
                  <w:t>I</w:t>
                </w:r>
              </w:p>
            </w:txbxContent>
          </v:textbox>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width:10.5pt;height:11pt;margin-top:773.91pt;margin-left:519.84pt;mso-position-horizontal-relative:page;mso-position-vertical-relative:page;position:absolute;z-index:-251638784"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21</w:t>
                </w:r>
                <w:r>
                  <w:fldChar w:fldCharType="end"/>
                </w:r>
              </w:p>
            </w:txbxContent>
          </v:textbox>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width:15.15pt;height:11pt;margin-top:773.91pt;margin-left:63.5pt;mso-position-horizontal-relative:page;mso-position-vertical-relative:page;position:absolute;z-index:-251637760"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22</w:t>
                </w:r>
                <w:r>
                  <w:fldChar w:fldCharType="end"/>
                </w:r>
              </w:p>
            </w:txbxContent>
          </v:textbox>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width:10.5pt;height:11pt;margin-top:773.91pt;margin-left:519.84pt;mso-position-horizontal-relative:page;mso-position-vertical-relative:page;position:absolute;z-index:-251636736"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21</w:t>
                </w:r>
                <w:r>
                  <w:fldChar w:fldCharType="end"/>
                </w:r>
              </w:p>
            </w:txbxContent>
          </v:textbox>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width:15.15pt;height:11pt;margin-top:773.91pt;margin-left:63.5pt;mso-position-horizontal-relative:page;mso-position-vertical-relative:page;position:absolute;z-index:-251635712"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22</w:t>
                </w:r>
                <w:r>
                  <w:fldChar w:fldCharType="end"/>
                </w:r>
              </w:p>
            </w:txbxContent>
          </v:textbox>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width:10.5pt;height:11pt;margin-top:773.91pt;margin-left:519.84pt;mso-position-horizontal-relative:page;mso-position-vertical-relative:page;position:absolute;z-index:-251634688"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11</w:t>
                </w:r>
                <w:r>
                  <w:fldChar w:fldCharType="end"/>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width:11.15pt;height:11pt;margin-top:773.91pt;margin-left:65.5pt;mso-position-horizontal-relative:page;mso-position-vertical-relative:page;position:absolute;z-index:-251655168" filled="f" stroked="f">
          <v:textbox inset="0,0,0,0">
            <w:txbxContent>
              <w:p>
                <w:pPr>
                  <w:spacing w:before="0" w:line="220" w:lineRule="exact"/>
                  <w:ind w:left="20" w:right="0" w:firstLine="0"/>
                  <w:jc w:val="left"/>
                  <w:rPr>
                    <w:sz w:val="18"/>
                  </w:rPr>
                </w:pPr>
                <w:r>
                  <w:rPr>
                    <w:sz w:val="18"/>
                  </w:rPr>
                  <w:t>II</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width:6.5pt;height:11pt;margin-top:773.91pt;margin-left:521.84pt;mso-position-horizontal-relative:page;mso-position-vertical-relative:page;position:absolute;z-index:-251656192" filled="f" stroked="f">
          <v:textbox inset="0,0,0,0">
            <w:txbxContent>
              <w:p>
                <w:pPr>
                  <w:spacing w:before="0" w:line="220" w:lineRule="exact"/>
                  <w:ind w:left="20" w:right="0" w:firstLine="0"/>
                  <w:jc w:val="left"/>
                  <w:rPr>
                    <w:sz w:val="18"/>
                  </w:rPr>
                </w:pPr>
                <w:r>
                  <w:rPr>
                    <w:sz w:val="18"/>
                  </w:rPr>
                  <w:t>I</w:t>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width:10.5pt;height:11pt;margin-top:773.91pt;margin-left:63.5pt;mso-position-horizontal-relative:page;mso-position-vertical-relative:page;position:absolute;z-index:-251653120"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w:t>
                </w:r>
                <w:r>
                  <w:fldChar w:fldCharType="end"/>
                </w:r>
              </w:p>
            </w:txbxContent>
          </v:textbox>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width:15.15pt;height:11pt;margin-top:773.91pt;margin-left:515.4pt;mso-position-horizontal-relative:page;mso-position-vertical-relative:page;position:absolute;z-index:-251654144"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1</w:t>
                </w:r>
                <w:r>
                  <w:fldChar w:fldCharType="end"/>
                </w:r>
              </w:p>
            </w:txbxContent>
          </v:textbox>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width:10.5pt;height:11pt;margin-top:773.91pt;margin-left:63.5pt;mso-position-horizontal-relative:page;mso-position-vertical-relative:page;position:absolute;z-index:-251651072"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w:t>
                </w:r>
                <w:r>
                  <w:fldChar w:fldCharType="end"/>
                </w:r>
              </w:p>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width:15.15pt;height:11pt;margin-top:773.91pt;margin-left:515.4pt;mso-position-horizontal-relative:page;mso-position-vertical-relative:page;position:absolute;z-index:-251652096"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3</w:t>
                </w:r>
                <w:r>
                  <w:fldChar w:fldCharType="end"/>
                </w:r>
              </w:p>
            </w:txbxContent>
          </v:textbox>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width:10.5pt;height:11pt;margin-top:773.91pt;margin-left:63.5pt;mso-position-horizontal-relative:page;mso-position-vertical-relative:page;position:absolute;z-index:-251649024" filled="f" stroked="f">
          <v:textbox inset="0,0,0,0">
            <w:txbxContent>
              <w:p>
                <w:pPr>
                  <w:spacing w:before="0" w:line="220" w:lineRule="exact"/>
                  <w:ind w:left="60" w:right="0" w:firstLine="0"/>
                  <w:jc w:val="left"/>
                  <w:rPr>
                    <w:sz w:val="18"/>
                  </w:rPr>
                </w:pPr>
                <w:r>
                  <w:fldChar w:fldCharType="begin"/>
                </w:r>
                <w:r>
                  <w:rPr>
                    <w:sz w:val="18"/>
                  </w:rPr>
                  <w:instrText xml:space="preserve"> PAGE </w:instrText>
                </w:r>
                <w:r>
                  <w:fldChar w:fldCharType="separate"/>
                </w:r>
                <w:r>
                  <w:rPr>
                    <w:sz w:val="18"/>
                  </w:rPr>
                  <w:t>2</w:t>
                </w:r>
                <w:r>
                  <w:fldChar w:fldCharType="end"/>
                </w:r>
              </w:p>
            </w:txbxContent>
          </v:textbox>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width:96.7pt;height:12.6pt;margin-top:71.4pt;margin-left:55.66pt;mso-position-horizontal-relative:page;mso-position-vertical-relative:page;position:absolute;z-index:-251657216"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width:96.7pt;height:12.6pt;margin-top:71.4pt;margin-left:443.22pt;mso-position-horizontal-relative:page;mso-position-vertical-relative:page;position:absolute;z-index:-251648000"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width:96.7pt;height:12.6pt;margin-top:71.4pt;margin-left:55.66pt;mso-position-horizontal-relative:page;mso-position-vertical-relative:page;position:absolute;z-index:-251644928"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width:96.7pt;height:12.6pt;margin-top:71.4pt;margin-left:443.22pt;mso-position-horizontal-relative:page;mso-position-vertical-relative:page;position:absolute;z-index:-251643904"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width:96.7pt;height:12.6pt;margin-top:71.4pt;margin-left:55.66pt;mso-position-horizontal-relative:page;mso-position-vertical-relative:page;position:absolute;z-index:-251642880"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width:96.7pt;height:12.6pt;margin-top:71.4pt;margin-left:443.22pt;mso-position-horizontal-relative:page;mso-position-vertical-relative:page;position:absolute;z-index:-251641856"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width:96.7pt;height:12.6pt;margin-top:71.4pt;margin-left:55.66pt;mso-position-horizontal-relative:page;mso-position-vertical-relative:page;position:absolute;z-index:-251640832"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width:96.7pt;height:12.6pt;margin-top:71.4pt;margin-left:443.22pt;mso-position-horizontal-relative:page;mso-position-vertical-relative:page;position:absolute;z-index:-251639808"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width:96.7pt;height:12.6pt;margin-top:71.4pt;margin-left:55.66pt;mso-position-horizontal-relative:page;mso-position-vertical-relative:page;position:absolute;z-index:-251638784"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width:96.7pt;height:12.6pt;margin-top:71.4pt;margin-left:443.22pt;mso-position-horizontal-relative:page;mso-position-vertical-relative:page;position:absolute;z-index:-251637760"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width:96.7pt;height:12.6pt;margin-top:71.4pt;margin-left:55.66pt;mso-position-horizontal-relative:page;mso-position-vertical-relative:page;position:absolute;z-index:-251636736"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width:96.7pt;height:12.6pt;margin-top:71.4pt;margin-left:443.22pt;mso-position-horizontal-relative:page;mso-position-vertical-relative:page;position:absolute;z-index:-251658240"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width:96.7pt;height:12.6pt;margin-top:71.4pt;margin-left:443.22pt;mso-position-horizontal-relative:page;mso-position-vertical-relative:page;position:absolute;z-index:-251635712"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width:96.7pt;height:12.6pt;margin-top:71.4pt;margin-left:55.66pt;mso-position-horizontal-relative:page;mso-position-vertical-relative:page;position:absolute;z-index:-251634688"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width:96.7pt;height:12.6pt;margin-top:71.4pt;margin-left:443.22pt;mso-position-horizontal-relative:page;mso-position-vertical-relative:page;position:absolute;z-index:-251633664"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width:96.7pt;height:12.6pt;margin-top:71.4pt;margin-left:55.66pt;mso-position-horizontal-relative:page;mso-position-vertical-relative:page;position:absolute;z-index:-251632640"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width:96.7pt;height:12.6pt;margin-top:71.4pt;margin-left:443.22pt;mso-position-horizontal-relative:page;mso-position-vertical-relative:page;position:absolute;z-index:-251631616"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width:96.7pt;height:12.6pt;margin-top:71.4pt;margin-left:55.66pt;mso-position-horizontal-relative:page;mso-position-vertical-relative:page;position:absolute;z-index:-251655168"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width:96.7pt;height:12.6pt;margin-top:71.4pt;margin-left:443.22pt;mso-position-horizontal-relative:page;mso-position-vertical-relative:page;position:absolute;z-index:-251656192"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3360" behindDoc="1" locked="0" layoutInCell="1" allowOverlap="1">
          <wp:simplePos x="0" y="0"/>
          <wp:positionH relativeFrom="page">
            <wp:posOffset>725532</wp:posOffset>
          </wp:positionH>
          <wp:positionV relativeFrom="page">
            <wp:posOffset>1278853</wp:posOffset>
          </wp:positionV>
          <wp:extent cx="191915" cy="9579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xmlns:r="http://schemas.openxmlformats.org/officeDocument/2006/relationships" r:embed="rId1" cstate="print"/>
                  <a:stretch>
                    <a:fillRect/>
                  </a:stretch>
                </pic:blipFill>
                <pic:spPr>
                  <a:xfrm>
                    <a:off x="0" y="0"/>
                    <a:ext cx="191915" cy="95794"/>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8" type="#_x0000_t202" style="width:96.7pt;height:12.6pt;margin-top:71.4pt;margin-left:55.66pt;mso-position-horizontal-relative:page;mso-position-vertical-relative:page;position:absolute;z-index:-251652096"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width:96.7pt;height:12.6pt;margin-top:71.4pt;margin-left:443.22pt;mso-position-horizontal-relative:page;mso-position-vertical-relative:page;position:absolute;z-index:-251654144"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6432" behindDoc="1" locked="0" layoutInCell="1" allowOverlap="1">
          <wp:simplePos x="0" y="0"/>
          <wp:positionH relativeFrom="page">
            <wp:posOffset>725532</wp:posOffset>
          </wp:positionH>
          <wp:positionV relativeFrom="page">
            <wp:posOffset>1278853</wp:posOffset>
          </wp:positionV>
          <wp:extent cx="191915" cy="95794"/>
          <wp:effectExtent l="0" t="0" r="0" b="0"/>
          <wp:wrapNone/>
          <wp:docPr id="103060178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01786" name="image3.png"/>
                  <pic:cNvPicPr/>
                </pic:nvPicPr>
                <pic:blipFill>
                  <a:blip xmlns:r="http://schemas.openxmlformats.org/officeDocument/2006/relationships" r:embed="rId1" cstate="print"/>
                  <a:stretch>
                    <a:fillRect/>
                  </a:stretch>
                </pic:blipFill>
                <pic:spPr>
                  <a:xfrm>
                    <a:off x="0" y="0"/>
                    <a:ext cx="191915" cy="95794"/>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2" type="#_x0000_t202" style="width:96.7pt;height:12.6pt;margin-top:71.4pt;margin-left:55.66pt;mso-position-horizontal-relative:page;mso-position-vertical-relative:page;position:absolute;z-index:-251649024"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width:96.7pt;height:12.6pt;margin-top:71.4pt;margin-left:443.22pt;mso-position-horizontal-relative:page;mso-position-vertical-relative:page;position:absolute;z-index:-251651072"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9504" behindDoc="1" locked="0" layoutInCell="1" allowOverlap="1">
          <wp:simplePos x="0" y="0"/>
          <wp:positionH relativeFrom="page">
            <wp:posOffset>725532</wp:posOffset>
          </wp:positionH>
          <wp:positionV relativeFrom="page">
            <wp:posOffset>1278853</wp:posOffset>
          </wp:positionV>
          <wp:extent cx="191915" cy="95794"/>
          <wp:effectExtent l="0" t="0" r="0" b="0"/>
          <wp:wrapNone/>
          <wp:docPr id="340671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1209" name="image3.png"/>
                  <pic:cNvPicPr/>
                </pic:nvPicPr>
                <pic:blipFill>
                  <a:blip xmlns:r="http://schemas.openxmlformats.org/officeDocument/2006/relationships" r:embed="rId1" cstate="print"/>
                  <a:stretch>
                    <a:fillRect/>
                  </a:stretch>
                </pic:blipFill>
                <pic:spPr>
                  <a:xfrm>
                    <a:off x="0" y="0"/>
                    <a:ext cx="191915" cy="95794"/>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6" type="#_x0000_t202" style="width:96.7pt;height:12.6pt;margin-top:71.4pt;margin-left:55.66pt;mso-position-horizontal-relative:page;mso-position-vertical-relative:page;position:absolute;z-index:-251645952" filled="f" stroked="f">
          <v:textbox inset="0,0,0,0">
            <w:txbxContent>
              <w:p>
                <w:pPr>
                  <w:pStyle w:val="BodyText"/>
                  <w:spacing w:line="251" w:lineRule="exact"/>
                  <w:ind w:left="20"/>
                  <w:rPr>
                    <w:rFonts w:ascii="黑体" w:hAnsi="黑体"/>
                  </w:rPr>
                </w:pPr>
                <w:r>
                  <w:rPr>
                    <w:rFonts w:ascii="黑体" w:hAnsi="黑体"/>
                  </w:rPr>
                  <w:t>DB 14/T 2965</w:t>
                </w:r>
                <w:r>
                  <w:t>—</w:t>
                </w:r>
                <w:r>
                  <w:rPr>
                    <w:rFonts w:ascii="黑体" w:hAnsi="黑体"/>
                  </w:rPr>
                  <w:t>2024</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1D72B"/>
    <w:multiLevelType w:val="hybridMultilevel"/>
    <w:tmpl w:val="00000000"/>
    <w:lvl w:ilvl="0">
      <w:start w:val="1"/>
      <w:numFmt w:val="decimal"/>
      <w:lvlText w:val="%1"/>
      <w:lvlJc w:val="left"/>
      <w:pPr>
        <w:ind w:left="713" w:hanging="315"/>
        <w:jc w:val="right"/>
      </w:pPr>
      <w:rPr>
        <w:rFonts w:ascii="黑体" w:eastAsia="黑体" w:hAnsi="黑体" w:cs="黑体" w:hint="default"/>
        <w:w w:val="100"/>
        <w:sz w:val="21"/>
        <w:szCs w:val="21"/>
        <w:lang w:val="ca-ES" w:eastAsia="en-US" w:bidi="ar-SA"/>
      </w:rPr>
    </w:lvl>
    <w:lvl w:ilvl="1">
      <w:start w:val="1"/>
      <w:numFmt w:val="lowerLetter"/>
      <w:lvlText w:val="%2)"/>
      <w:lvlJc w:val="left"/>
      <w:pPr>
        <w:ind w:left="965" w:hanging="428"/>
        <w:jc w:val="left"/>
      </w:pPr>
      <w:rPr>
        <w:rFonts w:ascii="宋体" w:eastAsia="宋体" w:hAnsi="宋体" w:cs="宋体" w:hint="default"/>
        <w:w w:val="100"/>
        <w:sz w:val="21"/>
        <w:szCs w:val="21"/>
        <w:lang w:val="ca-ES" w:eastAsia="en-US" w:bidi="ar-SA"/>
      </w:rPr>
    </w:lvl>
    <w:lvl w:ilvl="2">
      <w:start w:val="0"/>
      <w:numFmt w:val="bullet"/>
      <w:lvlText w:val="•"/>
      <w:lvlJc w:val="left"/>
      <w:pPr>
        <w:ind w:left="1982" w:hanging="428"/>
      </w:pPr>
      <w:rPr>
        <w:rFonts w:hint="default"/>
        <w:lang w:val="ca-ES" w:eastAsia="en-US" w:bidi="ar-SA"/>
      </w:rPr>
    </w:lvl>
    <w:lvl w:ilvl="3">
      <w:start w:val="0"/>
      <w:numFmt w:val="bullet"/>
      <w:lvlText w:val="•"/>
      <w:lvlJc w:val="left"/>
      <w:pPr>
        <w:ind w:left="3005" w:hanging="428"/>
      </w:pPr>
      <w:rPr>
        <w:rFonts w:hint="default"/>
        <w:lang w:val="ca-ES" w:eastAsia="en-US" w:bidi="ar-SA"/>
      </w:rPr>
    </w:lvl>
    <w:lvl w:ilvl="4">
      <w:start w:val="0"/>
      <w:numFmt w:val="bullet"/>
      <w:lvlText w:val="•"/>
      <w:lvlJc w:val="left"/>
      <w:pPr>
        <w:ind w:left="4028" w:hanging="428"/>
      </w:pPr>
      <w:rPr>
        <w:rFonts w:hint="default"/>
        <w:lang w:val="ca-ES" w:eastAsia="en-US" w:bidi="ar-SA"/>
      </w:rPr>
    </w:lvl>
    <w:lvl w:ilvl="5">
      <w:start w:val="0"/>
      <w:numFmt w:val="bullet"/>
      <w:lvlText w:val="•"/>
      <w:lvlJc w:val="left"/>
      <w:pPr>
        <w:ind w:left="5051" w:hanging="428"/>
      </w:pPr>
      <w:rPr>
        <w:rFonts w:hint="default"/>
        <w:lang w:val="ca-ES" w:eastAsia="en-US" w:bidi="ar-SA"/>
      </w:rPr>
    </w:lvl>
    <w:lvl w:ilvl="6">
      <w:start w:val="0"/>
      <w:numFmt w:val="bullet"/>
      <w:lvlText w:val="•"/>
      <w:lvlJc w:val="left"/>
      <w:pPr>
        <w:ind w:left="6074" w:hanging="428"/>
      </w:pPr>
      <w:rPr>
        <w:rFonts w:hint="default"/>
        <w:lang w:val="ca-ES" w:eastAsia="en-US" w:bidi="ar-SA"/>
      </w:rPr>
    </w:lvl>
    <w:lvl w:ilvl="7">
      <w:start w:val="0"/>
      <w:numFmt w:val="bullet"/>
      <w:lvlText w:val="•"/>
      <w:lvlJc w:val="left"/>
      <w:pPr>
        <w:ind w:left="7097" w:hanging="428"/>
      </w:pPr>
      <w:rPr>
        <w:rFonts w:hint="default"/>
        <w:lang w:val="ca-ES" w:eastAsia="en-US" w:bidi="ar-SA"/>
      </w:rPr>
    </w:lvl>
    <w:lvl w:ilvl="8">
      <w:start w:val="0"/>
      <w:numFmt w:val="bullet"/>
      <w:lvlText w:val="•"/>
      <w:lvlJc w:val="left"/>
      <w:pPr>
        <w:ind w:left="8120" w:hanging="428"/>
      </w:pPr>
      <w:rPr>
        <w:rFonts w:hint="default"/>
        <w:lang w:val="ca-ES" w:eastAsia="en-US" w:bidi="ar-SA"/>
      </w:rPr>
    </w:lvl>
  </w:abstractNum>
  <w:abstractNum w:abstractNumId="1">
    <w:nsid w:val="05A10036"/>
    <w:multiLevelType w:val="hybridMultilevel"/>
    <w:tmpl w:val="00000000"/>
    <w:lvl w:ilvl="0">
      <w:start w:val="9"/>
      <w:numFmt w:val="decimal"/>
      <w:lvlText w:val="%1"/>
      <w:lvlJc w:val="left"/>
      <w:pPr>
        <w:ind w:left="1133" w:hanging="735"/>
        <w:jc w:val="left"/>
      </w:pPr>
      <w:rPr>
        <w:rFonts w:hint="default"/>
        <w:lang w:val="ca-ES" w:eastAsia="en-US" w:bidi="ar-SA"/>
      </w:rPr>
    </w:lvl>
    <w:lvl w:ilvl="1">
      <w:start w:val="3"/>
      <w:numFmt w:val="decimal"/>
      <w:lvlText w:val="%1.%2"/>
      <w:lvlJc w:val="left"/>
      <w:pPr>
        <w:ind w:left="1133" w:hanging="735"/>
        <w:jc w:val="left"/>
      </w:pPr>
      <w:rPr>
        <w:rFonts w:hint="default"/>
        <w:lang w:val="ca-ES" w:eastAsia="en-US" w:bidi="ar-SA"/>
      </w:rPr>
    </w:lvl>
    <w:lvl w:ilvl="2">
      <w:start w:val="1"/>
      <w:numFmt w:val="decimal"/>
      <w:lvlText w:val="%1.%2.%3"/>
      <w:lvlJc w:val="left"/>
      <w:pPr>
        <w:ind w:left="1133" w:hanging="735"/>
        <w:jc w:val="left"/>
      </w:pPr>
      <w:rPr>
        <w:rFonts w:ascii="黑体" w:eastAsia="黑体" w:hAnsi="黑体" w:cs="黑体" w:hint="default"/>
        <w:w w:val="100"/>
        <w:sz w:val="21"/>
        <w:szCs w:val="21"/>
        <w:lang w:val="ca-ES" w:eastAsia="en-US" w:bidi="ar-SA"/>
      </w:rPr>
    </w:lvl>
    <w:lvl w:ilvl="3">
      <w:start w:val="0"/>
      <w:numFmt w:val="bullet"/>
      <w:lvlText w:val="•"/>
      <w:lvlJc w:val="left"/>
      <w:pPr>
        <w:ind w:left="3847" w:hanging="735"/>
      </w:pPr>
      <w:rPr>
        <w:rFonts w:hint="default"/>
        <w:lang w:val="ca-ES" w:eastAsia="en-US" w:bidi="ar-SA"/>
      </w:rPr>
    </w:lvl>
    <w:lvl w:ilvl="4">
      <w:start w:val="0"/>
      <w:numFmt w:val="bullet"/>
      <w:lvlText w:val="•"/>
      <w:lvlJc w:val="left"/>
      <w:pPr>
        <w:ind w:left="4750" w:hanging="735"/>
      </w:pPr>
      <w:rPr>
        <w:rFonts w:hint="default"/>
        <w:lang w:val="ca-ES" w:eastAsia="en-US" w:bidi="ar-SA"/>
      </w:rPr>
    </w:lvl>
    <w:lvl w:ilvl="5">
      <w:start w:val="0"/>
      <w:numFmt w:val="bullet"/>
      <w:lvlText w:val="•"/>
      <w:lvlJc w:val="left"/>
      <w:pPr>
        <w:ind w:left="5653" w:hanging="735"/>
      </w:pPr>
      <w:rPr>
        <w:rFonts w:hint="default"/>
        <w:lang w:val="ca-ES" w:eastAsia="en-US" w:bidi="ar-SA"/>
      </w:rPr>
    </w:lvl>
    <w:lvl w:ilvl="6">
      <w:start w:val="0"/>
      <w:numFmt w:val="bullet"/>
      <w:lvlText w:val="•"/>
      <w:lvlJc w:val="left"/>
      <w:pPr>
        <w:ind w:left="6555" w:hanging="735"/>
      </w:pPr>
      <w:rPr>
        <w:rFonts w:hint="default"/>
        <w:lang w:val="ca-ES" w:eastAsia="en-US" w:bidi="ar-SA"/>
      </w:rPr>
    </w:lvl>
    <w:lvl w:ilvl="7">
      <w:start w:val="0"/>
      <w:numFmt w:val="bullet"/>
      <w:lvlText w:val="•"/>
      <w:lvlJc w:val="left"/>
      <w:pPr>
        <w:ind w:left="7458" w:hanging="735"/>
      </w:pPr>
      <w:rPr>
        <w:rFonts w:hint="default"/>
        <w:lang w:val="ca-ES" w:eastAsia="en-US" w:bidi="ar-SA"/>
      </w:rPr>
    </w:lvl>
    <w:lvl w:ilvl="8">
      <w:start w:val="0"/>
      <w:numFmt w:val="bullet"/>
      <w:lvlText w:val="•"/>
      <w:lvlJc w:val="left"/>
      <w:pPr>
        <w:ind w:left="8361" w:hanging="735"/>
      </w:pPr>
      <w:rPr>
        <w:rFonts w:hint="default"/>
        <w:lang w:val="ca-ES" w:eastAsia="en-US" w:bidi="ar-SA"/>
      </w:rPr>
    </w:lvl>
  </w:abstractNum>
  <w:abstractNum w:abstractNumId="2">
    <w:nsid w:val="10177734"/>
    <w:multiLevelType w:val="hybridMultilevel"/>
    <w:tmpl w:val="00000000"/>
    <w:lvl w:ilvl="0">
      <w:start w:val="6"/>
      <w:numFmt w:val="upperLetter"/>
      <w:lvlText w:val="%1"/>
      <w:lvlJc w:val="left"/>
      <w:pPr>
        <w:ind w:left="638" w:hanging="526"/>
        <w:jc w:val="left"/>
      </w:pPr>
      <w:rPr>
        <w:rFonts w:hint="default"/>
        <w:lang w:val="ca-ES" w:eastAsia="en-US" w:bidi="ar-SA"/>
      </w:rPr>
    </w:lvl>
    <w:lvl w:ilvl="1">
      <w:start w:val="1"/>
      <w:numFmt w:val="decimal"/>
      <w:lvlText w:val="%1.%2"/>
      <w:lvlJc w:val="left"/>
      <w:pPr>
        <w:ind w:left="638" w:hanging="526"/>
        <w:jc w:val="right"/>
      </w:pPr>
      <w:rPr>
        <w:rFonts w:ascii="黑体" w:eastAsia="黑体" w:hAnsi="黑体" w:cs="黑体" w:hint="default"/>
        <w:w w:val="100"/>
        <w:sz w:val="21"/>
        <w:szCs w:val="21"/>
        <w:lang w:val="ca-ES" w:eastAsia="en-US" w:bidi="ar-SA"/>
      </w:rPr>
    </w:lvl>
    <w:lvl w:ilvl="2">
      <w:start w:val="1"/>
      <w:numFmt w:val="lowerLetter"/>
      <w:lvlText w:val="%3)"/>
      <w:lvlJc w:val="left"/>
      <w:pPr>
        <w:ind w:left="965" w:hanging="428"/>
        <w:jc w:val="left"/>
      </w:pPr>
      <w:rPr>
        <w:rFonts w:ascii="宋体" w:eastAsia="宋体" w:hAnsi="宋体" w:cs="宋体" w:hint="default"/>
        <w:w w:val="100"/>
        <w:sz w:val="21"/>
        <w:szCs w:val="21"/>
        <w:lang w:val="ca-ES" w:eastAsia="en-US" w:bidi="ar-SA"/>
      </w:rPr>
    </w:lvl>
    <w:lvl w:ilvl="3">
      <w:start w:val="0"/>
      <w:numFmt w:val="bullet"/>
      <w:lvlText w:val="•"/>
      <w:lvlJc w:val="left"/>
      <w:pPr>
        <w:ind w:left="2373" w:hanging="428"/>
      </w:pPr>
      <w:rPr>
        <w:rFonts w:hint="default"/>
        <w:lang w:val="ca-ES" w:eastAsia="en-US" w:bidi="ar-SA"/>
      </w:rPr>
    </w:lvl>
    <w:lvl w:ilvl="4">
      <w:start w:val="0"/>
      <w:numFmt w:val="bullet"/>
      <w:lvlText w:val="•"/>
      <w:lvlJc w:val="left"/>
      <w:pPr>
        <w:ind w:left="3486" w:hanging="428"/>
      </w:pPr>
      <w:rPr>
        <w:rFonts w:hint="default"/>
        <w:lang w:val="ca-ES" w:eastAsia="en-US" w:bidi="ar-SA"/>
      </w:rPr>
    </w:lvl>
    <w:lvl w:ilvl="5">
      <w:start w:val="0"/>
      <w:numFmt w:val="bullet"/>
      <w:lvlText w:val="•"/>
      <w:lvlJc w:val="left"/>
      <w:pPr>
        <w:ind w:left="4599" w:hanging="428"/>
      </w:pPr>
      <w:rPr>
        <w:rFonts w:hint="default"/>
        <w:lang w:val="ca-ES" w:eastAsia="en-US" w:bidi="ar-SA"/>
      </w:rPr>
    </w:lvl>
    <w:lvl w:ilvl="6">
      <w:start w:val="0"/>
      <w:numFmt w:val="bullet"/>
      <w:lvlText w:val="•"/>
      <w:lvlJc w:val="left"/>
      <w:pPr>
        <w:ind w:left="5713" w:hanging="428"/>
      </w:pPr>
      <w:rPr>
        <w:rFonts w:hint="default"/>
        <w:lang w:val="ca-ES" w:eastAsia="en-US" w:bidi="ar-SA"/>
      </w:rPr>
    </w:lvl>
    <w:lvl w:ilvl="7">
      <w:start w:val="0"/>
      <w:numFmt w:val="bullet"/>
      <w:lvlText w:val="•"/>
      <w:lvlJc w:val="left"/>
      <w:pPr>
        <w:ind w:left="6826" w:hanging="428"/>
      </w:pPr>
      <w:rPr>
        <w:rFonts w:hint="default"/>
        <w:lang w:val="ca-ES" w:eastAsia="en-US" w:bidi="ar-SA"/>
      </w:rPr>
    </w:lvl>
    <w:lvl w:ilvl="8">
      <w:start w:val="0"/>
      <w:numFmt w:val="bullet"/>
      <w:lvlText w:val="•"/>
      <w:lvlJc w:val="left"/>
      <w:pPr>
        <w:ind w:left="7939" w:hanging="428"/>
      </w:pPr>
      <w:rPr>
        <w:rFonts w:hint="default"/>
        <w:lang w:val="ca-ES" w:eastAsia="en-US" w:bidi="ar-SA"/>
      </w:rPr>
    </w:lvl>
  </w:abstractNum>
  <w:abstractNum w:abstractNumId="3">
    <w:nsid w:val="1625C2C5"/>
    <w:multiLevelType w:val="hybridMultilevel"/>
    <w:tmpl w:val="00000000"/>
    <w:lvl w:ilvl="0">
      <w:start w:val="1"/>
      <w:numFmt w:val="decimal"/>
      <w:lvlText w:val="%1."/>
      <w:lvlJc w:val="left"/>
      <w:pPr>
        <w:ind w:left="143" w:hanging="135"/>
        <w:jc w:val="left"/>
      </w:pPr>
      <w:rPr>
        <w:rFonts w:ascii="Times New Roman" w:eastAsia="Times New Roman" w:hAnsi="Times New Roman" w:cs="Times New Roman" w:hint="default"/>
        <w:spacing w:val="-2"/>
        <w:w w:val="100"/>
        <w:sz w:val="16"/>
        <w:szCs w:val="16"/>
        <w:lang w:val="ca-ES" w:eastAsia="en-US" w:bidi="ar-SA"/>
      </w:rPr>
    </w:lvl>
    <w:lvl w:ilvl="1">
      <w:start w:val="0"/>
      <w:numFmt w:val="bullet"/>
      <w:lvlText w:val="•"/>
      <w:lvlJc w:val="left"/>
      <w:pPr>
        <w:ind w:left="860" w:hanging="135"/>
      </w:pPr>
      <w:rPr>
        <w:rFonts w:hint="default"/>
        <w:lang w:val="ca-ES" w:eastAsia="en-US" w:bidi="ar-SA"/>
      </w:rPr>
    </w:lvl>
    <w:lvl w:ilvl="2">
      <w:start w:val="0"/>
      <w:numFmt w:val="bullet"/>
      <w:lvlText w:val="•"/>
      <w:lvlJc w:val="left"/>
      <w:pPr>
        <w:ind w:left="1581" w:hanging="135"/>
      </w:pPr>
      <w:rPr>
        <w:rFonts w:hint="default"/>
        <w:lang w:val="ca-ES" w:eastAsia="en-US" w:bidi="ar-SA"/>
      </w:rPr>
    </w:lvl>
    <w:lvl w:ilvl="3">
      <w:start w:val="0"/>
      <w:numFmt w:val="bullet"/>
      <w:lvlText w:val="•"/>
      <w:lvlJc w:val="left"/>
      <w:pPr>
        <w:ind w:left="2301" w:hanging="135"/>
      </w:pPr>
      <w:rPr>
        <w:rFonts w:hint="default"/>
        <w:lang w:val="ca-ES" w:eastAsia="en-US" w:bidi="ar-SA"/>
      </w:rPr>
    </w:lvl>
    <w:lvl w:ilvl="4">
      <w:start w:val="0"/>
      <w:numFmt w:val="bullet"/>
      <w:lvlText w:val="•"/>
      <w:lvlJc w:val="left"/>
      <w:pPr>
        <w:ind w:left="3022" w:hanging="135"/>
      </w:pPr>
      <w:rPr>
        <w:rFonts w:hint="default"/>
        <w:lang w:val="ca-ES" w:eastAsia="en-US" w:bidi="ar-SA"/>
      </w:rPr>
    </w:lvl>
    <w:lvl w:ilvl="5">
      <w:start w:val="0"/>
      <w:numFmt w:val="bullet"/>
      <w:lvlText w:val="•"/>
      <w:lvlJc w:val="left"/>
      <w:pPr>
        <w:ind w:left="3742" w:hanging="135"/>
      </w:pPr>
      <w:rPr>
        <w:rFonts w:hint="default"/>
        <w:lang w:val="ca-ES" w:eastAsia="en-US" w:bidi="ar-SA"/>
      </w:rPr>
    </w:lvl>
    <w:lvl w:ilvl="6">
      <w:start w:val="0"/>
      <w:numFmt w:val="bullet"/>
      <w:lvlText w:val="•"/>
      <w:lvlJc w:val="left"/>
      <w:pPr>
        <w:ind w:left="4463" w:hanging="135"/>
      </w:pPr>
      <w:rPr>
        <w:rFonts w:hint="default"/>
        <w:lang w:val="ca-ES" w:eastAsia="en-US" w:bidi="ar-SA"/>
      </w:rPr>
    </w:lvl>
    <w:lvl w:ilvl="7">
      <w:start w:val="0"/>
      <w:numFmt w:val="bullet"/>
      <w:lvlText w:val="•"/>
      <w:lvlJc w:val="left"/>
      <w:pPr>
        <w:ind w:left="5183" w:hanging="135"/>
      </w:pPr>
      <w:rPr>
        <w:rFonts w:hint="default"/>
        <w:lang w:val="ca-ES" w:eastAsia="en-US" w:bidi="ar-SA"/>
      </w:rPr>
    </w:lvl>
    <w:lvl w:ilvl="8">
      <w:start w:val="0"/>
      <w:numFmt w:val="bullet"/>
      <w:lvlText w:val="•"/>
      <w:lvlJc w:val="left"/>
      <w:pPr>
        <w:ind w:left="5904" w:hanging="135"/>
      </w:pPr>
      <w:rPr>
        <w:rFonts w:hint="default"/>
        <w:lang w:val="ca-ES" w:eastAsia="en-US" w:bidi="ar-SA"/>
      </w:rPr>
    </w:lvl>
  </w:abstractNum>
  <w:abstractNum w:abstractNumId="4">
    <w:nsid w:val="17FCA7E4"/>
    <w:multiLevelType w:val="hybridMultilevel"/>
    <w:tmpl w:val="00000000"/>
    <w:lvl w:ilvl="0">
      <w:start w:val="2"/>
      <w:numFmt w:val="lowerLetter"/>
      <w:lvlText w:val="%1)"/>
      <w:lvlJc w:val="left"/>
      <w:pPr>
        <w:ind w:left="965" w:hanging="428"/>
        <w:jc w:val="left"/>
      </w:pPr>
      <w:rPr>
        <w:rFonts w:ascii="宋体" w:eastAsia="宋体" w:hAnsi="宋体" w:cs="宋体" w:hint="default"/>
        <w:w w:val="100"/>
        <w:sz w:val="21"/>
        <w:szCs w:val="21"/>
        <w:lang w:val="ca-ES" w:eastAsia="en-US" w:bidi="ar-SA"/>
      </w:rPr>
    </w:lvl>
    <w:lvl w:ilvl="1">
      <w:start w:val="2"/>
      <w:numFmt w:val="lowerLetter"/>
      <w:lvlText w:val="%2)"/>
      <w:lvlJc w:val="left"/>
      <w:pPr>
        <w:ind w:left="1250" w:hanging="428"/>
        <w:jc w:val="left"/>
      </w:pPr>
      <w:rPr>
        <w:rFonts w:ascii="宋体" w:eastAsia="宋体" w:hAnsi="宋体" w:cs="宋体" w:hint="default"/>
        <w:w w:val="100"/>
        <w:sz w:val="21"/>
        <w:szCs w:val="21"/>
        <w:lang w:val="ca-ES" w:eastAsia="en-US" w:bidi="ar-SA"/>
      </w:rPr>
    </w:lvl>
    <w:lvl w:ilvl="2">
      <w:start w:val="0"/>
      <w:numFmt w:val="bullet"/>
      <w:lvlText w:val="•"/>
      <w:lvlJc w:val="left"/>
      <w:pPr>
        <w:ind w:left="2249" w:hanging="428"/>
      </w:pPr>
      <w:rPr>
        <w:rFonts w:hint="default"/>
        <w:lang w:val="ca-ES" w:eastAsia="en-US" w:bidi="ar-SA"/>
      </w:rPr>
    </w:lvl>
    <w:lvl w:ilvl="3">
      <w:start w:val="0"/>
      <w:numFmt w:val="bullet"/>
      <w:lvlText w:val="•"/>
      <w:lvlJc w:val="left"/>
      <w:pPr>
        <w:ind w:left="3239" w:hanging="428"/>
      </w:pPr>
      <w:rPr>
        <w:rFonts w:hint="default"/>
        <w:lang w:val="ca-ES" w:eastAsia="en-US" w:bidi="ar-SA"/>
      </w:rPr>
    </w:lvl>
    <w:lvl w:ilvl="4">
      <w:start w:val="0"/>
      <w:numFmt w:val="bullet"/>
      <w:lvlText w:val="•"/>
      <w:lvlJc w:val="left"/>
      <w:pPr>
        <w:ind w:left="4228" w:hanging="428"/>
      </w:pPr>
      <w:rPr>
        <w:rFonts w:hint="default"/>
        <w:lang w:val="ca-ES" w:eastAsia="en-US" w:bidi="ar-SA"/>
      </w:rPr>
    </w:lvl>
    <w:lvl w:ilvl="5">
      <w:start w:val="0"/>
      <w:numFmt w:val="bullet"/>
      <w:lvlText w:val="•"/>
      <w:lvlJc w:val="left"/>
      <w:pPr>
        <w:ind w:left="5218" w:hanging="428"/>
      </w:pPr>
      <w:rPr>
        <w:rFonts w:hint="default"/>
        <w:lang w:val="ca-ES" w:eastAsia="en-US" w:bidi="ar-SA"/>
      </w:rPr>
    </w:lvl>
    <w:lvl w:ilvl="6">
      <w:start w:val="0"/>
      <w:numFmt w:val="bullet"/>
      <w:lvlText w:val="•"/>
      <w:lvlJc w:val="left"/>
      <w:pPr>
        <w:ind w:left="6208" w:hanging="428"/>
      </w:pPr>
      <w:rPr>
        <w:rFonts w:hint="default"/>
        <w:lang w:val="ca-ES" w:eastAsia="en-US" w:bidi="ar-SA"/>
      </w:rPr>
    </w:lvl>
    <w:lvl w:ilvl="7">
      <w:start w:val="0"/>
      <w:numFmt w:val="bullet"/>
      <w:lvlText w:val="•"/>
      <w:lvlJc w:val="left"/>
      <w:pPr>
        <w:ind w:left="7197" w:hanging="428"/>
      </w:pPr>
      <w:rPr>
        <w:rFonts w:hint="default"/>
        <w:lang w:val="ca-ES" w:eastAsia="en-US" w:bidi="ar-SA"/>
      </w:rPr>
    </w:lvl>
    <w:lvl w:ilvl="8">
      <w:start w:val="0"/>
      <w:numFmt w:val="bullet"/>
      <w:lvlText w:val="•"/>
      <w:lvlJc w:val="left"/>
      <w:pPr>
        <w:ind w:left="8187" w:hanging="428"/>
      </w:pPr>
      <w:rPr>
        <w:rFonts w:hint="default"/>
        <w:lang w:val="ca-ES" w:eastAsia="en-US" w:bidi="ar-SA"/>
      </w:rPr>
    </w:lvl>
  </w:abstractNum>
  <w:abstractNum w:abstractNumId="5">
    <w:nsid w:val="1BDCD106"/>
    <w:multiLevelType w:val="hybridMultilevel"/>
    <w:tmpl w:val="00000000"/>
    <w:lvl w:ilvl="0">
      <w:start w:val="2"/>
      <w:numFmt w:val="upperLetter"/>
      <w:lvlText w:val="%1"/>
      <w:lvlJc w:val="left"/>
      <w:pPr>
        <w:ind w:left="638" w:hanging="526"/>
        <w:jc w:val="left"/>
      </w:pPr>
      <w:rPr>
        <w:rFonts w:hint="default"/>
        <w:lang w:val="ca-ES" w:eastAsia="en-US" w:bidi="ar-SA"/>
      </w:rPr>
    </w:lvl>
    <w:lvl w:ilvl="1">
      <w:start w:val="1"/>
      <w:numFmt w:val="decimal"/>
      <w:lvlText w:val="%1.%2"/>
      <w:lvlJc w:val="left"/>
      <w:pPr>
        <w:ind w:left="638" w:hanging="526"/>
        <w:jc w:val="right"/>
      </w:pPr>
      <w:rPr>
        <w:rFonts w:ascii="黑体" w:eastAsia="黑体" w:hAnsi="黑体" w:cs="黑体" w:hint="default"/>
        <w:w w:val="100"/>
        <w:sz w:val="21"/>
        <w:szCs w:val="21"/>
        <w:lang w:val="ca-ES" w:eastAsia="en-US" w:bidi="ar-SA"/>
      </w:rPr>
    </w:lvl>
    <w:lvl w:ilvl="2">
      <w:start w:val="1"/>
      <w:numFmt w:val="decimal"/>
      <w:lvlText w:val="%1.%2.%3"/>
      <w:lvlJc w:val="left"/>
      <w:pPr>
        <w:ind w:left="113" w:hanging="735"/>
        <w:jc w:val="left"/>
      </w:pPr>
      <w:rPr>
        <w:rFonts w:ascii="黑体" w:eastAsia="黑体" w:hAnsi="黑体" w:cs="黑体" w:hint="default"/>
        <w:w w:val="100"/>
        <w:sz w:val="21"/>
        <w:szCs w:val="21"/>
        <w:lang w:val="ca-ES" w:eastAsia="en-US" w:bidi="ar-SA"/>
      </w:rPr>
    </w:lvl>
    <w:lvl w:ilvl="3">
      <w:start w:val="0"/>
      <w:numFmt w:val="bullet"/>
      <w:lvlText w:val="•"/>
      <w:lvlJc w:val="left"/>
      <w:pPr>
        <w:ind w:left="1140" w:hanging="735"/>
      </w:pPr>
      <w:rPr>
        <w:rFonts w:hint="default"/>
        <w:lang w:val="ca-ES" w:eastAsia="en-US" w:bidi="ar-SA"/>
      </w:rPr>
    </w:lvl>
    <w:lvl w:ilvl="4">
      <w:start w:val="0"/>
      <w:numFmt w:val="bullet"/>
      <w:lvlText w:val="•"/>
      <w:lvlJc w:val="left"/>
      <w:pPr>
        <w:ind w:left="2429" w:hanging="735"/>
      </w:pPr>
      <w:rPr>
        <w:rFonts w:hint="default"/>
        <w:lang w:val="ca-ES" w:eastAsia="en-US" w:bidi="ar-SA"/>
      </w:rPr>
    </w:lvl>
    <w:lvl w:ilvl="5">
      <w:start w:val="0"/>
      <w:numFmt w:val="bullet"/>
      <w:lvlText w:val="•"/>
      <w:lvlJc w:val="left"/>
      <w:pPr>
        <w:ind w:left="3718" w:hanging="735"/>
      </w:pPr>
      <w:rPr>
        <w:rFonts w:hint="default"/>
        <w:lang w:val="ca-ES" w:eastAsia="en-US" w:bidi="ar-SA"/>
      </w:rPr>
    </w:lvl>
    <w:lvl w:ilvl="6">
      <w:start w:val="0"/>
      <w:numFmt w:val="bullet"/>
      <w:lvlText w:val="•"/>
      <w:lvlJc w:val="left"/>
      <w:pPr>
        <w:ind w:left="5008" w:hanging="735"/>
      </w:pPr>
      <w:rPr>
        <w:rFonts w:hint="default"/>
        <w:lang w:val="ca-ES" w:eastAsia="en-US" w:bidi="ar-SA"/>
      </w:rPr>
    </w:lvl>
    <w:lvl w:ilvl="7">
      <w:start w:val="0"/>
      <w:numFmt w:val="bullet"/>
      <w:lvlText w:val="•"/>
      <w:lvlJc w:val="left"/>
      <w:pPr>
        <w:ind w:left="6297" w:hanging="735"/>
      </w:pPr>
      <w:rPr>
        <w:rFonts w:hint="default"/>
        <w:lang w:val="ca-ES" w:eastAsia="en-US" w:bidi="ar-SA"/>
      </w:rPr>
    </w:lvl>
    <w:lvl w:ilvl="8">
      <w:start w:val="0"/>
      <w:numFmt w:val="bullet"/>
      <w:lvlText w:val="•"/>
      <w:lvlJc w:val="left"/>
      <w:pPr>
        <w:ind w:left="7587" w:hanging="735"/>
      </w:pPr>
      <w:rPr>
        <w:rFonts w:hint="default"/>
        <w:lang w:val="ca-ES" w:eastAsia="en-US" w:bidi="ar-SA"/>
      </w:rPr>
    </w:lvl>
  </w:abstractNum>
  <w:abstractNum w:abstractNumId="6">
    <w:nsid w:val="2F80FCFD"/>
    <w:multiLevelType w:val="hybridMultilevel"/>
    <w:tmpl w:val="00000000"/>
    <w:lvl w:ilvl="0">
      <w:start w:val="1"/>
      <w:numFmt w:val="decimal"/>
      <w:lvlText w:val="%1."/>
      <w:lvlJc w:val="left"/>
      <w:pPr>
        <w:ind w:left="146" w:hanging="138"/>
        <w:jc w:val="left"/>
      </w:pPr>
      <w:rPr>
        <w:rFonts w:ascii="Times New Roman" w:eastAsia="Times New Roman" w:hAnsi="Times New Roman" w:cs="Times New Roman" w:hint="default"/>
        <w:spacing w:val="0"/>
        <w:w w:val="100"/>
        <w:sz w:val="16"/>
        <w:szCs w:val="16"/>
        <w:lang w:val="ca-ES" w:eastAsia="en-US" w:bidi="ar-SA"/>
      </w:rPr>
    </w:lvl>
    <w:lvl w:ilvl="1">
      <w:start w:val="0"/>
      <w:numFmt w:val="bullet"/>
      <w:lvlText w:val="•"/>
      <w:lvlJc w:val="left"/>
      <w:pPr>
        <w:ind w:left="860" w:hanging="138"/>
      </w:pPr>
      <w:rPr>
        <w:rFonts w:hint="default"/>
        <w:lang w:val="ca-ES" w:eastAsia="en-US" w:bidi="ar-SA"/>
      </w:rPr>
    </w:lvl>
    <w:lvl w:ilvl="2">
      <w:start w:val="0"/>
      <w:numFmt w:val="bullet"/>
      <w:lvlText w:val="•"/>
      <w:lvlJc w:val="left"/>
      <w:pPr>
        <w:ind w:left="1581" w:hanging="138"/>
      </w:pPr>
      <w:rPr>
        <w:rFonts w:hint="default"/>
        <w:lang w:val="ca-ES" w:eastAsia="en-US" w:bidi="ar-SA"/>
      </w:rPr>
    </w:lvl>
    <w:lvl w:ilvl="3">
      <w:start w:val="0"/>
      <w:numFmt w:val="bullet"/>
      <w:lvlText w:val="•"/>
      <w:lvlJc w:val="left"/>
      <w:pPr>
        <w:ind w:left="2301" w:hanging="138"/>
      </w:pPr>
      <w:rPr>
        <w:rFonts w:hint="default"/>
        <w:lang w:val="ca-ES" w:eastAsia="en-US" w:bidi="ar-SA"/>
      </w:rPr>
    </w:lvl>
    <w:lvl w:ilvl="4">
      <w:start w:val="0"/>
      <w:numFmt w:val="bullet"/>
      <w:lvlText w:val="•"/>
      <w:lvlJc w:val="left"/>
      <w:pPr>
        <w:ind w:left="3022" w:hanging="138"/>
      </w:pPr>
      <w:rPr>
        <w:rFonts w:hint="default"/>
        <w:lang w:val="ca-ES" w:eastAsia="en-US" w:bidi="ar-SA"/>
      </w:rPr>
    </w:lvl>
    <w:lvl w:ilvl="5">
      <w:start w:val="0"/>
      <w:numFmt w:val="bullet"/>
      <w:lvlText w:val="•"/>
      <w:lvlJc w:val="left"/>
      <w:pPr>
        <w:ind w:left="3742" w:hanging="138"/>
      </w:pPr>
      <w:rPr>
        <w:rFonts w:hint="default"/>
        <w:lang w:val="ca-ES" w:eastAsia="en-US" w:bidi="ar-SA"/>
      </w:rPr>
    </w:lvl>
    <w:lvl w:ilvl="6">
      <w:start w:val="0"/>
      <w:numFmt w:val="bullet"/>
      <w:lvlText w:val="•"/>
      <w:lvlJc w:val="left"/>
      <w:pPr>
        <w:ind w:left="4463" w:hanging="138"/>
      </w:pPr>
      <w:rPr>
        <w:rFonts w:hint="default"/>
        <w:lang w:val="ca-ES" w:eastAsia="en-US" w:bidi="ar-SA"/>
      </w:rPr>
    </w:lvl>
    <w:lvl w:ilvl="7">
      <w:start w:val="0"/>
      <w:numFmt w:val="bullet"/>
      <w:lvlText w:val="•"/>
      <w:lvlJc w:val="left"/>
      <w:pPr>
        <w:ind w:left="5183" w:hanging="138"/>
      </w:pPr>
      <w:rPr>
        <w:rFonts w:hint="default"/>
        <w:lang w:val="ca-ES" w:eastAsia="en-US" w:bidi="ar-SA"/>
      </w:rPr>
    </w:lvl>
    <w:lvl w:ilvl="8">
      <w:start w:val="0"/>
      <w:numFmt w:val="bullet"/>
      <w:lvlText w:val="•"/>
      <w:lvlJc w:val="left"/>
      <w:pPr>
        <w:ind w:left="5904" w:hanging="138"/>
      </w:pPr>
      <w:rPr>
        <w:rFonts w:hint="default"/>
        <w:lang w:val="ca-ES" w:eastAsia="en-US" w:bidi="ar-SA"/>
      </w:rPr>
    </w:lvl>
  </w:abstractNum>
  <w:abstractNum w:abstractNumId="7">
    <w:nsid w:val="371FF4C3"/>
    <w:multiLevelType w:val="hybridMultilevel"/>
    <w:tmpl w:val="00000000"/>
    <w:lvl w:ilvl="0">
      <w:start w:val="1"/>
      <w:numFmt w:val="upperLetter"/>
      <w:lvlText w:val="%1"/>
      <w:lvlJc w:val="left"/>
      <w:pPr>
        <w:ind w:left="638" w:hanging="526"/>
        <w:jc w:val="left"/>
      </w:pPr>
      <w:rPr>
        <w:rFonts w:hint="default"/>
        <w:lang w:val="ca-ES" w:eastAsia="en-US" w:bidi="ar-SA"/>
      </w:rPr>
    </w:lvl>
    <w:lvl w:ilvl="1">
      <w:start w:val="1"/>
      <w:numFmt w:val="decimal"/>
      <w:lvlText w:val="%1.%2"/>
      <w:lvlJc w:val="left"/>
      <w:pPr>
        <w:ind w:left="638" w:hanging="526"/>
        <w:jc w:val="right"/>
      </w:pPr>
      <w:rPr>
        <w:rFonts w:ascii="黑体" w:eastAsia="黑体" w:hAnsi="黑体" w:cs="黑体" w:hint="default"/>
        <w:w w:val="100"/>
        <w:sz w:val="21"/>
        <w:szCs w:val="21"/>
        <w:lang w:val="ca-ES" w:eastAsia="en-US" w:bidi="ar-SA"/>
      </w:rPr>
    </w:lvl>
    <w:lvl w:ilvl="2">
      <w:start w:val="1"/>
      <w:numFmt w:val="decimal"/>
      <w:lvlText w:val="%1.%2.%3"/>
      <w:lvlJc w:val="left"/>
      <w:pPr>
        <w:ind w:left="847" w:hanging="735"/>
        <w:jc w:val="left"/>
      </w:pPr>
      <w:rPr>
        <w:rFonts w:ascii="黑体" w:eastAsia="黑体" w:hAnsi="黑体" w:cs="黑体" w:hint="default"/>
        <w:w w:val="100"/>
        <w:sz w:val="21"/>
        <w:szCs w:val="21"/>
        <w:lang w:val="ca-ES" w:eastAsia="en-US" w:bidi="ar-SA"/>
      </w:rPr>
    </w:lvl>
    <w:lvl w:ilvl="3">
      <w:start w:val="1"/>
      <w:numFmt w:val="lowerLetter"/>
      <w:lvlText w:val="%4)"/>
      <w:lvlJc w:val="left"/>
      <w:pPr>
        <w:ind w:left="965" w:hanging="428"/>
        <w:jc w:val="left"/>
      </w:pPr>
      <w:rPr>
        <w:rFonts w:ascii="宋体" w:eastAsia="宋体" w:hAnsi="宋体" w:cs="宋体" w:hint="default"/>
        <w:w w:val="100"/>
        <w:sz w:val="21"/>
        <w:szCs w:val="21"/>
        <w:lang w:val="ca-ES" w:eastAsia="en-US" w:bidi="ar-SA"/>
      </w:rPr>
    </w:lvl>
    <w:lvl w:ilvl="4">
      <w:start w:val="0"/>
      <w:numFmt w:val="bullet"/>
      <w:lvlText w:val="•"/>
      <w:lvlJc w:val="left"/>
      <w:pPr>
        <w:ind w:left="3261" w:hanging="428"/>
      </w:pPr>
      <w:rPr>
        <w:rFonts w:hint="default"/>
        <w:lang w:val="ca-ES" w:eastAsia="en-US" w:bidi="ar-SA"/>
      </w:rPr>
    </w:lvl>
    <w:lvl w:ilvl="5">
      <w:start w:val="0"/>
      <w:numFmt w:val="bullet"/>
      <w:lvlText w:val="•"/>
      <w:lvlJc w:val="left"/>
      <w:pPr>
        <w:ind w:left="4412" w:hanging="428"/>
      </w:pPr>
      <w:rPr>
        <w:rFonts w:hint="default"/>
        <w:lang w:val="ca-ES" w:eastAsia="en-US" w:bidi="ar-SA"/>
      </w:rPr>
    </w:lvl>
    <w:lvl w:ilvl="6">
      <w:start w:val="0"/>
      <w:numFmt w:val="bullet"/>
      <w:lvlText w:val="•"/>
      <w:lvlJc w:val="left"/>
      <w:pPr>
        <w:ind w:left="5563" w:hanging="428"/>
      </w:pPr>
      <w:rPr>
        <w:rFonts w:hint="default"/>
        <w:lang w:val="ca-ES" w:eastAsia="en-US" w:bidi="ar-SA"/>
      </w:rPr>
    </w:lvl>
    <w:lvl w:ilvl="7">
      <w:start w:val="0"/>
      <w:numFmt w:val="bullet"/>
      <w:lvlText w:val="•"/>
      <w:lvlJc w:val="left"/>
      <w:pPr>
        <w:ind w:left="6714" w:hanging="428"/>
      </w:pPr>
      <w:rPr>
        <w:rFonts w:hint="default"/>
        <w:lang w:val="ca-ES" w:eastAsia="en-US" w:bidi="ar-SA"/>
      </w:rPr>
    </w:lvl>
    <w:lvl w:ilvl="8">
      <w:start w:val="0"/>
      <w:numFmt w:val="bullet"/>
      <w:lvlText w:val="•"/>
      <w:lvlJc w:val="left"/>
      <w:pPr>
        <w:ind w:left="7864" w:hanging="428"/>
      </w:pPr>
      <w:rPr>
        <w:rFonts w:hint="default"/>
        <w:lang w:val="ca-ES" w:eastAsia="en-US" w:bidi="ar-SA"/>
      </w:rPr>
    </w:lvl>
  </w:abstractNum>
  <w:abstractNum w:abstractNumId="8">
    <w:nsid w:val="479F6FC9"/>
    <w:multiLevelType w:val="hybridMultilevel"/>
    <w:tmpl w:val="00000000"/>
    <w:lvl w:ilvl="0">
      <w:start w:val="9"/>
      <w:numFmt w:val="decimal"/>
      <w:lvlText w:val="%1"/>
      <w:lvlJc w:val="left"/>
      <w:pPr>
        <w:ind w:left="113" w:hanging="735"/>
        <w:jc w:val="left"/>
      </w:pPr>
      <w:rPr>
        <w:rFonts w:hint="default"/>
        <w:lang w:val="ca-ES" w:eastAsia="en-US" w:bidi="ar-SA"/>
      </w:rPr>
    </w:lvl>
    <w:lvl w:ilvl="1">
      <w:start w:val="1"/>
      <w:numFmt w:val="decimal"/>
      <w:lvlText w:val="%1.%2"/>
      <w:lvlJc w:val="left"/>
      <w:pPr>
        <w:ind w:left="113" w:hanging="735"/>
        <w:jc w:val="left"/>
      </w:pPr>
      <w:rPr>
        <w:rFonts w:hint="default"/>
        <w:lang w:val="ca-ES" w:eastAsia="en-US" w:bidi="ar-SA"/>
      </w:rPr>
    </w:lvl>
    <w:lvl w:ilvl="2">
      <w:start w:val="1"/>
      <w:numFmt w:val="decimal"/>
      <w:lvlText w:val="%1.%2.%3"/>
      <w:lvlJc w:val="left"/>
      <w:pPr>
        <w:ind w:left="113" w:hanging="735"/>
        <w:jc w:val="left"/>
      </w:pPr>
      <w:rPr>
        <w:rFonts w:ascii="黑体" w:eastAsia="黑体" w:hAnsi="黑体" w:cs="黑体" w:hint="default"/>
        <w:w w:val="100"/>
        <w:sz w:val="21"/>
        <w:szCs w:val="21"/>
        <w:lang w:val="ca-ES" w:eastAsia="en-US" w:bidi="ar-SA"/>
      </w:rPr>
    </w:lvl>
    <w:lvl w:ilvl="3">
      <w:start w:val="0"/>
      <w:numFmt w:val="bullet"/>
      <w:lvlText w:val="•"/>
      <w:lvlJc w:val="left"/>
      <w:pPr>
        <w:ind w:left="3133" w:hanging="735"/>
      </w:pPr>
      <w:rPr>
        <w:rFonts w:hint="default"/>
        <w:lang w:val="ca-ES" w:eastAsia="en-US" w:bidi="ar-SA"/>
      </w:rPr>
    </w:lvl>
    <w:lvl w:ilvl="4">
      <w:start w:val="0"/>
      <w:numFmt w:val="bullet"/>
      <w:lvlText w:val="•"/>
      <w:lvlJc w:val="left"/>
      <w:pPr>
        <w:ind w:left="4138" w:hanging="735"/>
      </w:pPr>
      <w:rPr>
        <w:rFonts w:hint="default"/>
        <w:lang w:val="ca-ES" w:eastAsia="en-US" w:bidi="ar-SA"/>
      </w:rPr>
    </w:lvl>
    <w:lvl w:ilvl="5">
      <w:start w:val="0"/>
      <w:numFmt w:val="bullet"/>
      <w:lvlText w:val="•"/>
      <w:lvlJc w:val="left"/>
      <w:pPr>
        <w:ind w:left="5143" w:hanging="735"/>
      </w:pPr>
      <w:rPr>
        <w:rFonts w:hint="default"/>
        <w:lang w:val="ca-ES" w:eastAsia="en-US" w:bidi="ar-SA"/>
      </w:rPr>
    </w:lvl>
    <w:lvl w:ilvl="6">
      <w:start w:val="0"/>
      <w:numFmt w:val="bullet"/>
      <w:lvlText w:val="•"/>
      <w:lvlJc w:val="left"/>
      <w:pPr>
        <w:ind w:left="6147" w:hanging="735"/>
      </w:pPr>
      <w:rPr>
        <w:rFonts w:hint="default"/>
        <w:lang w:val="ca-ES" w:eastAsia="en-US" w:bidi="ar-SA"/>
      </w:rPr>
    </w:lvl>
    <w:lvl w:ilvl="7">
      <w:start w:val="0"/>
      <w:numFmt w:val="bullet"/>
      <w:lvlText w:val="•"/>
      <w:lvlJc w:val="left"/>
      <w:pPr>
        <w:ind w:left="7152" w:hanging="735"/>
      </w:pPr>
      <w:rPr>
        <w:rFonts w:hint="default"/>
        <w:lang w:val="ca-ES" w:eastAsia="en-US" w:bidi="ar-SA"/>
      </w:rPr>
    </w:lvl>
    <w:lvl w:ilvl="8">
      <w:start w:val="0"/>
      <w:numFmt w:val="bullet"/>
      <w:lvlText w:val="•"/>
      <w:lvlJc w:val="left"/>
      <w:pPr>
        <w:ind w:left="8157" w:hanging="735"/>
      </w:pPr>
      <w:rPr>
        <w:rFonts w:hint="default"/>
        <w:lang w:val="ca-ES" w:eastAsia="en-US" w:bidi="ar-SA"/>
      </w:rPr>
    </w:lvl>
  </w:abstractNum>
  <w:abstractNum w:abstractNumId="9">
    <w:nsid w:val="4E56CAAA"/>
    <w:multiLevelType w:val="hybridMultilevel"/>
    <w:tmpl w:val="00000000"/>
    <w:lvl w:ilvl="0">
      <w:start w:val="2"/>
      <w:numFmt w:val="upperLetter"/>
      <w:lvlText w:val="%1"/>
      <w:lvlJc w:val="left"/>
      <w:pPr>
        <w:ind w:left="638" w:hanging="526"/>
        <w:jc w:val="left"/>
      </w:pPr>
      <w:rPr>
        <w:rFonts w:hint="default"/>
        <w:lang w:val="ca-ES" w:eastAsia="en-US" w:bidi="ar-SA"/>
      </w:rPr>
    </w:lvl>
    <w:lvl w:ilvl="1">
      <w:start w:val="1"/>
      <w:numFmt w:val="decimal"/>
      <w:lvlText w:val="%1.%2"/>
      <w:lvlJc w:val="left"/>
      <w:pPr>
        <w:ind w:left="638" w:hanging="526"/>
        <w:jc w:val="right"/>
      </w:pPr>
      <w:rPr>
        <w:rFonts w:ascii="黑体" w:eastAsia="黑体" w:hAnsi="黑体" w:cs="黑体" w:hint="default"/>
        <w:w w:val="100"/>
        <w:sz w:val="21"/>
        <w:szCs w:val="21"/>
        <w:lang w:val="ca-ES" w:eastAsia="en-US" w:bidi="ar-SA"/>
      </w:rPr>
    </w:lvl>
    <w:lvl w:ilvl="2">
      <w:start w:val="1"/>
      <w:numFmt w:val="decimal"/>
      <w:lvlText w:val="%1.%2.%3"/>
      <w:lvlJc w:val="left"/>
      <w:pPr>
        <w:ind w:left="113" w:hanging="735"/>
        <w:jc w:val="left"/>
      </w:pPr>
      <w:rPr>
        <w:rFonts w:ascii="黑体" w:eastAsia="黑体" w:hAnsi="黑体" w:cs="黑体" w:hint="default"/>
        <w:w w:val="100"/>
        <w:sz w:val="21"/>
        <w:szCs w:val="21"/>
        <w:lang w:val="ca-ES" w:eastAsia="en-US" w:bidi="ar-SA"/>
      </w:rPr>
    </w:lvl>
    <w:lvl w:ilvl="3">
      <w:start w:val="0"/>
      <w:numFmt w:val="bullet"/>
      <w:lvlText w:val="•"/>
      <w:lvlJc w:val="left"/>
      <w:pPr>
        <w:ind w:left="1140" w:hanging="735"/>
      </w:pPr>
      <w:rPr>
        <w:rFonts w:hint="default"/>
        <w:lang w:val="ca-ES" w:eastAsia="en-US" w:bidi="ar-SA"/>
      </w:rPr>
    </w:lvl>
    <w:lvl w:ilvl="4">
      <w:start w:val="0"/>
      <w:numFmt w:val="bullet"/>
      <w:lvlText w:val="•"/>
      <w:lvlJc w:val="left"/>
      <w:pPr>
        <w:ind w:left="2429" w:hanging="735"/>
      </w:pPr>
      <w:rPr>
        <w:rFonts w:hint="default"/>
        <w:lang w:val="ca-ES" w:eastAsia="en-US" w:bidi="ar-SA"/>
      </w:rPr>
    </w:lvl>
    <w:lvl w:ilvl="5">
      <w:start w:val="0"/>
      <w:numFmt w:val="bullet"/>
      <w:lvlText w:val="•"/>
      <w:lvlJc w:val="left"/>
      <w:pPr>
        <w:ind w:left="3718" w:hanging="735"/>
      </w:pPr>
      <w:rPr>
        <w:rFonts w:hint="default"/>
        <w:lang w:val="ca-ES" w:eastAsia="en-US" w:bidi="ar-SA"/>
      </w:rPr>
    </w:lvl>
    <w:lvl w:ilvl="6">
      <w:start w:val="0"/>
      <w:numFmt w:val="bullet"/>
      <w:lvlText w:val="•"/>
      <w:lvlJc w:val="left"/>
      <w:pPr>
        <w:ind w:left="5008" w:hanging="735"/>
      </w:pPr>
      <w:rPr>
        <w:rFonts w:hint="default"/>
        <w:lang w:val="ca-ES" w:eastAsia="en-US" w:bidi="ar-SA"/>
      </w:rPr>
    </w:lvl>
    <w:lvl w:ilvl="7">
      <w:start w:val="0"/>
      <w:numFmt w:val="bullet"/>
      <w:lvlText w:val="•"/>
      <w:lvlJc w:val="left"/>
      <w:pPr>
        <w:ind w:left="6297" w:hanging="735"/>
      </w:pPr>
      <w:rPr>
        <w:rFonts w:hint="default"/>
        <w:lang w:val="ca-ES" w:eastAsia="en-US" w:bidi="ar-SA"/>
      </w:rPr>
    </w:lvl>
    <w:lvl w:ilvl="8">
      <w:start w:val="0"/>
      <w:numFmt w:val="bullet"/>
      <w:lvlText w:val="•"/>
      <w:lvlJc w:val="left"/>
      <w:pPr>
        <w:ind w:left="7587" w:hanging="735"/>
      </w:pPr>
      <w:rPr>
        <w:rFonts w:hint="default"/>
        <w:lang w:val="ca-ES" w:eastAsia="en-US" w:bidi="ar-SA"/>
      </w:rPr>
    </w:lvl>
  </w:abstractNum>
  <w:abstractNum w:abstractNumId="10">
    <w:nsid w:val="5380BD35"/>
    <w:multiLevelType w:val="hybridMultilevel"/>
    <w:tmpl w:val="00000000"/>
    <w:lvl w:ilvl="0">
      <w:start w:val="6"/>
      <w:numFmt w:val="decimal"/>
      <w:lvlText w:val="%1"/>
      <w:lvlJc w:val="left"/>
      <w:pPr>
        <w:ind w:left="398" w:hanging="735"/>
        <w:jc w:val="left"/>
      </w:pPr>
      <w:rPr>
        <w:rFonts w:hint="default"/>
        <w:lang w:val="ca-ES" w:eastAsia="en-US" w:bidi="ar-SA"/>
      </w:rPr>
    </w:lvl>
    <w:lvl w:ilvl="1">
      <w:start w:val="1"/>
      <w:numFmt w:val="decimal"/>
      <w:lvlText w:val="%1.%2"/>
      <w:lvlJc w:val="left"/>
      <w:pPr>
        <w:ind w:left="398" w:hanging="735"/>
        <w:jc w:val="left"/>
      </w:pPr>
      <w:rPr>
        <w:rFonts w:hint="default"/>
        <w:lang w:val="ca-ES" w:eastAsia="en-US" w:bidi="ar-SA"/>
      </w:rPr>
    </w:lvl>
    <w:lvl w:ilvl="2">
      <w:start w:val="1"/>
      <w:numFmt w:val="decimal"/>
      <w:lvlText w:val="%1.%2.%3"/>
      <w:lvlJc w:val="left"/>
      <w:pPr>
        <w:ind w:left="398" w:hanging="735"/>
        <w:jc w:val="left"/>
      </w:pPr>
      <w:rPr>
        <w:rFonts w:ascii="黑体" w:eastAsia="黑体" w:hAnsi="黑体" w:cs="黑体" w:hint="default"/>
        <w:w w:val="100"/>
        <w:sz w:val="21"/>
        <w:szCs w:val="21"/>
        <w:lang w:val="ca-ES" w:eastAsia="en-US" w:bidi="ar-SA"/>
      </w:rPr>
    </w:lvl>
    <w:lvl w:ilvl="3">
      <w:start w:val="0"/>
      <w:numFmt w:val="bullet"/>
      <w:lvlText w:val="•"/>
      <w:lvlJc w:val="left"/>
      <w:pPr>
        <w:ind w:left="3329" w:hanging="735"/>
      </w:pPr>
      <w:rPr>
        <w:rFonts w:hint="default"/>
        <w:lang w:val="ca-ES" w:eastAsia="en-US" w:bidi="ar-SA"/>
      </w:rPr>
    </w:lvl>
    <w:lvl w:ilvl="4">
      <w:start w:val="0"/>
      <w:numFmt w:val="bullet"/>
      <w:lvlText w:val="•"/>
      <w:lvlJc w:val="left"/>
      <w:pPr>
        <w:ind w:left="4306" w:hanging="735"/>
      </w:pPr>
      <w:rPr>
        <w:rFonts w:hint="default"/>
        <w:lang w:val="ca-ES" w:eastAsia="en-US" w:bidi="ar-SA"/>
      </w:rPr>
    </w:lvl>
    <w:lvl w:ilvl="5">
      <w:start w:val="0"/>
      <w:numFmt w:val="bullet"/>
      <w:lvlText w:val="•"/>
      <w:lvlJc w:val="left"/>
      <w:pPr>
        <w:ind w:left="5283" w:hanging="735"/>
      </w:pPr>
      <w:rPr>
        <w:rFonts w:hint="default"/>
        <w:lang w:val="ca-ES" w:eastAsia="en-US" w:bidi="ar-SA"/>
      </w:rPr>
    </w:lvl>
    <w:lvl w:ilvl="6">
      <w:start w:val="0"/>
      <w:numFmt w:val="bullet"/>
      <w:lvlText w:val="•"/>
      <w:lvlJc w:val="left"/>
      <w:pPr>
        <w:ind w:left="6259" w:hanging="735"/>
      </w:pPr>
      <w:rPr>
        <w:rFonts w:hint="default"/>
        <w:lang w:val="ca-ES" w:eastAsia="en-US" w:bidi="ar-SA"/>
      </w:rPr>
    </w:lvl>
    <w:lvl w:ilvl="7">
      <w:start w:val="0"/>
      <w:numFmt w:val="bullet"/>
      <w:lvlText w:val="•"/>
      <w:lvlJc w:val="left"/>
      <w:pPr>
        <w:ind w:left="7236" w:hanging="735"/>
      </w:pPr>
      <w:rPr>
        <w:rFonts w:hint="default"/>
        <w:lang w:val="ca-ES" w:eastAsia="en-US" w:bidi="ar-SA"/>
      </w:rPr>
    </w:lvl>
    <w:lvl w:ilvl="8">
      <w:start w:val="0"/>
      <w:numFmt w:val="bullet"/>
      <w:lvlText w:val="•"/>
      <w:lvlJc w:val="left"/>
      <w:pPr>
        <w:ind w:left="8213" w:hanging="735"/>
      </w:pPr>
      <w:rPr>
        <w:rFonts w:hint="default"/>
        <w:lang w:val="ca-ES" w:eastAsia="en-US" w:bidi="ar-SA"/>
      </w:rPr>
    </w:lvl>
  </w:abstractNum>
  <w:abstractNum w:abstractNumId="11">
    <w:nsid w:val="64788D6C"/>
    <w:multiLevelType w:val="hybridMultilevel"/>
    <w:tmpl w:val="00000000"/>
    <w:lvl w:ilvl="0">
      <w:start w:val="1"/>
      <w:numFmt w:val="lowerLetter"/>
      <w:lvlText w:val="%1)"/>
      <w:lvlJc w:val="left"/>
      <w:pPr>
        <w:ind w:left="1250" w:hanging="428"/>
        <w:jc w:val="left"/>
      </w:pPr>
      <w:rPr>
        <w:rFonts w:ascii="宋体" w:eastAsia="宋体" w:hAnsi="宋体" w:cs="宋体" w:hint="default"/>
        <w:w w:val="100"/>
        <w:sz w:val="21"/>
        <w:szCs w:val="21"/>
        <w:lang w:val="ca-ES" w:eastAsia="en-US" w:bidi="ar-SA"/>
      </w:rPr>
    </w:lvl>
    <w:lvl w:ilvl="1">
      <w:start w:val="0"/>
      <w:numFmt w:val="bullet"/>
      <w:lvlText w:val="•"/>
      <w:lvlJc w:val="left"/>
      <w:pPr>
        <w:ind w:left="2150" w:hanging="428"/>
      </w:pPr>
      <w:rPr>
        <w:rFonts w:hint="default"/>
        <w:lang w:val="ca-ES" w:eastAsia="en-US" w:bidi="ar-SA"/>
      </w:rPr>
    </w:lvl>
    <w:lvl w:ilvl="2">
      <w:start w:val="0"/>
      <w:numFmt w:val="bullet"/>
      <w:lvlText w:val="•"/>
      <w:lvlJc w:val="left"/>
      <w:pPr>
        <w:ind w:left="3041" w:hanging="428"/>
      </w:pPr>
      <w:rPr>
        <w:rFonts w:hint="default"/>
        <w:lang w:val="ca-ES" w:eastAsia="en-US" w:bidi="ar-SA"/>
      </w:rPr>
    </w:lvl>
    <w:lvl w:ilvl="3">
      <w:start w:val="0"/>
      <w:numFmt w:val="bullet"/>
      <w:lvlText w:val="•"/>
      <w:lvlJc w:val="left"/>
      <w:pPr>
        <w:ind w:left="3931" w:hanging="428"/>
      </w:pPr>
      <w:rPr>
        <w:rFonts w:hint="default"/>
        <w:lang w:val="ca-ES" w:eastAsia="en-US" w:bidi="ar-SA"/>
      </w:rPr>
    </w:lvl>
    <w:lvl w:ilvl="4">
      <w:start w:val="0"/>
      <w:numFmt w:val="bullet"/>
      <w:lvlText w:val="•"/>
      <w:lvlJc w:val="left"/>
      <w:pPr>
        <w:ind w:left="4822" w:hanging="428"/>
      </w:pPr>
      <w:rPr>
        <w:rFonts w:hint="default"/>
        <w:lang w:val="ca-ES" w:eastAsia="en-US" w:bidi="ar-SA"/>
      </w:rPr>
    </w:lvl>
    <w:lvl w:ilvl="5">
      <w:start w:val="0"/>
      <w:numFmt w:val="bullet"/>
      <w:lvlText w:val="•"/>
      <w:lvlJc w:val="left"/>
      <w:pPr>
        <w:ind w:left="5713" w:hanging="428"/>
      </w:pPr>
      <w:rPr>
        <w:rFonts w:hint="default"/>
        <w:lang w:val="ca-ES" w:eastAsia="en-US" w:bidi="ar-SA"/>
      </w:rPr>
    </w:lvl>
    <w:lvl w:ilvl="6">
      <w:start w:val="0"/>
      <w:numFmt w:val="bullet"/>
      <w:lvlText w:val="•"/>
      <w:lvlJc w:val="left"/>
      <w:pPr>
        <w:ind w:left="6603" w:hanging="428"/>
      </w:pPr>
      <w:rPr>
        <w:rFonts w:hint="default"/>
        <w:lang w:val="ca-ES" w:eastAsia="en-US" w:bidi="ar-SA"/>
      </w:rPr>
    </w:lvl>
    <w:lvl w:ilvl="7">
      <w:start w:val="0"/>
      <w:numFmt w:val="bullet"/>
      <w:lvlText w:val="•"/>
      <w:lvlJc w:val="left"/>
      <w:pPr>
        <w:ind w:left="7494" w:hanging="428"/>
      </w:pPr>
      <w:rPr>
        <w:rFonts w:hint="default"/>
        <w:lang w:val="ca-ES" w:eastAsia="en-US" w:bidi="ar-SA"/>
      </w:rPr>
    </w:lvl>
    <w:lvl w:ilvl="8">
      <w:start w:val="0"/>
      <w:numFmt w:val="bullet"/>
      <w:lvlText w:val="•"/>
      <w:lvlJc w:val="left"/>
      <w:pPr>
        <w:ind w:left="8385" w:hanging="428"/>
      </w:pPr>
      <w:rPr>
        <w:rFonts w:hint="default"/>
        <w:lang w:val="ca-ES" w:eastAsia="en-US" w:bidi="ar-SA"/>
      </w:rPr>
    </w:lvl>
  </w:abstractNum>
  <w:abstractNum w:abstractNumId="12">
    <w:nsid w:val="69B3B3E7"/>
    <w:multiLevelType w:val="hybridMultilevel"/>
    <w:tmpl w:val="00000000"/>
    <w:lvl w:ilvl="0">
      <w:start w:val="1"/>
      <w:numFmt w:val="lowerLetter"/>
      <w:lvlText w:val="%1."/>
      <w:lvlJc w:val="left"/>
      <w:pPr>
        <w:ind w:left="236" w:hanging="126"/>
        <w:jc w:val="right"/>
      </w:pPr>
      <w:rPr>
        <w:rFonts w:ascii="Times New Roman" w:eastAsia="Times New Roman" w:hAnsi="Times New Roman" w:cs="Times New Roman" w:hint="default"/>
        <w:spacing w:val="-1"/>
        <w:w w:val="100"/>
        <w:sz w:val="16"/>
        <w:szCs w:val="16"/>
        <w:lang w:val="ca-ES" w:eastAsia="en-US" w:bidi="ar-SA"/>
      </w:rPr>
    </w:lvl>
    <w:lvl w:ilvl="1">
      <w:start w:val="0"/>
      <w:numFmt w:val="bullet"/>
      <w:lvlText w:val="•"/>
      <w:lvlJc w:val="left"/>
      <w:pPr>
        <w:ind w:left="794" w:hanging="126"/>
      </w:pPr>
      <w:rPr>
        <w:rFonts w:hint="default"/>
        <w:lang w:val="ca-ES" w:eastAsia="en-US" w:bidi="ar-SA"/>
      </w:rPr>
    </w:lvl>
    <w:lvl w:ilvl="2">
      <w:start w:val="0"/>
      <w:numFmt w:val="bullet"/>
      <w:lvlText w:val="•"/>
      <w:lvlJc w:val="left"/>
      <w:pPr>
        <w:ind w:left="1349" w:hanging="126"/>
      </w:pPr>
      <w:rPr>
        <w:rFonts w:hint="default"/>
        <w:lang w:val="ca-ES" w:eastAsia="en-US" w:bidi="ar-SA"/>
      </w:rPr>
    </w:lvl>
    <w:lvl w:ilvl="3">
      <w:start w:val="0"/>
      <w:numFmt w:val="bullet"/>
      <w:lvlText w:val="•"/>
      <w:lvlJc w:val="left"/>
      <w:pPr>
        <w:ind w:left="1903" w:hanging="126"/>
      </w:pPr>
      <w:rPr>
        <w:rFonts w:hint="default"/>
        <w:lang w:val="ca-ES" w:eastAsia="en-US" w:bidi="ar-SA"/>
      </w:rPr>
    </w:lvl>
    <w:lvl w:ilvl="4">
      <w:start w:val="0"/>
      <w:numFmt w:val="bullet"/>
      <w:lvlText w:val="•"/>
      <w:lvlJc w:val="left"/>
      <w:pPr>
        <w:ind w:left="2458" w:hanging="126"/>
      </w:pPr>
      <w:rPr>
        <w:rFonts w:hint="default"/>
        <w:lang w:val="ca-ES" w:eastAsia="en-US" w:bidi="ar-SA"/>
      </w:rPr>
    </w:lvl>
    <w:lvl w:ilvl="5">
      <w:start w:val="0"/>
      <w:numFmt w:val="bullet"/>
      <w:lvlText w:val="•"/>
      <w:lvlJc w:val="left"/>
      <w:pPr>
        <w:ind w:left="3013" w:hanging="126"/>
      </w:pPr>
      <w:rPr>
        <w:rFonts w:hint="default"/>
        <w:lang w:val="ca-ES" w:eastAsia="en-US" w:bidi="ar-SA"/>
      </w:rPr>
    </w:lvl>
    <w:lvl w:ilvl="6">
      <w:start w:val="0"/>
      <w:numFmt w:val="bullet"/>
      <w:lvlText w:val="•"/>
      <w:lvlJc w:val="left"/>
      <w:pPr>
        <w:ind w:left="3567" w:hanging="126"/>
      </w:pPr>
      <w:rPr>
        <w:rFonts w:hint="default"/>
        <w:lang w:val="ca-ES" w:eastAsia="en-US" w:bidi="ar-SA"/>
      </w:rPr>
    </w:lvl>
    <w:lvl w:ilvl="7">
      <w:start w:val="0"/>
      <w:numFmt w:val="bullet"/>
      <w:lvlText w:val="•"/>
      <w:lvlJc w:val="left"/>
      <w:pPr>
        <w:ind w:left="4122" w:hanging="126"/>
      </w:pPr>
      <w:rPr>
        <w:rFonts w:hint="default"/>
        <w:lang w:val="ca-ES" w:eastAsia="en-US" w:bidi="ar-SA"/>
      </w:rPr>
    </w:lvl>
    <w:lvl w:ilvl="8">
      <w:start w:val="0"/>
      <w:numFmt w:val="bullet"/>
      <w:lvlText w:val="•"/>
      <w:lvlJc w:val="left"/>
      <w:pPr>
        <w:ind w:left="4676" w:hanging="126"/>
      </w:pPr>
      <w:rPr>
        <w:rFonts w:hint="default"/>
        <w:lang w:val="ca-ES" w:eastAsia="en-US" w:bidi="ar-SA"/>
      </w:rPr>
    </w:lvl>
  </w:abstractNum>
  <w:abstractNum w:abstractNumId="13">
    <w:nsid w:val="6AA2004F"/>
    <w:multiLevelType w:val="hybridMultilevel"/>
    <w:tmpl w:val="00000000"/>
    <w:lvl w:ilvl="0">
      <w:start w:val="9"/>
      <w:numFmt w:val="decimal"/>
      <w:lvlText w:val="%1"/>
      <w:lvlJc w:val="left"/>
      <w:pPr>
        <w:ind w:left="847" w:hanging="735"/>
        <w:jc w:val="left"/>
      </w:pPr>
      <w:rPr>
        <w:rFonts w:hint="default"/>
        <w:lang w:val="ca-ES" w:eastAsia="en-US" w:bidi="ar-SA"/>
      </w:rPr>
    </w:lvl>
    <w:lvl w:ilvl="1">
      <w:start w:val="2"/>
      <w:numFmt w:val="decimal"/>
      <w:lvlText w:val="%1.%2"/>
      <w:lvlJc w:val="left"/>
      <w:pPr>
        <w:ind w:left="847" w:hanging="735"/>
        <w:jc w:val="left"/>
      </w:pPr>
      <w:rPr>
        <w:rFonts w:hint="default"/>
        <w:lang w:val="ca-ES" w:eastAsia="en-US" w:bidi="ar-SA"/>
      </w:rPr>
    </w:lvl>
    <w:lvl w:ilvl="2">
      <w:start w:val="1"/>
      <w:numFmt w:val="decimal"/>
      <w:lvlText w:val="%1.%2.%3"/>
      <w:lvlJc w:val="left"/>
      <w:pPr>
        <w:ind w:left="847" w:hanging="735"/>
        <w:jc w:val="right"/>
      </w:pPr>
      <w:rPr>
        <w:rFonts w:ascii="黑体" w:eastAsia="黑体" w:hAnsi="黑体" w:cs="黑体" w:hint="default"/>
        <w:w w:val="100"/>
        <w:sz w:val="21"/>
        <w:szCs w:val="21"/>
        <w:lang w:val="ca-ES" w:eastAsia="en-US" w:bidi="ar-SA"/>
      </w:rPr>
    </w:lvl>
    <w:lvl w:ilvl="3">
      <w:start w:val="0"/>
      <w:numFmt w:val="bullet"/>
      <w:lvlText w:val="•"/>
      <w:lvlJc w:val="left"/>
      <w:pPr>
        <w:ind w:left="3637" w:hanging="735"/>
      </w:pPr>
      <w:rPr>
        <w:rFonts w:hint="default"/>
        <w:lang w:val="ca-ES" w:eastAsia="en-US" w:bidi="ar-SA"/>
      </w:rPr>
    </w:lvl>
    <w:lvl w:ilvl="4">
      <w:start w:val="0"/>
      <w:numFmt w:val="bullet"/>
      <w:lvlText w:val="•"/>
      <w:lvlJc w:val="left"/>
      <w:pPr>
        <w:ind w:left="4570" w:hanging="735"/>
      </w:pPr>
      <w:rPr>
        <w:rFonts w:hint="default"/>
        <w:lang w:val="ca-ES" w:eastAsia="en-US" w:bidi="ar-SA"/>
      </w:rPr>
    </w:lvl>
    <w:lvl w:ilvl="5">
      <w:start w:val="0"/>
      <w:numFmt w:val="bullet"/>
      <w:lvlText w:val="•"/>
      <w:lvlJc w:val="left"/>
      <w:pPr>
        <w:ind w:left="5503" w:hanging="735"/>
      </w:pPr>
      <w:rPr>
        <w:rFonts w:hint="default"/>
        <w:lang w:val="ca-ES" w:eastAsia="en-US" w:bidi="ar-SA"/>
      </w:rPr>
    </w:lvl>
    <w:lvl w:ilvl="6">
      <w:start w:val="0"/>
      <w:numFmt w:val="bullet"/>
      <w:lvlText w:val="•"/>
      <w:lvlJc w:val="left"/>
      <w:pPr>
        <w:ind w:left="6435" w:hanging="735"/>
      </w:pPr>
      <w:rPr>
        <w:rFonts w:hint="default"/>
        <w:lang w:val="ca-ES" w:eastAsia="en-US" w:bidi="ar-SA"/>
      </w:rPr>
    </w:lvl>
    <w:lvl w:ilvl="7">
      <w:start w:val="0"/>
      <w:numFmt w:val="bullet"/>
      <w:lvlText w:val="•"/>
      <w:lvlJc w:val="left"/>
      <w:pPr>
        <w:ind w:left="7368" w:hanging="735"/>
      </w:pPr>
      <w:rPr>
        <w:rFonts w:hint="default"/>
        <w:lang w:val="ca-ES" w:eastAsia="en-US" w:bidi="ar-SA"/>
      </w:rPr>
    </w:lvl>
    <w:lvl w:ilvl="8">
      <w:start w:val="0"/>
      <w:numFmt w:val="bullet"/>
      <w:lvlText w:val="•"/>
      <w:lvlJc w:val="left"/>
      <w:pPr>
        <w:ind w:left="8301" w:hanging="735"/>
      </w:pPr>
      <w:rPr>
        <w:rFonts w:hint="default"/>
        <w:lang w:val="ca-ES" w:eastAsia="en-US" w:bidi="ar-SA"/>
      </w:rPr>
    </w:lvl>
  </w:abstractNum>
  <w:abstractNum w:abstractNumId="14">
    <w:nsid w:val="6F375D06"/>
    <w:multiLevelType w:val="hybridMultilevel"/>
    <w:tmpl w:val="00000000"/>
    <w:lvl w:ilvl="0">
      <w:start w:val="6"/>
      <w:numFmt w:val="decimal"/>
      <w:lvlText w:val="%1"/>
      <w:lvlJc w:val="left"/>
      <w:pPr>
        <w:ind w:left="398" w:hanging="735"/>
        <w:jc w:val="left"/>
      </w:pPr>
      <w:rPr>
        <w:rFonts w:hint="default"/>
        <w:lang w:val="ca-ES" w:eastAsia="en-US" w:bidi="ar-SA"/>
      </w:rPr>
    </w:lvl>
    <w:lvl w:ilvl="1">
      <w:start w:val="2"/>
      <w:numFmt w:val="decimal"/>
      <w:lvlText w:val="%1.%2"/>
      <w:lvlJc w:val="left"/>
      <w:pPr>
        <w:ind w:left="398" w:hanging="735"/>
        <w:jc w:val="left"/>
      </w:pPr>
      <w:rPr>
        <w:rFonts w:hint="default"/>
        <w:lang w:val="ca-ES" w:eastAsia="en-US" w:bidi="ar-SA"/>
      </w:rPr>
    </w:lvl>
    <w:lvl w:ilvl="2">
      <w:start w:val="1"/>
      <w:numFmt w:val="decimal"/>
      <w:lvlText w:val="%1.%2.%3"/>
      <w:lvlJc w:val="left"/>
      <w:pPr>
        <w:ind w:left="398" w:hanging="735"/>
        <w:jc w:val="left"/>
      </w:pPr>
      <w:rPr>
        <w:rFonts w:ascii="黑体" w:eastAsia="黑体" w:hAnsi="黑体" w:cs="黑体" w:hint="default"/>
        <w:w w:val="100"/>
        <w:sz w:val="21"/>
        <w:szCs w:val="21"/>
        <w:lang w:val="ca-ES" w:eastAsia="en-US" w:bidi="ar-SA"/>
      </w:rPr>
    </w:lvl>
    <w:lvl w:ilvl="3">
      <w:start w:val="0"/>
      <w:numFmt w:val="bullet"/>
      <w:lvlText w:val="•"/>
      <w:lvlJc w:val="left"/>
      <w:pPr>
        <w:ind w:left="3329" w:hanging="735"/>
      </w:pPr>
      <w:rPr>
        <w:rFonts w:hint="default"/>
        <w:lang w:val="ca-ES" w:eastAsia="en-US" w:bidi="ar-SA"/>
      </w:rPr>
    </w:lvl>
    <w:lvl w:ilvl="4">
      <w:start w:val="0"/>
      <w:numFmt w:val="bullet"/>
      <w:lvlText w:val="•"/>
      <w:lvlJc w:val="left"/>
      <w:pPr>
        <w:ind w:left="4306" w:hanging="735"/>
      </w:pPr>
      <w:rPr>
        <w:rFonts w:hint="default"/>
        <w:lang w:val="ca-ES" w:eastAsia="en-US" w:bidi="ar-SA"/>
      </w:rPr>
    </w:lvl>
    <w:lvl w:ilvl="5">
      <w:start w:val="0"/>
      <w:numFmt w:val="bullet"/>
      <w:lvlText w:val="•"/>
      <w:lvlJc w:val="left"/>
      <w:pPr>
        <w:ind w:left="5283" w:hanging="735"/>
      </w:pPr>
      <w:rPr>
        <w:rFonts w:hint="default"/>
        <w:lang w:val="ca-ES" w:eastAsia="en-US" w:bidi="ar-SA"/>
      </w:rPr>
    </w:lvl>
    <w:lvl w:ilvl="6">
      <w:start w:val="0"/>
      <w:numFmt w:val="bullet"/>
      <w:lvlText w:val="•"/>
      <w:lvlJc w:val="left"/>
      <w:pPr>
        <w:ind w:left="6259" w:hanging="735"/>
      </w:pPr>
      <w:rPr>
        <w:rFonts w:hint="default"/>
        <w:lang w:val="ca-ES" w:eastAsia="en-US" w:bidi="ar-SA"/>
      </w:rPr>
    </w:lvl>
    <w:lvl w:ilvl="7">
      <w:start w:val="0"/>
      <w:numFmt w:val="bullet"/>
      <w:lvlText w:val="•"/>
      <w:lvlJc w:val="left"/>
      <w:pPr>
        <w:ind w:left="7236" w:hanging="735"/>
      </w:pPr>
      <w:rPr>
        <w:rFonts w:hint="default"/>
        <w:lang w:val="ca-ES" w:eastAsia="en-US" w:bidi="ar-SA"/>
      </w:rPr>
    </w:lvl>
    <w:lvl w:ilvl="8">
      <w:start w:val="0"/>
      <w:numFmt w:val="bullet"/>
      <w:lvlText w:val="•"/>
      <w:lvlJc w:val="left"/>
      <w:pPr>
        <w:ind w:left="8213" w:hanging="735"/>
      </w:pPr>
      <w:rPr>
        <w:rFonts w:hint="default"/>
        <w:lang w:val="ca-ES" w:eastAsia="en-US" w:bidi="ar-SA"/>
      </w:rPr>
    </w:lvl>
  </w:abstractNum>
  <w:abstractNum w:abstractNumId="15">
    <w:nsid w:val="7DE98B96"/>
    <w:multiLevelType w:val="hybridMultilevel"/>
    <w:tmpl w:val="00000000"/>
    <w:lvl w:ilvl="0">
      <w:start w:val="1"/>
      <w:numFmt w:val="decimal"/>
      <w:lvlText w:val="%1"/>
      <w:lvlJc w:val="left"/>
      <w:pPr>
        <w:ind w:left="715" w:hanging="317"/>
        <w:jc w:val="left"/>
      </w:pPr>
      <w:rPr>
        <w:rFonts w:ascii="宋体" w:eastAsia="宋体" w:hAnsi="宋体" w:cs="宋体" w:hint="default"/>
        <w:w w:val="100"/>
        <w:sz w:val="21"/>
        <w:szCs w:val="21"/>
        <w:lang w:val="ca-ES" w:eastAsia="en-US" w:bidi="ar-SA"/>
      </w:rPr>
    </w:lvl>
    <w:lvl w:ilvl="1">
      <w:start w:val="0"/>
      <w:numFmt w:val="bullet"/>
      <w:lvlText w:val="•"/>
      <w:lvlJc w:val="left"/>
      <w:pPr>
        <w:ind w:left="1664" w:hanging="317"/>
      </w:pPr>
      <w:rPr>
        <w:rFonts w:hint="default"/>
        <w:lang w:val="ca-ES" w:eastAsia="en-US" w:bidi="ar-SA"/>
      </w:rPr>
    </w:lvl>
    <w:lvl w:ilvl="2">
      <w:start w:val="0"/>
      <w:numFmt w:val="bullet"/>
      <w:lvlText w:val="•"/>
      <w:lvlJc w:val="left"/>
      <w:pPr>
        <w:ind w:left="2609" w:hanging="317"/>
      </w:pPr>
      <w:rPr>
        <w:rFonts w:hint="default"/>
        <w:lang w:val="ca-ES" w:eastAsia="en-US" w:bidi="ar-SA"/>
      </w:rPr>
    </w:lvl>
    <w:lvl w:ilvl="3">
      <w:start w:val="0"/>
      <w:numFmt w:val="bullet"/>
      <w:lvlText w:val="•"/>
      <w:lvlJc w:val="left"/>
      <w:pPr>
        <w:ind w:left="3553" w:hanging="317"/>
      </w:pPr>
      <w:rPr>
        <w:rFonts w:hint="default"/>
        <w:lang w:val="ca-ES" w:eastAsia="en-US" w:bidi="ar-SA"/>
      </w:rPr>
    </w:lvl>
    <w:lvl w:ilvl="4">
      <w:start w:val="0"/>
      <w:numFmt w:val="bullet"/>
      <w:lvlText w:val="•"/>
      <w:lvlJc w:val="left"/>
      <w:pPr>
        <w:ind w:left="4498" w:hanging="317"/>
      </w:pPr>
      <w:rPr>
        <w:rFonts w:hint="default"/>
        <w:lang w:val="ca-ES" w:eastAsia="en-US" w:bidi="ar-SA"/>
      </w:rPr>
    </w:lvl>
    <w:lvl w:ilvl="5">
      <w:start w:val="0"/>
      <w:numFmt w:val="bullet"/>
      <w:lvlText w:val="•"/>
      <w:lvlJc w:val="left"/>
      <w:pPr>
        <w:ind w:left="5443" w:hanging="317"/>
      </w:pPr>
      <w:rPr>
        <w:rFonts w:hint="default"/>
        <w:lang w:val="ca-ES" w:eastAsia="en-US" w:bidi="ar-SA"/>
      </w:rPr>
    </w:lvl>
    <w:lvl w:ilvl="6">
      <w:start w:val="0"/>
      <w:numFmt w:val="bullet"/>
      <w:lvlText w:val="•"/>
      <w:lvlJc w:val="left"/>
      <w:pPr>
        <w:ind w:left="6387" w:hanging="317"/>
      </w:pPr>
      <w:rPr>
        <w:rFonts w:hint="default"/>
        <w:lang w:val="ca-ES" w:eastAsia="en-US" w:bidi="ar-SA"/>
      </w:rPr>
    </w:lvl>
    <w:lvl w:ilvl="7">
      <w:start w:val="0"/>
      <w:numFmt w:val="bullet"/>
      <w:lvlText w:val="•"/>
      <w:lvlJc w:val="left"/>
      <w:pPr>
        <w:ind w:left="7332" w:hanging="317"/>
      </w:pPr>
      <w:rPr>
        <w:rFonts w:hint="default"/>
        <w:lang w:val="ca-ES" w:eastAsia="en-US" w:bidi="ar-SA"/>
      </w:rPr>
    </w:lvl>
    <w:lvl w:ilvl="8">
      <w:start w:val="0"/>
      <w:numFmt w:val="bullet"/>
      <w:lvlText w:val="•"/>
      <w:lvlJc w:val="left"/>
      <w:pPr>
        <w:ind w:left="8277" w:hanging="317"/>
      </w:pPr>
      <w:rPr>
        <w:rFonts w:hint="default"/>
        <w:lang w:val="ca-ES" w:eastAsia="en-US" w:bidi="ar-SA"/>
      </w:rPr>
    </w:lvl>
  </w:abstractNum>
  <w:num w:numId="1">
    <w:abstractNumId w:val="2"/>
  </w:num>
  <w:num w:numId="2">
    <w:abstractNumId w:val="12"/>
  </w:num>
  <w:num w:numId="3">
    <w:abstractNumId w:val="4"/>
  </w:num>
  <w:num w:numId="4">
    <w:abstractNumId w:val="9"/>
  </w:num>
  <w:num w:numId="5">
    <w:abstractNumId w:val="11"/>
  </w:num>
  <w:num w:numId="6">
    <w:abstractNumId w:val="7"/>
  </w:num>
  <w:num w:numId="7">
    <w:abstractNumId w:val="1"/>
  </w:num>
  <w:num w:numId="8">
    <w:abstractNumId w:val="6"/>
  </w:num>
  <w:num w:numId="9">
    <w:abstractNumId w:val="3"/>
  </w:num>
  <w:num w:numId="10">
    <w:abstractNumId w:val="13"/>
  </w:num>
  <w:num w:numId="11">
    <w:abstractNumId w:val="8"/>
  </w:num>
  <w:num w:numId="12">
    <w:abstractNumId w:val="14"/>
  </w:num>
  <w:num w:numId="13">
    <w:abstractNumId w:val="10"/>
  </w:num>
  <w:num w:numId="14">
    <w:abstractNumId w:val="0"/>
  </w:num>
  <w:num w:numId="15">
    <w:abstractNumId w:val="15"/>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宋体" w:eastAsia="宋体" w:hAnsi="宋体" w:cs="宋体"/>
      <w:lang w:val="ca-ES" w:eastAsia="en-US" w:bidi="ar-SA"/>
    </w:rPr>
  </w:style>
  <w:style w:type="paragraph" w:styleId="Heading1">
    <w:name w:val="heading 1"/>
    <w:basedOn w:val="Normal"/>
    <w:uiPriority w:val="1"/>
    <w:qFormat/>
    <w:pPr>
      <w:spacing w:before="54"/>
      <w:jc w:val="center"/>
      <w:outlineLvl w:val="0"/>
    </w:pPr>
    <w:rPr>
      <w:rFonts w:ascii="黑体" w:eastAsia="黑体" w:hAnsi="黑体" w:cs="黑体"/>
      <w:sz w:val="32"/>
      <w:szCs w:val="32"/>
      <w:lang w:val="ca-ES" w:eastAsia="en-US"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宋体" w:eastAsia="宋体" w:hAnsi="宋体" w:cs="宋体"/>
      <w:sz w:val="21"/>
      <w:szCs w:val="21"/>
      <w:lang w:val="ca-ES" w:eastAsia="en-US" w:bidi="ar-SA"/>
    </w:rPr>
  </w:style>
  <w:style w:type="paragraph" w:styleId="Title">
    <w:name w:val="Title"/>
    <w:basedOn w:val="Normal"/>
    <w:uiPriority w:val="1"/>
    <w:qFormat/>
    <w:pPr>
      <w:spacing w:before="60"/>
      <w:ind w:right="896"/>
      <w:jc w:val="right"/>
    </w:pPr>
    <w:rPr>
      <w:rFonts w:ascii="Times New Roman" w:eastAsia="Times New Roman" w:hAnsi="Times New Roman" w:cs="Times New Roman"/>
      <w:b/>
      <w:bCs/>
      <w:sz w:val="96"/>
      <w:szCs w:val="96"/>
      <w:lang w:val="ca-ES" w:eastAsia="en-US" w:bidi="ar-SA"/>
    </w:rPr>
  </w:style>
  <w:style w:type="paragraph" w:styleId="ListParagraph">
    <w:name w:val="List Paragraph"/>
    <w:basedOn w:val="Normal"/>
    <w:uiPriority w:val="1"/>
    <w:qFormat/>
    <w:pPr>
      <w:ind w:left="398"/>
    </w:pPr>
    <w:rPr>
      <w:rFonts w:ascii="宋体" w:eastAsia="宋体" w:hAnsi="宋体" w:cs="宋体"/>
      <w:lang w:val="ca-ES" w:eastAsia="en-US" w:bidi="ar-SA"/>
    </w:rPr>
  </w:style>
  <w:style w:type="paragraph" w:customStyle="1" w:styleId="TableParagraph">
    <w:name w:val="Table Paragraph"/>
    <w:basedOn w:val="Normal"/>
    <w:uiPriority w:val="1"/>
    <w:qFormat/>
    <w:rPr>
      <w:rFonts w:ascii="宋体" w:eastAsia="宋体" w:hAnsi="宋体" w:cs="宋体"/>
      <w:lang w:val="ca-ES" w:eastAsia="en-US" w:bidi="ar-SA"/>
    </w:rPr>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header" Target="header4.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header" Target="header5.xml" /><Relationship Id="rId19" Type="http://schemas.openxmlformats.org/officeDocument/2006/relationships/header" Target="header6.xml" /><Relationship Id="rId2" Type="http://schemas.openxmlformats.org/officeDocument/2006/relationships/webSettings" Target="webSettings.xml" /><Relationship Id="rId20" Type="http://schemas.openxmlformats.org/officeDocument/2006/relationships/footer" Target="footer5.xml" /><Relationship Id="rId21" Type="http://schemas.openxmlformats.org/officeDocument/2006/relationships/footer" Target="footer6.xml"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image" Target="media/image11.png" /><Relationship Id="rId26" Type="http://schemas.openxmlformats.org/officeDocument/2006/relationships/image" Target="media/image12.png" /><Relationship Id="rId27" Type="http://schemas.openxmlformats.org/officeDocument/2006/relationships/image" Target="media/image13.png" /><Relationship Id="rId28" Type="http://schemas.openxmlformats.org/officeDocument/2006/relationships/image" Target="media/image14.png" /><Relationship Id="rId29" Type="http://schemas.openxmlformats.org/officeDocument/2006/relationships/image" Target="media/image15.png"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header" Target="header7.xml" /><Relationship Id="rId32" Type="http://schemas.openxmlformats.org/officeDocument/2006/relationships/header" Target="header8.xml" /><Relationship Id="rId33" Type="http://schemas.openxmlformats.org/officeDocument/2006/relationships/footer" Target="footer7.xml" /><Relationship Id="rId34" Type="http://schemas.openxmlformats.org/officeDocument/2006/relationships/footer" Target="footer8.xml"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png" /><Relationship Id="rId39" Type="http://schemas.openxmlformats.org/officeDocument/2006/relationships/image" Target="media/image21.png" /><Relationship Id="rId4" Type="http://schemas.openxmlformats.org/officeDocument/2006/relationships/image" Target="media/image1.png" /><Relationship Id="rId40" Type="http://schemas.openxmlformats.org/officeDocument/2006/relationships/header" Target="header9.xml" /><Relationship Id="rId41" Type="http://schemas.openxmlformats.org/officeDocument/2006/relationships/header" Target="header10.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image" Target="media/image22.png" /><Relationship Id="rId45" Type="http://schemas.openxmlformats.org/officeDocument/2006/relationships/image" Target="media/image23.png" /><Relationship Id="rId46" Type="http://schemas.openxmlformats.org/officeDocument/2006/relationships/image" Target="media/image24.png" /><Relationship Id="rId47" Type="http://schemas.openxmlformats.org/officeDocument/2006/relationships/image" Target="media/image25.png" /><Relationship Id="rId48" Type="http://schemas.openxmlformats.org/officeDocument/2006/relationships/image" Target="media/image26.png" /><Relationship Id="rId49" Type="http://schemas.openxmlformats.org/officeDocument/2006/relationships/image" Target="media/image27.png" /><Relationship Id="rId5" Type="http://schemas.openxmlformats.org/officeDocument/2006/relationships/header" Target="header1.xml" /><Relationship Id="rId50" Type="http://schemas.openxmlformats.org/officeDocument/2006/relationships/header" Target="header11.xml" /><Relationship Id="rId51" Type="http://schemas.openxmlformats.org/officeDocument/2006/relationships/header" Target="header12.xml" /><Relationship Id="rId52" Type="http://schemas.openxmlformats.org/officeDocument/2006/relationships/footer" Target="footer11.xml" /><Relationship Id="rId53" Type="http://schemas.openxmlformats.org/officeDocument/2006/relationships/footer" Target="footer12.xml" /><Relationship Id="rId54" Type="http://schemas.openxmlformats.org/officeDocument/2006/relationships/image" Target="media/image28.png" /><Relationship Id="rId55" Type="http://schemas.openxmlformats.org/officeDocument/2006/relationships/header" Target="header13.xml" /><Relationship Id="rId56" Type="http://schemas.openxmlformats.org/officeDocument/2006/relationships/header" Target="header14.xml" /><Relationship Id="rId57" Type="http://schemas.openxmlformats.org/officeDocument/2006/relationships/footer" Target="footer13.xml" /><Relationship Id="rId58" Type="http://schemas.openxmlformats.org/officeDocument/2006/relationships/footer" Target="footer14.xml" /><Relationship Id="rId59" Type="http://schemas.openxmlformats.org/officeDocument/2006/relationships/header" Target="header15.xml" /><Relationship Id="rId6" Type="http://schemas.openxmlformats.org/officeDocument/2006/relationships/header" Target="header2.xml" /><Relationship Id="rId60" Type="http://schemas.openxmlformats.org/officeDocument/2006/relationships/header" Target="header16.xml" /><Relationship Id="rId61" Type="http://schemas.openxmlformats.org/officeDocument/2006/relationships/footer" Target="footer15.xml" /><Relationship Id="rId62" Type="http://schemas.openxmlformats.org/officeDocument/2006/relationships/footer" Target="footer16.xml" /><Relationship Id="rId63" Type="http://schemas.openxmlformats.org/officeDocument/2006/relationships/header" Target="header17.xml" /><Relationship Id="rId64" Type="http://schemas.openxmlformats.org/officeDocument/2006/relationships/header" Target="header18.xml" /><Relationship Id="rId65" Type="http://schemas.openxmlformats.org/officeDocument/2006/relationships/footer" Target="footer17.xml" /><Relationship Id="rId66" Type="http://schemas.openxmlformats.org/officeDocument/2006/relationships/footer" Target="footer18.xml" /><Relationship Id="rId67" Type="http://schemas.openxmlformats.org/officeDocument/2006/relationships/header" Target="header19.xml" /><Relationship Id="rId68" Type="http://schemas.openxmlformats.org/officeDocument/2006/relationships/header" Target="header20.xml" /><Relationship Id="rId69" Type="http://schemas.openxmlformats.org/officeDocument/2006/relationships/footer" Target="footer19.xml" /><Relationship Id="rId7" Type="http://schemas.openxmlformats.org/officeDocument/2006/relationships/footer" Target="footer1.xml" /><Relationship Id="rId70" Type="http://schemas.openxmlformats.org/officeDocument/2006/relationships/footer" Target="footer20.xml" /><Relationship Id="rId71" Type="http://schemas.openxmlformats.org/officeDocument/2006/relationships/header" Target="header21.xml" /><Relationship Id="rId72" Type="http://schemas.openxmlformats.org/officeDocument/2006/relationships/header" Target="header22.xml" /><Relationship Id="rId73" Type="http://schemas.openxmlformats.org/officeDocument/2006/relationships/footer" Target="footer21.xml" /><Relationship Id="rId74" Type="http://schemas.openxmlformats.org/officeDocument/2006/relationships/footer" Target="footer22.xml" /><Relationship Id="rId75" Type="http://schemas.openxmlformats.org/officeDocument/2006/relationships/hyperlink" Target="https://d.book118.com/176135135134010042" TargetMode="External" /><Relationship Id="rId76" Type="http://schemas.openxmlformats.org/officeDocument/2006/relationships/header" Target="header23.xml" /><Relationship Id="rId77" Type="http://schemas.openxmlformats.org/officeDocument/2006/relationships/header" Target="header24.xml" /><Relationship Id="rId78" Type="http://schemas.openxmlformats.org/officeDocument/2006/relationships/footer" Target="footer23.xml" /><Relationship Id="rId79" Type="http://schemas.openxmlformats.org/officeDocument/2006/relationships/footer" Target="footer24.xml" /><Relationship Id="rId8" Type="http://schemas.openxmlformats.org/officeDocument/2006/relationships/footer" Target="footer2.xml" /><Relationship Id="rId80" Type="http://schemas.openxmlformats.org/officeDocument/2006/relationships/theme" Target="theme/theme1.xml" /><Relationship Id="rId81" Type="http://schemas.openxmlformats.org/officeDocument/2006/relationships/numbering" Target="numbering.xml" /><Relationship Id="rId82" Type="http://schemas.openxmlformats.org/officeDocument/2006/relationships/styles" Target="styles.xml" /><Relationship Id="rId9" Type="http://schemas.openxmlformats.org/officeDocument/2006/relationships/image" Target="media/image2.png" /></Relationships>
</file>

<file path=word/_rels/header5.xml.rels><?xml version="1.0" encoding="utf-8" standalone="yes"?><Relationships xmlns="http://schemas.openxmlformats.org/package/2006/relationships"><Relationship Id="rId1" Type="http://schemas.openxmlformats.org/officeDocument/2006/relationships/image" Target="media/image7.png" /></Relationships>
</file>

<file path=word/_rels/header7.xml.rels><?xml version="1.0" encoding="utf-8" standalone="yes"?><Relationships xmlns="http://schemas.openxmlformats.org/package/2006/relationships"><Relationship Id="rId1" Type="http://schemas.openxmlformats.org/officeDocument/2006/relationships/image" Target="media/image7.png" /></Relationships>
</file>

<file path=word/_rels/header9.xml.rels><?xml version="1.0" encoding="utf-8" standalone="yes"?><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yangqing</dc:creator>
  <cp:revision>0</cp:revision>
  <dcterms:created xsi:type="dcterms:W3CDTF">2024-01-30T11:49:47Z</dcterms:created>
  <dcterms:modified xsi:type="dcterms:W3CDTF">2024-01-30T11:49:47Z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2024-01-26T00:00:00Z</vt:filetime>
  </property>
  <property fmtid="{D5CDD505-2E9C-101B-9397-08002B2CF9AE}" pid="3" name="Creator">
    <vt:lpwstr>Microsoft® Word 2013</vt:lpwstr>
  </property>
  <property fmtid="{D5CDD505-2E9C-101B-9397-08002B2CF9AE}" pid="4" name="LastSaved">
    <vt:filetime>2024-01-30T00:00:00Z</vt:filetime>
  </property>
</Properties>
</file>