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稳相微波射频同轴电缆项目规划设计方案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73" w:history="1">
        <w:r>
          <w:rPr>
            <w:rFonts w:ascii="仿宋" w:eastAsia="仿宋" w:hAnsi="仿宋" w:cs="仿宋" w:hint="eastAsia"/>
            <w:lang w:eastAsia="zh-CN"/>
          </w:rPr>
          <w:t>前言</w:t>
        </w:r>
        <w:r>
          <w:tab/>
        </w:r>
        <w:r>
          <w:fldChar w:fldCharType="begin"/>
        </w:r>
        <w:r>
          <w:instrText xml:space="preserve"> PAGEREF _Toc3473 \h </w:instrText>
        </w:r>
        <w:r>
          <w:fldChar w:fldCharType="separate"/>
        </w:r>
        <w:r>
          <w:t>3</w:t>
        </w:r>
        <w:r>
          <w:fldChar w:fldCharType="end"/>
        </w:r>
      </w:hyperlink>
    </w:p>
    <w:p>
      <w:pPr>
        <w:pStyle w:val="TOC1"/>
        <w:tabs>
          <w:tab w:val="right" w:leader="dot" w:pos="8306"/>
        </w:tabs>
      </w:pPr>
      <w:hyperlink w:anchor="_Toc27257" w:history="1">
        <w:r>
          <w:rPr>
            <w:rFonts w:ascii="仿宋" w:eastAsia="仿宋" w:hAnsi="仿宋" w:cs="仿宋" w:hint="eastAsia"/>
            <w:lang w:eastAsia="zh-CN"/>
          </w:rPr>
          <w:t>一、市场分析、调研</w:t>
        </w:r>
        <w:r>
          <w:tab/>
        </w:r>
        <w:r>
          <w:fldChar w:fldCharType="begin"/>
        </w:r>
        <w:r>
          <w:instrText xml:space="preserve"> PAGEREF _Toc27257 \h </w:instrText>
        </w:r>
        <w:r>
          <w:fldChar w:fldCharType="separate"/>
        </w:r>
        <w:r>
          <w:t>3</w:t>
        </w:r>
        <w:r>
          <w:fldChar w:fldCharType="end"/>
        </w:r>
      </w:hyperlink>
    </w:p>
    <w:p>
      <w:pPr>
        <w:pStyle w:val="TOC2"/>
        <w:tabs>
          <w:tab w:val="right" w:leader="dot" w:pos="8306"/>
        </w:tabs>
      </w:pPr>
      <w:hyperlink w:anchor="_Toc31306" w:history="1">
        <w:r>
          <w:rPr>
            <w:rFonts w:ascii="仿宋" w:eastAsia="仿宋" w:hAnsi="仿宋" w:cs="仿宋" w:hint="eastAsia"/>
            <w:lang w:eastAsia="zh-CN"/>
          </w:rPr>
          <w:t>(一)、稳相微波射频同轴电缆行业分析</w:t>
        </w:r>
        <w:r>
          <w:tab/>
        </w:r>
        <w:r>
          <w:fldChar w:fldCharType="begin"/>
        </w:r>
        <w:r>
          <w:instrText xml:space="preserve"> PAGEREF _Toc31306 \h </w:instrText>
        </w:r>
        <w:r>
          <w:fldChar w:fldCharType="separate"/>
        </w:r>
        <w:r>
          <w:t>3</w:t>
        </w:r>
        <w:r>
          <w:fldChar w:fldCharType="end"/>
        </w:r>
      </w:hyperlink>
    </w:p>
    <w:p>
      <w:pPr>
        <w:pStyle w:val="TOC2"/>
        <w:tabs>
          <w:tab w:val="right" w:leader="dot" w:pos="8306"/>
        </w:tabs>
      </w:pPr>
      <w:hyperlink w:anchor="_Toc12463" w:history="1">
        <w:r>
          <w:rPr>
            <w:rFonts w:ascii="仿宋" w:eastAsia="仿宋" w:hAnsi="仿宋" w:cs="仿宋" w:hint="eastAsia"/>
            <w:lang w:eastAsia="zh-CN"/>
          </w:rPr>
          <w:t>(二)、稳相微波射频同轴电缆市场分析预测</w:t>
        </w:r>
        <w:r>
          <w:tab/>
        </w:r>
        <w:r>
          <w:fldChar w:fldCharType="begin"/>
        </w:r>
        <w:r>
          <w:instrText xml:space="preserve"> PAGEREF _Toc12463 \h </w:instrText>
        </w:r>
        <w:r>
          <w:fldChar w:fldCharType="separate"/>
        </w:r>
        <w:r>
          <w:t>4</w:t>
        </w:r>
        <w:r>
          <w:fldChar w:fldCharType="end"/>
        </w:r>
      </w:hyperlink>
    </w:p>
    <w:p>
      <w:pPr>
        <w:pStyle w:val="TOC1"/>
        <w:tabs>
          <w:tab w:val="right" w:leader="dot" w:pos="8306"/>
        </w:tabs>
      </w:pPr>
      <w:hyperlink w:anchor="_Toc4005" w:history="1">
        <w:r>
          <w:rPr>
            <w:rFonts w:ascii="仿宋" w:eastAsia="仿宋" w:hAnsi="仿宋" w:cs="仿宋" w:hint="eastAsia"/>
            <w:lang w:eastAsia="zh-CN"/>
          </w:rPr>
          <w:t>二、稳相微波射频同轴电缆项目文档管理</w:t>
        </w:r>
        <w:r>
          <w:tab/>
        </w:r>
        <w:r>
          <w:fldChar w:fldCharType="begin"/>
        </w:r>
        <w:r>
          <w:instrText xml:space="preserve"> PAGEREF _Toc4005 \h </w:instrText>
        </w:r>
        <w:r>
          <w:fldChar w:fldCharType="separate"/>
        </w:r>
        <w:r>
          <w:t>5</w:t>
        </w:r>
        <w:r>
          <w:fldChar w:fldCharType="end"/>
        </w:r>
      </w:hyperlink>
    </w:p>
    <w:p>
      <w:pPr>
        <w:pStyle w:val="TOC2"/>
        <w:tabs>
          <w:tab w:val="right" w:leader="dot" w:pos="8306"/>
        </w:tabs>
      </w:pPr>
      <w:hyperlink w:anchor="_Toc4422" w:history="1">
        <w:r>
          <w:rPr>
            <w:rFonts w:ascii="仿宋" w:eastAsia="仿宋" w:hAnsi="仿宋" w:cs="仿宋" w:hint="eastAsia"/>
            <w:lang w:eastAsia="zh-CN"/>
          </w:rPr>
          <w:t>(一)、文档编制与审查</w:t>
        </w:r>
        <w:r>
          <w:tab/>
        </w:r>
        <w:r>
          <w:fldChar w:fldCharType="begin"/>
        </w:r>
        <w:r>
          <w:instrText xml:space="preserve"> PAGEREF _Toc4422 \h </w:instrText>
        </w:r>
        <w:r>
          <w:fldChar w:fldCharType="separate"/>
        </w:r>
        <w:r>
          <w:t>5</w:t>
        </w:r>
        <w:r>
          <w:fldChar w:fldCharType="end"/>
        </w:r>
      </w:hyperlink>
    </w:p>
    <w:p>
      <w:pPr>
        <w:pStyle w:val="TOC2"/>
        <w:tabs>
          <w:tab w:val="right" w:leader="dot" w:pos="8306"/>
        </w:tabs>
      </w:pPr>
      <w:hyperlink w:anchor="_Toc523" w:history="1">
        <w:r>
          <w:rPr>
            <w:rFonts w:ascii="仿宋" w:eastAsia="仿宋" w:hAnsi="仿宋" w:cs="仿宋" w:hint="eastAsia"/>
            <w:lang w:eastAsia="zh-CN"/>
          </w:rPr>
          <w:t>(二)、文档发布与分发</w:t>
        </w:r>
        <w:r>
          <w:tab/>
        </w:r>
        <w:r>
          <w:fldChar w:fldCharType="begin"/>
        </w:r>
        <w:r>
          <w:instrText xml:space="preserve"> PAGEREF _Toc523 \h </w:instrText>
        </w:r>
        <w:r>
          <w:fldChar w:fldCharType="separate"/>
        </w:r>
        <w:r>
          <w:t>6</w:t>
        </w:r>
        <w:r>
          <w:fldChar w:fldCharType="end"/>
        </w:r>
      </w:hyperlink>
    </w:p>
    <w:p>
      <w:pPr>
        <w:pStyle w:val="TOC2"/>
        <w:tabs>
          <w:tab w:val="right" w:leader="dot" w:pos="8306"/>
        </w:tabs>
      </w:pPr>
      <w:hyperlink w:anchor="_Toc6963" w:history="1">
        <w:r>
          <w:rPr>
            <w:rFonts w:ascii="仿宋" w:eastAsia="仿宋" w:hAnsi="仿宋" w:cs="仿宋" w:hint="eastAsia"/>
            <w:lang w:eastAsia="zh-CN"/>
          </w:rPr>
          <w:t>(三)、文档存档与归档</w:t>
        </w:r>
        <w:r>
          <w:tab/>
        </w:r>
        <w:r>
          <w:fldChar w:fldCharType="begin"/>
        </w:r>
        <w:r>
          <w:instrText xml:space="preserve"> PAGEREF _Toc6963 \h </w:instrText>
        </w:r>
        <w:r>
          <w:fldChar w:fldCharType="separate"/>
        </w:r>
        <w:r>
          <w:t>7</w:t>
        </w:r>
        <w:r>
          <w:fldChar w:fldCharType="end"/>
        </w:r>
      </w:hyperlink>
    </w:p>
    <w:p>
      <w:pPr>
        <w:pStyle w:val="TOC1"/>
        <w:tabs>
          <w:tab w:val="right" w:leader="dot" w:pos="8306"/>
        </w:tabs>
      </w:pPr>
      <w:hyperlink w:anchor="_Toc26628" w:history="1">
        <w:r>
          <w:rPr>
            <w:rFonts w:ascii="仿宋" w:eastAsia="仿宋" w:hAnsi="仿宋" w:cs="仿宋" w:hint="eastAsia"/>
            <w:lang w:eastAsia="zh-CN"/>
          </w:rPr>
          <w:t>三、产品规划分析</w:t>
        </w:r>
        <w:r>
          <w:tab/>
        </w:r>
        <w:r>
          <w:fldChar w:fldCharType="begin"/>
        </w:r>
        <w:r>
          <w:instrText xml:space="preserve"> PAGEREF _Toc26628 \h </w:instrText>
        </w:r>
        <w:r>
          <w:fldChar w:fldCharType="separate"/>
        </w:r>
        <w:r>
          <w:t>8</w:t>
        </w:r>
        <w:r>
          <w:fldChar w:fldCharType="end"/>
        </w:r>
      </w:hyperlink>
    </w:p>
    <w:p>
      <w:pPr>
        <w:pStyle w:val="TOC2"/>
        <w:tabs>
          <w:tab w:val="right" w:leader="dot" w:pos="8306"/>
        </w:tabs>
      </w:pPr>
      <w:hyperlink w:anchor="_Toc26784" w:history="1">
        <w:r>
          <w:rPr>
            <w:rFonts w:ascii="仿宋" w:eastAsia="仿宋" w:hAnsi="仿宋" w:cs="仿宋" w:hint="eastAsia"/>
            <w:lang w:eastAsia="zh-CN"/>
          </w:rPr>
          <w:t>(一)、产品规划</w:t>
        </w:r>
        <w:r>
          <w:tab/>
        </w:r>
        <w:r>
          <w:fldChar w:fldCharType="begin"/>
        </w:r>
        <w:r>
          <w:instrText xml:space="preserve"> PAGEREF _Toc26784 \h </w:instrText>
        </w:r>
        <w:r>
          <w:fldChar w:fldCharType="separate"/>
        </w:r>
        <w:r>
          <w:t>8</w:t>
        </w:r>
        <w:r>
          <w:fldChar w:fldCharType="end"/>
        </w:r>
      </w:hyperlink>
    </w:p>
    <w:p>
      <w:pPr>
        <w:pStyle w:val="TOC2"/>
        <w:tabs>
          <w:tab w:val="right" w:leader="dot" w:pos="8306"/>
        </w:tabs>
      </w:pPr>
      <w:hyperlink w:anchor="_Toc25043" w:history="1">
        <w:r>
          <w:rPr>
            <w:rFonts w:ascii="仿宋" w:eastAsia="仿宋" w:hAnsi="仿宋" w:cs="仿宋" w:hint="eastAsia"/>
            <w:lang w:eastAsia="zh-CN"/>
          </w:rPr>
          <w:t>(二)、建设规模</w:t>
        </w:r>
        <w:r>
          <w:tab/>
        </w:r>
        <w:r>
          <w:fldChar w:fldCharType="begin"/>
        </w:r>
        <w:r>
          <w:instrText xml:space="preserve"> PAGEREF _Toc25043 \h </w:instrText>
        </w:r>
        <w:r>
          <w:fldChar w:fldCharType="separate"/>
        </w:r>
        <w:r>
          <w:t>9</w:t>
        </w:r>
        <w:r>
          <w:fldChar w:fldCharType="end"/>
        </w:r>
      </w:hyperlink>
    </w:p>
    <w:p>
      <w:pPr>
        <w:pStyle w:val="TOC1"/>
        <w:tabs>
          <w:tab w:val="right" w:leader="dot" w:pos="8306"/>
        </w:tabs>
      </w:pPr>
      <w:hyperlink w:anchor="_Toc13467" w:history="1">
        <w:r>
          <w:rPr>
            <w:rFonts w:ascii="仿宋" w:eastAsia="仿宋" w:hAnsi="仿宋" w:cs="仿宋" w:hint="eastAsia"/>
            <w:lang w:eastAsia="zh-CN"/>
          </w:rPr>
          <w:t>四、稳相微波射频同轴电缆项目选址可行性分析</w:t>
        </w:r>
        <w:r>
          <w:tab/>
        </w:r>
        <w:r>
          <w:fldChar w:fldCharType="begin"/>
        </w:r>
        <w:r>
          <w:instrText xml:space="preserve"> PAGEREF _Toc13467 \h </w:instrText>
        </w:r>
        <w:r>
          <w:fldChar w:fldCharType="separate"/>
        </w:r>
        <w:r>
          <w:t>10</w:t>
        </w:r>
        <w:r>
          <w:fldChar w:fldCharType="end"/>
        </w:r>
      </w:hyperlink>
    </w:p>
    <w:p>
      <w:pPr>
        <w:pStyle w:val="TOC2"/>
        <w:tabs>
          <w:tab w:val="right" w:leader="dot" w:pos="8306"/>
        </w:tabs>
      </w:pPr>
      <w:hyperlink w:anchor="_Toc13009" w:history="1">
        <w:r>
          <w:rPr>
            <w:rFonts w:ascii="仿宋" w:eastAsia="仿宋" w:hAnsi="仿宋" w:cs="仿宋" w:hint="eastAsia"/>
            <w:lang w:eastAsia="zh-CN"/>
          </w:rPr>
          <w:t>(一)、稳相微波射频同轴电缆项目选址</w:t>
        </w:r>
        <w:r>
          <w:tab/>
        </w:r>
        <w:r>
          <w:fldChar w:fldCharType="begin"/>
        </w:r>
        <w:r>
          <w:instrText xml:space="preserve"> PAGEREF _Toc13009 \h </w:instrText>
        </w:r>
        <w:r>
          <w:fldChar w:fldCharType="separate"/>
        </w:r>
        <w:r>
          <w:t>10</w:t>
        </w:r>
        <w:r>
          <w:fldChar w:fldCharType="end"/>
        </w:r>
      </w:hyperlink>
    </w:p>
    <w:p>
      <w:pPr>
        <w:pStyle w:val="TOC2"/>
        <w:tabs>
          <w:tab w:val="right" w:leader="dot" w:pos="8306"/>
        </w:tabs>
      </w:pPr>
      <w:hyperlink w:anchor="_Toc32628" w:history="1">
        <w:r>
          <w:rPr>
            <w:rFonts w:ascii="仿宋" w:eastAsia="仿宋" w:hAnsi="仿宋" w:cs="仿宋" w:hint="eastAsia"/>
            <w:lang w:eastAsia="zh-CN"/>
          </w:rPr>
          <w:t>(二)、用地控制指标</w:t>
        </w:r>
        <w:r>
          <w:tab/>
        </w:r>
        <w:r>
          <w:fldChar w:fldCharType="begin"/>
        </w:r>
        <w:r>
          <w:instrText xml:space="preserve"> PAGEREF _Toc32628 \h </w:instrText>
        </w:r>
        <w:r>
          <w:fldChar w:fldCharType="separate"/>
        </w:r>
        <w:r>
          <w:t>10</w:t>
        </w:r>
        <w:r>
          <w:fldChar w:fldCharType="end"/>
        </w:r>
      </w:hyperlink>
    </w:p>
    <w:p>
      <w:pPr>
        <w:pStyle w:val="TOC2"/>
        <w:tabs>
          <w:tab w:val="right" w:leader="dot" w:pos="8306"/>
        </w:tabs>
      </w:pPr>
      <w:hyperlink w:anchor="_Toc743" w:history="1">
        <w:r>
          <w:rPr>
            <w:rFonts w:ascii="仿宋" w:eastAsia="仿宋" w:hAnsi="仿宋" w:cs="仿宋" w:hint="eastAsia"/>
            <w:lang w:eastAsia="zh-CN"/>
          </w:rPr>
          <w:t>(三)、节约用地措施</w:t>
        </w:r>
        <w:r>
          <w:tab/>
        </w:r>
        <w:r>
          <w:fldChar w:fldCharType="begin"/>
        </w:r>
        <w:r>
          <w:instrText xml:space="preserve"> PAGEREF _Toc743 \h </w:instrText>
        </w:r>
        <w:r>
          <w:fldChar w:fldCharType="separate"/>
        </w:r>
        <w:r>
          <w:t>13</w:t>
        </w:r>
        <w:r>
          <w:fldChar w:fldCharType="end"/>
        </w:r>
      </w:hyperlink>
    </w:p>
    <w:p>
      <w:pPr>
        <w:pStyle w:val="TOC2"/>
        <w:tabs>
          <w:tab w:val="right" w:leader="dot" w:pos="8306"/>
        </w:tabs>
      </w:pPr>
      <w:hyperlink w:anchor="_Toc16101" w:history="1">
        <w:r>
          <w:rPr>
            <w:rFonts w:ascii="仿宋" w:eastAsia="仿宋" w:hAnsi="仿宋" w:cs="仿宋" w:hint="eastAsia"/>
            <w:lang w:eastAsia="zh-CN"/>
          </w:rPr>
          <w:t>(四)、总图布置方案</w:t>
        </w:r>
        <w:r>
          <w:tab/>
        </w:r>
        <w:r>
          <w:fldChar w:fldCharType="begin"/>
        </w:r>
        <w:r>
          <w:instrText xml:space="preserve"> PAGEREF _Toc16101 \h </w:instrText>
        </w:r>
        <w:r>
          <w:fldChar w:fldCharType="separate"/>
        </w:r>
        <w:r>
          <w:t>14</w:t>
        </w:r>
        <w:r>
          <w:fldChar w:fldCharType="end"/>
        </w:r>
      </w:hyperlink>
    </w:p>
    <w:p>
      <w:pPr>
        <w:pStyle w:val="TOC2"/>
        <w:tabs>
          <w:tab w:val="right" w:leader="dot" w:pos="8306"/>
        </w:tabs>
      </w:pPr>
      <w:hyperlink w:anchor="_Toc28825" w:history="1">
        <w:r>
          <w:rPr>
            <w:rFonts w:ascii="仿宋" w:eastAsia="仿宋" w:hAnsi="仿宋" w:cs="仿宋" w:hint="eastAsia"/>
            <w:lang w:eastAsia="zh-CN"/>
          </w:rPr>
          <w:t>(五)、选址综合评价</w:t>
        </w:r>
        <w:r>
          <w:tab/>
        </w:r>
        <w:r>
          <w:fldChar w:fldCharType="begin"/>
        </w:r>
        <w:r>
          <w:instrText xml:space="preserve"> PAGEREF _Toc28825 \h </w:instrText>
        </w:r>
        <w:r>
          <w:fldChar w:fldCharType="separate"/>
        </w:r>
        <w:r>
          <w:t>15</w:t>
        </w:r>
        <w:r>
          <w:fldChar w:fldCharType="end"/>
        </w:r>
      </w:hyperlink>
    </w:p>
    <w:p>
      <w:pPr>
        <w:pStyle w:val="TOC1"/>
        <w:tabs>
          <w:tab w:val="right" w:leader="dot" w:pos="8306"/>
        </w:tabs>
      </w:pPr>
      <w:hyperlink w:anchor="_Toc16487" w:history="1">
        <w:r>
          <w:rPr>
            <w:rFonts w:ascii="仿宋" w:eastAsia="仿宋" w:hAnsi="仿宋" w:cs="仿宋" w:hint="eastAsia"/>
            <w:lang w:eastAsia="zh-CN"/>
          </w:rPr>
          <w:t>五、稳相微波射频同轴电缆项目建设背景及必要性分析</w:t>
        </w:r>
        <w:r>
          <w:tab/>
        </w:r>
        <w:r>
          <w:fldChar w:fldCharType="begin"/>
        </w:r>
        <w:r>
          <w:instrText xml:space="preserve"> PAGEREF _Toc16487 \h </w:instrText>
        </w:r>
        <w:r>
          <w:fldChar w:fldCharType="separate"/>
        </w:r>
        <w:r>
          <w:t>16</w:t>
        </w:r>
        <w:r>
          <w:fldChar w:fldCharType="end"/>
        </w:r>
      </w:hyperlink>
    </w:p>
    <w:p>
      <w:pPr>
        <w:pStyle w:val="TOC2"/>
        <w:tabs>
          <w:tab w:val="right" w:leader="dot" w:pos="8306"/>
        </w:tabs>
      </w:pPr>
      <w:hyperlink w:anchor="_Toc8302" w:history="1">
        <w:r>
          <w:rPr>
            <w:rFonts w:ascii="仿宋" w:eastAsia="仿宋" w:hAnsi="仿宋" w:cs="仿宋" w:hint="eastAsia"/>
            <w:lang w:eastAsia="zh-CN"/>
          </w:rPr>
          <w:t>(一)、稳相微波射频同轴电缆项目背景分析</w:t>
        </w:r>
        <w:r>
          <w:tab/>
        </w:r>
        <w:r>
          <w:fldChar w:fldCharType="begin"/>
        </w:r>
        <w:r>
          <w:instrText xml:space="preserve"> PAGEREF _Toc8302 \h </w:instrText>
        </w:r>
        <w:r>
          <w:fldChar w:fldCharType="separate"/>
        </w:r>
        <w:r>
          <w:t>16</w:t>
        </w:r>
        <w:r>
          <w:fldChar w:fldCharType="end"/>
        </w:r>
      </w:hyperlink>
    </w:p>
    <w:p>
      <w:pPr>
        <w:pStyle w:val="TOC2"/>
        <w:tabs>
          <w:tab w:val="right" w:leader="dot" w:pos="8306"/>
        </w:tabs>
      </w:pPr>
      <w:hyperlink w:anchor="_Toc22386" w:history="1">
        <w:r>
          <w:rPr>
            <w:rFonts w:ascii="仿宋" w:eastAsia="仿宋" w:hAnsi="仿宋" w:cs="仿宋" w:hint="eastAsia"/>
            <w:lang w:eastAsia="zh-CN"/>
          </w:rPr>
          <w:t>(二)、稳相微波射频同轴电缆项目建设必要性分析</w:t>
        </w:r>
        <w:r>
          <w:tab/>
        </w:r>
        <w:r>
          <w:fldChar w:fldCharType="begin"/>
        </w:r>
        <w:r>
          <w:instrText xml:space="preserve"> PAGEREF _Toc22386 \h </w:instrText>
        </w:r>
        <w:r>
          <w:fldChar w:fldCharType="separate"/>
        </w:r>
        <w:r>
          <w:t>18</w:t>
        </w:r>
        <w:r>
          <w:fldChar w:fldCharType="end"/>
        </w:r>
      </w:hyperlink>
    </w:p>
    <w:p>
      <w:pPr>
        <w:pStyle w:val="TOC1"/>
        <w:tabs>
          <w:tab w:val="right" w:leader="dot" w:pos="8306"/>
        </w:tabs>
      </w:pPr>
      <w:hyperlink w:anchor="_Toc7373" w:history="1">
        <w:r>
          <w:rPr>
            <w:rFonts w:ascii="仿宋" w:eastAsia="仿宋" w:hAnsi="仿宋" w:cs="仿宋" w:hint="eastAsia"/>
            <w:lang w:eastAsia="zh-CN"/>
          </w:rPr>
          <w:t>六、稳相微波射频同轴电缆项目土建工程</w:t>
        </w:r>
        <w:r>
          <w:tab/>
        </w:r>
        <w:r>
          <w:fldChar w:fldCharType="begin"/>
        </w:r>
        <w:r>
          <w:instrText xml:space="preserve"> PAGEREF _Toc7373 \h </w:instrText>
        </w:r>
        <w:r>
          <w:fldChar w:fldCharType="separate"/>
        </w:r>
        <w:r>
          <w:t>19</w:t>
        </w:r>
        <w:r>
          <w:fldChar w:fldCharType="end"/>
        </w:r>
      </w:hyperlink>
    </w:p>
    <w:p>
      <w:pPr>
        <w:pStyle w:val="TOC2"/>
        <w:tabs>
          <w:tab w:val="right" w:leader="dot" w:pos="8306"/>
        </w:tabs>
      </w:pPr>
      <w:hyperlink w:anchor="_Toc32373" w:history="1">
        <w:r>
          <w:rPr>
            <w:rFonts w:ascii="仿宋" w:eastAsia="仿宋" w:hAnsi="仿宋" w:cs="仿宋" w:hint="eastAsia"/>
            <w:lang w:eastAsia="zh-CN"/>
          </w:rPr>
          <w:t>(一)、建筑工程设计原则</w:t>
        </w:r>
        <w:r>
          <w:tab/>
        </w:r>
        <w:r>
          <w:fldChar w:fldCharType="begin"/>
        </w:r>
        <w:r>
          <w:instrText xml:space="preserve"> PAGEREF _Toc32373 \h </w:instrText>
        </w:r>
        <w:r>
          <w:fldChar w:fldCharType="separate"/>
        </w:r>
        <w:r>
          <w:t>19</w:t>
        </w:r>
        <w:r>
          <w:fldChar w:fldCharType="end"/>
        </w:r>
      </w:hyperlink>
    </w:p>
    <w:p>
      <w:pPr>
        <w:pStyle w:val="TOC2"/>
        <w:tabs>
          <w:tab w:val="right" w:leader="dot" w:pos="8306"/>
        </w:tabs>
      </w:pPr>
      <w:hyperlink w:anchor="_Toc12672" w:history="1">
        <w:r>
          <w:rPr>
            <w:rFonts w:ascii="仿宋" w:eastAsia="仿宋" w:hAnsi="仿宋" w:cs="仿宋" w:hint="eastAsia"/>
            <w:lang w:eastAsia="zh-CN"/>
          </w:rPr>
          <w:t>(二)、土建工程设计年限及安全等级</w:t>
        </w:r>
        <w:r>
          <w:tab/>
        </w:r>
        <w:r>
          <w:fldChar w:fldCharType="begin"/>
        </w:r>
        <w:r>
          <w:instrText xml:space="preserve"> PAGEREF _Toc12672 \h </w:instrText>
        </w:r>
        <w:r>
          <w:fldChar w:fldCharType="separate"/>
        </w:r>
        <w:r>
          <w:t>20</w:t>
        </w:r>
        <w:r>
          <w:fldChar w:fldCharType="end"/>
        </w:r>
      </w:hyperlink>
    </w:p>
    <w:p>
      <w:pPr>
        <w:pStyle w:val="TOC2"/>
        <w:tabs>
          <w:tab w:val="right" w:leader="dot" w:pos="8306"/>
        </w:tabs>
      </w:pPr>
      <w:hyperlink w:anchor="_Toc2245" w:history="1">
        <w:r>
          <w:rPr>
            <w:rFonts w:ascii="仿宋" w:eastAsia="仿宋" w:hAnsi="仿宋" w:cs="仿宋" w:hint="eastAsia"/>
            <w:lang w:eastAsia="zh-CN"/>
          </w:rPr>
          <w:t>(三)、建筑工程设计总体要求</w:t>
        </w:r>
        <w:r>
          <w:tab/>
        </w:r>
        <w:r>
          <w:fldChar w:fldCharType="begin"/>
        </w:r>
        <w:r>
          <w:instrText xml:space="preserve"> PAGEREF _Toc2245 \h </w:instrText>
        </w:r>
        <w:r>
          <w:fldChar w:fldCharType="separate"/>
        </w:r>
        <w:r>
          <w:t>22</w:t>
        </w:r>
        <w:r>
          <w:fldChar w:fldCharType="end"/>
        </w:r>
      </w:hyperlink>
    </w:p>
    <w:p>
      <w:pPr>
        <w:pStyle w:val="TOC2"/>
        <w:tabs>
          <w:tab w:val="right" w:leader="dot" w:pos="8306"/>
        </w:tabs>
      </w:pPr>
      <w:hyperlink w:anchor="_Toc2166" w:history="1">
        <w:r>
          <w:rPr>
            <w:rFonts w:ascii="仿宋" w:eastAsia="仿宋" w:hAnsi="仿宋" w:cs="仿宋" w:hint="eastAsia"/>
            <w:lang w:eastAsia="zh-CN"/>
          </w:rPr>
          <w:t>(四)、土建工程建设指标</w:t>
        </w:r>
        <w:r>
          <w:tab/>
        </w:r>
        <w:r>
          <w:fldChar w:fldCharType="begin"/>
        </w:r>
        <w:r>
          <w:instrText xml:space="preserve"> PAGEREF _Toc2166 \h </w:instrText>
        </w:r>
        <w:r>
          <w:fldChar w:fldCharType="separate"/>
        </w:r>
        <w:r>
          <w:t>22</w:t>
        </w:r>
        <w:r>
          <w:fldChar w:fldCharType="end"/>
        </w:r>
      </w:hyperlink>
    </w:p>
    <w:p>
      <w:pPr>
        <w:pStyle w:val="TOC1"/>
        <w:tabs>
          <w:tab w:val="right" w:leader="dot" w:pos="8306"/>
        </w:tabs>
      </w:pPr>
      <w:hyperlink w:anchor="_Toc13528" w:history="1">
        <w:r>
          <w:rPr>
            <w:rFonts w:ascii="仿宋" w:eastAsia="仿宋" w:hAnsi="仿宋" w:cs="仿宋" w:hint="eastAsia"/>
            <w:lang w:eastAsia="zh-CN"/>
          </w:rPr>
          <w:t>七、稳相微波射频同轴电缆项目人力资源管理</w:t>
        </w:r>
        <w:r>
          <w:tab/>
        </w:r>
        <w:r>
          <w:fldChar w:fldCharType="begin"/>
        </w:r>
        <w:r>
          <w:instrText xml:space="preserve"> PAGEREF _Toc13528 \h </w:instrText>
        </w:r>
        <w:r>
          <w:fldChar w:fldCharType="separate"/>
        </w:r>
        <w:r>
          <w:t>23</w:t>
        </w:r>
        <w:r>
          <w:fldChar w:fldCharType="end"/>
        </w:r>
      </w:hyperlink>
    </w:p>
    <w:p>
      <w:pPr>
        <w:pStyle w:val="TOC2"/>
        <w:tabs>
          <w:tab w:val="right" w:leader="dot" w:pos="8306"/>
        </w:tabs>
      </w:pPr>
      <w:hyperlink w:anchor="_Toc14721" w:history="1">
        <w:r>
          <w:rPr>
            <w:rFonts w:ascii="仿宋" w:eastAsia="仿宋" w:hAnsi="仿宋" w:cs="仿宋" w:hint="eastAsia"/>
            <w:lang w:eastAsia="zh-CN"/>
          </w:rPr>
          <w:t>(一)、建立健全的预算管理制度</w:t>
        </w:r>
        <w:r>
          <w:tab/>
        </w:r>
        <w:r>
          <w:fldChar w:fldCharType="begin"/>
        </w:r>
        <w:r>
          <w:instrText xml:space="preserve"> PAGEREF _Toc14721 \h </w:instrText>
        </w:r>
        <w:r>
          <w:fldChar w:fldCharType="separate"/>
        </w:r>
        <w:r>
          <w:t>23</w:t>
        </w:r>
        <w:r>
          <w:fldChar w:fldCharType="end"/>
        </w:r>
      </w:hyperlink>
    </w:p>
    <w:p>
      <w:pPr>
        <w:pStyle w:val="TOC2"/>
        <w:tabs>
          <w:tab w:val="right" w:leader="dot" w:pos="8306"/>
        </w:tabs>
      </w:pPr>
      <w:hyperlink w:anchor="_Toc10632" w:history="1">
        <w:r>
          <w:rPr>
            <w:rFonts w:ascii="仿宋" w:eastAsia="仿宋" w:hAnsi="仿宋" w:cs="仿宋" w:hint="eastAsia"/>
            <w:lang w:eastAsia="zh-CN"/>
          </w:rPr>
          <w:t>(二)、加强资金流动监控</w:t>
        </w:r>
        <w:r>
          <w:tab/>
        </w:r>
        <w:r>
          <w:fldChar w:fldCharType="begin"/>
        </w:r>
        <w:r>
          <w:instrText xml:space="preserve"> PAGEREF _Toc10632 \h </w:instrText>
        </w:r>
        <w:r>
          <w:fldChar w:fldCharType="separate"/>
        </w:r>
        <w:r>
          <w:t>24</w:t>
        </w:r>
        <w:r>
          <w:fldChar w:fldCharType="end"/>
        </w:r>
      </w:hyperlink>
    </w:p>
    <w:p>
      <w:pPr>
        <w:pStyle w:val="TOC2"/>
        <w:tabs>
          <w:tab w:val="right" w:leader="dot" w:pos="8306"/>
        </w:tabs>
      </w:pPr>
      <w:hyperlink w:anchor="_Toc19748" w:history="1">
        <w:r>
          <w:rPr>
            <w:rFonts w:ascii="仿宋" w:eastAsia="仿宋" w:hAnsi="仿宋" w:cs="仿宋" w:hint="eastAsia"/>
            <w:lang w:eastAsia="zh-CN"/>
          </w:rPr>
          <w:t>(三)、制定完善的风险控制机制</w:t>
        </w:r>
        <w:r>
          <w:tab/>
        </w:r>
        <w:r>
          <w:fldChar w:fldCharType="begin"/>
        </w:r>
        <w:r>
          <w:instrText xml:space="preserve"> PAGEREF _Toc19748 \h </w:instrText>
        </w:r>
        <w:r>
          <w:fldChar w:fldCharType="separate"/>
        </w:r>
        <w:r>
          <w:t>26</w:t>
        </w:r>
        <w:r>
          <w:fldChar w:fldCharType="end"/>
        </w:r>
      </w:hyperlink>
    </w:p>
    <w:p>
      <w:pPr>
        <w:pStyle w:val="TOC2"/>
        <w:tabs>
          <w:tab w:val="right" w:leader="dot" w:pos="8306"/>
        </w:tabs>
      </w:pPr>
      <w:hyperlink w:anchor="_Toc32300" w:history="1">
        <w:r>
          <w:rPr>
            <w:rFonts w:ascii="仿宋" w:eastAsia="仿宋" w:hAnsi="仿宋" w:cs="仿宋" w:hint="eastAsia"/>
            <w:lang w:eastAsia="zh-CN"/>
          </w:rPr>
          <w:t>(四)、优化成本管理</w:t>
        </w:r>
        <w:r>
          <w:tab/>
        </w:r>
        <w:r>
          <w:fldChar w:fldCharType="begin"/>
        </w:r>
        <w:r>
          <w:instrText xml:space="preserve"> PAGEREF _Toc32300 \h </w:instrText>
        </w:r>
        <w:r>
          <w:fldChar w:fldCharType="separate"/>
        </w:r>
        <w:r>
          <w:t>27</w:t>
        </w:r>
        <w:r>
          <w:fldChar w:fldCharType="end"/>
        </w:r>
      </w:hyperlink>
    </w:p>
    <w:p>
      <w:pPr>
        <w:pStyle w:val="TOC1"/>
        <w:tabs>
          <w:tab w:val="right" w:leader="dot" w:pos="8306"/>
        </w:tabs>
      </w:pPr>
      <w:hyperlink w:anchor="_Toc29357" w:history="1">
        <w:r>
          <w:rPr>
            <w:rFonts w:ascii="仿宋" w:eastAsia="仿宋" w:hAnsi="仿宋" w:cs="仿宋" w:hint="eastAsia"/>
            <w:lang w:eastAsia="zh-CN"/>
          </w:rPr>
          <w:t>八、稳相微波射频同轴电缆项目经营效益</w:t>
        </w:r>
        <w:r>
          <w:tab/>
        </w:r>
        <w:r>
          <w:fldChar w:fldCharType="begin"/>
        </w:r>
        <w:r>
          <w:instrText xml:space="preserve"> PAGEREF _Toc29357 \h </w:instrText>
        </w:r>
        <w:r>
          <w:fldChar w:fldCharType="separate"/>
        </w:r>
        <w:r>
          <w:t>29</w:t>
        </w:r>
        <w:r>
          <w:fldChar w:fldCharType="end"/>
        </w:r>
      </w:hyperlink>
    </w:p>
    <w:p>
      <w:pPr>
        <w:pStyle w:val="TOC2"/>
        <w:tabs>
          <w:tab w:val="right" w:leader="dot" w:pos="8306"/>
        </w:tabs>
      </w:pPr>
      <w:hyperlink w:anchor="_Toc11471" w:history="1">
        <w:r>
          <w:rPr>
            <w:rFonts w:ascii="仿宋" w:eastAsia="仿宋" w:hAnsi="仿宋" w:cs="仿宋" w:hint="eastAsia"/>
            <w:lang w:eastAsia="zh-CN"/>
          </w:rPr>
          <w:t>(一)、经济评价财务测算</w:t>
        </w:r>
        <w:r>
          <w:tab/>
        </w:r>
        <w:r>
          <w:fldChar w:fldCharType="begin"/>
        </w:r>
        <w:r>
          <w:instrText xml:space="preserve"> PAGEREF _Toc11471 \h </w:instrText>
        </w:r>
        <w:r>
          <w:fldChar w:fldCharType="separate"/>
        </w:r>
        <w:r>
          <w:t>29</w:t>
        </w:r>
        <w:r>
          <w:fldChar w:fldCharType="end"/>
        </w:r>
      </w:hyperlink>
    </w:p>
    <w:p>
      <w:pPr>
        <w:pStyle w:val="TOC2"/>
        <w:tabs>
          <w:tab w:val="right" w:leader="dot" w:pos="8306"/>
        </w:tabs>
      </w:pPr>
      <w:hyperlink w:anchor="_Toc27687" w:history="1">
        <w:r>
          <w:rPr>
            <w:rFonts w:ascii="仿宋" w:eastAsia="仿宋" w:hAnsi="仿宋" w:cs="仿宋" w:hint="eastAsia"/>
            <w:lang w:eastAsia="zh-CN"/>
          </w:rPr>
          <w:t>(二)、稳相微波射频同轴电缆项目盈利能力分析</w:t>
        </w:r>
        <w:r>
          <w:tab/>
        </w:r>
        <w:r>
          <w:fldChar w:fldCharType="begin"/>
        </w:r>
        <w:r>
          <w:instrText xml:space="preserve"> PAGEREF _Toc27687 \h </w:instrText>
        </w:r>
        <w:r>
          <w:fldChar w:fldCharType="separate"/>
        </w:r>
        <w:r>
          <w:t>30</w:t>
        </w:r>
        <w:r>
          <w:fldChar w:fldCharType="end"/>
        </w:r>
      </w:hyperlink>
    </w:p>
    <w:p>
      <w:pPr>
        <w:pStyle w:val="TOC1"/>
        <w:tabs>
          <w:tab w:val="right" w:leader="dot" w:pos="8306"/>
        </w:tabs>
      </w:pPr>
      <w:hyperlink w:anchor="_Toc1744" w:history="1">
        <w:r>
          <w:rPr>
            <w:rFonts w:ascii="仿宋" w:eastAsia="仿宋" w:hAnsi="仿宋" w:cs="仿宋" w:hint="eastAsia"/>
            <w:lang w:eastAsia="zh-CN"/>
          </w:rPr>
          <w:t>九、生产安全保护</w:t>
        </w:r>
        <w:r>
          <w:tab/>
        </w:r>
        <w:r>
          <w:fldChar w:fldCharType="begin"/>
        </w:r>
        <w:r>
          <w:instrText xml:space="preserve"> PAGEREF _Toc1744 \h </w:instrText>
        </w:r>
        <w:r>
          <w:fldChar w:fldCharType="separate"/>
        </w:r>
        <w:r>
          <w:t>31</w:t>
        </w:r>
        <w:r>
          <w:fldChar w:fldCharType="end"/>
        </w:r>
      </w:hyperlink>
    </w:p>
    <w:p>
      <w:pPr>
        <w:pStyle w:val="TOC2"/>
        <w:tabs>
          <w:tab w:val="right" w:leader="dot" w:pos="8306"/>
        </w:tabs>
      </w:pPr>
      <w:hyperlink w:anchor="_Toc1779" w:history="1">
        <w:r>
          <w:rPr>
            <w:rFonts w:ascii="仿宋" w:eastAsia="仿宋" w:hAnsi="仿宋" w:cs="仿宋" w:hint="eastAsia"/>
            <w:lang w:eastAsia="zh-CN"/>
          </w:rPr>
          <w:t>(一)、消防安全</w:t>
        </w:r>
        <w:r>
          <w:tab/>
        </w:r>
        <w:r>
          <w:fldChar w:fldCharType="begin"/>
        </w:r>
        <w:r>
          <w:instrText xml:space="preserve"> PAGEREF _Toc1779 \h </w:instrText>
        </w:r>
        <w:r>
          <w:fldChar w:fldCharType="separate"/>
        </w:r>
        <w:r>
          <w:t>31</w:t>
        </w:r>
        <w:r>
          <w:fldChar w:fldCharType="end"/>
        </w:r>
      </w:hyperlink>
    </w:p>
    <w:p>
      <w:pPr>
        <w:pStyle w:val="TOC2"/>
        <w:tabs>
          <w:tab w:val="right" w:leader="dot" w:pos="8306"/>
        </w:tabs>
      </w:pPr>
      <w:hyperlink w:anchor="_Toc18337" w:history="1">
        <w:r>
          <w:rPr>
            <w:rFonts w:ascii="仿宋" w:eastAsia="仿宋" w:hAnsi="仿宋" w:cs="仿宋" w:hint="eastAsia"/>
            <w:lang w:eastAsia="zh-CN"/>
          </w:rPr>
          <w:t>(二)、防火防爆总图布置措施</w:t>
        </w:r>
        <w:r>
          <w:tab/>
        </w:r>
        <w:r>
          <w:fldChar w:fldCharType="begin"/>
        </w:r>
        <w:r>
          <w:instrText xml:space="preserve"> PAGEREF _Toc18337 \h </w:instrText>
        </w:r>
        <w:r>
          <w:fldChar w:fldCharType="separate"/>
        </w:r>
        <w:r>
          <w:t>33</w:t>
        </w:r>
        <w:r>
          <w:fldChar w:fldCharType="end"/>
        </w:r>
      </w:hyperlink>
    </w:p>
    <w:p>
      <w:pPr>
        <w:pStyle w:val="TOC2"/>
        <w:tabs>
          <w:tab w:val="right" w:leader="dot" w:pos="8306"/>
        </w:tabs>
      </w:pPr>
      <w:hyperlink w:anchor="_Toc28162" w:history="1">
        <w:r>
          <w:rPr>
            <w:rFonts w:ascii="仿宋" w:eastAsia="仿宋" w:hAnsi="仿宋" w:cs="仿宋" w:hint="eastAsia"/>
            <w:lang w:eastAsia="zh-CN"/>
          </w:rPr>
          <w:t>(三)、自然灾害防范措施</w:t>
        </w:r>
        <w:r>
          <w:tab/>
        </w:r>
        <w:r>
          <w:fldChar w:fldCharType="begin"/>
        </w:r>
        <w:r>
          <w:instrText xml:space="preserve"> PAGEREF _Toc28162 \h </w:instrText>
        </w:r>
        <w:r>
          <w:fldChar w:fldCharType="separate"/>
        </w:r>
        <w:r>
          <w:t>33</w:t>
        </w:r>
        <w:r>
          <w:fldChar w:fldCharType="end"/>
        </w:r>
      </w:hyperlink>
    </w:p>
    <w:p>
      <w:pPr>
        <w:pStyle w:val="TOC2"/>
        <w:tabs>
          <w:tab w:val="right" w:leader="dot" w:pos="8306"/>
        </w:tabs>
      </w:pPr>
      <w:hyperlink w:anchor="_Toc32399" w:history="1">
        <w:r>
          <w:rPr>
            <w:rFonts w:ascii="仿宋" w:eastAsia="仿宋" w:hAnsi="仿宋" w:cs="仿宋" w:hint="eastAsia"/>
            <w:lang w:eastAsia="zh-CN"/>
          </w:rPr>
          <w:t>(四)、安全色及安全标志使用要求</w:t>
        </w:r>
        <w:r>
          <w:tab/>
        </w:r>
        <w:r>
          <w:fldChar w:fldCharType="begin"/>
        </w:r>
        <w:r>
          <w:instrText xml:space="preserve"> PAGEREF _Toc32399 \h </w:instrText>
        </w:r>
        <w:r>
          <w:fldChar w:fldCharType="separate"/>
        </w:r>
        <w:r>
          <w:t>35</w:t>
        </w:r>
        <w:r>
          <w:fldChar w:fldCharType="end"/>
        </w:r>
      </w:hyperlink>
    </w:p>
    <w:p>
      <w:pPr>
        <w:pStyle w:val="TOC2"/>
        <w:tabs>
          <w:tab w:val="right" w:leader="dot" w:pos="8306"/>
        </w:tabs>
      </w:pPr>
      <w:hyperlink w:anchor="_Toc19207" w:history="1">
        <w:r>
          <w:rPr>
            <w:rFonts w:ascii="仿宋" w:eastAsia="仿宋" w:hAnsi="仿宋" w:cs="仿宋" w:hint="eastAsia"/>
            <w:lang w:eastAsia="zh-CN"/>
          </w:rPr>
          <w:t>(五)、防尘防毒措施</w:t>
        </w:r>
        <w:r>
          <w:tab/>
        </w:r>
        <w:r>
          <w:fldChar w:fldCharType="begin"/>
        </w:r>
        <w:r>
          <w:instrText xml:space="preserve"> PAGEREF _Toc19207 \h </w:instrText>
        </w:r>
        <w:r>
          <w:fldChar w:fldCharType="separate"/>
        </w:r>
        <w:r>
          <w:t>36</w:t>
        </w:r>
        <w:r>
          <w:fldChar w:fldCharType="end"/>
        </w:r>
      </w:hyperlink>
    </w:p>
    <w:p>
      <w:pPr>
        <w:pStyle w:val="TOC2"/>
        <w:tabs>
          <w:tab w:val="right" w:leader="dot" w:pos="8306"/>
        </w:tabs>
      </w:pPr>
      <w:hyperlink w:anchor="_Toc4021" w:history="1">
        <w:r>
          <w:rPr>
            <w:rFonts w:ascii="仿宋" w:eastAsia="仿宋" w:hAnsi="仿宋" w:cs="仿宋" w:hint="eastAsia"/>
            <w:lang w:eastAsia="zh-CN"/>
          </w:rPr>
          <w:t>(六)、防静电、触电防护及防雷措施</w:t>
        </w:r>
        <w:r>
          <w:tab/>
        </w:r>
        <w:r>
          <w:fldChar w:fldCharType="begin"/>
        </w:r>
        <w:r>
          <w:instrText xml:space="preserve"> PAGEREF _Toc4021 \h </w:instrText>
        </w:r>
        <w:r>
          <w:fldChar w:fldCharType="separate"/>
        </w:r>
        <w:r>
          <w:t>37</w:t>
        </w:r>
        <w:r>
          <w:fldChar w:fldCharType="end"/>
        </w:r>
      </w:hyperlink>
    </w:p>
    <w:p>
      <w:pPr>
        <w:pStyle w:val="TOC2"/>
        <w:tabs>
          <w:tab w:val="right" w:leader="dot" w:pos="8306"/>
        </w:tabs>
      </w:pPr>
      <w:hyperlink w:anchor="_Toc5661" w:history="1">
        <w:r>
          <w:rPr>
            <w:rFonts w:ascii="仿宋" w:eastAsia="仿宋" w:hAnsi="仿宋" w:cs="仿宋" w:hint="eastAsia"/>
            <w:lang w:eastAsia="zh-CN"/>
          </w:rPr>
          <w:t>(七)、机械设备安全保障措施</w:t>
        </w:r>
        <w:r>
          <w:tab/>
        </w:r>
        <w:r>
          <w:fldChar w:fldCharType="begin"/>
        </w:r>
        <w:r>
          <w:instrText xml:space="preserve"> PAGEREF _Toc5661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40" w:history="1">
        <w:r>
          <w:rPr>
            <w:rFonts w:ascii="仿宋" w:eastAsia="仿宋" w:hAnsi="仿宋" w:cs="仿宋" w:hint="eastAsia"/>
            <w:lang w:eastAsia="zh-CN"/>
          </w:rPr>
          <w:t>十、稳相微波射频同轴电缆项目投资规划</w:t>
        </w:r>
        <w:r>
          <w:tab/>
        </w:r>
        <w:r>
          <w:fldChar w:fldCharType="begin"/>
        </w:r>
        <w:r>
          <w:instrText xml:space="preserve"> PAGEREF _Toc19840 \h </w:instrText>
        </w:r>
        <w:r>
          <w:fldChar w:fldCharType="separate"/>
        </w:r>
        <w:r>
          <w:t>40</w:t>
        </w:r>
        <w:r>
          <w:fldChar w:fldCharType="end"/>
        </w:r>
      </w:hyperlink>
    </w:p>
    <w:p>
      <w:pPr>
        <w:pStyle w:val="TOC2"/>
        <w:tabs>
          <w:tab w:val="right" w:leader="dot" w:pos="8306"/>
        </w:tabs>
      </w:pPr>
      <w:hyperlink w:anchor="_Toc12211" w:history="1">
        <w:r>
          <w:rPr>
            <w:rFonts w:ascii="仿宋" w:eastAsia="仿宋" w:hAnsi="仿宋" w:cs="仿宋" w:hint="eastAsia"/>
            <w:lang w:eastAsia="zh-CN"/>
          </w:rPr>
          <w:t>(一)、稳相微波射频同轴电缆项目总投资估算</w:t>
        </w:r>
        <w:r>
          <w:tab/>
        </w:r>
        <w:r>
          <w:fldChar w:fldCharType="begin"/>
        </w:r>
        <w:r>
          <w:instrText xml:space="preserve"> PAGEREF _Toc12211 \h </w:instrText>
        </w:r>
        <w:r>
          <w:fldChar w:fldCharType="separate"/>
        </w:r>
        <w:r>
          <w:t>40</w:t>
        </w:r>
        <w:r>
          <w:fldChar w:fldCharType="end"/>
        </w:r>
      </w:hyperlink>
    </w:p>
    <w:p>
      <w:pPr>
        <w:pStyle w:val="TOC2"/>
        <w:tabs>
          <w:tab w:val="right" w:leader="dot" w:pos="8306"/>
        </w:tabs>
      </w:pPr>
      <w:hyperlink w:anchor="_Toc30585" w:history="1">
        <w:r>
          <w:rPr>
            <w:rFonts w:ascii="仿宋" w:eastAsia="仿宋" w:hAnsi="仿宋" w:cs="仿宋" w:hint="eastAsia"/>
            <w:lang w:eastAsia="zh-CN"/>
          </w:rPr>
          <w:t>(二)、资金筹措</w:t>
        </w:r>
        <w:r>
          <w:tab/>
        </w:r>
        <w:r>
          <w:fldChar w:fldCharType="begin"/>
        </w:r>
        <w:r>
          <w:instrText xml:space="preserve"> PAGEREF _Toc30585 \h </w:instrText>
        </w:r>
        <w:r>
          <w:fldChar w:fldCharType="separate"/>
        </w:r>
        <w:r>
          <w:t>41</w:t>
        </w:r>
        <w:r>
          <w:fldChar w:fldCharType="end"/>
        </w:r>
      </w:hyperlink>
    </w:p>
    <w:p>
      <w:pPr>
        <w:pStyle w:val="TOC1"/>
        <w:tabs>
          <w:tab w:val="right" w:leader="dot" w:pos="8306"/>
        </w:tabs>
      </w:pPr>
      <w:hyperlink w:anchor="_Toc32442" w:history="1">
        <w:r>
          <w:rPr>
            <w:rFonts w:ascii="仿宋" w:eastAsia="仿宋" w:hAnsi="仿宋" w:cs="仿宋" w:hint="eastAsia"/>
            <w:lang w:eastAsia="zh-CN"/>
          </w:rPr>
          <w:t>十一、稳相微波射频同轴电缆项目风险管理</w:t>
        </w:r>
        <w:r>
          <w:tab/>
        </w:r>
        <w:r>
          <w:fldChar w:fldCharType="begin"/>
        </w:r>
        <w:r>
          <w:instrText xml:space="preserve"> PAGEREF _Toc32442 \h </w:instrText>
        </w:r>
        <w:r>
          <w:fldChar w:fldCharType="separate"/>
        </w:r>
        <w:r>
          <w:t>42</w:t>
        </w:r>
        <w:r>
          <w:fldChar w:fldCharType="end"/>
        </w:r>
      </w:hyperlink>
    </w:p>
    <w:p>
      <w:pPr>
        <w:pStyle w:val="TOC2"/>
        <w:tabs>
          <w:tab w:val="right" w:leader="dot" w:pos="8306"/>
        </w:tabs>
      </w:pPr>
      <w:hyperlink w:anchor="_Toc4138" w:history="1">
        <w:r>
          <w:rPr>
            <w:rFonts w:ascii="仿宋" w:eastAsia="仿宋" w:hAnsi="仿宋" w:cs="仿宋" w:hint="eastAsia"/>
            <w:lang w:eastAsia="zh-CN"/>
          </w:rPr>
          <w:t>(一)、风险识别与评估</w:t>
        </w:r>
        <w:r>
          <w:tab/>
        </w:r>
        <w:r>
          <w:fldChar w:fldCharType="begin"/>
        </w:r>
        <w:r>
          <w:instrText xml:space="preserve"> PAGEREF _Toc4138 \h </w:instrText>
        </w:r>
        <w:r>
          <w:fldChar w:fldCharType="separate"/>
        </w:r>
        <w:r>
          <w:t>42</w:t>
        </w:r>
        <w:r>
          <w:fldChar w:fldCharType="end"/>
        </w:r>
      </w:hyperlink>
    </w:p>
    <w:p>
      <w:pPr>
        <w:pStyle w:val="TOC2"/>
        <w:tabs>
          <w:tab w:val="right" w:leader="dot" w:pos="8306"/>
        </w:tabs>
      </w:pPr>
      <w:hyperlink w:anchor="_Toc23918" w:history="1">
        <w:r>
          <w:rPr>
            <w:rFonts w:ascii="仿宋" w:eastAsia="仿宋" w:hAnsi="仿宋" w:cs="仿宋" w:hint="eastAsia"/>
            <w:lang w:eastAsia="zh-CN"/>
          </w:rPr>
          <w:t>(二)、风险应对策略</w:t>
        </w:r>
        <w:r>
          <w:tab/>
        </w:r>
        <w:r>
          <w:fldChar w:fldCharType="begin"/>
        </w:r>
        <w:r>
          <w:instrText xml:space="preserve"> PAGEREF _Toc23918 \h </w:instrText>
        </w:r>
        <w:r>
          <w:fldChar w:fldCharType="separate"/>
        </w:r>
        <w:r>
          <w:t>43</w:t>
        </w:r>
        <w:r>
          <w:fldChar w:fldCharType="end"/>
        </w:r>
      </w:hyperlink>
    </w:p>
    <w:p>
      <w:pPr>
        <w:pStyle w:val="TOC2"/>
        <w:tabs>
          <w:tab w:val="right" w:leader="dot" w:pos="8306"/>
        </w:tabs>
      </w:pPr>
      <w:hyperlink w:anchor="_Toc19288" w:history="1">
        <w:r>
          <w:rPr>
            <w:rFonts w:ascii="仿宋" w:eastAsia="仿宋" w:hAnsi="仿宋" w:cs="仿宋" w:hint="eastAsia"/>
            <w:lang w:eastAsia="zh-CN"/>
          </w:rPr>
          <w:t>(三)、风险监控与控制</w:t>
        </w:r>
        <w:r>
          <w:tab/>
        </w:r>
        <w:r>
          <w:fldChar w:fldCharType="begin"/>
        </w:r>
        <w:r>
          <w:instrText xml:space="preserve"> PAGEREF _Toc19288 \h </w:instrText>
        </w:r>
        <w:r>
          <w:fldChar w:fldCharType="separate"/>
        </w:r>
        <w:r>
          <w:t>45</w:t>
        </w:r>
        <w:r>
          <w:fldChar w:fldCharType="end"/>
        </w:r>
      </w:hyperlink>
    </w:p>
    <w:p>
      <w:pPr>
        <w:pStyle w:val="TOC1"/>
        <w:tabs>
          <w:tab w:val="right" w:leader="dot" w:pos="8306"/>
        </w:tabs>
      </w:pPr>
      <w:hyperlink w:anchor="_Toc12586" w:history="1">
        <w:r>
          <w:rPr>
            <w:rFonts w:ascii="仿宋" w:eastAsia="仿宋" w:hAnsi="仿宋" w:cs="仿宋" w:hint="eastAsia"/>
            <w:lang w:eastAsia="zh-CN"/>
          </w:rPr>
          <w:t>十二、稳相微波射频同轴电缆项目人力资源培养与发展</w:t>
        </w:r>
        <w:r>
          <w:tab/>
        </w:r>
        <w:r>
          <w:fldChar w:fldCharType="begin"/>
        </w:r>
        <w:r>
          <w:instrText xml:space="preserve"> PAGEREF _Toc12586 \h </w:instrText>
        </w:r>
        <w:r>
          <w:fldChar w:fldCharType="separate"/>
        </w:r>
        <w:r>
          <w:t>46</w:t>
        </w:r>
        <w:r>
          <w:fldChar w:fldCharType="end"/>
        </w:r>
      </w:hyperlink>
    </w:p>
    <w:p>
      <w:pPr>
        <w:pStyle w:val="TOC2"/>
        <w:tabs>
          <w:tab w:val="right" w:leader="dot" w:pos="8306"/>
        </w:tabs>
      </w:pPr>
      <w:hyperlink w:anchor="_Toc7916" w:history="1">
        <w:r>
          <w:rPr>
            <w:rFonts w:ascii="仿宋" w:eastAsia="仿宋" w:hAnsi="仿宋" w:cs="仿宋" w:hint="eastAsia"/>
            <w:lang w:eastAsia="zh-CN"/>
          </w:rPr>
          <w:t>(一)、人才需求与规划</w:t>
        </w:r>
        <w:r>
          <w:tab/>
        </w:r>
        <w:r>
          <w:fldChar w:fldCharType="begin"/>
        </w:r>
        <w:r>
          <w:instrText xml:space="preserve"> PAGEREF _Toc7916 \h </w:instrText>
        </w:r>
        <w:r>
          <w:fldChar w:fldCharType="separate"/>
        </w:r>
        <w:r>
          <w:t>46</w:t>
        </w:r>
        <w:r>
          <w:fldChar w:fldCharType="end"/>
        </w:r>
      </w:hyperlink>
    </w:p>
    <w:p>
      <w:pPr>
        <w:pStyle w:val="TOC2"/>
        <w:tabs>
          <w:tab w:val="right" w:leader="dot" w:pos="8306"/>
        </w:tabs>
      </w:pPr>
      <w:hyperlink w:anchor="_Toc11823" w:history="1">
        <w:r>
          <w:rPr>
            <w:rFonts w:ascii="仿宋" w:eastAsia="仿宋" w:hAnsi="仿宋" w:cs="仿宋" w:hint="eastAsia"/>
            <w:lang w:eastAsia="zh-CN"/>
          </w:rPr>
          <w:t>(二)、培训与发展计划</w:t>
        </w:r>
        <w:r>
          <w:tab/>
        </w:r>
        <w:r>
          <w:fldChar w:fldCharType="begin"/>
        </w:r>
        <w:r>
          <w:instrText xml:space="preserve"> PAGEREF _Toc11823 \h </w:instrText>
        </w:r>
        <w:r>
          <w:fldChar w:fldCharType="separate"/>
        </w:r>
        <w:r>
          <w:t>46</w:t>
        </w:r>
        <w:r>
          <w:fldChar w:fldCharType="end"/>
        </w:r>
      </w:hyperlink>
    </w:p>
    <w:p>
      <w:pPr>
        <w:pStyle w:val="TOC1"/>
        <w:tabs>
          <w:tab w:val="right" w:leader="dot" w:pos="8306"/>
        </w:tabs>
      </w:pPr>
      <w:hyperlink w:anchor="_Toc5181" w:history="1">
        <w:r>
          <w:rPr>
            <w:rFonts w:ascii="仿宋" w:eastAsia="仿宋" w:hAnsi="仿宋" w:cs="仿宋" w:hint="eastAsia"/>
            <w:lang w:eastAsia="zh-CN"/>
          </w:rPr>
          <w:t>十三、稳相微波射频同轴电缆项目治理与监督</w:t>
        </w:r>
        <w:r>
          <w:tab/>
        </w:r>
        <w:r>
          <w:fldChar w:fldCharType="begin"/>
        </w:r>
        <w:r>
          <w:instrText xml:space="preserve"> PAGEREF _Toc5181 \h </w:instrText>
        </w:r>
        <w:r>
          <w:fldChar w:fldCharType="separate"/>
        </w:r>
        <w:r>
          <w:t>47</w:t>
        </w:r>
        <w:r>
          <w:fldChar w:fldCharType="end"/>
        </w:r>
      </w:hyperlink>
    </w:p>
    <w:p>
      <w:pPr>
        <w:pStyle w:val="TOC2"/>
        <w:tabs>
          <w:tab w:val="right" w:leader="dot" w:pos="8306"/>
        </w:tabs>
      </w:pPr>
      <w:hyperlink w:anchor="_Toc3649" w:history="1">
        <w:r>
          <w:rPr>
            <w:rFonts w:ascii="仿宋" w:eastAsia="仿宋" w:hAnsi="仿宋" w:cs="仿宋" w:hint="eastAsia"/>
            <w:lang w:eastAsia="zh-CN"/>
          </w:rPr>
          <w:t>(一)、稳相微波射频同轴电缆项目治理结构</w:t>
        </w:r>
        <w:r>
          <w:tab/>
        </w:r>
        <w:r>
          <w:fldChar w:fldCharType="begin"/>
        </w:r>
        <w:r>
          <w:instrText xml:space="preserve"> PAGEREF _Toc3649 \h </w:instrText>
        </w:r>
        <w:r>
          <w:fldChar w:fldCharType="separate"/>
        </w:r>
        <w:r>
          <w:t>47</w:t>
        </w:r>
        <w:r>
          <w:fldChar w:fldCharType="end"/>
        </w:r>
      </w:hyperlink>
    </w:p>
    <w:p>
      <w:pPr>
        <w:pStyle w:val="TOC2"/>
        <w:tabs>
          <w:tab w:val="right" w:leader="dot" w:pos="8306"/>
        </w:tabs>
      </w:pPr>
      <w:hyperlink w:anchor="_Toc9373" w:history="1">
        <w:r>
          <w:rPr>
            <w:rFonts w:ascii="仿宋" w:eastAsia="仿宋" w:hAnsi="仿宋" w:cs="仿宋" w:hint="eastAsia"/>
            <w:lang w:eastAsia="zh-CN"/>
          </w:rPr>
          <w:t>(二)、监督与审计</w:t>
        </w:r>
        <w:r>
          <w:tab/>
        </w:r>
        <w:r>
          <w:fldChar w:fldCharType="begin"/>
        </w:r>
        <w:r>
          <w:instrText xml:space="preserve"> PAGEREF _Toc9373 \h </w:instrText>
        </w:r>
        <w:r>
          <w:fldChar w:fldCharType="separate"/>
        </w:r>
        <w:r>
          <w:t>49</w:t>
        </w:r>
        <w:r>
          <w:fldChar w:fldCharType="end"/>
        </w:r>
      </w:hyperlink>
    </w:p>
    <w:p>
      <w:pPr>
        <w:pStyle w:val="TOC1"/>
        <w:tabs>
          <w:tab w:val="right" w:leader="dot" w:pos="8306"/>
        </w:tabs>
      </w:pPr>
      <w:hyperlink w:anchor="_Toc31107" w:history="1">
        <w:r>
          <w:rPr>
            <w:rFonts w:ascii="仿宋" w:eastAsia="仿宋" w:hAnsi="仿宋" w:cs="仿宋" w:hint="eastAsia"/>
            <w:lang w:eastAsia="zh-CN"/>
          </w:rPr>
          <w:t>十四、营销与推广策略</w:t>
        </w:r>
        <w:r>
          <w:tab/>
        </w:r>
        <w:r>
          <w:fldChar w:fldCharType="begin"/>
        </w:r>
        <w:r>
          <w:instrText xml:space="preserve"> PAGEREF _Toc31107 \h </w:instrText>
        </w:r>
        <w:r>
          <w:fldChar w:fldCharType="separate"/>
        </w:r>
        <w:r>
          <w:t>50</w:t>
        </w:r>
        <w:r>
          <w:fldChar w:fldCharType="end"/>
        </w:r>
      </w:hyperlink>
    </w:p>
    <w:p>
      <w:pPr>
        <w:pStyle w:val="TOC2"/>
        <w:tabs>
          <w:tab w:val="right" w:leader="dot" w:pos="8306"/>
        </w:tabs>
      </w:pPr>
      <w:hyperlink w:anchor="_Toc851" w:history="1">
        <w:r>
          <w:rPr>
            <w:rFonts w:ascii="仿宋" w:eastAsia="仿宋" w:hAnsi="仿宋" w:cs="仿宋" w:hint="eastAsia"/>
            <w:lang w:eastAsia="zh-CN"/>
          </w:rPr>
          <w:t>(一)、产品/服务定位与特点</w:t>
        </w:r>
        <w:r>
          <w:tab/>
        </w:r>
        <w:r>
          <w:fldChar w:fldCharType="begin"/>
        </w:r>
        <w:r>
          <w:instrText xml:space="preserve"> PAGEREF _Toc851 \h </w:instrText>
        </w:r>
        <w:r>
          <w:fldChar w:fldCharType="separate"/>
        </w:r>
        <w:r>
          <w:t>50</w:t>
        </w:r>
        <w:r>
          <w:fldChar w:fldCharType="end"/>
        </w:r>
      </w:hyperlink>
    </w:p>
    <w:p>
      <w:pPr>
        <w:pStyle w:val="TOC2"/>
        <w:tabs>
          <w:tab w:val="right" w:leader="dot" w:pos="8306"/>
        </w:tabs>
      </w:pPr>
      <w:hyperlink w:anchor="_Toc6919" w:history="1">
        <w:r>
          <w:rPr>
            <w:rFonts w:ascii="仿宋" w:eastAsia="仿宋" w:hAnsi="仿宋" w:cs="仿宋" w:hint="eastAsia"/>
            <w:lang w:eastAsia="zh-CN"/>
          </w:rPr>
          <w:t>(二)、市场定位与竞争分析</w:t>
        </w:r>
        <w:r>
          <w:tab/>
        </w:r>
        <w:r>
          <w:fldChar w:fldCharType="begin"/>
        </w:r>
        <w:r>
          <w:instrText xml:space="preserve"> PAGEREF _Toc6919 \h </w:instrText>
        </w:r>
        <w:r>
          <w:fldChar w:fldCharType="separate"/>
        </w:r>
        <w:r>
          <w:t>51</w:t>
        </w:r>
        <w:r>
          <w:fldChar w:fldCharType="end"/>
        </w:r>
      </w:hyperlink>
    </w:p>
    <w:p>
      <w:pPr>
        <w:pStyle w:val="TOC2"/>
        <w:tabs>
          <w:tab w:val="right" w:leader="dot" w:pos="8306"/>
        </w:tabs>
      </w:pPr>
      <w:hyperlink w:anchor="_Toc2159" w:history="1">
        <w:r>
          <w:rPr>
            <w:rFonts w:ascii="仿宋" w:eastAsia="仿宋" w:hAnsi="仿宋" w:cs="仿宋" w:hint="eastAsia"/>
            <w:lang w:eastAsia="zh-CN"/>
          </w:rPr>
          <w:t>(三)、营销渠道与策略</w:t>
        </w:r>
        <w:r>
          <w:tab/>
        </w:r>
        <w:r>
          <w:fldChar w:fldCharType="begin"/>
        </w:r>
        <w:r>
          <w:instrText xml:space="preserve"> PAGEREF _Toc2159 \h </w:instrText>
        </w:r>
        <w:r>
          <w:fldChar w:fldCharType="separate"/>
        </w:r>
        <w:r>
          <w:t>53</w:t>
        </w:r>
        <w:r>
          <w:fldChar w:fldCharType="end"/>
        </w:r>
      </w:hyperlink>
    </w:p>
    <w:p>
      <w:pPr>
        <w:pStyle w:val="TOC2"/>
        <w:tabs>
          <w:tab w:val="right" w:leader="dot" w:pos="8306"/>
        </w:tabs>
      </w:pPr>
      <w:hyperlink w:anchor="_Toc26334" w:history="1">
        <w:r>
          <w:rPr>
            <w:rFonts w:ascii="仿宋" w:eastAsia="仿宋" w:hAnsi="仿宋" w:cs="仿宋" w:hint="eastAsia"/>
            <w:lang w:eastAsia="zh-CN"/>
          </w:rPr>
          <w:t>(四)、推广与宣传活动</w:t>
        </w:r>
        <w:r>
          <w:tab/>
        </w:r>
        <w:r>
          <w:fldChar w:fldCharType="begin"/>
        </w:r>
        <w:r>
          <w:instrText xml:space="preserve"> PAGEREF _Toc26334 \h </w:instrText>
        </w:r>
        <w:r>
          <w:fldChar w:fldCharType="separate"/>
        </w:r>
        <w:r>
          <w:t>54</w:t>
        </w:r>
        <w:r>
          <w:fldChar w:fldCharType="end"/>
        </w:r>
      </w:hyperlink>
    </w:p>
    <w:p>
      <w:pPr>
        <w:pStyle w:val="TOC1"/>
        <w:tabs>
          <w:tab w:val="right" w:leader="dot" w:pos="8306"/>
        </w:tabs>
      </w:pPr>
      <w:hyperlink w:anchor="_Toc19216" w:history="1">
        <w:r>
          <w:rPr>
            <w:rFonts w:ascii="仿宋" w:eastAsia="仿宋" w:hAnsi="仿宋" w:cs="仿宋" w:hint="eastAsia"/>
            <w:lang w:eastAsia="zh-CN"/>
          </w:rPr>
          <w:t>十五、稳相微波射频同轴电缆项目变更管理</w:t>
        </w:r>
        <w:r>
          <w:tab/>
        </w:r>
        <w:r>
          <w:fldChar w:fldCharType="begin"/>
        </w:r>
        <w:r>
          <w:instrText xml:space="preserve"> PAGEREF _Toc19216 \h </w:instrText>
        </w:r>
        <w:r>
          <w:fldChar w:fldCharType="separate"/>
        </w:r>
        <w:r>
          <w:t>59</w:t>
        </w:r>
        <w:r>
          <w:fldChar w:fldCharType="end"/>
        </w:r>
      </w:hyperlink>
    </w:p>
    <w:p>
      <w:pPr>
        <w:pStyle w:val="TOC2"/>
        <w:tabs>
          <w:tab w:val="right" w:leader="dot" w:pos="8306"/>
        </w:tabs>
      </w:pPr>
      <w:hyperlink w:anchor="_Toc1456" w:history="1">
        <w:r>
          <w:rPr>
            <w:rFonts w:ascii="仿宋" w:eastAsia="仿宋" w:hAnsi="仿宋" w:cs="仿宋" w:hint="eastAsia"/>
            <w:lang w:eastAsia="zh-CN"/>
          </w:rPr>
          <w:t>(一)、变更申请与评估</w:t>
        </w:r>
        <w:r>
          <w:tab/>
        </w:r>
        <w:r>
          <w:fldChar w:fldCharType="begin"/>
        </w:r>
        <w:r>
          <w:instrText xml:space="preserve"> PAGEREF _Toc1456 \h </w:instrText>
        </w:r>
        <w:r>
          <w:fldChar w:fldCharType="separate"/>
        </w:r>
        <w:r>
          <w:t>59</w:t>
        </w:r>
        <w:r>
          <w:fldChar w:fldCharType="end"/>
        </w:r>
      </w:hyperlink>
    </w:p>
    <w:p>
      <w:pPr>
        <w:pStyle w:val="TOC2"/>
        <w:tabs>
          <w:tab w:val="right" w:leader="dot" w:pos="8306"/>
        </w:tabs>
      </w:pPr>
      <w:hyperlink w:anchor="_Toc12057" w:history="1">
        <w:r>
          <w:rPr>
            <w:rFonts w:ascii="仿宋" w:eastAsia="仿宋" w:hAnsi="仿宋" w:cs="仿宋" w:hint="eastAsia"/>
            <w:lang w:eastAsia="zh-CN"/>
          </w:rPr>
          <w:t>(二)、变更实施与控制</w:t>
        </w:r>
        <w:r>
          <w:tab/>
        </w:r>
        <w:r>
          <w:fldChar w:fldCharType="begin"/>
        </w:r>
        <w:r>
          <w:instrText xml:space="preserve"> PAGEREF _Toc12057 \h </w:instrText>
        </w:r>
        <w:r>
          <w:fldChar w:fldCharType="separate"/>
        </w:r>
        <w:r>
          <w:t>60</w:t>
        </w:r>
        <w:r>
          <w:fldChar w:fldCharType="end"/>
        </w:r>
      </w:hyperlink>
    </w:p>
    <w:p>
      <w:pPr>
        <w:pStyle w:val="TOC1"/>
        <w:tabs>
          <w:tab w:val="right" w:leader="dot" w:pos="8306"/>
        </w:tabs>
      </w:pPr>
      <w:hyperlink w:anchor="_Toc14894" w:history="1">
        <w:r>
          <w:rPr>
            <w:rFonts w:ascii="仿宋" w:eastAsia="仿宋" w:hAnsi="仿宋" w:cs="仿宋" w:hint="eastAsia"/>
            <w:lang w:eastAsia="zh-CN"/>
          </w:rPr>
          <w:t>十六、稳相微波射频同轴电缆项目实施时间节点</w:t>
        </w:r>
        <w:r>
          <w:tab/>
        </w:r>
        <w:r>
          <w:fldChar w:fldCharType="begin"/>
        </w:r>
        <w:r>
          <w:instrText xml:space="preserve"> PAGEREF _Toc14894 \h </w:instrText>
        </w:r>
        <w:r>
          <w:fldChar w:fldCharType="separate"/>
        </w:r>
        <w:r>
          <w:t>60</w:t>
        </w:r>
        <w:r>
          <w:fldChar w:fldCharType="end"/>
        </w:r>
      </w:hyperlink>
    </w:p>
    <w:p>
      <w:pPr>
        <w:pStyle w:val="TOC2"/>
        <w:tabs>
          <w:tab w:val="right" w:leader="dot" w:pos="8306"/>
        </w:tabs>
      </w:pPr>
      <w:hyperlink w:anchor="_Toc2417" w:history="1">
        <w:r>
          <w:rPr>
            <w:rFonts w:ascii="仿宋" w:eastAsia="仿宋" w:hAnsi="仿宋" w:cs="仿宋" w:hint="eastAsia"/>
            <w:lang w:eastAsia="zh-CN"/>
          </w:rPr>
          <w:t>(一)、稳相微波射频同轴电缆项目启动阶段时间节点</w:t>
        </w:r>
        <w:r>
          <w:tab/>
        </w:r>
        <w:r>
          <w:fldChar w:fldCharType="begin"/>
        </w:r>
        <w:r>
          <w:instrText xml:space="preserve"> PAGEREF _Toc2417 \h </w:instrText>
        </w:r>
        <w:r>
          <w:fldChar w:fldCharType="separate"/>
        </w:r>
        <w:r>
          <w:t>60</w:t>
        </w:r>
        <w:r>
          <w:fldChar w:fldCharType="end"/>
        </w:r>
      </w:hyperlink>
    </w:p>
    <w:p>
      <w:pPr>
        <w:pStyle w:val="TOC2"/>
        <w:tabs>
          <w:tab w:val="right" w:leader="dot" w:pos="8306"/>
        </w:tabs>
      </w:pPr>
      <w:hyperlink w:anchor="_Toc30415" w:history="1">
        <w:r>
          <w:rPr>
            <w:rFonts w:ascii="仿宋" w:eastAsia="仿宋" w:hAnsi="仿宋" w:cs="仿宋" w:hint="eastAsia"/>
            <w:lang w:eastAsia="zh-CN"/>
          </w:rPr>
          <w:t>(二)、稳相微波射频同轴电缆项目执行阶段时间节点</w:t>
        </w:r>
        <w:r>
          <w:tab/>
        </w:r>
        <w:r>
          <w:fldChar w:fldCharType="begin"/>
        </w:r>
        <w:r>
          <w:instrText xml:space="preserve"> PAGEREF _Toc30415 \h </w:instrText>
        </w:r>
        <w:r>
          <w:fldChar w:fldCharType="separate"/>
        </w:r>
        <w:r>
          <w:t>62</w:t>
        </w:r>
        <w:r>
          <w:fldChar w:fldCharType="end"/>
        </w:r>
      </w:hyperlink>
    </w:p>
    <w:p>
      <w:pPr>
        <w:pStyle w:val="TOC2"/>
        <w:tabs>
          <w:tab w:val="right" w:leader="dot" w:pos="8306"/>
        </w:tabs>
      </w:pPr>
      <w:hyperlink w:anchor="_Toc22325" w:history="1">
        <w:r>
          <w:rPr>
            <w:rFonts w:ascii="仿宋" w:eastAsia="仿宋" w:hAnsi="仿宋" w:cs="仿宋" w:hint="eastAsia"/>
            <w:lang w:eastAsia="zh-CN"/>
          </w:rPr>
          <w:t>(三)、稳相微波射频同轴电缆项目完成阶段时间节点</w:t>
        </w:r>
        <w:r>
          <w:tab/>
        </w:r>
        <w:r>
          <w:fldChar w:fldCharType="begin"/>
        </w:r>
        <w:r>
          <w:instrText xml:space="preserve"> PAGEREF _Toc22325 \h </w:instrText>
        </w:r>
        <w:r>
          <w:fldChar w:fldCharType="separate"/>
        </w:r>
        <w:r>
          <w:t>63</w:t>
        </w:r>
        <w:r>
          <w:fldChar w:fldCharType="end"/>
        </w:r>
      </w:hyperlink>
    </w:p>
    <w:p>
      <w:pPr>
        <w:pStyle w:val="TOC1"/>
        <w:tabs>
          <w:tab w:val="right" w:leader="dot" w:pos="8306"/>
        </w:tabs>
      </w:pPr>
      <w:hyperlink w:anchor="_Toc20150" w:history="1">
        <w:r>
          <w:rPr>
            <w:rFonts w:ascii="仿宋" w:eastAsia="仿宋" w:hAnsi="仿宋" w:cs="仿宋" w:hint="eastAsia"/>
            <w:lang w:eastAsia="zh-CN"/>
          </w:rPr>
          <w:t>十七、供应链管理</w:t>
        </w:r>
        <w:r>
          <w:tab/>
        </w:r>
        <w:r>
          <w:fldChar w:fldCharType="begin"/>
        </w:r>
        <w:r>
          <w:instrText xml:space="preserve"> PAGEREF _Toc20150 \h </w:instrText>
        </w:r>
        <w:r>
          <w:fldChar w:fldCharType="separate"/>
        </w:r>
        <w:r>
          <w:t>64</w:t>
        </w:r>
        <w:r>
          <w:fldChar w:fldCharType="end"/>
        </w:r>
      </w:hyperlink>
    </w:p>
    <w:p>
      <w:pPr>
        <w:pStyle w:val="TOC2"/>
        <w:tabs>
          <w:tab w:val="right" w:leader="dot" w:pos="8306"/>
        </w:tabs>
      </w:pPr>
      <w:hyperlink w:anchor="_Toc10119" w:history="1">
        <w:r>
          <w:rPr>
            <w:rFonts w:ascii="仿宋" w:eastAsia="仿宋" w:hAnsi="仿宋" w:cs="仿宋" w:hint="eastAsia"/>
            <w:lang w:eastAsia="zh-CN"/>
          </w:rPr>
          <w:t>(一)、供应链战略规划</w:t>
        </w:r>
        <w:r>
          <w:tab/>
        </w:r>
        <w:r>
          <w:fldChar w:fldCharType="begin"/>
        </w:r>
        <w:r>
          <w:instrText xml:space="preserve"> PAGEREF _Toc10119 \h </w:instrText>
        </w:r>
        <w:r>
          <w:fldChar w:fldCharType="separate"/>
        </w:r>
        <w:r>
          <w:t>64</w:t>
        </w:r>
        <w:r>
          <w:fldChar w:fldCharType="end"/>
        </w:r>
      </w:hyperlink>
    </w:p>
    <w:p>
      <w:pPr>
        <w:pStyle w:val="TOC2"/>
        <w:tabs>
          <w:tab w:val="right" w:leader="dot" w:pos="8306"/>
        </w:tabs>
      </w:pPr>
      <w:hyperlink w:anchor="_Toc710" w:history="1">
        <w:r>
          <w:rPr>
            <w:rFonts w:ascii="仿宋" w:eastAsia="仿宋" w:hAnsi="仿宋" w:cs="仿宋" w:hint="eastAsia"/>
            <w:lang w:eastAsia="zh-CN"/>
          </w:rPr>
          <w:t>(二)、供应商选择与合作</w:t>
        </w:r>
        <w:r>
          <w:tab/>
        </w:r>
        <w:r>
          <w:fldChar w:fldCharType="begin"/>
        </w:r>
        <w:r>
          <w:instrText xml:space="preserve"> PAGEREF _Toc710 \h </w:instrText>
        </w:r>
        <w:r>
          <w:fldChar w:fldCharType="separate"/>
        </w:r>
        <w:r>
          <w:t>66</w:t>
        </w:r>
        <w:r>
          <w:fldChar w:fldCharType="end"/>
        </w:r>
      </w:hyperlink>
    </w:p>
    <w:p>
      <w:pPr>
        <w:pStyle w:val="TOC2"/>
        <w:tabs>
          <w:tab w:val="right" w:leader="dot" w:pos="8306"/>
        </w:tabs>
      </w:pPr>
      <w:hyperlink w:anchor="_Toc5350" w:history="1">
        <w:r>
          <w:rPr>
            <w:rFonts w:ascii="仿宋" w:eastAsia="仿宋" w:hAnsi="仿宋" w:cs="仿宋" w:hint="eastAsia"/>
            <w:lang w:eastAsia="zh-CN"/>
          </w:rPr>
          <w:t>(三)、物流与库存管理</w:t>
        </w:r>
        <w:r>
          <w:tab/>
        </w:r>
        <w:r>
          <w:fldChar w:fldCharType="begin"/>
        </w:r>
        <w:r>
          <w:instrText xml:space="preserve"> PAGEREF _Toc5350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5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306"/>
      <w:r>
        <w:rPr>
          <w:rFonts w:ascii="仿宋" w:eastAsia="仿宋" w:hAnsi="仿宋" w:cs="仿宋" w:hint="eastAsia"/>
          <w:lang w:eastAsia="zh-CN"/>
        </w:rPr>
        <w:t>(一)、稳相微波射频同轴电缆行业分析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行业一直以来都是市场的关注焦点。行业内的发展趋势、竞争态势以及潜在机会都对稳相微波射频同轴电缆项目的推进产生深远的影响。通过深入研究行业的整体概貌，我们将更好地理解行业的核心特征，为稳相微波射频同轴电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稳相微波射频同轴电缆行业，技术一直是推动创新和发展的关键因素。我们将对当前技术趋势进行详尽分析，包括但不限于人工智能、大数据应用、先进制造技术等。这有助于稳相微波射频同轴电缆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稳相微波射频同轴电缆项目成功的基础。我们将对主要竞争对手进行深入研究，包括其市场份额、产品特点、市场定位等。通过全面了解竞争对手的优势和劣势，稳相微波射频同轴电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463"/>
      <w:r>
        <w:rPr>
          <w:rFonts w:ascii="仿宋" w:eastAsia="仿宋" w:hAnsi="仿宋" w:cs="仿宋" w:hint="eastAsia"/>
          <w:sz w:val="28"/>
          <w:lang w:eastAsia="zh-CN"/>
        </w:rPr>
        <w:t>(二)、稳相微波射频同轴电缆市场分析预测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稳相微波射频同轴电缆市场未来的增长趋势。这包括市场的整体规模、各细分领域的发展趋势等。稳相微波射频同轴电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稳相微波射频同轴电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稳相微波射频同轴电缆项目实施过程中需要充分考虑的因素。我们将对市场风险进行全面评估，包括但不限于政策法规风险、市场竞争风险、技术变革风险等。通过对潜在风险的深入分析，稳相微波射频同轴电缆项目可以制定相应的风险缓解策略，降低不确定性对稳相微波射频同轴电缆项目的影响。</w:t>
      </w:r>
    </w:p>
    <w:p>
      <w:pPr>
        <w:pStyle w:val="Heading1"/>
        <w:ind w:firstLine="560" w:firstLineChars="200"/>
        <w:rPr>
          <w:rFonts w:ascii="仿宋" w:eastAsia="仿宋" w:hAnsi="仿宋" w:cs="仿宋" w:hint="eastAsia"/>
          <w:sz w:val="28"/>
          <w:lang w:eastAsia="zh-CN"/>
        </w:rPr>
      </w:pPr>
      <w:bookmarkStart w:id="5" w:name="_Toc4005"/>
      <w:r>
        <w:rPr>
          <w:rFonts w:ascii="仿宋" w:eastAsia="仿宋" w:hAnsi="仿宋" w:cs="仿宋" w:hint="eastAsia"/>
          <w:sz w:val="28"/>
          <w:lang w:eastAsia="zh-CN"/>
        </w:rPr>
        <w:t>二、稳相微波射频同轴电缆项目文档管理</w:t>
      </w:r>
      <w:bookmarkEnd w:id="5"/>
    </w:p>
    <w:p>
      <w:pPr>
        <w:pStyle w:val="Heading2"/>
        <w:rPr>
          <w:rFonts w:ascii="仿宋" w:eastAsia="仿宋" w:hAnsi="仿宋" w:cs="仿宋" w:hint="eastAsia"/>
          <w:lang w:eastAsia="zh-CN"/>
        </w:rPr>
      </w:pPr>
      <w:bookmarkStart w:id="6" w:name="_Toc44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稳相微波射频同轴电缆项目高度重视文档的质量和准确性，以支持稳相微波射频同轴电缆项目的各项活动和决策。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文档的编制始于稳相微波射频同轴电缆项目计划的初期，我们制定了详细的文档编制计划，明确了每个文档的内容、格式和编写责任人。在稳相微波射频同轴电缆项目启动阶段，我们首先编制了稳相微波射频同轴电缆项目章程，明确定义了稳相微波射频同轴电缆项目的目标、范围、风险等关键要素。随后，稳相微波射频同轴电缆项目团队根据计划陆续编制了需求文档、设计文档、测试文档等各类文档，确保稳相微波射频同轴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稳相微波射频同轴电缆项目管理中的重要环节，旨在确保稳相微波射频同轴电缆项目文档符合质量标准和稳相微波射频同轴电缆项目需求。在稳相微波射频同轴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稳相微波射频同轴电缆项目相关利益方和专业领域的专家对文档进行独立审查。这有助于获取更全面、客观的反馈，确保稳相微波射频同轴电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在文档编制与审查方面建立了严格的管理机制，通过规范的流程和多维度的审查，确保稳相微波射频同轴电缆项目文档的质量、准确性和可靠性，为稳相微波射频同轴电缆项目的顺利推进提供了有力支持。</w:t>
      </w:r>
    </w:p>
    <w:p>
      <w:pPr>
        <w:pStyle w:val="Heading2"/>
        <w:ind w:firstLine="560" w:firstLineChars="200"/>
        <w:rPr>
          <w:rFonts w:ascii="仿宋" w:eastAsia="仿宋" w:hAnsi="仿宋" w:cs="仿宋" w:hint="eastAsia"/>
          <w:sz w:val="28"/>
          <w:lang w:eastAsia="zh-CN"/>
        </w:rPr>
      </w:pPr>
      <w:bookmarkStart w:id="7" w:name="_Toc5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在稳相微波射频同轴电缆项目中，我们致力于优化文档发布与分发过程，以确保信息的高效传递和团队间协作的顺畅进行。以下是我们采取的关键优化策略：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我们通过多渠道发布文档，包括电子邮件、稳相微波射频同轴电缆项目管理平台、内部网站等，以满足不同团队成员的偏好和需求。多渠道发布确保了信息的全面覆盖。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我们采用了精细的权限控制，确保只有授权人员可以访问敏感信息。这种安全措施保护了稳相微波射频同轴电缆项目文档的机密性，防止了未经授权的信息泄露。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9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稳相微波射频同轴电缆项目生命周期中一个至关重要的环节，直接关系到稳相微波射频同轴电缆项目信息的长期保存和历史记录的完整性。在稳相微波射频同轴电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62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78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稳相微波射频同轴电缆项目的主要产品是XXXX，预计年产值为XXX万元。这一产品在市场中占据着重要的地位，其广泛的应用范围使得该稳相微波射频同轴电缆项目的市场前景非常广阔。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稳相微波射频同轴电缆项目的xxx产品作为重要的原材料之一，将在多个领域发挥关键作用。其在建筑、交通、能源等方面的广泛应用将为整个产业链提供强大的支持，形成产业协同效应。稳相微波射频同轴电缆项目的年产值XXX万XXX万XXX万万元不仅反映了其在市场上的巨大潜力，更预示着它对国民经济的积极贡献。这种关联度高、涉及面广的产业关系，使得该稳相微波射频同轴电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504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总征地面积为XXXX平方米，相当于约XX.XX亩，其中净用地面积为XXXX平方米，红线范围内相当于约XX.XX亩。这一用地规模充分考虑了稳相微波射频同轴电缆项目的建设需求，保障了稳相微波射频同轴电缆项目在合适的空间内得以充分发展。稳相微波射频同轴电缆项目规划的总建筑面积为XXXX平方米，其中主体工程建设占XXXX平方米，计容建筑面积达XXXX平方米。预计建筑工程的投资将达到XXXX万元，为稳相微波射频同轴电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计划购置的设备共计XXXX台（套），设备购置费用为XXXX万元。这一设备购置计划充分考虑到稳相微波射频同轴电缆项目的生产需求和技术要求，确保了稳相微波射频同轴电缆项目在生产运营中具备先进的技术装备和高效的生产能力。设备的合理配置将为稳相微波射频同轴电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计划总投资为XXXX万元，预计年实现营业收入为XXXX万元。这一产能规模的设定旨在确保稳相微波射频同轴电缆项目能够在投资与回报之间取得平衡，实现长期可持续的发展。稳相微波射频同轴电缆项目的总投资充分考虑到各个方面的需求，包括用地建设、设备购置等多个环节，以确保稳相微波射频同轴电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467"/>
      <w:r>
        <w:rPr>
          <w:rFonts w:ascii="仿宋" w:eastAsia="仿宋" w:hAnsi="仿宋" w:cs="仿宋" w:hint="eastAsia"/>
          <w:sz w:val="28"/>
          <w:lang w:eastAsia="zh-CN"/>
        </w:rPr>
        <w:t>四、稳相微波射频同轴电缆项目选址可行性分析</w:t>
      </w:r>
      <w:bookmarkEnd w:id="12"/>
    </w:p>
    <w:p>
      <w:pPr>
        <w:pStyle w:val="Heading2"/>
        <w:rPr>
          <w:rFonts w:ascii="仿宋" w:eastAsia="仿宋" w:hAnsi="仿宋" w:cs="仿宋" w:hint="eastAsia"/>
          <w:lang w:eastAsia="zh-CN"/>
        </w:rPr>
      </w:pPr>
      <w:bookmarkStart w:id="13" w:name="_Toc13009"/>
      <w:r>
        <w:rPr>
          <w:rFonts w:ascii="仿宋" w:eastAsia="仿宋" w:hAnsi="仿宋" w:cs="仿宋" w:hint="eastAsia"/>
          <w:lang w:eastAsia="zh-CN"/>
        </w:rPr>
        <w:t>(一)、稳相微波射频同轴电缆项目选址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该稳相微波射频同轴电缆项目选址位于XX省XX市XX区XXX街道</w:t>
      </w:r>
    </w:p>
    <w:p>
      <w:pPr>
        <w:pStyle w:val="Heading2"/>
        <w:ind w:firstLine="560" w:firstLineChars="200"/>
        <w:rPr>
          <w:rFonts w:ascii="仿宋" w:eastAsia="仿宋" w:hAnsi="仿宋" w:cs="仿宋" w:hint="eastAsia"/>
          <w:sz w:val="28"/>
          <w:lang w:eastAsia="zh-CN"/>
        </w:rPr>
      </w:pPr>
      <w:bookmarkStart w:id="14" w:name="_Toc3262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稳相微波射频同轴电缆项目的征地面积将根据稳相微波射频同轴电缆项目的实际规模和需求进行精确规划。具体面积XXX平方米，旨在确保稳相微波射频同轴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净用地面积是在征地面积基础上去除不可利用面积后的实际可开发用地。具体面积XXX平方米，考虑到环保、交通、安全等多方面因素，以确保稳相微波射频同轴电缆项目在整体利用效率上达到最优。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稳相微波射频同轴电缆项目计划建设的建筑总规模具体面积XXX平方米。这一规模的确定综合考虑了稳相微波射频同轴电缆项目的性质、规模，以及城市规划的相关要求，确保建筑布局与周边环境协调一致。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绿地率是稳相微波射频同轴电缆项目用地中被规划为绿地的比例。具体面积XXX平方米，旨在通过合理规划绿地，改善稳相微波射频同轴电缆项目周边环境，提升居民生活质量，并符合城市整体绿化规划。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容积率是用地上可以建设的建筑总体积与用地面积之比。具体面积XXX，通过合理的容积率规划，确保稳相微波射频同轴电缆项目建筑规模与周边环境和谐共生。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稳相微波射频同轴电缆项目选址与当地城市规划相一致，具体面积XXX平方米。通过与城市规划部门深入沟通，确保稳相微波射频同轴电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稳相微波射频同轴电缆项目选址符合当地产业政策，具体面积XXX平方米。这包括稳相微波射频同轴电缆项目对当地经济的促进作用，以及对相关产业的带动效应，确保稳相微波射频同轴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稳相微波射频同轴电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确保稳相微波射频同轴电缆项目选址具备必要的公共设施配套，具体面积XXX平方米。这包括交通便利性、教育、医疗等基础设施，以提高居民生活品质，使得稳相微波射频同轴电缆项目选址更具吸引力。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考虑用地总体要求对当地社会稳定性的影响，具体面积XXX平方米。通过深入了解当地社区反馈，确保稳相微波射频同轴电缆项目的选址和建设过程对当地社会和谐稳定产生积极作用。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稳相微波射频同轴电缆项目选址不仅符合法规和规划，还在实际操作中具有可行性。这一全面规划将为稳相微波射频同轴电缆项目的成功实施提供坚实的基础，确保稳相微波射频同轴电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4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稳相微波射频同轴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稳相微波射频同轴电缆项目的设备规划和空间设计中，我们将采取灵活设备布局的措施。设备布局将根据实际需求进行灵活设计，避免不必要的浪费。通过合理规划设备摆放位置，我们将提高设备的利用率，减少设备间距，以确保稳相微波射频同轴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稳相微波射频同轴电缆项目内部引入共享设施的概念，例如共享会议室、办公区等。通过这种方式，我们可以减少对资源的重复建设，提高资源共享效率，从而减小稳相微波射频同轴电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10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稳相微波射频同轴电缆项目的总图布置中，我们将不同功能区域进行明确的规划，以最大程度满足稳相微波射频同轴电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82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稳相微波射频同轴电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稳相微波射频同轴电缆项目对环境的影响是综合评价的重要因素之一。我们将详细考虑选址周边的自然环境、生态保护区、水源地等情况，确保稳相微波射频同轴电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对选址的评价还需充分考虑当地政府的产业政策和法规。我们将详细了解稳相微波射频同轴电缆项目所在地的相关政策，确保稳相微波射频同轴电缆项目的规划和运营与当地法规相符，降低不必要的法律风险。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考虑到社会稳定性对企业运营的重要性，我们将评估选址地区的社会安全情况、劳工关系、社区反馈等方面，以确保稳相微波射频同轴电缆项目的建设和运营不会受到社会稳定性的负面影响。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最后，我们将综合考虑用地成本，包括土地购置费用、土地开发成本等。通过对用地成本的详细评估，我们能够做出更为精确的经济效益分析，为稳相微波射频同轴电缆项目的投资决策提供有力支持。</w:t>
      </w:r>
    </w:p>
    <w:p>
      <w:pPr>
        <w:pStyle w:val="Heading1"/>
        <w:ind w:firstLine="560" w:firstLineChars="200"/>
        <w:rPr>
          <w:rFonts w:ascii="仿宋" w:eastAsia="仿宋" w:hAnsi="仿宋" w:cs="仿宋" w:hint="eastAsia"/>
          <w:sz w:val="28"/>
          <w:lang w:eastAsia="zh-CN"/>
        </w:rPr>
      </w:pPr>
      <w:bookmarkStart w:id="18" w:name="_Toc16487"/>
      <w:r>
        <w:rPr>
          <w:rFonts w:ascii="仿宋" w:eastAsia="仿宋" w:hAnsi="仿宋" w:cs="仿宋" w:hint="eastAsia"/>
          <w:sz w:val="28"/>
          <w:lang w:eastAsia="zh-CN"/>
        </w:rPr>
        <w:t>五、稳相微波射频同轴电缆项目建设背景及必要性分析</w:t>
      </w:r>
      <w:bookmarkEnd w:id="18"/>
    </w:p>
    <w:p>
      <w:pPr>
        <w:pStyle w:val="Heading2"/>
        <w:rPr>
          <w:rFonts w:ascii="仿宋" w:eastAsia="仿宋" w:hAnsi="仿宋" w:cs="仿宋" w:hint="eastAsia"/>
          <w:lang w:eastAsia="zh-CN"/>
        </w:rPr>
      </w:pPr>
      <w:bookmarkStart w:id="19" w:name="_Toc8302"/>
      <w:r>
        <w:rPr>
          <w:rFonts w:ascii="仿宋" w:eastAsia="仿宋" w:hAnsi="仿宋" w:cs="仿宋" w:hint="eastAsia"/>
          <w:lang w:eastAsia="zh-CN"/>
        </w:rPr>
        <w:t>(一)、稳相微波射频同轴电缆项目背景分析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稳相微波射频同轴电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稳相微波射频同轴电缆项目在这个潮流中的定位。同时，我们将关注行业内涌现的新兴机遇，以便稳相微波射频同轴电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https://d.book118.com/176135144102010103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D16490"/>
    <w:rsid w:val="29D164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135144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2024-03-06T14:35:00Z</dcterms:created>
  <dcterms:modified xsi:type="dcterms:W3CDTF">2024-03-06T14:35:30Z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55AB693921EF4ED0A6D1CD8D8B79AA65_11</vt:lpwstr>
  </property>
  <property fmtid="{D5CDD505-2E9C-101B-9397-08002B2CF9AE}" pid="3" name="KSOProductBuildVer">
    <vt:lpwstr>2052-12.1.0.16388</vt:lpwstr>
  </property>
</Properties>
</file>