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生态修复行业相关公司筹备报告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一、生态修复筹建公司基本信息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_Toc6170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(七)、生态修复项目建设必要性分析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_Toc15858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_Toc17291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9" w:history="1">
        <w:r>
          <w:rPr>
            <w:rFonts w:ascii="仿宋" w:eastAsia="仿宋" w:hAnsi="仿宋" w:cs="仿宋" w:hint="eastAsia"/>
            <w:lang w:eastAsia="zh-CN"/>
          </w:rPr>
          <w:t>六、生态修复项目经济效益</w:t>
        </w:r>
        <w:r>
          <w:tab/>
        </w:r>
        <w:r>
          <w:fldChar w:fldCharType="begin"/>
        </w:r>
        <w:r>
          <w:instrText xml:space="preserve"> PAGEREF _Toc31699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eastAsia="zh-CN"/>
          </w:rPr>
          <w:t>(三)、生态修复项目盈利能力分析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_Toc32318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_Toc15550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八、生态修复项目风险分析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eastAsia="zh-CN"/>
          </w:rPr>
          <w:t>(一)、生态修复项目风险分析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(二)、生态修复项目风险对策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_Toc25063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(五)、生态修复项目总投资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_Toc31426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_Toc3366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_Toc9149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_Toc29998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69"/>
      <w:r>
        <w:rPr>
          <w:rFonts w:ascii="仿宋" w:eastAsia="仿宋" w:hAnsi="仿宋" w:cs="仿宋" w:hint="eastAsia"/>
          <w:sz w:val="28"/>
          <w:lang w:eastAsia="zh-CN"/>
        </w:rPr>
        <w:t>一、生态修复筹建公司基本信息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79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41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07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78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62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经营范围：从事XXX相关业务(企业依法自主选择经营生态修复项目，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开展经营活动；依法须经批准的生态修复项目，经相关部门批准后依批准的内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容开展经营活动；不得从事本市产业政策禁止和限制类生态修复项目的经营活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04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https://d.book118.com/176140204224010050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生态修复行业相关公司筹备报告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生态修复行业相关公司筹备报告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生态修复行业相关公司筹备报告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生态修复行业相关公司筹备报告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生态修复行业相关公司筹备报告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6140204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2024-02-04T11:18:00Z</dcterms:created>
  <dcterms:modified xsi:type="dcterms:W3CDTF">2024-02-04T11:18:26Z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AA19B9538B384FC2ABA83D2C12F72A54_11</vt:lpwstr>
  </property>
  <property fmtid="{D5CDD505-2E9C-101B-9397-08002B2CF9AE}" pid="3" name="KSOProductBuildVer">
    <vt:lpwstr>2052-12.1.0.16250</vt:lpwstr>
  </property>
</Properties>
</file>