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7"/>
        <w:rPr>
          <w:rFonts w:ascii="Times New Roman"/>
          <w:sz w:val="16"/>
        </w:rPr>
      </w:pPr>
    </w:p>
    <w:p>
      <w:pPr>
        <w:pStyle w:val="BodyText"/>
        <w:ind w:left="1400"/>
        <w:rPr>
          <w:rFonts w:ascii="Times New Roman"/>
          <w:sz w:val="20"/>
        </w:rPr>
      </w:pPr>
      <w:r>
        <w:rPr>
          <w:rFonts w:ascii="Times New Roman"/>
          <w:sz w:val="20"/>
        </w:rPr>
        <w:drawing>
          <wp:inline distT="0" distB="0" distL="0" distR="0">
            <wp:extent cx="5954077" cy="608076"/>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5954077" cy="608076"/>
                    </a:xfrm>
                    <a:prstGeom prst="rect">
                      <a:avLst/>
                    </a:prstGeom>
                  </pic:spPr>
                </pic:pic>
              </a:graphicData>
            </a:graphic>
          </wp:inline>
        </w:drawing>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6"/>
        </w:rPr>
      </w:pPr>
    </w:p>
    <w:p>
      <w:pPr>
        <w:pStyle w:val="Heading1"/>
        <w:tabs>
          <w:tab w:val="left" w:pos="1123"/>
        </w:tabs>
        <w:spacing w:before="37"/>
        <w:ind w:right="1566"/>
        <w:jc w:val="center"/>
      </w:pPr>
      <w:bookmarkStart w:id="0" w:name="_TOC_250031"/>
      <w:bookmarkEnd w:id="0"/>
      <w:r>
        <w:t>摘</w:t>
        <w:tab/>
        <w:t>要</w:t>
      </w:r>
    </w:p>
    <w:p>
      <w:pPr>
        <w:pStyle w:val="BodyText"/>
        <w:spacing w:before="2"/>
        <w:rPr>
          <w:rFonts w:ascii="黑体"/>
          <w:sz w:val="44"/>
        </w:rPr>
      </w:pPr>
    </w:p>
    <w:p>
      <w:pPr>
        <w:pStyle w:val="BodyText"/>
        <w:spacing w:line="316" w:lineRule="auto"/>
        <w:ind w:left="644" w:right="2205" w:firstLine="719"/>
        <w:jc w:val="both"/>
      </w:pPr>
      <w:r>
        <w:t>神华煤制油项目是世界上首个建设的工业化项目，工程分为先期</w:t>
      </w:r>
      <w:r>
        <w:rPr>
          <w:spacing w:val="-5"/>
        </w:rPr>
        <w:t xml:space="preserve">和一期，总建设规模为年生产油品 </w:t>
      </w:r>
      <w:r>
        <w:rPr>
          <w:rFonts w:ascii="Times New Roman" w:eastAsia="Times New Roman"/>
        </w:rPr>
        <w:t xml:space="preserve">500 </w:t>
      </w:r>
      <w:r>
        <w:rPr>
          <w:spacing w:val="-40"/>
        </w:rPr>
        <w:t xml:space="preserve">万 </w:t>
      </w:r>
      <w:r>
        <w:rPr>
          <w:rFonts w:ascii="Times New Roman" w:eastAsia="Times New Roman"/>
        </w:rPr>
        <w:t>t</w:t>
      </w:r>
      <w:r>
        <w:rPr>
          <w:spacing w:val="-27"/>
        </w:rPr>
        <w:t xml:space="preserve">，自 </w:t>
      </w:r>
      <w:r>
        <w:rPr>
          <w:rFonts w:ascii="Times New Roman" w:eastAsia="Times New Roman"/>
        </w:rPr>
        <w:t xml:space="preserve">2004 </w:t>
      </w:r>
      <w:r>
        <w:rPr>
          <w:spacing w:val="-40"/>
        </w:rPr>
        <w:t xml:space="preserve">年 </w:t>
      </w:r>
      <w:r>
        <w:rPr>
          <w:rFonts w:ascii="Times New Roman" w:eastAsia="Times New Roman"/>
        </w:rPr>
        <w:t xml:space="preserve">8 </w:t>
      </w:r>
      <w:r>
        <w:rPr>
          <w:spacing w:val="-3"/>
        </w:rPr>
        <w:t>月先期工程</w:t>
      </w:r>
      <w:r>
        <w:rPr>
          <w:spacing w:val="-27"/>
        </w:rPr>
        <w:t xml:space="preserve">开工建设，到 </w:t>
      </w:r>
      <w:r>
        <w:rPr>
          <w:rFonts w:ascii="Times New Roman" w:eastAsia="Times New Roman"/>
        </w:rPr>
        <w:t xml:space="preserve">2009 </w:t>
      </w:r>
      <w:r>
        <w:rPr>
          <w:spacing w:val="-10"/>
        </w:rPr>
        <w:t xml:space="preserve">年一期工程第一条生产线基本完成，并计划于 </w:t>
      </w:r>
      <w:r>
        <w:rPr>
          <w:rFonts w:ascii="Times New Roman" w:eastAsia="Times New Roman"/>
          <w:spacing w:val="-3"/>
        </w:rPr>
        <w:t xml:space="preserve">2009 </w:t>
      </w:r>
      <w:r>
        <w:rPr>
          <w:spacing w:val="-45"/>
        </w:rPr>
        <w:t xml:space="preserve">年 </w:t>
      </w:r>
      <w:r>
        <w:rPr>
          <w:rFonts w:ascii="Times New Roman" w:eastAsia="Times New Roman"/>
        </w:rPr>
        <w:t xml:space="preserve">5 </w:t>
      </w:r>
      <w:r>
        <w:t>月正式投产。</w:t>
      </w:r>
    </w:p>
    <w:p>
      <w:pPr>
        <w:pStyle w:val="BodyText"/>
        <w:spacing w:line="316" w:lineRule="auto"/>
        <w:ind w:left="644" w:right="2205" w:firstLine="719"/>
        <w:jc w:val="both"/>
      </w:pPr>
      <w:r>
        <w:rPr>
          <w:spacing w:val="-2"/>
        </w:rPr>
        <w:t xml:space="preserve">本文对神华煤直接液化工艺项目进行了综合评价，主要分为 </w:t>
      </w:r>
      <w:r>
        <w:rPr>
          <w:rFonts w:ascii="Times New Roman" w:eastAsia="Times New Roman"/>
        </w:rPr>
        <w:t xml:space="preserve">3 </w:t>
      </w:r>
      <w:r>
        <w:rPr>
          <w:spacing w:val="-16"/>
        </w:rPr>
        <w:t>个</w:t>
      </w:r>
      <w:r>
        <w:t>部分，包括经济分析、技术分析和环境分析。同时，本文还介绍了煤直接液化的工艺流程，重点介绍了煤制油工艺的特殊的单元，例如： 煤液化单元，煤制氢单元，</w:t>
      </w:r>
      <w:r>
        <w:rPr>
          <w:rFonts w:ascii="Times New Roman" w:eastAsia="Times New Roman"/>
        </w:rPr>
        <w:t xml:space="preserve">T-star </w:t>
      </w:r>
      <w:r>
        <w:t>工艺单元。</w:t>
      </w:r>
    </w:p>
    <w:p>
      <w:pPr>
        <w:pStyle w:val="BodyText"/>
        <w:spacing w:line="316" w:lineRule="auto"/>
        <w:ind w:left="644" w:right="2206" w:firstLine="719"/>
        <w:jc w:val="both"/>
      </w:pPr>
      <w:r>
        <w:t>经济分析部分，采用技术经济学的知识，计算了项目的总投资、总成本、项目销售收入和税金以及现金流量。计算出了项目的内部收</w:t>
      </w:r>
      <w:r>
        <w:rPr>
          <w:spacing w:val="-23"/>
        </w:rPr>
        <w:t xml:space="preserve">益率为 </w:t>
      </w:r>
      <w:r>
        <w:rPr>
          <w:rFonts w:ascii="Times New Roman" w:eastAsia="Times New Roman"/>
          <w:spacing w:val="-9"/>
        </w:rPr>
        <w:t>13.13%</w:t>
      </w:r>
      <w:r>
        <w:rPr>
          <w:spacing w:val="-12"/>
        </w:rPr>
        <w:t xml:space="preserve">，全投资的回收期为 </w:t>
      </w:r>
      <w:r>
        <w:rPr>
          <w:rFonts w:ascii="Times New Roman" w:eastAsia="Times New Roman"/>
        </w:rPr>
        <w:t xml:space="preserve">7.73 </w:t>
      </w:r>
      <w:r>
        <w:rPr>
          <w:spacing w:val="-9"/>
        </w:rPr>
        <w:t>年，大于石油化工项目的平均</w:t>
      </w:r>
      <w:r>
        <w:rPr>
          <w:spacing w:val="-16"/>
        </w:rPr>
        <w:t xml:space="preserve">内部收益率 </w:t>
      </w:r>
      <w:r>
        <w:rPr>
          <w:rFonts w:ascii="Times New Roman" w:eastAsia="Times New Roman"/>
        </w:rPr>
        <w:t>10%</w:t>
      </w:r>
      <w:r>
        <w:t>。从经济方面，神华煤制油项目是有优势的。</w:t>
      </w:r>
    </w:p>
    <w:p>
      <w:pPr>
        <w:pStyle w:val="BodyText"/>
        <w:spacing w:line="316" w:lineRule="auto"/>
        <w:ind w:left="644" w:right="2206" w:firstLine="540"/>
        <w:jc w:val="both"/>
      </w:pPr>
      <w:r>
        <w:rPr>
          <w:spacing w:val="-10"/>
        </w:rPr>
        <w:t>技术分析部分，主要从煤直接液化工艺的技术方案，工程放大和项</w:t>
      </w:r>
      <w:r>
        <w:t xml:space="preserve">目的建设进行了研究。重点分析了液化工艺核心技术 </w:t>
      </w:r>
      <w:r>
        <w:rPr>
          <w:rFonts w:ascii="Times New Roman" w:eastAsia="Times New Roman" w:hAnsi="Times New Roman"/>
          <w:spacing w:val="14"/>
        </w:rPr>
        <w:t>—</w:t>
      </w:r>
      <w:r>
        <w:t>采用美国的</w:t>
      </w:r>
      <w:r>
        <w:rPr>
          <w:rFonts w:ascii="Times New Roman" w:eastAsia="Times New Roman" w:hAnsi="Times New Roman"/>
        </w:rPr>
        <w:t xml:space="preserve">HTI </w:t>
      </w:r>
      <w:r>
        <w:rPr>
          <w:spacing w:val="-2"/>
        </w:rPr>
        <w:t>工艺，液化工艺的催化剂制备单元</w:t>
      </w:r>
      <w:r>
        <w:rPr>
          <w:rFonts w:ascii="Times New Roman" w:eastAsia="Times New Roman" w:hAnsi="Times New Roman"/>
        </w:rPr>
        <w:t>—</w:t>
      </w:r>
      <w:r>
        <w:t>采用新型高效</w:t>
      </w:r>
      <w:r>
        <w:rPr>
          <w:rFonts w:ascii="Times New Roman" w:eastAsia="Times New Roman" w:hAnsi="Times New Roman"/>
        </w:rPr>
        <w:t>“863”</w:t>
      </w:r>
      <w:r>
        <w:rPr>
          <w:spacing w:val="-4"/>
        </w:rPr>
        <w:t>合成催化</w:t>
      </w:r>
      <w:r>
        <w:rPr>
          <w:spacing w:val="2"/>
        </w:rPr>
        <w:t>剂，液化工艺煤制氢单元</w:t>
      </w:r>
      <w:r>
        <w:rPr>
          <w:rFonts w:ascii="Times New Roman" w:eastAsia="Times New Roman" w:hAnsi="Times New Roman"/>
          <w:spacing w:val="3"/>
        </w:rPr>
        <w:t>—</w:t>
      </w:r>
      <w:r>
        <w:rPr>
          <w:spacing w:val="1"/>
        </w:rPr>
        <w:t xml:space="preserve">采用 </w:t>
      </w:r>
      <w:r>
        <w:rPr>
          <w:rFonts w:ascii="Times New Roman" w:eastAsia="Times New Roman" w:hAnsi="Times New Roman"/>
        </w:rPr>
        <w:t xml:space="preserve">Shell </w:t>
      </w:r>
      <w:r>
        <w:t>粉煤加压气化工艺等先进的技</w:t>
      </w:r>
    </w:p>
    <w:p>
      <w:pPr>
        <w:spacing w:after="0" w:line="316" w:lineRule="auto"/>
        <w:jc w:val="both"/>
        <w:sectPr>
          <w:type w:val="continuous"/>
          <w:pgSz w:w="15480" w:h="21860"/>
          <w:pgMar w:top="2080" w:right="0" w:bottom="280" w:left="1740" w:header="708" w:footer="708"/>
          <w:cols w:space="708"/>
        </w:sectPr>
      </w:pPr>
    </w:p>
    <w:p>
      <w:pPr>
        <w:pStyle w:val="BodyText"/>
        <w:spacing w:before="24" w:line="316" w:lineRule="auto"/>
        <w:ind w:left="644" w:right="2295"/>
        <w:jc w:val="both"/>
      </w:pPr>
      <w:r>
        <w:t>术。神华煤制油项目在产品分离、加氢改质、空分、水处理方面都采用了先进的技术。同时项目的工程放大和项目的建设都保证了神华煤制油项目的有条不紊的建设。</w:t>
      </w:r>
    </w:p>
    <w:p>
      <w:pPr>
        <w:pStyle w:val="BodyText"/>
        <w:spacing w:line="316" w:lineRule="auto"/>
        <w:ind w:left="644" w:right="2294" w:firstLine="719"/>
      </w:pPr>
      <w:r>
        <w:t>环境分析部分，重点研究了神华项目污水和液化残渣的利用。对这两部分分别提出了建议意见。</w:t>
      </w:r>
    </w:p>
    <w:p>
      <w:pPr>
        <w:pStyle w:val="BodyText"/>
        <w:spacing w:line="316" w:lineRule="auto"/>
        <w:ind w:left="644" w:right="2295" w:firstLine="719"/>
        <w:jc w:val="both"/>
      </w:pPr>
      <w:r>
        <w:t>最后，本文对神华项目提出了发展建议，提出了神华项目要加大自主技术研究，完善绿化方案，建立水库储备水源，研究煤、电和化工的结合。</w:t>
      </w:r>
    </w:p>
    <w:p>
      <w:pPr>
        <w:pStyle w:val="BodyText"/>
        <w:spacing w:before="4"/>
        <w:rPr>
          <w:sz w:val="47"/>
        </w:rPr>
      </w:pPr>
    </w:p>
    <w:p>
      <w:pPr>
        <w:pStyle w:val="BodyText"/>
        <w:ind w:left="644"/>
        <w:rPr>
          <w:rFonts w:ascii="幼圆" w:eastAsia="幼圆" w:hint="eastAsia"/>
        </w:rPr>
      </w:pPr>
      <w:r>
        <w:rPr>
          <w:rFonts w:ascii="幼圆" w:eastAsia="幼圆" w:hint="eastAsia"/>
        </w:rPr>
        <w:t>关键词：煤制油；直接液化；综合评价</w:t>
      </w:r>
    </w:p>
    <w:p>
      <w:pPr>
        <w:pStyle w:val="BodyText"/>
        <w:spacing w:before="8"/>
        <w:rPr>
          <w:rFonts w:ascii="幼圆"/>
          <w:sz w:val="45"/>
        </w:rPr>
      </w:pPr>
    </w:p>
    <w:p>
      <w:pPr>
        <w:spacing w:before="0"/>
        <w:ind w:left="0" w:right="2106" w:firstLine="0"/>
        <w:jc w:val="center"/>
        <w:rPr>
          <w:rFonts w:ascii="Bookman Old Style"/>
          <w:b w:val="0"/>
          <w:sz w:val="29"/>
        </w:rPr>
      </w:pPr>
      <w:r>
        <w:rPr>
          <w:rFonts w:ascii="Bookman Old Style"/>
          <w:b w:val="0"/>
          <w:w w:val="90"/>
          <w:sz w:val="29"/>
        </w:rPr>
        <w:t>Abstract</w:t>
      </w:r>
    </w:p>
    <w:p>
      <w:pPr>
        <w:pStyle w:val="BodyText"/>
        <w:rPr>
          <w:rFonts w:ascii="Bookman Old Style"/>
          <w:b w:val="0"/>
          <w:sz w:val="32"/>
        </w:rPr>
      </w:pPr>
    </w:p>
    <w:p>
      <w:pPr>
        <w:pStyle w:val="BodyText"/>
        <w:tabs>
          <w:tab w:val="left" w:pos="2867"/>
          <w:tab w:val="left" w:pos="3731"/>
          <w:tab w:val="left" w:pos="4278"/>
          <w:tab w:val="left" w:pos="4921"/>
          <w:tab w:val="left" w:pos="5745"/>
          <w:tab w:val="left" w:pos="6451"/>
          <w:tab w:val="left" w:pos="7301"/>
          <w:tab w:val="left" w:pos="9909"/>
          <w:tab w:val="left" w:pos="11176"/>
        </w:tabs>
        <w:spacing w:before="267" w:line="345" w:lineRule="auto"/>
        <w:ind w:left="644" w:right="2201" w:firstLine="719"/>
        <w:rPr>
          <w:rFonts w:ascii="Bookman Old Style"/>
          <w:b w:val="0"/>
        </w:rPr>
      </w:pPr>
      <w:r>
        <w:rPr>
          <w:rFonts w:ascii="Bookman Old Style"/>
          <w:b w:val="0"/>
          <w:w w:val="85"/>
        </w:rPr>
        <w:t>Shenhua</w:t>
        <w:tab/>
      </w:r>
      <w:r>
        <w:rPr>
          <w:rFonts w:ascii="Bookman Old Style"/>
          <w:b w:val="0"/>
          <w:w w:val="90"/>
        </w:rPr>
        <w:t>coal</w:t>
        <w:tab/>
        <w:t>to</w:t>
        <w:tab/>
        <w:t>oil</w:t>
        <w:tab/>
        <w:t>was</w:t>
        <w:tab/>
        <w:t>the</w:t>
        <w:tab/>
        <w:t>first</w:t>
        <w:tab/>
      </w:r>
      <w:r>
        <w:rPr>
          <w:rFonts w:ascii="Bookman Old Style"/>
          <w:b w:val="0"/>
          <w:w w:val="85"/>
        </w:rPr>
        <w:t>industrialization</w:t>
        <w:tab/>
      </w:r>
      <w:r>
        <w:rPr>
          <w:rFonts w:ascii="Bookman Old Style"/>
          <w:b w:val="0"/>
          <w:w w:val="90"/>
        </w:rPr>
        <w:t>project</w:t>
        <w:tab/>
      </w:r>
      <w:r>
        <w:rPr>
          <w:rFonts w:ascii="Bookman Old Style"/>
          <w:b w:val="0"/>
          <w:spacing w:val="-9"/>
          <w:w w:val="85"/>
        </w:rPr>
        <w:t xml:space="preserve">on </w:t>
      </w:r>
      <w:r>
        <w:rPr>
          <w:rFonts w:ascii="Bookman Old Style"/>
          <w:b w:val="0"/>
          <w:w w:val="85"/>
        </w:rPr>
        <w:t>construction</w:t>
      </w:r>
      <w:r>
        <w:rPr>
          <w:rFonts w:ascii="Bookman Old Style"/>
          <w:b w:val="0"/>
          <w:spacing w:val="-36"/>
          <w:w w:val="85"/>
        </w:rPr>
        <w:t xml:space="preserve"> </w:t>
      </w:r>
      <w:r>
        <w:rPr>
          <w:rFonts w:ascii="Bookman Old Style"/>
          <w:b w:val="0"/>
          <w:w w:val="85"/>
        </w:rPr>
        <w:t>in</w:t>
      </w:r>
      <w:r>
        <w:rPr>
          <w:rFonts w:ascii="Bookman Old Style"/>
          <w:b w:val="0"/>
          <w:spacing w:val="-36"/>
          <w:w w:val="85"/>
        </w:rPr>
        <w:t xml:space="preserve"> </w:t>
      </w:r>
      <w:r>
        <w:rPr>
          <w:rFonts w:ascii="Bookman Old Style"/>
          <w:b w:val="0"/>
          <w:w w:val="85"/>
        </w:rPr>
        <w:t>the</w:t>
      </w:r>
      <w:r>
        <w:rPr>
          <w:rFonts w:ascii="Bookman Old Style"/>
          <w:b w:val="0"/>
          <w:spacing w:val="-36"/>
          <w:w w:val="85"/>
        </w:rPr>
        <w:t xml:space="preserve"> </w:t>
      </w:r>
      <w:r>
        <w:rPr>
          <w:rFonts w:ascii="Bookman Old Style"/>
          <w:b w:val="0"/>
          <w:w w:val="85"/>
        </w:rPr>
        <w:t>world,</w:t>
      </w:r>
      <w:r>
        <w:rPr>
          <w:rFonts w:ascii="Bookman Old Style"/>
          <w:b w:val="0"/>
          <w:spacing w:val="-36"/>
          <w:w w:val="85"/>
        </w:rPr>
        <w:t xml:space="preserve"> </w:t>
      </w:r>
      <w:r>
        <w:rPr>
          <w:rFonts w:ascii="Bookman Old Style"/>
          <w:b w:val="0"/>
          <w:w w:val="85"/>
        </w:rPr>
        <w:t>which</w:t>
      </w:r>
      <w:r>
        <w:rPr>
          <w:rFonts w:ascii="Bookman Old Style"/>
          <w:b w:val="0"/>
          <w:spacing w:val="-36"/>
          <w:w w:val="85"/>
        </w:rPr>
        <w:t xml:space="preserve"> </w:t>
      </w:r>
      <w:r>
        <w:rPr>
          <w:rFonts w:ascii="Bookman Old Style"/>
          <w:b w:val="0"/>
          <w:w w:val="85"/>
        </w:rPr>
        <w:t>was</w:t>
      </w:r>
      <w:r>
        <w:rPr>
          <w:rFonts w:ascii="Bookman Old Style"/>
          <w:b w:val="0"/>
          <w:spacing w:val="-36"/>
          <w:w w:val="85"/>
        </w:rPr>
        <w:t xml:space="preserve"> </w:t>
      </w:r>
      <w:r>
        <w:rPr>
          <w:rFonts w:ascii="Bookman Old Style"/>
          <w:b w:val="0"/>
          <w:w w:val="85"/>
        </w:rPr>
        <w:t>divided</w:t>
      </w:r>
      <w:r>
        <w:rPr>
          <w:rFonts w:ascii="Bookman Old Style"/>
          <w:b w:val="0"/>
          <w:spacing w:val="-35"/>
          <w:w w:val="85"/>
        </w:rPr>
        <w:t xml:space="preserve"> </w:t>
      </w:r>
      <w:r>
        <w:rPr>
          <w:rFonts w:ascii="Bookman Old Style"/>
          <w:b w:val="0"/>
          <w:w w:val="85"/>
        </w:rPr>
        <w:t>into</w:t>
      </w:r>
      <w:r>
        <w:rPr>
          <w:rFonts w:ascii="Bookman Old Style"/>
          <w:b w:val="0"/>
          <w:spacing w:val="-36"/>
          <w:w w:val="85"/>
        </w:rPr>
        <w:t xml:space="preserve"> </w:t>
      </w:r>
      <w:r>
        <w:rPr>
          <w:rFonts w:ascii="Bookman Old Style"/>
          <w:b w:val="0"/>
          <w:w w:val="85"/>
        </w:rPr>
        <w:t>two</w:t>
      </w:r>
      <w:r>
        <w:rPr>
          <w:rFonts w:ascii="Bookman Old Style"/>
          <w:b w:val="0"/>
          <w:spacing w:val="-36"/>
          <w:w w:val="85"/>
        </w:rPr>
        <w:t xml:space="preserve"> </w:t>
      </w:r>
      <w:r>
        <w:rPr>
          <w:rFonts w:ascii="Bookman Old Style"/>
          <w:b w:val="0"/>
          <w:w w:val="85"/>
        </w:rPr>
        <w:t>stages,including</w:t>
      </w:r>
      <w:r>
        <w:rPr>
          <w:rFonts w:ascii="Bookman Old Style"/>
          <w:b w:val="0"/>
          <w:spacing w:val="-36"/>
          <w:w w:val="85"/>
        </w:rPr>
        <w:t xml:space="preserve"> </w:t>
      </w:r>
      <w:r>
        <w:rPr>
          <w:rFonts w:ascii="Bookman Old Style"/>
          <w:b w:val="0"/>
          <w:w w:val="85"/>
        </w:rPr>
        <w:t xml:space="preserve">the </w:t>
      </w:r>
      <w:r>
        <w:rPr>
          <w:rFonts w:ascii="Bookman Old Style"/>
          <w:b w:val="0"/>
          <w:w w:val="90"/>
        </w:rPr>
        <w:t>early</w:t>
      </w:r>
      <w:r>
        <w:rPr>
          <w:rFonts w:ascii="Bookman Old Style"/>
          <w:b w:val="0"/>
          <w:spacing w:val="-65"/>
          <w:w w:val="90"/>
        </w:rPr>
        <w:t xml:space="preserve"> </w:t>
      </w:r>
      <w:r>
        <w:rPr>
          <w:rFonts w:ascii="Bookman Old Style"/>
          <w:b w:val="0"/>
          <w:w w:val="90"/>
        </w:rPr>
        <w:t>one</w:t>
      </w:r>
      <w:r>
        <w:rPr>
          <w:rFonts w:ascii="Bookman Old Style"/>
          <w:b w:val="0"/>
          <w:spacing w:val="-65"/>
          <w:w w:val="90"/>
        </w:rPr>
        <w:t xml:space="preserve"> </w:t>
      </w:r>
      <w:r>
        <w:rPr>
          <w:rFonts w:ascii="Bookman Old Style"/>
          <w:b w:val="0"/>
          <w:w w:val="90"/>
        </w:rPr>
        <w:t>and</w:t>
      </w:r>
      <w:r>
        <w:rPr>
          <w:rFonts w:ascii="Bookman Old Style"/>
          <w:b w:val="0"/>
          <w:spacing w:val="-65"/>
          <w:w w:val="90"/>
        </w:rPr>
        <w:t xml:space="preserve"> </w:t>
      </w:r>
      <w:r>
        <w:rPr>
          <w:rFonts w:ascii="Bookman Old Style"/>
          <w:b w:val="0"/>
          <w:w w:val="90"/>
        </w:rPr>
        <w:t>the</w:t>
      </w:r>
      <w:r>
        <w:rPr>
          <w:rFonts w:ascii="Bookman Old Style"/>
          <w:b w:val="0"/>
          <w:spacing w:val="-65"/>
          <w:w w:val="90"/>
        </w:rPr>
        <w:t xml:space="preserve"> </w:t>
      </w:r>
      <w:r>
        <w:rPr>
          <w:rFonts w:ascii="Bookman Old Style"/>
          <w:b w:val="0"/>
          <w:w w:val="90"/>
        </w:rPr>
        <w:t>first</w:t>
      </w:r>
      <w:r>
        <w:rPr>
          <w:rFonts w:ascii="Bookman Old Style"/>
          <w:b w:val="0"/>
          <w:spacing w:val="-64"/>
          <w:w w:val="90"/>
        </w:rPr>
        <w:t xml:space="preserve"> </w:t>
      </w:r>
      <w:r>
        <w:rPr>
          <w:rFonts w:ascii="Bookman Old Style"/>
          <w:b w:val="0"/>
          <w:w w:val="90"/>
        </w:rPr>
        <w:t>one.the</w:t>
      </w:r>
      <w:r>
        <w:rPr>
          <w:rFonts w:ascii="Bookman Old Style"/>
          <w:b w:val="0"/>
          <w:spacing w:val="-65"/>
          <w:w w:val="90"/>
        </w:rPr>
        <w:t xml:space="preserve"> </w:t>
      </w:r>
      <w:r>
        <w:rPr>
          <w:rFonts w:ascii="Bookman Old Style"/>
          <w:b w:val="0"/>
          <w:w w:val="90"/>
        </w:rPr>
        <w:t>gross</w:t>
      </w:r>
      <w:r>
        <w:rPr>
          <w:rFonts w:ascii="Bookman Old Style"/>
          <w:b w:val="0"/>
          <w:spacing w:val="-65"/>
          <w:w w:val="90"/>
        </w:rPr>
        <w:t xml:space="preserve"> </w:t>
      </w:r>
      <w:r>
        <w:rPr>
          <w:rFonts w:ascii="Bookman Old Style"/>
          <w:b w:val="0"/>
          <w:w w:val="90"/>
        </w:rPr>
        <w:t>of</w:t>
      </w:r>
      <w:r>
        <w:rPr>
          <w:rFonts w:ascii="Bookman Old Style"/>
          <w:b w:val="0"/>
          <w:spacing w:val="-65"/>
          <w:w w:val="90"/>
        </w:rPr>
        <w:t xml:space="preserve"> </w:t>
      </w:r>
      <w:r>
        <w:rPr>
          <w:rFonts w:ascii="Bookman Old Style"/>
          <w:b w:val="0"/>
          <w:w w:val="90"/>
        </w:rPr>
        <w:t>project</w:t>
      </w:r>
      <w:r>
        <w:rPr>
          <w:rFonts w:ascii="Bookman Old Style"/>
          <w:b w:val="0"/>
          <w:spacing w:val="-64"/>
          <w:w w:val="90"/>
        </w:rPr>
        <w:t xml:space="preserve"> </w:t>
      </w:r>
      <w:r>
        <w:rPr>
          <w:rFonts w:ascii="Bookman Old Style"/>
          <w:b w:val="0"/>
          <w:w w:val="90"/>
        </w:rPr>
        <w:t>is</w:t>
      </w:r>
      <w:r>
        <w:rPr>
          <w:rFonts w:ascii="Bookman Old Style"/>
          <w:b w:val="0"/>
          <w:spacing w:val="-65"/>
          <w:w w:val="90"/>
        </w:rPr>
        <w:t xml:space="preserve"> </w:t>
      </w:r>
      <w:r>
        <w:rPr>
          <w:rFonts w:ascii="Bookman Old Style"/>
          <w:b w:val="0"/>
          <w:w w:val="90"/>
        </w:rPr>
        <w:t>five</w:t>
      </w:r>
      <w:r>
        <w:rPr>
          <w:rFonts w:ascii="Bookman Old Style"/>
          <w:b w:val="0"/>
          <w:spacing w:val="-65"/>
          <w:w w:val="90"/>
        </w:rPr>
        <w:t xml:space="preserve"> </w:t>
      </w:r>
      <w:r>
        <w:rPr>
          <w:rFonts w:ascii="Bookman Old Style"/>
          <w:b w:val="0"/>
          <w:w w:val="90"/>
        </w:rPr>
        <w:t>million</w:t>
      </w:r>
      <w:r>
        <w:rPr>
          <w:rFonts w:ascii="Bookman Old Style"/>
          <w:b w:val="0"/>
          <w:spacing w:val="-65"/>
          <w:w w:val="90"/>
        </w:rPr>
        <w:t xml:space="preserve"> </w:t>
      </w:r>
      <w:r>
        <w:rPr>
          <w:rFonts w:ascii="Bookman Old Style"/>
          <w:b w:val="0"/>
          <w:w w:val="90"/>
        </w:rPr>
        <w:t>tons/year</w:t>
      </w:r>
      <w:r>
        <w:rPr>
          <w:rFonts w:ascii="Bookman Old Style"/>
          <w:b w:val="0"/>
          <w:spacing w:val="-64"/>
          <w:w w:val="90"/>
        </w:rPr>
        <w:t xml:space="preserve"> </w:t>
      </w:r>
      <w:r>
        <w:rPr>
          <w:rFonts w:ascii="Bookman Old Style"/>
          <w:b w:val="0"/>
          <w:w w:val="90"/>
        </w:rPr>
        <w:t xml:space="preserve">in </w:t>
      </w:r>
      <w:r>
        <w:rPr>
          <w:rFonts w:ascii="Bookman Old Style"/>
          <w:b w:val="0"/>
          <w:w w:val="85"/>
        </w:rPr>
        <w:t>petroleum</w:t>
      </w:r>
      <w:r>
        <w:rPr>
          <w:rFonts w:ascii="Bookman Old Style"/>
          <w:b w:val="0"/>
          <w:spacing w:val="-46"/>
          <w:w w:val="85"/>
        </w:rPr>
        <w:t xml:space="preserve"> </w:t>
      </w:r>
      <w:r>
        <w:rPr>
          <w:rFonts w:ascii="Bookman Old Style"/>
          <w:b w:val="0"/>
          <w:w w:val="85"/>
        </w:rPr>
        <w:t>product.</w:t>
      </w:r>
      <w:r>
        <w:rPr>
          <w:rFonts w:ascii="Bookman Old Style"/>
          <w:b w:val="0"/>
          <w:spacing w:val="-46"/>
          <w:w w:val="85"/>
        </w:rPr>
        <w:t xml:space="preserve"> </w:t>
      </w:r>
      <w:r>
        <w:rPr>
          <w:rFonts w:ascii="Bookman Old Style"/>
          <w:b w:val="0"/>
          <w:w w:val="85"/>
        </w:rPr>
        <w:t>The</w:t>
      </w:r>
      <w:r>
        <w:rPr>
          <w:rFonts w:ascii="Bookman Old Style"/>
          <w:b w:val="0"/>
          <w:spacing w:val="-45"/>
          <w:w w:val="85"/>
        </w:rPr>
        <w:t xml:space="preserve"> </w:t>
      </w:r>
      <w:r>
        <w:rPr>
          <w:rFonts w:ascii="Bookman Old Style"/>
          <w:b w:val="0"/>
          <w:w w:val="85"/>
        </w:rPr>
        <w:t>early</w:t>
      </w:r>
      <w:r>
        <w:rPr>
          <w:rFonts w:ascii="Bookman Old Style"/>
          <w:b w:val="0"/>
          <w:spacing w:val="-46"/>
          <w:w w:val="85"/>
        </w:rPr>
        <w:t xml:space="preserve"> </w:t>
      </w:r>
      <w:r>
        <w:rPr>
          <w:rFonts w:ascii="Bookman Old Style"/>
          <w:b w:val="0"/>
          <w:w w:val="85"/>
        </w:rPr>
        <w:t>stage</w:t>
      </w:r>
      <w:r>
        <w:rPr>
          <w:rFonts w:ascii="Bookman Old Style"/>
          <w:b w:val="0"/>
          <w:spacing w:val="-45"/>
          <w:w w:val="85"/>
        </w:rPr>
        <w:t xml:space="preserve"> </w:t>
      </w:r>
      <w:r>
        <w:rPr>
          <w:rFonts w:ascii="Bookman Old Style"/>
          <w:b w:val="0"/>
          <w:w w:val="85"/>
        </w:rPr>
        <w:t>started</w:t>
      </w:r>
      <w:r>
        <w:rPr>
          <w:rFonts w:ascii="Bookman Old Style"/>
          <w:b w:val="0"/>
          <w:spacing w:val="-46"/>
          <w:w w:val="85"/>
        </w:rPr>
        <w:t xml:space="preserve"> </w:t>
      </w:r>
      <w:r>
        <w:rPr>
          <w:rFonts w:ascii="Bookman Old Style"/>
          <w:b w:val="0"/>
          <w:w w:val="85"/>
        </w:rPr>
        <w:t>to</w:t>
      </w:r>
      <w:r>
        <w:rPr>
          <w:rFonts w:ascii="Bookman Old Style"/>
          <w:b w:val="0"/>
          <w:spacing w:val="-45"/>
          <w:w w:val="85"/>
        </w:rPr>
        <w:t xml:space="preserve"> </w:t>
      </w:r>
      <w:r>
        <w:rPr>
          <w:rFonts w:ascii="Bookman Old Style"/>
          <w:b w:val="0"/>
          <w:w w:val="85"/>
        </w:rPr>
        <w:t>be</w:t>
      </w:r>
      <w:r>
        <w:rPr>
          <w:rFonts w:ascii="Bookman Old Style"/>
          <w:b w:val="0"/>
          <w:spacing w:val="-46"/>
          <w:w w:val="85"/>
        </w:rPr>
        <w:t xml:space="preserve"> </w:t>
      </w:r>
      <w:r>
        <w:rPr>
          <w:rFonts w:ascii="Bookman Old Style"/>
          <w:b w:val="0"/>
          <w:w w:val="85"/>
        </w:rPr>
        <w:t>constructed</w:t>
      </w:r>
      <w:r>
        <w:rPr>
          <w:rFonts w:ascii="Bookman Old Style"/>
          <w:b w:val="0"/>
          <w:spacing w:val="-45"/>
          <w:w w:val="85"/>
        </w:rPr>
        <w:t xml:space="preserve"> </w:t>
      </w:r>
      <w:r>
        <w:rPr>
          <w:rFonts w:ascii="Bookman Old Style"/>
          <w:b w:val="0"/>
          <w:w w:val="85"/>
        </w:rPr>
        <w:t>since</w:t>
      </w:r>
      <w:r>
        <w:rPr>
          <w:rFonts w:ascii="Bookman Old Style"/>
          <w:b w:val="0"/>
          <w:spacing w:val="-46"/>
          <w:w w:val="85"/>
        </w:rPr>
        <w:t xml:space="preserve"> </w:t>
      </w:r>
      <w:r>
        <w:rPr>
          <w:rFonts w:ascii="Bookman Old Style"/>
          <w:b w:val="0"/>
          <w:w w:val="85"/>
        </w:rPr>
        <w:t>August, 2004,</w:t>
      </w:r>
      <w:r>
        <w:rPr>
          <w:rFonts w:ascii="Bookman Old Style"/>
          <w:b w:val="0"/>
          <w:spacing w:val="-41"/>
          <w:w w:val="85"/>
        </w:rPr>
        <w:t xml:space="preserve"> </w:t>
      </w:r>
      <w:r>
        <w:rPr>
          <w:rFonts w:ascii="Bookman Old Style"/>
          <w:b w:val="0"/>
          <w:w w:val="85"/>
        </w:rPr>
        <w:t>the</w:t>
      </w:r>
      <w:r>
        <w:rPr>
          <w:rFonts w:ascii="Bookman Old Style"/>
          <w:b w:val="0"/>
          <w:spacing w:val="-40"/>
          <w:w w:val="85"/>
        </w:rPr>
        <w:t xml:space="preserve"> </w:t>
      </w:r>
      <w:r>
        <w:rPr>
          <w:rFonts w:ascii="Bookman Old Style"/>
          <w:b w:val="0"/>
          <w:w w:val="85"/>
        </w:rPr>
        <w:t>first</w:t>
      </w:r>
      <w:r>
        <w:rPr>
          <w:rFonts w:ascii="Bookman Old Style"/>
          <w:b w:val="0"/>
          <w:spacing w:val="-41"/>
          <w:w w:val="85"/>
        </w:rPr>
        <w:t xml:space="preserve"> </w:t>
      </w:r>
      <w:r>
        <w:rPr>
          <w:rFonts w:ascii="Bookman Old Style"/>
          <w:b w:val="0"/>
          <w:w w:val="85"/>
        </w:rPr>
        <w:t>stage</w:t>
      </w:r>
      <w:r>
        <w:rPr>
          <w:rFonts w:ascii="Bookman Old Style"/>
          <w:b w:val="0"/>
          <w:spacing w:val="-40"/>
          <w:w w:val="85"/>
        </w:rPr>
        <w:t xml:space="preserve"> </w:t>
      </w:r>
      <w:r>
        <w:rPr>
          <w:rFonts w:ascii="Bookman Old Style"/>
          <w:b w:val="0"/>
          <w:w w:val="85"/>
        </w:rPr>
        <w:t>will</w:t>
      </w:r>
      <w:r>
        <w:rPr>
          <w:rFonts w:ascii="Bookman Old Style"/>
          <w:b w:val="0"/>
          <w:spacing w:val="-41"/>
          <w:w w:val="85"/>
        </w:rPr>
        <w:t xml:space="preserve"> </w:t>
      </w:r>
      <w:r>
        <w:rPr>
          <w:rFonts w:ascii="Bookman Old Style"/>
          <w:b w:val="0"/>
          <w:w w:val="85"/>
        </w:rPr>
        <w:t>be</w:t>
      </w:r>
      <w:r>
        <w:rPr>
          <w:rFonts w:ascii="Bookman Old Style"/>
          <w:b w:val="0"/>
          <w:spacing w:val="-40"/>
          <w:w w:val="85"/>
        </w:rPr>
        <w:t xml:space="preserve"> </w:t>
      </w:r>
      <w:r>
        <w:rPr>
          <w:rFonts w:ascii="Bookman Old Style"/>
          <w:b w:val="0"/>
          <w:w w:val="85"/>
        </w:rPr>
        <w:t>finshed</w:t>
      </w:r>
      <w:r>
        <w:rPr>
          <w:rFonts w:ascii="Bookman Old Style"/>
          <w:b w:val="0"/>
          <w:spacing w:val="-41"/>
          <w:w w:val="85"/>
        </w:rPr>
        <w:t xml:space="preserve"> </w:t>
      </w:r>
      <w:r>
        <w:rPr>
          <w:rFonts w:ascii="Bookman Old Style"/>
          <w:b w:val="0"/>
          <w:w w:val="85"/>
        </w:rPr>
        <w:t>in</w:t>
      </w:r>
      <w:r>
        <w:rPr>
          <w:rFonts w:ascii="Bookman Old Style"/>
          <w:b w:val="0"/>
          <w:spacing w:val="-40"/>
          <w:w w:val="85"/>
        </w:rPr>
        <w:t xml:space="preserve"> </w:t>
      </w:r>
      <w:r>
        <w:rPr>
          <w:rFonts w:ascii="Bookman Old Style"/>
          <w:b w:val="0"/>
          <w:w w:val="85"/>
        </w:rPr>
        <w:t>2009,</w:t>
      </w:r>
      <w:r>
        <w:rPr>
          <w:rFonts w:ascii="Bookman Old Style"/>
          <w:b w:val="0"/>
          <w:spacing w:val="-41"/>
          <w:w w:val="85"/>
        </w:rPr>
        <w:t xml:space="preserve"> </w:t>
      </w:r>
      <w:r>
        <w:rPr>
          <w:rFonts w:ascii="Bookman Old Style"/>
          <w:b w:val="0"/>
          <w:w w:val="85"/>
        </w:rPr>
        <w:t>and</w:t>
      </w:r>
      <w:r>
        <w:rPr>
          <w:rFonts w:ascii="Bookman Old Style"/>
          <w:b w:val="0"/>
          <w:spacing w:val="-40"/>
          <w:w w:val="85"/>
        </w:rPr>
        <w:t xml:space="preserve"> </w:t>
      </w:r>
      <w:r>
        <w:rPr>
          <w:rFonts w:ascii="Bookman Old Style"/>
          <w:b w:val="0"/>
          <w:w w:val="85"/>
        </w:rPr>
        <w:t>plan</w:t>
      </w:r>
      <w:r>
        <w:rPr>
          <w:rFonts w:ascii="Bookman Old Style"/>
          <w:b w:val="0"/>
          <w:spacing w:val="-41"/>
          <w:w w:val="85"/>
        </w:rPr>
        <w:t xml:space="preserve"> </w:t>
      </w:r>
      <w:r>
        <w:rPr>
          <w:rFonts w:ascii="Bookman Old Style"/>
          <w:b w:val="0"/>
          <w:w w:val="85"/>
        </w:rPr>
        <w:t>to</w:t>
      </w:r>
      <w:r>
        <w:rPr>
          <w:rFonts w:ascii="Bookman Old Style"/>
          <w:b w:val="0"/>
          <w:spacing w:val="-40"/>
          <w:w w:val="85"/>
        </w:rPr>
        <w:t xml:space="preserve"> </w:t>
      </w:r>
      <w:r>
        <w:rPr>
          <w:rFonts w:ascii="Bookman Old Style"/>
          <w:b w:val="0"/>
          <w:w w:val="85"/>
        </w:rPr>
        <w:t>put</w:t>
      </w:r>
      <w:r>
        <w:rPr>
          <w:rFonts w:ascii="Bookman Old Style"/>
          <w:b w:val="0"/>
          <w:spacing w:val="-41"/>
          <w:w w:val="85"/>
        </w:rPr>
        <w:t xml:space="preserve"> </w:t>
      </w:r>
      <w:r>
        <w:rPr>
          <w:rFonts w:ascii="Bookman Old Style"/>
          <w:b w:val="0"/>
          <w:w w:val="85"/>
        </w:rPr>
        <w:t>into</w:t>
      </w:r>
      <w:r>
        <w:rPr>
          <w:rFonts w:ascii="Bookman Old Style"/>
          <w:b w:val="0"/>
          <w:spacing w:val="-40"/>
          <w:w w:val="85"/>
        </w:rPr>
        <w:t xml:space="preserve"> </w:t>
      </w:r>
      <w:r>
        <w:rPr>
          <w:rFonts w:ascii="Bookman Old Style"/>
          <w:b w:val="0"/>
          <w:w w:val="85"/>
        </w:rPr>
        <w:t xml:space="preserve">production </w:t>
      </w:r>
      <w:r>
        <w:rPr>
          <w:rFonts w:ascii="Bookman Old Style"/>
          <w:b w:val="0"/>
          <w:w w:val="90"/>
        </w:rPr>
        <w:t>in</w:t>
      </w:r>
      <w:r>
        <w:rPr>
          <w:rFonts w:ascii="Bookman Old Style"/>
          <w:b w:val="0"/>
          <w:spacing w:val="-16"/>
          <w:w w:val="90"/>
        </w:rPr>
        <w:t xml:space="preserve"> </w:t>
      </w:r>
      <w:r>
        <w:rPr>
          <w:rFonts w:ascii="Bookman Old Style"/>
          <w:b w:val="0"/>
          <w:w w:val="90"/>
        </w:rPr>
        <w:t>may.</w:t>
      </w:r>
    </w:p>
    <w:p>
      <w:pPr>
        <w:pStyle w:val="BodyText"/>
        <w:spacing w:line="345" w:lineRule="auto"/>
        <w:ind w:left="644" w:right="2210" w:firstLine="719"/>
        <w:rPr>
          <w:rFonts w:ascii="Bookman Old Style"/>
          <w:b w:val="0"/>
        </w:rPr>
      </w:pPr>
      <w:r>
        <w:rPr>
          <w:rFonts w:ascii="Bookman Old Style"/>
          <w:b w:val="0"/>
          <w:w w:val="90"/>
        </w:rPr>
        <w:t>The</w:t>
      </w:r>
      <w:r>
        <w:rPr>
          <w:rFonts w:ascii="Bookman Old Style"/>
          <w:b w:val="0"/>
          <w:spacing w:val="-63"/>
          <w:w w:val="90"/>
        </w:rPr>
        <w:t xml:space="preserve"> </w:t>
      </w:r>
      <w:r>
        <w:rPr>
          <w:rFonts w:ascii="Bookman Old Style"/>
          <w:b w:val="0"/>
          <w:w w:val="90"/>
        </w:rPr>
        <w:t>comprehensive</w:t>
      </w:r>
      <w:r>
        <w:rPr>
          <w:rFonts w:ascii="Bookman Old Style"/>
          <w:b w:val="0"/>
          <w:spacing w:val="-62"/>
          <w:w w:val="90"/>
        </w:rPr>
        <w:t xml:space="preserve"> </w:t>
      </w:r>
      <w:r>
        <w:rPr>
          <w:rFonts w:ascii="Bookman Old Style"/>
          <w:b w:val="0"/>
          <w:w w:val="90"/>
        </w:rPr>
        <w:t>evaluation</w:t>
      </w:r>
      <w:r>
        <w:rPr>
          <w:rFonts w:ascii="Bookman Old Style"/>
          <w:b w:val="0"/>
          <w:spacing w:val="-63"/>
          <w:w w:val="90"/>
        </w:rPr>
        <w:t xml:space="preserve"> </w:t>
      </w:r>
      <w:r>
        <w:rPr>
          <w:rFonts w:ascii="Bookman Old Style"/>
          <w:b w:val="0"/>
          <w:w w:val="90"/>
        </w:rPr>
        <w:t>of</w:t>
      </w:r>
      <w:r>
        <w:rPr>
          <w:rFonts w:ascii="Bookman Old Style"/>
          <w:b w:val="0"/>
          <w:spacing w:val="-62"/>
          <w:w w:val="90"/>
        </w:rPr>
        <w:t xml:space="preserve"> </w:t>
      </w:r>
      <w:r>
        <w:rPr>
          <w:rFonts w:ascii="Bookman Old Style"/>
          <w:b w:val="0"/>
          <w:w w:val="90"/>
        </w:rPr>
        <w:t>the</w:t>
      </w:r>
      <w:r>
        <w:rPr>
          <w:rFonts w:ascii="Bookman Old Style"/>
          <w:b w:val="0"/>
          <w:spacing w:val="-62"/>
          <w:w w:val="90"/>
        </w:rPr>
        <w:t xml:space="preserve"> </w:t>
      </w:r>
      <w:r>
        <w:rPr>
          <w:rFonts w:ascii="Bookman Old Style"/>
          <w:b w:val="0"/>
          <w:w w:val="90"/>
        </w:rPr>
        <w:t>project</w:t>
      </w:r>
      <w:r>
        <w:rPr>
          <w:rFonts w:ascii="Bookman Old Style"/>
          <w:b w:val="0"/>
          <w:spacing w:val="-63"/>
          <w:w w:val="90"/>
        </w:rPr>
        <w:t xml:space="preserve"> </w:t>
      </w:r>
      <w:r>
        <w:rPr>
          <w:rFonts w:ascii="Bookman Old Style"/>
          <w:b w:val="0"/>
          <w:w w:val="90"/>
        </w:rPr>
        <w:t>in</w:t>
      </w:r>
      <w:r>
        <w:rPr>
          <w:rFonts w:ascii="Bookman Old Style"/>
          <w:b w:val="0"/>
          <w:spacing w:val="-62"/>
          <w:w w:val="90"/>
        </w:rPr>
        <w:t xml:space="preserve"> </w:t>
      </w:r>
      <w:r>
        <w:rPr>
          <w:rFonts w:ascii="Bookman Old Style"/>
          <w:b w:val="0"/>
          <w:w w:val="90"/>
        </w:rPr>
        <w:t>direct</w:t>
      </w:r>
      <w:r>
        <w:rPr>
          <w:rFonts w:ascii="Bookman Old Style"/>
          <w:b w:val="0"/>
          <w:spacing w:val="-63"/>
          <w:w w:val="90"/>
        </w:rPr>
        <w:t xml:space="preserve"> </w:t>
      </w:r>
      <w:r>
        <w:rPr>
          <w:rFonts w:ascii="Bookman Old Style"/>
          <w:b w:val="0"/>
          <w:w w:val="90"/>
        </w:rPr>
        <w:t>liquefaction process</w:t>
      </w:r>
      <w:r>
        <w:rPr>
          <w:rFonts w:ascii="Bookman Old Style"/>
          <w:b w:val="0"/>
          <w:spacing w:val="-62"/>
          <w:w w:val="90"/>
        </w:rPr>
        <w:t xml:space="preserve"> </w:t>
      </w:r>
      <w:r>
        <w:rPr>
          <w:rFonts w:ascii="Bookman Old Style"/>
          <w:b w:val="0"/>
          <w:w w:val="90"/>
        </w:rPr>
        <w:t>on</w:t>
      </w:r>
      <w:r>
        <w:rPr>
          <w:rFonts w:ascii="Bookman Old Style"/>
          <w:b w:val="0"/>
          <w:spacing w:val="-61"/>
          <w:w w:val="90"/>
        </w:rPr>
        <w:t xml:space="preserve"> </w:t>
      </w:r>
      <w:r>
        <w:rPr>
          <w:rFonts w:ascii="Bookman Old Style"/>
          <w:b w:val="0"/>
          <w:w w:val="90"/>
        </w:rPr>
        <w:t>shenhua</w:t>
      </w:r>
      <w:r>
        <w:rPr>
          <w:rFonts w:ascii="Bookman Old Style"/>
          <w:b w:val="0"/>
          <w:spacing w:val="-61"/>
          <w:w w:val="90"/>
        </w:rPr>
        <w:t xml:space="preserve"> </w:t>
      </w:r>
      <w:r>
        <w:rPr>
          <w:rFonts w:ascii="Bookman Old Style"/>
          <w:b w:val="0"/>
          <w:w w:val="90"/>
        </w:rPr>
        <w:t>coal</w:t>
      </w:r>
      <w:r>
        <w:rPr>
          <w:rFonts w:ascii="Bookman Old Style"/>
          <w:b w:val="0"/>
          <w:spacing w:val="-61"/>
          <w:w w:val="90"/>
        </w:rPr>
        <w:t xml:space="preserve"> </w:t>
      </w:r>
      <w:r>
        <w:rPr>
          <w:rFonts w:ascii="Bookman Old Style"/>
          <w:b w:val="0"/>
          <w:w w:val="90"/>
        </w:rPr>
        <w:t>was</w:t>
      </w:r>
      <w:r>
        <w:rPr>
          <w:rFonts w:ascii="Bookman Old Style"/>
          <w:b w:val="0"/>
          <w:spacing w:val="-61"/>
          <w:w w:val="90"/>
        </w:rPr>
        <w:t xml:space="preserve"> </w:t>
      </w:r>
      <w:r>
        <w:rPr>
          <w:rFonts w:ascii="Bookman Old Style"/>
          <w:b w:val="0"/>
          <w:w w:val="90"/>
        </w:rPr>
        <w:t>studied</w:t>
      </w:r>
      <w:r>
        <w:rPr>
          <w:rFonts w:ascii="Bookman Old Style"/>
          <w:b w:val="0"/>
          <w:spacing w:val="-61"/>
          <w:w w:val="90"/>
        </w:rPr>
        <w:t xml:space="preserve"> </w:t>
      </w:r>
      <w:r>
        <w:rPr>
          <w:rFonts w:ascii="Bookman Old Style"/>
          <w:b w:val="0"/>
          <w:w w:val="90"/>
        </w:rPr>
        <w:t>in</w:t>
      </w:r>
      <w:r>
        <w:rPr>
          <w:rFonts w:ascii="Bookman Old Style"/>
          <w:b w:val="0"/>
          <w:spacing w:val="-61"/>
          <w:w w:val="90"/>
        </w:rPr>
        <w:t xml:space="preserve"> </w:t>
      </w:r>
      <w:r>
        <w:rPr>
          <w:rFonts w:ascii="Bookman Old Style"/>
          <w:b w:val="0"/>
          <w:w w:val="90"/>
        </w:rPr>
        <w:t>this</w:t>
      </w:r>
      <w:r>
        <w:rPr>
          <w:rFonts w:ascii="Bookman Old Style"/>
          <w:b w:val="0"/>
          <w:spacing w:val="-61"/>
          <w:w w:val="90"/>
        </w:rPr>
        <w:t xml:space="preserve"> </w:t>
      </w:r>
      <w:r>
        <w:rPr>
          <w:rFonts w:ascii="Bookman Old Style"/>
          <w:b w:val="0"/>
          <w:w w:val="90"/>
        </w:rPr>
        <w:t>paper,</w:t>
      </w:r>
      <w:r>
        <w:rPr>
          <w:rFonts w:ascii="Bookman Old Style"/>
          <w:b w:val="0"/>
          <w:spacing w:val="-61"/>
          <w:w w:val="90"/>
        </w:rPr>
        <w:t xml:space="preserve"> </w:t>
      </w:r>
      <w:r>
        <w:rPr>
          <w:rFonts w:ascii="Bookman Old Style"/>
          <w:b w:val="0"/>
          <w:w w:val="90"/>
        </w:rPr>
        <w:t>which</w:t>
      </w:r>
      <w:r>
        <w:rPr>
          <w:rFonts w:ascii="Bookman Old Style"/>
          <w:b w:val="0"/>
          <w:spacing w:val="-61"/>
          <w:w w:val="90"/>
        </w:rPr>
        <w:t xml:space="preserve"> </w:t>
      </w:r>
      <w:r>
        <w:rPr>
          <w:rFonts w:ascii="Bookman Old Style"/>
          <w:b w:val="0"/>
          <w:w w:val="90"/>
        </w:rPr>
        <w:t>mainly</w:t>
      </w:r>
      <w:r>
        <w:rPr>
          <w:rFonts w:ascii="Bookman Old Style"/>
          <w:b w:val="0"/>
          <w:spacing w:val="-61"/>
          <w:w w:val="90"/>
        </w:rPr>
        <w:t xml:space="preserve"> </w:t>
      </w:r>
      <w:r>
        <w:rPr>
          <w:rFonts w:ascii="Bookman Old Style"/>
          <w:b w:val="0"/>
          <w:w w:val="90"/>
        </w:rPr>
        <w:t xml:space="preserve">was </w:t>
      </w:r>
      <w:r>
        <w:rPr>
          <w:rFonts w:ascii="Bookman Old Style"/>
          <w:b w:val="0"/>
          <w:w w:val="85"/>
        </w:rPr>
        <w:t>divided</w:t>
      </w:r>
      <w:r>
        <w:rPr>
          <w:rFonts w:ascii="Bookman Old Style"/>
          <w:b w:val="0"/>
          <w:spacing w:val="-56"/>
          <w:w w:val="85"/>
        </w:rPr>
        <w:t xml:space="preserve"> </w:t>
      </w:r>
      <w:r>
        <w:rPr>
          <w:rFonts w:ascii="Bookman Old Style"/>
          <w:b w:val="0"/>
          <w:w w:val="85"/>
        </w:rPr>
        <w:t>into</w:t>
      </w:r>
      <w:r>
        <w:rPr>
          <w:rFonts w:ascii="Bookman Old Style"/>
          <w:b w:val="0"/>
          <w:spacing w:val="-55"/>
          <w:w w:val="85"/>
        </w:rPr>
        <w:t xml:space="preserve"> </w:t>
      </w:r>
      <w:r>
        <w:rPr>
          <w:rFonts w:ascii="Bookman Old Style"/>
          <w:b w:val="0"/>
          <w:w w:val="85"/>
        </w:rPr>
        <w:t>three</w:t>
      </w:r>
      <w:r>
        <w:rPr>
          <w:rFonts w:ascii="Bookman Old Style"/>
          <w:b w:val="0"/>
          <w:spacing w:val="-56"/>
          <w:w w:val="85"/>
        </w:rPr>
        <w:t xml:space="preserve"> </w:t>
      </w:r>
      <w:r>
        <w:rPr>
          <w:rFonts w:ascii="Bookman Old Style"/>
          <w:b w:val="0"/>
          <w:w w:val="85"/>
        </w:rPr>
        <w:t>parts,</w:t>
      </w:r>
      <w:r>
        <w:rPr>
          <w:rFonts w:ascii="Bookman Old Style"/>
          <w:b w:val="0"/>
          <w:spacing w:val="-55"/>
          <w:w w:val="85"/>
        </w:rPr>
        <w:t xml:space="preserve"> </w:t>
      </w:r>
      <w:r>
        <w:rPr>
          <w:rFonts w:ascii="Bookman Old Style"/>
          <w:b w:val="0"/>
          <w:w w:val="85"/>
        </w:rPr>
        <w:t>including</w:t>
      </w:r>
      <w:r>
        <w:rPr>
          <w:rFonts w:ascii="Bookman Old Style"/>
          <w:b w:val="0"/>
          <w:spacing w:val="-55"/>
          <w:w w:val="85"/>
        </w:rPr>
        <w:t xml:space="preserve"> </w:t>
      </w:r>
      <w:r>
        <w:rPr>
          <w:rFonts w:ascii="Bookman Old Style"/>
          <w:b w:val="0"/>
          <w:w w:val="85"/>
        </w:rPr>
        <w:t>the</w:t>
      </w:r>
      <w:r>
        <w:rPr>
          <w:rFonts w:ascii="Bookman Old Style"/>
          <w:b w:val="0"/>
          <w:spacing w:val="-56"/>
          <w:w w:val="85"/>
        </w:rPr>
        <w:t xml:space="preserve"> </w:t>
      </w:r>
      <w:r>
        <w:rPr>
          <w:rFonts w:ascii="Bookman Old Style"/>
          <w:b w:val="0"/>
          <w:w w:val="85"/>
        </w:rPr>
        <w:t>economic</w:t>
      </w:r>
      <w:r>
        <w:rPr>
          <w:rFonts w:ascii="Bookman Old Style"/>
          <w:b w:val="0"/>
          <w:spacing w:val="-55"/>
          <w:w w:val="85"/>
        </w:rPr>
        <w:t xml:space="preserve"> </w:t>
      </w:r>
      <w:r>
        <w:rPr>
          <w:rFonts w:ascii="Bookman Old Style"/>
          <w:b w:val="0"/>
          <w:w w:val="85"/>
        </w:rPr>
        <w:t>analysis,</w:t>
      </w:r>
      <w:r>
        <w:rPr>
          <w:rFonts w:ascii="Bookman Old Style"/>
          <w:b w:val="0"/>
          <w:spacing w:val="-55"/>
          <w:w w:val="85"/>
        </w:rPr>
        <w:t xml:space="preserve"> </w:t>
      </w:r>
      <w:r>
        <w:rPr>
          <w:rFonts w:ascii="Bookman Old Style"/>
          <w:b w:val="0"/>
          <w:w w:val="85"/>
        </w:rPr>
        <w:t>technical</w:t>
      </w:r>
      <w:r>
        <w:rPr>
          <w:rFonts w:ascii="Bookman Old Style"/>
          <w:b w:val="0"/>
          <w:spacing w:val="-56"/>
          <w:w w:val="85"/>
        </w:rPr>
        <w:t xml:space="preserve"> </w:t>
      </w:r>
      <w:r>
        <w:rPr>
          <w:rFonts w:ascii="Bookman Old Style"/>
          <w:b w:val="0"/>
          <w:w w:val="85"/>
        </w:rPr>
        <w:t>analysis and</w:t>
      </w:r>
      <w:r>
        <w:rPr>
          <w:rFonts w:ascii="Bookman Old Style"/>
          <w:b w:val="0"/>
          <w:spacing w:val="-41"/>
          <w:w w:val="85"/>
        </w:rPr>
        <w:t xml:space="preserve"> </w:t>
      </w:r>
      <w:r>
        <w:rPr>
          <w:rFonts w:ascii="Bookman Old Style"/>
          <w:b w:val="0"/>
          <w:w w:val="85"/>
        </w:rPr>
        <w:t>environmental</w:t>
      </w:r>
      <w:r>
        <w:rPr>
          <w:rFonts w:ascii="Bookman Old Style"/>
          <w:b w:val="0"/>
          <w:spacing w:val="-40"/>
          <w:w w:val="85"/>
        </w:rPr>
        <w:t xml:space="preserve"> </w:t>
      </w:r>
      <w:r>
        <w:rPr>
          <w:rFonts w:ascii="Bookman Old Style"/>
          <w:b w:val="0"/>
          <w:w w:val="85"/>
        </w:rPr>
        <w:t>analysis.</w:t>
      </w:r>
      <w:r>
        <w:rPr>
          <w:rFonts w:ascii="Bookman Old Style"/>
          <w:b w:val="0"/>
          <w:spacing w:val="-41"/>
          <w:w w:val="85"/>
        </w:rPr>
        <w:t xml:space="preserve"> </w:t>
      </w:r>
      <w:r>
        <w:rPr>
          <w:rFonts w:ascii="Bookman Old Style"/>
          <w:b w:val="0"/>
          <w:w w:val="85"/>
        </w:rPr>
        <w:t>At</w:t>
      </w:r>
      <w:r>
        <w:rPr>
          <w:rFonts w:ascii="Bookman Old Style"/>
          <w:b w:val="0"/>
          <w:spacing w:val="-40"/>
          <w:w w:val="85"/>
        </w:rPr>
        <w:t xml:space="preserve"> </w:t>
      </w:r>
      <w:r>
        <w:rPr>
          <w:rFonts w:ascii="Bookman Old Style"/>
          <w:b w:val="0"/>
          <w:w w:val="85"/>
        </w:rPr>
        <w:t>the</w:t>
      </w:r>
      <w:r>
        <w:rPr>
          <w:rFonts w:ascii="Bookman Old Style"/>
          <w:b w:val="0"/>
          <w:spacing w:val="-40"/>
          <w:w w:val="85"/>
        </w:rPr>
        <w:t xml:space="preserve"> </w:t>
      </w:r>
      <w:r>
        <w:rPr>
          <w:rFonts w:ascii="Bookman Old Style"/>
          <w:b w:val="0"/>
          <w:w w:val="85"/>
        </w:rPr>
        <w:t>same</w:t>
      </w:r>
      <w:r>
        <w:rPr>
          <w:rFonts w:ascii="Bookman Old Style"/>
          <w:b w:val="0"/>
          <w:spacing w:val="-41"/>
          <w:w w:val="85"/>
        </w:rPr>
        <w:t xml:space="preserve"> </w:t>
      </w:r>
      <w:r>
        <w:rPr>
          <w:rFonts w:ascii="Bookman Old Style"/>
          <w:b w:val="0"/>
          <w:w w:val="85"/>
        </w:rPr>
        <w:t>time,</w:t>
      </w:r>
      <w:r>
        <w:rPr>
          <w:rFonts w:ascii="Bookman Old Style"/>
          <w:b w:val="0"/>
          <w:spacing w:val="-40"/>
          <w:w w:val="85"/>
        </w:rPr>
        <w:t xml:space="preserve"> </w:t>
      </w:r>
      <w:r>
        <w:rPr>
          <w:rFonts w:ascii="Bookman Old Style"/>
          <w:b w:val="0"/>
          <w:w w:val="85"/>
        </w:rPr>
        <w:t>this</w:t>
      </w:r>
      <w:r>
        <w:rPr>
          <w:rFonts w:ascii="Bookman Old Style"/>
          <w:b w:val="0"/>
          <w:spacing w:val="-41"/>
          <w:w w:val="85"/>
        </w:rPr>
        <w:t xml:space="preserve"> </w:t>
      </w:r>
      <w:r>
        <w:rPr>
          <w:rFonts w:ascii="Bookman Old Style"/>
          <w:b w:val="0"/>
          <w:w w:val="85"/>
        </w:rPr>
        <w:t>paper</w:t>
      </w:r>
      <w:r>
        <w:rPr>
          <w:rFonts w:ascii="Bookman Old Style"/>
          <w:b w:val="0"/>
          <w:spacing w:val="-40"/>
          <w:w w:val="85"/>
        </w:rPr>
        <w:t xml:space="preserve"> </w:t>
      </w:r>
      <w:r>
        <w:rPr>
          <w:rFonts w:ascii="Bookman Old Style"/>
          <w:b w:val="0"/>
          <w:w w:val="85"/>
        </w:rPr>
        <w:t>also</w:t>
      </w:r>
      <w:r>
        <w:rPr>
          <w:rFonts w:ascii="Bookman Old Style"/>
          <w:b w:val="0"/>
          <w:spacing w:val="-40"/>
          <w:w w:val="85"/>
        </w:rPr>
        <w:t xml:space="preserve"> </w:t>
      </w:r>
      <w:r>
        <w:rPr>
          <w:rFonts w:ascii="Bookman Old Style"/>
          <w:b w:val="0"/>
          <w:w w:val="85"/>
        </w:rPr>
        <w:t>introduced the</w:t>
      </w:r>
      <w:r>
        <w:rPr>
          <w:rFonts w:ascii="Bookman Old Style"/>
          <w:b w:val="0"/>
          <w:spacing w:val="-27"/>
          <w:w w:val="85"/>
        </w:rPr>
        <w:t xml:space="preserve"> </w:t>
      </w:r>
      <w:r>
        <w:rPr>
          <w:rFonts w:ascii="Bookman Old Style"/>
          <w:b w:val="0"/>
          <w:w w:val="85"/>
        </w:rPr>
        <w:t>process</w:t>
      </w:r>
      <w:r>
        <w:rPr>
          <w:rFonts w:ascii="Bookman Old Style"/>
          <w:b w:val="0"/>
          <w:spacing w:val="-27"/>
          <w:w w:val="85"/>
        </w:rPr>
        <w:t xml:space="preserve"> </w:t>
      </w:r>
      <w:r>
        <w:rPr>
          <w:rFonts w:ascii="Bookman Old Style"/>
          <w:b w:val="0"/>
          <w:w w:val="85"/>
        </w:rPr>
        <w:t>flow</w:t>
      </w:r>
      <w:r>
        <w:rPr>
          <w:rFonts w:ascii="Bookman Old Style"/>
          <w:b w:val="0"/>
          <w:spacing w:val="-27"/>
          <w:w w:val="85"/>
        </w:rPr>
        <w:t xml:space="preserve"> </w:t>
      </w:r>
      <w:r>
        <w:rPr>
          <w:rFonts w:ascii="Bookman Old Style"/>
          <w:b w:val="0"/>
          <w:w w:val="85"/>
        </w:rPr>
        <w:t>in</w:t>
      </w:r>
      <w:r>
        <w:rPr>
          <w:rFonts w:ascii="Bookman Old Style"/>
          <w:b w:val="0"/>
          <w:spacing w:val="-27"/>
          <w:w w:val="85"/>
        </w:rPr>
        <w:t xml:space="preserve"> </w:t>
      </w:r>
      <w:r>
        <w:rPr>
          <w:rFonts w:ascii="Bookman Old Style"/>
          <w:b w:val="0"/>
          <w:w w:val="85"/>
        </w:rPr>
        <w:t>coal</w:t>
      </w:r>
      <w:r>
        <w:rPr>
          <w:rFonts w:ascii="Bookman Old Style"/>
          <w:b w:val="0"/>
          <w:spacing w:val="-27"/>
          <w:w w:val="85"/>
        </w:rPr>
        <w:t xml:space="preserve"> </w:t>
      </w:r>
      <w:r>
        <w:rPr>
          <w:rFonts w:ascii="Bookman Old Style"/>
          <w:b w:val="0"/>
          <w:w w:val="85"/>
        </w:rPr>
        <w:t>liquefaction,</w:t>
      </w:r>
      <w:r>
        <w:rPr>
          <w:rFonts w:ascii="Bookman Old Style"/>
          <w:b w:val="0"/>
          <w:spacing w:val="-27"/>
          <w:w w:val="85"/>
        </w:rPr>
        <w:t xml:space="preserve"> </w:t>
      </w:r>
      <w:r>
        <w:rPr>
          <w:rFonts w:ascii="Bookman Old Style"/>
          <w:b w:val="0"/>
          <w:w w:val="85"/>
        </w:rPr>
        <w:t>major</w:t>
      </w:r>
      <w:r>
        <w:rPr>
          <w:rFonts w:ascii="Bookman Old Style"/>
          <w:b w:val="0"/>
          <w:spacing w:val="-27"/>
          <w:w w:val="85"/>
        </w:rPr>
        <w:t xml:space="preserve"> </w:t>
      </w:r>
      <w:r>
        <w:rPr>
          <w:rFonts w:ascii="Bookman Old Style"/>
          <w:b w:val="0"/>
          <w:w w:val="85"/>
        </w:rPr>
        <w:t>introduced</w:t>
      </w:r>
      <w:r>
        <w:rPr>
          <w:rFonts w:ascii="Bookman Old Style"/>
          <w:b w:val="0"/>
          <w:spacing w:val="-26"/>
          <w:w w:val="85"/>
        </w:rPr>
        <w:t xml:space="preserve"> </w:t>
      </w:r>
      <w:r>
        <w:rPr>
          <w:rFonts w:ascii="Bookman Old Style"/>
          <w:b w:val="0"/>
          <w:w w:val="85"/>
        </w:rPr>
        <w:t>special</w:t>
      </w:r>
      <w:r>
        <w:rPr>
          <w:rFonts w:ascii="Bookman Old Style"/>
          <w:b w:val="0"/>
          <w:spacing w:val="-27"/>
          <w:w w:val="85"/>
        </w:rPr>
        <w:t xml:space="preserve"> </w:t>
      </w:r>
      <w:r>
        <w:rPr>
          <w:rFonts w:ascii="Bookman Old Style"/>
          <w:b w:val="0"/>
          <w:w w:val="85"/>
        </w:rPr>
        <w:t>unit</w:t>
      </w:r>
      <w:r>
        <w:rPr>
          <w:rFonts w:ascii="Bookman Old Style"/>
          <w:b w:val="0"/>
          <w:spacing w:val="-27"/>
          <w:w w:val="85"/>
        </w:rPr>
        <w:t xml:space="preserve"> </w:t>
      </w:r>
      <w:r>
        <w:rPr>
          <w:rFonts w:ascii="Bookman Old Style"/>
          <w:b w:val="0"/>
          <w:w w:val="85"/>
        </w:rPr>
        <w:t>of</w:t>
      </w:r>
      <w:r>
        <w:rPr>
          <w:rFonts w:ascii="Bookman Old Style"/>
          <w:b w:val="0"/>
          <w:spacing w:val="-27"/>
          <w:w w:val="85"/>
        </w:rPr>
        <w:t xml:space="preserve"> </w:t>
      </w:r>
      <w:r>
        <w:rPr>
          <w:rFonts w:ascii="Bookman Old Style"/>
          <w:b w:val="0"/>
          <w:w w:val="85"/>
        </w:rPr>
        <w:t xml:space="preserve">coal </w:t>
      </w:r>
      <w:r>
        <w:rPr>
          <w:rFonts w:ascii="Bookman Old Style"/>
          <w:b w:val="0"/>
          <w:w w:val="90"/>
        </w:rPr>
        <w:t>to</w:t>
      </w:r>
      <w:r>
        <w:rPr>
          <w:rFonts w:ascii="Bookman Old Style"/>
          <w:b w:val="0"/>
          <w:spacing w:val="-66"/>
          <w:w w:val="90"/>
        </w:rPr>
        <w:t xml:space="preserve"> </w:t>
      </w:r>
      <w:r>
        <w:rPr>
          <w:rFonts w:ascii="Bookman Old Style"/>
          <w:b w:val="0"/>
          <w:w w:val="90"/>
        </w:rPr>
        <w:t>oil,</w:t>
      </w:r>
      <w:r>
        <w:rPr>
          <w:rFonts w:ascii="Bookman Old Style"/>
          <w:b w:val="0"/>
          <w:spacing w:val="-65"/>
          <w:w w:val="90"/>
        </w:rPr>
        <w:t xml:space="preserve"> </w:t>
      </w:r>
      <w:r>
        <w:rPr>
          <w:rFonts w:ascii="Bookman Old Style"/>
          <w:b w:val="0"/>
          <w:w w:val="90"/>
        </w:rPr>
        <w:t>for</w:t>
      </w:r>
      <w:r>
        <w:rPr>
          <w:rFonts w:ascii="Bookman Old Style"/>
          <w:b w:val="0"/>
          <w:spacing w:val="-66"/>
          <w:w w:val="90"/>
        </w:rPr>
        <w:t xml:space="preserve"> </w:t>
      </w:r>
      <w:r>
        <w:rPr>
          <w:rFonts w:ascii="Bookman Old Style"/>
          <w:b w:val="0"/>
          <w:w w:val="90"/>
        </w:rPr>
        <w:t>example:</w:t>
      </w:r>
      <w:r>
        <w:rPr>
          <w:rFonts w:ascii="Bookman Old Style"/>
          <w:b w:val="0"/>
          <w:spacing w:val="-65"/>
          <w:w w:val="90"/>
        </w:rPr>
        <w:t xml:space="preserve"> </w:t>
      </w:r>
      <w:r>
        <w:rPr>
          <w:rFonts w:ascii="Bookman Old Style"/>
          <w:b w:val="0"/>
          <w:w w:val="90"/>
        </w:rPr>
        <w:t>coal</w:t>
      </w:r>
      <w:r>
        <w:rPr>
          <w:rFonts w:ascii="Bookman Old Style"/>
          <w:b w:val="0"/>
          <w:spacing w:val="-66"/>
          <w:w w:val="90"/>
        </w:rPr>
        <w:t xml:space="preserve"> </w:t>
      </w:r>
      <w:r>
        <w:rPr>
          <w:rFonts w:ascii="Bookman Old Style"/>
          <w:b w:val="0"/>
          <w:w w:val="90"/>
        </w:rPr>
        <w:t>liquefaction</w:t>
      </w:r>
      <w:r>
        <w:rPr>
          <w:rFonts w:ascii="Bookman Old Style"/>
          <w:b w:val="0"/>
          <w:spacing w:val="-65"/>
          <w:w w:val="90"/>
        </w:rPr>
        <w:t xml:space="preserve"> </w:t>
      </w:r>
      <w:r>
        <w:rPr>
          <w:rFonts w:ascii="Bookman Old Style"/>
          <w:b w:val="0"/>
          <w:w w:val="90"/>
        </w:rPr>
        <w:t>unit,</w:t>
      </w:r>
      <w:r>
        <w:rPr>
          <w:rFonts w:ascii="Bookman Old Style"/>
          <w:b w:val="0"/>
          <w:spacing w:val="-66"/>
          <w:w w:val="90"/>
        </w:rPr>
        <w:t xml:space="preserve"> </w:t>
      </w:r>
      <w:r>
        <w:rPr>
          <w:rFonts w:ascii="Bookman Old Style"/>
          <w:b w:val="0"/>
          <w:w w:val="90"/>
        </w:rPr>
        <w:t>hydrogen</w:t>
      </w:r>
      <w:r>
        <w:rPr>
          <w:rFonts w:ascii="Bookman Old Style"/>
          <w:b w:val="0"/>
          <w:spacing w:val="-65"/>
          <w:w w:val="90"/>
        </w:rPr>
        <w:t xml:space="preserve"> </w:t>
      </w:r>
      <w:r>
        <w:rPr>
          <w:rFonts w:ascii="Bookman Old Style"/>
          <w:b w:val="0"/>
          <w:w w:val="90"/>
        </w:rPr>
        <w:t>unit,</w:t>
      </w:r>
      <w:r>
        <w:rPr>
          <w:rFonts w:ascii="Bookman Old Style"/>
          <w:b w:val="0"/>
          <w:spacing w:val="-65"/>
          <w:w w:val="90"/>
        </w:rPr>
        <w:t xml:space="preserve"> </w:t>
      </w:r>
      <w:r>
        <w:rPr>
          <w:rFonts w:ascii="Bookman Old Style"/>
          <w:b w:val="0"/>
          <w:w w:val="90"/>
        </w:rPr>
        <w:t>T-star</w:t>
      </w:r>
      <w:r>
        <w:rPr>
          <w:rFonts w:ascii="Bookman Old Style"/>
          <w:b w:val="0"/>
          <w:spacing w:val="-66"/>
          <w:w w:val="90"/>
        </w:rPr>
        <w:t xml:space="preserve"> </w:t>
      </w:r>
      <w:r>
        <w:rPr>
          <w:rFonts w:ascii="Bookman Old Style"/>
          <w:b w:val="0"/>
          <w:w w:val="90"/>
        </w:rPr>
        <w:t xml:space="preserve">process </w:t>
      </w:r>
      <w:r>
        <w:rPr>
          <w:rFonts w:ascii="Bookman Old Style"/>
          <w:b w:val="0"/>
          <w:w w:val="95"/>
        </w:rPr>
        <w:t>unit.</w:t>
      </w:r>
    </w:p>
    <w:p>
      <w:pPr>
        <w:pStyle w:val="BodyText"/>
        <w:tabs>
          <w:tab w:val="left" w:pos="1525"/>
          <w:tab w:val="left" w:pos="2449"/>
          <w:tab w:val="left" w:pos="3026"/>
          <w:tab w:val="left" w:pos="4479"/>
          <w:tab w:val="left" w:pos="4841"/>
          <w:tab w:val="left" w:pos="5461"/>
          <w:tab w:val="left" w:pos="5503"/>
          <w:tab w:val="left" w:pos="6827"/>
          <w:tab w:val="left" w:pos="7243"/>
          <w:tab w:val="left" w:pos="7590"/>
          <w:tab w:val="left" w:pos="7746"/>
          <w:tab w:val="left" w:pos="8118"/>
          <w:tab w:val="left" w:pos="9201"/>
          <w:tab w:val="left" w:pos="9254"/>
          <w:tab w:val="left" w:pos="9942"/>
          <w:tab w:val="left" w:pos="11085"/>
        </w:tabs>
        <w:spacing w:line="345" w:lineRule="auto"/>
        <w:ind w:left="644" w:right="2212" w:firstLine="719"/>
        <w:rPr>
          <w:rFonts w:ascii="Bookman Old Style"/>
          <w:b w:val="0"/>
        </w:rPr>
      </w:pPr>
      <w:r>
        <w:rPr>
          <w:rFonts w:ascii="Bookman Old Style"/>
          <w:b w:val="0"/>
          <w:w w:val="90"/>
        </w:rPr>
        <w:t>Economic</w:t>
        <w:tab/>
      </w:r>
      <w:r>
        <w:rPr>
          <w:rFonts w:ascii="Bookman Old Style"/>
          <w:b w:val="0"/>
          <w:w w:val="85"/>
        </w:rPr>
        <w:t>analysis,</w:t>
        <w:tab/>
      </w:r>
      <w:r>
        <w:rPr>
          <w:rFonts w:ascii="Bookman Old Style"/>
          <w:b w:val="0"/>
          <w:w w:val="90"/>
        </w:rPr>
        <w:t>using</w:t>
        <w:tab/>
        <w:t>knowledge</w:t>
        <w:tab/>
        <w:t>of</w:t>
        <w:tab/>
        <w:tab/>
      </w:r>
      <w:r>
        <w:rPr>
          <w:rFonts w:ascii="Bookman Old Style"/>
          <w:b w:val="0"/>
          <w:w w:val="85"/>
        </w:rPr>
        <w:t>technical</w:t>
        <w:tab/>
        <w:tab/>
      </w:r>
      <w:r>
        <w:rPr>
          <w:rFonts w:ascii="Bookman Old Style"/>
          <w:b w:val="0"/>
          <w:w w:val="90"/>
        </w:rPr>
        <w:t>economics,</w:t>
        <w:tab/>
      </w:r>
      <w:r>
        <w:rPr>
          <w:rFonts w:ascii="Bookman Old Style"/>
          <w:b w:val="0"/>
          <w:spacing w:val="-6"/>
          <w:w w:val="80"/>
        </w:rPr>
        <w:t xml:space="preserve">the </w:t>
      </w:r>
      <w:r>
        <w:rPr>
          <w:rFonts w:ascii="Bookman Old Style"/>
          <w:b w:val="0"/>
          <w:w w:val="85"/>
        </w:rPr>
        <w:t>project</w:t>
      </w:r>
      <w:r>
        <w:rPr>
          <w:rFonts w:ascii="Bookman Old Style"/>
          <w:b w:val="0"/>
          <w:spacing w:val="-39"/>
          <w:w w:val="85"/>
        </w:rPr>
        <w:t xml:space="preserve"> </w:t>
      </w:r>
      <w:r>
        <w:rPr>
          <w:rFonts w:ascii="Bookman Old Style"/>
          <w:b w:val="0"/>
          <w:w w:val="85"/>
        </w:rPr>
        <w:t>total</w:t>
      </w:r>
      <w:r>
        <w:rPr>
          <w:rFonts w:ascii="Bookman Old Style"/>
          <w:b w:val="0"/>
          <w:spacing w:val="-39"/>
          <w:w w:val="85"/>
        </w:rPr>
        <w:t xml:space="preserve"> </w:t>
      </w:r>
      <w:r>
        <w:rPr>
          <w:rFonts w:ascii="Bookman Old Style"/>
          <w:b w:val="0"/>
          <w:w w:val="85"/>
        </w:rPr>
        <w:t>investment,</w:t>
      </w:r>
      <w:r>
        <w:rPr>
          <w:rFonts w:ascii="Bookman Old Style"/>
          <w:b w:val="0"/>
          <w:spacing w:val="-38"/>
          <w:w w:val="85"/>
        </w:rPr>
        <w:t xml:space="preserve"> </w:t>
      </w:r>
      <w:r>
        <w:rPr>
          <w:rFonts w:ascii="Bookman Old Style"/>
          <w:b w:val="0"/>
          <w:w w:val="85"/>
        </w:rPr>
        <w:t>total</w:t>
      </w:r>
      <w:r>
        <w:rPr>
          <w:rFonts w:ascii="Bookman Old Style"/>
          <w:b w:val="0"/>
          <w:spacing w:val="-39"/>
          <w:w w:val="85"/>
        </w:rPr>
        <w:t xml:space="preserve"> </w:t>
      </w:r>
      <w:r>
        <w:rPr>
          <w:rFonts w:ascii="Bookman Old Style"/>
          <w:b w:val="0"/>
          <w:w w:val="85"/>
        </w:rPr>
        <w:t>cost,</w:t>
      </w:r>
      <w:r>
        <w:rPr>
          <w:rFonts w:ascii="Bookman Old Style"/>
          <w:b w:val="0"/>
          <w:spacing w:val="-39"/>
          <w:w w:val="85"/>
        </w:rPr>
        <w:t xml:space="preserve"> </w:t>
      </w:r>
      <w:r>
        <w:rPr>
          <w:rFonts w:ascii="Bookman Old Style"/>
          <w:b w:val="0"/>
          <w:w w:val="85"/>
        </w:rPr>
        <w:t>project</w:t>
      </w:r>
      <w:r>
        <w:rPr>
          <w:rFonts w:ascii="Bookman Old Style"/>
          <w:b w:val="0"/>
          <w:spacing w:val="-38"/>
          <w:w w:val="85"/>
        </w:rPr>
        <w:t xml:space="preserve"> </w:t>
      </w:r>
      <w:r>
        <w:rPr>
          <w:rFonts w:ascii="Bookman Old Style"/>
          <w:b w:val="0"/>
          <w:w w:val="85"/>
        </w:rPr>
        <w:t>sales</w:t>
      </w:r>
      <w:r>
        <w:rPr>
          <w:rFonts w:ascii="Bookman Old Style"/>
          <w:b w:val="0"/>
          <w:spacing w:val="-39"/>
          <w:w w:val="85"/>
        </w:rPr>
        <w:t xml:space="preserve"> </w:t>
      </w:r>
      <w:r>
        <w:rPr>
          <w:rFonts w:ascii="Bookman Old Style"/>
          <w:b w:val="0"/>
          <w:w w:val="85"/>
        </w:rPr>
        <w:t>income</w:t>
      </w:r>
      <w:r>
        <w:rPr>
          <w:rFonts w:ascii="Bookman Old Style"/>
          <w:b w:val="0"/>
          <w:spacing w:val="-38"/>
          <w:w w:val="85"/>
        </w:rPr>
        <w:t xml:space="preserve"> </w:t>
      </w:r>
      <w:r>
        <w:rPr>
          <w:rFonts w:ascii="Bookman Old Style"/>
          <w:b w:val="0"/>
          <w:w w:val="85"/>
        </w:rPr>
        <w:t>and</w:t>
      </w:r>
      <w:r>
        <w:rPr>
          <w:rFonts w:ascii="Bookman Old Style"/>
          <w:b w:val="0"/>
          <w:spacing w:val="-39"/>
          <w:w w:val="85"/>
        </w:rPr>
        <w:t xml:space="preserve"> </w:t>
      </w:r>
      <w:r>
        <w:rPr>
          <w:rFonts w:ascii="Bookman Old Style"/>
          <w:b w:val="0"/>
          <w:w w:val="85"/>
        </w:rPr>
        <w:t>tax</w:t>
      </w:r>
      <w:r>
        <w:rPr>
          <w:rFonts w:ascii="Bookman Old Style"/>
          <w:b w:val="0"/>
          <w:spacing w:val="-39"/>
          <w:w w:val="85"/>
        </w:rPr>
        <w:t xml:space="preserve"> </w:t>
      </w:r>
      <w:r>
        <w:rPr>
          <w:rFonts w:ascii="Bookman Old Style"/>
          <w:b w:val="0"/>
          <w:w w:val="85"/>
        </w:rPr>
        <w:t>and</w:t>
      </w:r>
      <w:r>
        <w:rPr>
          <w:rFonts w:ascii="Bookman Old Style"/>
          <w:b w:val="0"/>
          <w:spacing w:val="-38"/>
          <w:w w:val="85"/>
        </w:rPr>
        <w:t xml:space="preserve"> </w:t>
      </w:r>
      <w:r>
        <w:rPr>
          <w:rFonts w:ascii="Bookman Old Style"/>
          <w:b w:val="0"/>
          <w:w w:val="85"/>
        </w:rPr>
        <w:t xml:space="preserve">cash </w:t>
      </w:r>
      <w:r>
        <w:rPr>
          <w:rFonts w:ascii="Bookman Old Style"/>
          <w:b w:val="0"/>
          <w:w w:val="90"/>
        </w:rPr>
        <w:t>flow</w:t>
        <w:tab/>
        <w:t>were</w:t>
        <w:tab/>
      </w:r>
      <w:r>
        <w:rPr>
          <w:rFonts w:ascii="Bookman Old Style"/>
          <w:b w:val="0"/>
          <w:w w:val="85"/>
        </w:rPr>
        <w:t>calculated,then</w:t>
        <w:tab/>
      </w:r>
      <w:r>
        <w:rPr>
          <w:rFonts w:ascii="Bookman Old Style"/>
          <w:b w:val="0"/>
          <w:w w:val="90"/>
        </w:rPr>
        <w:t>the</w:t>
        <w:tab/>
        <w:tab/>
      </w:r>
      <w:r>
        <w:rPr>
          <w:rFonts w:ascii="Bookman Old Style"/>
          <w:b w:val="0"/>
          <w:w w:val="85"/>
        </w:rPr>
        <w:t>internal</w:t>
        <w:tab/>
      </w:r>
      <w:r>
        <w:rPr>
          <w:rFonts w:ascii="Bookman Old Style"/>
          <w:b w:val="0"/>
          <w:w w:val="90"/>
        </w:rPr>
        <w:t>rate</w:t>
        <w:tab/>
        <w:t>of</w:t>
        <w:tab/>
      </w:r>
      <w:r>
        <w:rPr>
          <w:rFonts w:ascii="Bookman Old Style"/>
          <w:b w:val="0"/>
          <w:w w:val="85"/>
        </w:rPr>
        <w:t>return</w:t>
        <w:tab/>
      </w:r>
      <w:r>
        <w:rPr>
          <w:rFonts w:ascii="Bookman Old Style"/>
          <w:b w:val="0"/>
          <w:w w:val="90"/>
        </w:rPr>
        <w:t>and</w:t>
        <w:tab/>
      </w:r>
      <w:r>
        <w:rPr>
          <w:rFonts w:ascii="Bookman Old Style"/>
          <w:b w:val="0"/>
          <w:spacing w:val="-1"/>
          <w:w w:val="80"/>
        </w:rPr>
        <w:t>investment</w:t>
      </w:r>
    </w:p>
    <w:p>
      <w:pPr>
        <w:spacing w:after="0" w:line="345" w:lineRule="auto"/>
        <w:rPr>
          <w:rFonts w:ascii="Bookman Old Style"/>
        </w:rPr>
        <w:sectPr>
          <w:pgSz w:w="15480" w:h="21860"/>
          <w:pgMar w:top="2020" w:right="0" w:bottom="280" w:left="1740" w:header="708" w:footer="708"/>
          <w:pgNumType w:start="2"/>
          <w:cols w:space="708"/>
        </w:sectPr>
      </w:pPr>
    </w:p>
    <w:p>
      <w:pPr>
        <w:pStyle w:val="BodyText"/>
        <w:spacing w:before="61" w:line="345" w:lineRule="auto"/>
        <w:ind w:left="644" w:right="2213"/>
        <w:jc w:val="both"/>
        <w:rPr>
          <w:rFonts w:ascii="Bookman Old Style"/>
          <w:b w:val="0"/>
        </w:rPr>
      </w:pPr>
      <w:r>
        <w:rPr>
          <w:rFonts w:ascii="Bookman Old Style"/>
          <w:b w:val="0"/>
          <w:w w:val="85"/>
        </w:rPr>
        <w:t>recoupment</w:t>
      </w:r>
      <w:r>
        <w:rPr>
          <w:rFonts w:ascii="Bookman Old Style"/>
          <w:b w:val="0"/>
          <w:spacing w:val="-34"/>
          <w:w w:val="85"/>
        </w:rPr>
        <w:t xml:space="preserve"> </w:t>
      </w:r>
      <w:r>
        <w:rPr>
          <w:rFonts w:ascii="Bookman Old Style"/>
          <w:b w:val="0"/>
          <w:w w:val="85"/>
        </w:rPr>
        <w:t>period</w:t>
      </w:r>
      <w:r>
        <w:rPr>
          <w:rFonts w:ascii="Bookman Old Style"/>
          <w:b w:val="0"/>
          <w:spacing w:val="-33"/>
          <w:w w:val="85"/>
        </w:rPr>
        <w:t xml:space="preserve"> </w:t>
      </w:r>
      <w:r>
        <w:rPr>
          <w:rFonts w:ascii="Bookman Old Style"/>
          <w:b w:val="0"/>
          <w:w w:val="85"/>
        </w:rPr>
        <w:t>of</w:t>
      </w:r>
      <w:r>
        <w:rPr>
          <w:rFonts w:ascii="Bookman Old Style"/>
          <w:b w:val="0"/>
          <w:spacing w:val="-34"/>
          <w:w w:val="85"/>
        </w:rPr>
        <w:t xml:space="preserve"> </w:t>
      </w:r>
      <w:r>
        <w:rPr>
          <w:rFonts w:ascii="Bookman Old Style"/>
          <w:b w:val="0"/>
          <w:w w:val="85"/>
        </w:rPr>
        <w:t>project</w:t>
      </w:r>
      <w:r>
        <w:rPr>
          <w:rFonts w:ascii="Bookman Old Style"/>
          <w:b w:val="0"/>
          <w:spacing w:val="-33"/>
          <w:w w:val="85"/>
        </w:rPr>
        <w:t xml:space="preserve"> </w:t>
      </w:r>
      <w:r>
        <w:rPr>
          <w:rFonts w:ascii="Bookman Old Style"/>
          <w:b w:val="0"/>
          <w:w w:val="85"/>
        </w:rPr>
        <w:t>were</w:t>
      </w:r>
      <w:r>
        <w:rPr>
          <w:rFonts w:ascii="Bookman Old Style"/>
          <w:b w:val="0"/>
          <w:spacing w:val="-33"/>
          <w:w w:val="85"/>
        </w:rPr>
        <w:t xml:space="preserve"> </w:t>
      </w:r>
      <w:r>
        <w:rPr>
          <w:rFonts w:ascii="Bookman Old Style"/>
          <w:b w:val="0"/>
          <w:w w:val="85"/>
        </w:rPr>
        <w:t>13.13%</w:t>
      </w:r>
      <w:r>
        <w:rPr>
          <w:rFonts w:ascii="Bookman Old Style"/>
          <w:b w:val="0"/>
          <w:spacing w:val="-34"/>
          <w:w w:val="85"/>
        </w:rPr>
        <w:t xml:space="preserve"> </w:t>
      </w:r>
      <w:r>
        <w:rPr>
          <w:rFonts w:ascii="Bookman Old Style"/>
          <w:b w:val="0"/>
          <w:w w:val="85"/>
        </w:rPr>
        <w:t>and</w:t>
      </w:r>
      <w:r>
        <w:rPr>
          <w:rFonts w:ascii="Bookman Old Style"/>
          <w:b w:val="0"/>
          <w:spacing w:val="-33"/>
          <w:w w:val="85"/>
        </w:rPr>
        <w:t xml:space="preserve"> </w:t>
      </w:r>
      <w:r>
        <w:rPr>
          <w:rFonts w:ascii="Bookman Old Style"/>
          <w:b w:val="0"/>
          <w:w w:val="85"/>
        </w:rPr>
        <w:t>7.73</w:t>
      </w:r>
      <w:r>
        <w:rPr>
          <w:rFonts w:ascii="Bookman Old Style"/>
          <w:b w:val="0"/>
          <w:spacing w:val="-33"/>
          <w:w w:val="85"/>
        </w:rPr>
        <w:t xml:space="preserve"> </w:t>
      </w:r>
      <w:r>
        <w:rPr>
          <w:rFonts w:ascii="Bookman Old Style"/>
          <w:b w:val="0"/>
          <w:w w:val="85"/>
        </w:rPr>
        <w:t>years</w:t>
      </w:r>
      <w:r>
        <w:rPr>
          <w:rFonts w:ascii="Bookman Old Style"/>
          <w:b w:val="0"/>
          <w:spacing w:val="-34"/>
          <w:w w:val="85"/>
        </w:rPr>
        <w:t xml:space="preserve"> </w:t>
      </w:r>
      <w:r>
        <w:rPr>
          <w:rFonts w:ascii="Bookman Old Style"/>
          <w:b w:val="0"/>
          <w:w w:val="85"/>
        </w:rPr>
        <w:t xml:space="preserve">respectively.The internal rate of return was more than the one for petrochemical industry </w:t>
      </w:r>
      <w:r>
        <w:rPr>
          <w:rFonts w:ascii="Bookman Old Style"/>
          <w:b w:val="0"/>
          <w:w w:val="90"/>
        </w:rPr>
        <w:t>which</w:t>
      </w:r>
      <w:r>
        <w:rPr>
          <w:rFonts w:ascii="Bookman Old Style"/>
          <w:b w:val="0"/>
          <w:spacing w:val="-60"/>
          <w:w w:val="90"/>
        </w:rPr>
        <w:t xml:space="preserve"> </w:t>
      </w:r>
      <w:r>
        <w:rPr>
          <w:rFonts w:ascii="Bookman Old Style"/>
          <w:b w:val="0"/>
          <w:w w:val="90"/>
        </w:rPr>
        <w:t>was</w:t>
      </w:r>
      <w:r>
        <w:rPr>
          <w:rFonts w:ascii="Bookman Old Style"/>
          <w:b w:val="0"/>
          <w:spacing w:val="-60"/>
          <w:w w:val="90"/>
        </w:rPr>
        <w:t xml:space="preserve"> </w:t>
      </w:r>
      <w:r>
        <w:rPr>
          <w:rFonts w:ascii="Bookman Old Style"/>
          <w:b w:val="0"/>
          <w:w w:val="90"/>
        </w:rPr>
        <w:t>10%.</w:t>
      </w:r>
      <w:r>
        <w:rPr>
          <w:rFonts w:ascii="Bookman Old Style"/>
          <w:b w:val="0"/>
          <w:spacing w:val="-60"/>
          <w:w w:val="90"/>
        </w:rPr>
        <w:t xml:space="preserve"> </w:t>
      </w:r>
      <w:r>
        <w:rPr>
          <w:rFonts w:ascii="Bookman Old Style"/>
          <w:b w:val="0"/>
          <w:w w:val="90"/>
        </w:rPr>
        <w:t>From</w:t>
      </w:r>
      <w:r>
        <w:rPr>
          <w:rFonts w:ascii="Bookman Old Style"/>
          <w:b w:val="0"/>
          <w:spacing w:val="-60"/>
          <w:w w:val="90"/>
        </w:rPr>
        <w:t xml:space="preserve"> </w:t>
      </w:r>
      <w:r>
        <w:rPr>
          <w:rFonts w:ascii="Bookman Old Style"/>
          <w:b w:val="0"/>
          <w:w w:val="90"/>
        </w:rPr>
        <w:t>the</w:t>
      </w:r>
      <w:r>
        <w:rPr>
          <w:rFonts w:ascii="Bookman Old Style"/>
          <w:b w:val="0"/>
          <w:spacing w:val="-60"/>
          <w:w w:val="90"/>
        </w:rPr>
        <w:t xml:space="preserve"> </w:t>
      </w:r>
      <w:r>
        <w:rPr>
          <w:rFonts w:ascii="Bookman Old Style"/>
          <w:b w:val="0"/>
          <w:w w:val="90"/>
        </w:rPr>
        <w:t>economic</w:t>
      </w:r>
      <w:r>
        <w:rPr>
          <w:rFonts w:ascii="Bookman Old Style"/>
          <w:b w:val="0"/>
          <w:spacing w:val="-60"/>
          <w:w w:val="90"/>
        </w:rPr>
        <w:t xml:space="preserve"> </w:t>
      </w:r>
      <w:r>
        <w:rPr>
          <w:rFonts w:ascii="Bookman Old Style"/>
          <w:b w:val="0"/>
          <w:w w:val="90"/>
        </w:rPr>
        <w:t>aspect,</w:t>
      </w:r>
      <w:r>
        <w:rPr>
          <w:rFonts w:ascii="Bookman Old Style"/>
          <w:b w:val="0"/>
          <w:spacing w:val="-60"/>
          <w:w w:val="90"/>
        </w:rPr>
        <w:t xml:space="preserve"> </w:t>
      </w:r>
      <w:r>
        <w:rPr>
          <w:rFonts w:ascii="Bookman Old Style"/>
          <w:b w:val="0"/>
          <w:w w:val="90"/>
        </w:rPr>
        <w:t>the</w:t>
      </w:r>
      <w:r>
        <w:rPr>
          <w:rFonts w:ascii="Bookman Old Style"/>
          <w:b w:val="0"/>
          <w:spacing w:val="-60"/>
          <w:w w:val="90"/>
        </w:rPr>
        <w:t xml:space="preserve"> </w:t>
      </w:r>
      <w:r>
        <w:rPr>
          <w:rFonts w:ascii="Bookman Old Style"/>
          <w:b w:val="0"/>
          <w:w w:val="90"/>
        </w:rPr>
        <w:t>project</w:t>
      </w:r>
      <w:r>
        <w:rPr>
          <w:rFonts w:ascii="Bookman Old Style"/>
          <w:b w:val="0"/>
          <w:spacing w:val="-60"/>
          <w:w w:val="90"/>
        </w:rPr>
        <w:t xml:space="preserve"> </w:t>
      </w:r>
      <w:r>
        <w:rPr>
          <w:rFonts w:ascii="Bookman Old Style"/>
          <w:b w:val="0"/>
          <w:w w:val="90"/>
        </w:rPr>
        <w:t>was</w:t>
      </w:r>
      <w:r>
        <w:rPr>
          <w:rFonts w:ascii="Bookman Old Style"/>
          <w:b w:val="0"/>
          <w:spacing w:val="-60"/>
          <w:w w:val="90"/>
        </w:rPr>
        <w:t xml:space="preserve"> </w:t>
      </w:r>
      <w:r>
        <w:rPr>
          <w:rFonts w:ascii="Bookman Old Style"/>
          <w:b w:val="0"/>
          <w:w w:val="90"/>
        </w:rPr>
        <w:t>profitable.</w:t>
      </w:r>
    </w:p>
    <w:p>
      <w:pPr>
        <w:pStyle w:val="BodyText"/>
        <w:tabs>
          <w:tab w:val="left" w:pos="1845"/>
          <w:tab w:val="left" w:pos="2331"/>
          <w:tab w:val="left" w:pos="2540"/>
          <w:tab w:val="left" w:pos="2990"/>
          <w:tab w:val="left" w:pos="3634"/>
          <w:tab w:val="left" w:pos="3874"/>
          <w:tab w:val="left" w:pos="4472"/>
          <w:tab w:val="left" w:pos="5318"/>
          <w:tab w:val="left" w:pos="5706"/>
          <w:tab w:val="left" w:pos="5745"/>
          <w:tab w:val="left" w:pos="6174"/>
          <w:tab w:val="left" w:pos="6980"/>
          <w:tab w:val="left" w:pos="7063"/>
          <w:tab w:val="left" w:pos="7420"/>
          <w:tab w:val="left" w:pos="7777"/>
          <w:tab w:val="left" w:pos="7915"/>
          <w:tab w:val="left" w:pos="8431"/>
          <w:tab w:val="left" w:pos="8749"/>
          <w:tab w:val="left" w:pos="9266"/>
          <w:tab w:val="left" w:pos="9800"/>
          <w:tab w:val="left" w:pos="10498"/>
          <w:tab w:val="left" w:pos="10694"/>
        </w:tabs>
        <w:spacing w:line="345" w:lineRule="auto"/>
        <w:ind w:left="644" w:right="2186" w:firstLine="719"/>
        <w:rPr>
          <w:rFonts w:ascii="Bookman Old Style"/>
          <w:b w:val="0"/>
        </w:rPr>
      </w:pPr>
      <w:r>
        <w:rPr>
          <w:rFonts w:ascii="Bookman Old Style"/>
          <w:b w:val="0"/>
          <w:w w:val="90"/>
        </w:rPr>
        <w:t>Technical</w:t>
        <w:tab/>
      </w:r>
      <w:r>
        <w:rPr>
          <w:rFonts w:ascii="Bookman Old Style"/>
          <w:b w:val="0"/>
          <w:w w:val="85"/>
        </w:rPr>
        <w:t>analysis,</w:t>
        <w:tab/>
      </w:r>
      <w:r>
        <w:rPr>
          <w:rFonts w:ascii="Bookman Old Style"/>
          <w:b w:val="0"/>
          <w:w w:val="90"/>
        </w:rPr>
        <w:t>mainly</w:t>
        <w:tab/>
        <w:t>studied</w:t>
        <w:tab/>
        <w:t>from</w:t>
        <w:tab/>
        <w:tab/>
        <w:t>coal</w:t>
        <w:tab/>
        <w:t>direct</w:t>
        <w:tab/>
      </w:r>
      <w:r>
        <w:rPr>
          <w:rFonts w:ascii="Bookman Old Style"/>
          <w:b w:val="0"/>
          <w:w w:val="80"/>
        </w:rPr>
        <w:t xml:space="preserve">liquefaction </w:t>
      </w:r>
      <w:r>
        <w:rPr>
          <w:rFonts w:ascii="Bookman Old Style"/>
          <w:b w:val="0"/>
          <w:w w:val="85"/>
        </w:rPr>
        <w:t>technical</w:t>
      </w:r>
      <w:r>
        <w:rPr>
          <w:rFonts w:ascii="Bookman Old Style"/>
          <w:b w:val="0"/>
          <w:spacing w:val="-14"/>
          <w:w w:val="85"/>
        </w:rPr>
        <w:t xml:space="preserve"> </w:t>
      </w:r>
      <w:r>
        <w:rPr>
          <w:rFonts w:ascii="Bookman Old Style"/>
          <w:b w:val="0"/>
          <w:w w:val="85"/>
        </w:rPr>
        <w:t>scheme,</w:t>
      </w:r>
      <w:r>
        <w:rPr>
          <w:rFonts w:ascii="Bookman Old Style"/>
          <w:b w:val="0"/>
          <w:spacing w:val="-13"/>
          <w:w w:val="85"/>
        </w:rPr>
        <w:t xml:space="preserve"> </w:t>
      </w:r>
      <w:r>
        <w:rPr>
          <w:rFonts w:ascii="Bookman Old Style"/>
          <w:b w:val="0"/>
          <w:w w:val="85"/>
        </w:rPr>
        <w:t>engineering</w:t>
      </w:r>
      <w:r>
        <w:rPr>
          <w:rFonts w:ascii="Bookman Old Style"/>
          <w:b w:val="0"/>
          <w:spacing w:val="-11"/>
          <w:w w:val="85"/>
        </w:rPr>
        <w:t xml:space="preserve"> </w:t>
      </w:r>
      <w:r>
        <w:rPr>
          <w:rFonts w:ascii="Bookman Old Style"/>
          <w:b w:val="0"/>
          <w:w w:val="85"/>
        </w:rPr>
        <w:t>enlargement</w:t>
      </w:r>
      <w:r>
        <w:rPr>
          <w:rFonts w:ascii="Bookman Old Style"/>
          <w:b w:val="0"/>
          <w:spacing w:val="-17"/>
          <w:w w:val="85"/>
        </w:rPr>
        <w:t xml:space="preserve"> </w:t>
      </w:r>
      <w:r>
        <w:rPr>
          <w:rFonts w:ascii="Bookman Old Style"/>
          <w:b w:val="0"/>
          <w:w w:val="85"/>
        </w:rPr>
        <w:t>and</w:t>
      </w:r>
      <w:r>
        <w:rPr>
          <w:rFonts w:ascii="Bookman Old Style"/>
          <w:b w:val="0"/>
          <w:spacing w:val="-12"/>
          <w:w w:val="85"/>
        </w:rPr>
        <w:t xml:space="preserve"> </w:t>
      </w:r>
      <w:r>
        <w:rPr>
          <w:rFonts w:ascii="Bookman Old Style"/>
          <w:b w:val="0"/>
          <w:w w:val="85"/>
        </w:rPr>
        <w:t>project</w:t>
      </w:r>
      <w:r>
        <w:rPr>
          <w:rFonts w:ascii="Bookman Old Style"/>
          <w:b w:val="0"/>
          <w:spacing w:val="-13"/>
          <w:w w:val="85"/>
        </w:rPr>
        <w:t xml:space="preserve"> </w:t>
      </w:r>
      <w:r>
        <w:rPr>
          <w:rFonts w:ascii="Bookman Old Style"/>
          <w:b w:val="0"/>
          <w:w w:val="85"/>
        </w:rPr>
        <w:t>construction.</w:t>
      </w:r>
      <w:r>
        <w:rPr>
          <w:rFonts w:ascii="Bookman Old Style"/>
          <w:b w:val="0"/>
          <w:spacing w:val="-13"/>
          <w:w w:val="85"/>
        </w:rPr>
        <w:t xml:space="preserve"> </w:t>
      </w:r>
      <w:r>
        <w:rPr>
          <w:rFonts w:ascii="Bookman Old Style"/>
          <w:b w:val="0"/>
          <w:w w:val="85"/>
        </w:rPr>
        <w:t>The core</w:t>
      </w:r>
      <w:r>
        <w:rPr>
          <w:rFonts w:ascii="Bookman Old Style"/>
          <w:b w:val="0"/>
          <w:spacing w:val="-17"/>
          <w:w w:val="85"/>
        </w:rPr>
        <w:t xml:space="preserve"> </w:t>
      </w:r>
      <w:r>
        <w:rPr>
          <w:rFonts w:ascii="Bookman Old Style"/>
          <w:b w:val="0"/>
          <w:w w:val="85"/>
        </w:rPr>
        <w:t>technology</w:t>
      </w:r>
      <w:r>
        <w:rPr>
          <w:rFonts w:ascii="Bookman Old Style"/>
          <w:b w:val="0"/>
          <w:spacing w:val="-17"/>
          <w:w w:val="85"/>
        </w:rPr>
        <w:t xml:space="preserve"> </w:t>
      </w:r>
      <w:r>
        <w:rPr>
          <w:rFonts w:ascii="Bookman Old Style"/>
          <w:b w:val="0"/>
          <w:w w:val="85"/>
        </w:rPr>
        <w:t>liquefaction</w:t>
      </w:r>
      <w:r>
        <w:rPr>
          <w:rFonts w:ascii="Bookman Old Style"/>
          <w:b w:val="0"/>
          <w:spacing w:val="-17"/>
          <w:w w:val="85"/>
        </w:rPr>
        <w:t xml:space="preserve"> </w:t>
      </w:r>
      <w:r>
        <w:rPr>
          <w:rFonts w:ascii="Bookman Old Style"/>
          <w:b w:val="0"/>
          <w:w w:val="85"/>
        </w:rPr>
        <w:t>process</w:t>
      </w:r>
      <w:r>
        <w:rPr>
          <w:rFonts w:ascii="Bookman Old Style"/>
          <w:b w:val="0"/>
          <w:spacing w:val="-17"/>
          <w:w w:val="85"/>
        </w:rPr>
        <w:t xml:space="preserve"> </w:t>
      </w:r>
      <w:r>
        <w:rPr>
          <w:rFonts w:ascii="Bookman Old Style"/>
          <w:b w:val="0"/>
          <w:w w:val="85"/>
        </w:rPr>
        <w:t>-</w:t>
      </w:r>
      <w:r>
        <w:rPr>
          <w:rFonts w:ascii="Bookman Old Style"/>
          <w:b w:val="0"/>
          <w:spacing w:val="-16"/>
          <w:w w:val="85"/>
        </w:rPr>
        <w:t xml:space="preserve"> </w:t>
      </w:r>
      <w:r>
        <w:rPr>
          <w:rFonts w:ascii="Bookman Old Style"/>
          <w:b w:val="0"/>
          <w:w w:val="85"/>
        </w:rPr>
        <w:t>HTI</w:t>
      </w:r>
      <w:r>
        <w:rPr>
          <w:rFonts w:ascii="Bookman Old Style"/>
          <w:b w:val="0"/>
          <w:spacing w:val="-17"/>
          <w:w w:val="85"/>
        </w:rPr>
        <w:t xml:space="preserve"> </w:t>
      </w:r>
      <w:r>
        <w:rPr>
          <w:rFonts w:ascii="Bookman Old Style"/>
          <w:b w:val="0"/>
          <w:w w:val="85"/>
        </w:rPr>
        <w:t>process</w:t>
      </w:r>
      <w:r>
        <w:rPr>
          <w:rFonts w:ascii="Bookman Old Style"/>
          <w:b w:val="0"/>
          <w:spacing w:val="-17"/>
          <w:w w:val="85"/>
        </w:rPr>
        <w:t xml:space="preserve"> </w:t>
      </w:r>
      <w:r>
        <w:rPr>
          <w:rFonts w:ascii="Bookman Old Style"/>
          <w:b w:val="0"/>
          <w:w w:val="85"/>
        </w:rPr>
        <w:t>employing</w:t>
      </w:r>
      <w:r>
        <w:rPr>
          <w:rFonts w:ascii="Bookman Old Style"/>
          <w:b w:val="0"/>
          <w:spacing w:val="-17"/>
          <w:w w:val="85"/>
        </w:rPr>
        <w:t xml:space="preserve"> </w:t>
      </w:r>
      <w:r>
        <w:rPr>
          <w:rFonts w:ascii="Bookman Old Style"/>
          <w:b w:val="0"/>
          <w:w w:val="85"/>
        </w:rPr>
        <w:t>the</w:t>
      </w:r>
      <w:r>
        <w:rPr>
          <w:rFonts w:ascii="Bookman Old Style"/>
          <w:b w:val="0"/>
          <w:spacing w:val="-17"/>
          <w:w w:val="85"/>
        </w:rPr>
        <w:t xml:space="preserve"> </w:t>
      </w:r>
      <w:r>
        <w:rPr>
          <w:rFonts w:ascii="Bookman Old Style"/>
          <w:b w:val="0"/>
          <w:w w:val="85"/>
        </w:rPr>
        <w:t xml:space="preserve">America </w:t>
      </w:r>
      <w:r>
        <w:rPr>
          <w:rFonts w:ascii="Bookman Old Style"/>
          <w:b w:val="0"/>
          <w:w w:val="90"/>
        </w:rPr>
        <w:t>technology,</w:t>
        <w:tab/>
        <w:t>catalyst</w:t>
        <w:tab/>
      </w:r>
      <w:r>
        <w:rPr>
          <w:rFonts w:ascii="Bookman Old Style"/>
          <w:b w:val="0"/>
          <w:w w:val="85"/>
        </w:rPr>
        <w:t>preparation</w:t>
        <w:tab/>
        <w:tab/>
        <w:t>process</w:t>
        <w:tab/>
        <w:tab/>
      </w:r>
      <w:r>
        <w:rPr>
          <w:rFonts w:ascii="Bookman Old Style"/>
          <w:b w:val="0"/>
          <w:w w:val="90"/>
        </w:rPr>
        <w:t>-</w:t>
        <w:tab/>
        <w:t>using</w:t>
        <w:tab/>
        <w:t>new</w:t>
        <w:tab/>
      </w:r>
      <w:r>
        <w:rPr>
          <w:rFonts w:ascii="Bookman Old Style"/>
          <w:b w:val="0"/>
          <w:w w:val="85"/>
        </w:rPr>
        <w:t>efficient</w:t>
        <w:tab/>
        <w:tab/>
      </w:r>
      <w:r>
        <w:rPr>
          <w:rFonts w:ascii="Bookman Old Style"/>
          <w:b w:val="0"/>
          <w:w w:val="90"/>
        </w:rPr>
        <w:t xml:space="preserve">"863" </w:t>
      </w:r>
      <w:r>
        <w:rPr>
          <w:rFonts w:ascii="Bookman Old Style"/>
          <w:b w:val="0"/>
          <w:w w:val="85"/>
        </w:rPr>
        <w:t>synthesis catalyst, coal liquefaction</w:t>
      </w:r>
      <w:r>
        <w:rPr>
          <w:rFonts w:ascii="Bookman Old Style"/>
          <w:b w:val="0"/>
          <w:spacing w:val="-46"/>
          <w:w w:val="85"/>
        </w:rPr>
        <w:t xml:space="preserve"> </w:t>
      </w:r>
      <w:r>
        <w:rPr>
          <w:rFonts w:ascii="Bookman Old Style"/>
          <w:b w:val="0"/>
          <w:w w:val="85"/>
        </w:rPr>
        <w:t>process</w:t>
      </w:r>
      <w:r>
        <w:rPr>
          <w:rFonts w:ascii="Bookman Old Style"/>
          <w:b w:val="0"/>
          <w:spacing w:val="-34"/>
          <w:w w:val="85"/>
        </w:rPr>
        <w:t xml:space="preserve"> </w:t>
      </w:r>
      <w:r>
        <w:rPr>
          <w:rFonts w:ascii="Bookman Old Style"/>
          <w:b w:val="0"/>
          <w:w w:val="85"/>
        </w:rPr>
        <w:t>for</w:t>
        <w:tab/>
        <w:t>hydrogen</w:t>
      </w:r>
      <w:r>
        <w:rPr>
          <w:rFonts w:ascii="Bookman Old Style"/>
          <w:b w:val="0"/>
          <w:spacing w:val="-57"/>
          <w:w w:val="85"/>
        </w:rPr>
        <w:t xml:space="preserve"> </w:t>
      </w:r>
      <w:r>
        <w:rPr>
          <w:rFonts w:ascii="Bookman Old Style"/>
          <w:b w:val="0"/>
          <w:w w:val="85"/>
        </w:rPr>
        <w:t>production</w:t>
      </w:r>
      <w:r>
        <w:rPr>
          <w:rFonts w:ascii="Bookman Old Style"/>
          <w:b w:val="0"/>
          <w:spacing w:val="-58"/>
          <w:w w:val="85"/>
        </w:rPr>
        <w:t xml:space="preserve"> </w:t>
      </w:r>
      <w:r>
        <w:rPr>
          <w:rFonts w:ascii="Bookman Old Style"/>
          <w:b w:val="0"/>
          <w:w w:val="85"/>
        </w:rPr>
        <w:t>unit by</w:t>
      </w:r>
      <w:r>
        <w:rPr>
          <w:rFonts w:ascii="Bookman Old Style"/>
          <w:b w:val="0"/>
          <w:spacing w:val="-39"/>
          <w:w w:val="85"/>
        </w:rPr>
        <w:t xml:space="preserve"> </w:t>
      </w:r>
      <w:r>
        <w:rPr>
          <w:rFonts w:ascii="Bookman Old Style"/>
          <w:b w:val="0"/>
          <w:w w:val="85"/>
        </w:rPr>
        <w:t>adding</w:t>
      </w:r>
      <w:r>
        <w:rPr>
          <w:rFonts w:ascii="Bookman Old Style"/>
          <w:b w:val="0"/>
          <w:spacing w:val="-39"/>
          <w:w w:val="85"/>
        </w:rPr>
        <w:t xml:space="preserve"> </w:t>
      </w:r>
      <w:r>
        <w:rPr>
          <w:rFonts w:ascii="Bookman Old Style"/>
          <w:b w:val="0"/>
          <w:w w:val="85"/>
        </w:rPr>
        <w:t>pressurized</w:t>
      </w:r>
      <w:r>
        <w:rPr>
          <w:rFonts w:ascii="Bookman Old Style"/>
          <w:b w:val="0"/>
          <w:spacing w:val="-38"/>
          <w:w w:val="85"/>
        </w:rPr>
        <w:t xml:space="preserve"> </w:t>
      </w:r>
      <w:r>
        <w:rPr>
          <w:rFonts w:ascii="Bookman Old Style"/>
          <w:b w:val="0"/>
          <w:w w:val="85"/>
        </w:rPr>
        <w:t>gasification</w:t>
      </w:r>
      <w:r>
        <w:rPr>
          <w:rFonts w:ascii="Bookman Old Style"/>
          <w:b w:val="0"/>
          <w:spacing w:val="-39"/>
          <w:w w:val="85"/>
        </w:rPr>
        <w:t xml:space="preserve"> </w:t>
      </w:r>
      <w:r>
        <w:rPr>
          <w:rFonts w:ascii="Bookman Old Style"/>
          <w:b w:val="0"/>
          <w:w w:val="85"/>
        </w:rPr>
        <w:t>-</w:t>
      </w:r>
      <w:r>
        <w:rPr>
          <w:rFonts w:ascii="Bookman Old Style"/>
          <w:b w:val="0"/>
          <w:spacing w:val="-38"/>
          <w:w w:val="85"/>
        </w:rPr>
        <w:t xml:space="preserve"> </w:t>
      </w:r>
      <w:r>
        <w:rPr>
          <w:rFonts w:ascii="Bookman Old Style"/>
          <w:b w:val="0"/>
          <w:w w:val="85"/>
        </w:rPr>
        <w:t>employing</w:t>
      </w:r>
      <w:r>
        <w:rPr>
          <w:rFonts w:ascii="Bookman Old Style"/>
          <w:b w:val="0"/>
          <w:spacing w:val="-39"/>
          <w:w w:val="85"/>
        </w:rPr>
        <w:t xml:space="preserve"> </w:t>
      </w:r>
      <w:r>
        <w:rPr>
          <w:rFonts w:ascii="Bookman Old Style"/>
          <w:b w:val="0"/>
          <w:w w:val="85"/>
        </w:rPr>
        <w:t>Shell</w:t>
      </w:r>
      <w:r>
        <w:rPr>
          <w:rFonts w:ascii="Bookman Old Style"/>
          <w:b w:val="0"/>
          <w:spacing w:val="-38"/>
          <w:w w:val="85"/>
        </w:rPr>
        <w:t xml:space="preserve"> </w:t>
      </w:r>
      <w:r>
        <w:rPr>
          <w:rFonts w:ascii="Bookman Old Style"/>
          <w:b w:val="0"/>
          <w:w w:val="85"/>
        </w:rPr>
        <w:t>advanced</w:t>
      </w:r>
      <w:r>
        <w:rPr>
          <w:rFonts w:ascii="Bookman Old Style"/>
          <w:b w:val="0"/>
          <w:spacing w:val="-39"/>
          <w:w w:val="85"/>
        </w:rPr>
        <w:t xml:space="preserve"> </w:t>
      </w:r>
      <w:r>
        <w:rPr>
          <w:rFonts w:ascii="Bookman Old Style"/>
          <w:b w:val="0"/>
          <w:w w:val="85"/>
        </w:rPr>
        <w:t xml:space="preserve">pressurized </w:t>
      </w:r>
      <w:r>
        <w:rPr>
          <w:rFonts w:ascii="Bookman Old Style"/>
          <w:b w:val="0"/>
          <w:w w:val="90"/>
        </w:rPr>
        <w:t>gasification</w:t>
      </w:r>
      <w:r>
        <w:rPr>
          <w:rFonts w:ascii="Bookman Old Style"/>
          <w:b w:val="0"/>
          <w:spacing w:val="-54"/>
          <w:w w:val="90"/>
        </w:rPr>
        <w:t xml:space="preserve"> </w:t>
      </w:r>
      <w:r>
        <w:rPr>
          <w:rFonts w:ascii="Bookman Old Style"/>
          <w:b w:val="0"/>
          <w:w w:val="90"/>
        </w:rPr>
        <w:t>technology</w:t>
      </w:r>
      <w:r>
        <w:rPr>
          <w:rFonts w:ascii="Bookman Old Style"/>
          <w:b w:val="0"/>
          <w:spacing w:val="-52"/>
          <w:w w:val="90"/>
        </w:rPr>
        <w:t xml:space="preserve"> </w:t>
      </w:r>
      <w:r>
        <w:rPr>
          <w:rFonts w:ascii="Bookman Old Style"/>
          <w:b w:val="0"/>
          <w:w w:val="90"/>
        </w:rPr>
        <w:t>were</w:t>
      </w:r>
      <w:r>
        <w:rPr>
          <w:rFonts w:ascii="Bookman Old Style"/>
          <w:b w:val="0"/>
          <w:spacing w:val="-53"/>
          <w:w w:val="90"/>
        </w:rPr>
        <w:t xml:space="preserve"> </w:t>
      </w:r>
      <w:r>
        <w:rPr>
          <w:rFonts w:ascii="Bookman Old Style"/>
          <w:b w:val="0"/>
          <w:w w:val="90"/>
        </w:rPr>
        <w:t>emphatically</w:t>
      </w:r>
      <w:r>
        <w:rPr>
          <w:rFonts w:ascii="Bookman Old Style"/>
          <w:b w:val="0"/>
          <w:spacing w:val="-53"/>
          <w:w w:val="90"/>
        </w:rPr>
        <w:t xml:space="preserve"> </w:t>
      </w:r>
      <w:r>
        <w:rPr>
          <w:rFonts w:ascii="Bookman Old Style"/>
          <w:b w:val="0"/>
          <w:w w:val="90"/>
        </w:rPr>
        <w:t>analyzed.</w:t>
      </w:r>
      <w:r>
        <w:rPr>
          <w:rFonts w:ascii="Bookman Old Style"/>
          <w:b w:val="0"/>
          <w:spacing w:val="-52"/>
          <w:w w:val="90"/>
        </w:rPr>
        <w:t xml:space="preserve"> </w:t>
      </w:r>
      <w:r>
        <w:rPr>
          <w:rFonts w:ascii="Bookman Old Style"/>
          <w:b w:val="0"/>
          <w:w w:val="90"/>
        </w:rPr>
        <w:t>Shenhua</w:t>
      </w:r>
      <w:r>
        <w:rPr>
          <w:rFonts w:ascii="Bookman Old Style"/>
          <w:b w:val="0"/>
          <w:spacing w:val="-53"/>
          <w:w w:val="90"/>
        </w:rPr>
        <w:t xml:space="preserve"> </w:t>
      </w:r>
      <w:r>
        <w:rPr>
          <w:rFonts w:ascii="Bookman Old Style"/>
          <w:b w:val="0"/>
          <w:w w:val="90"/>
        </w:rPr>
        <w:t>coal</w:t>
      </w:r>
      <w:r>
        <w:rPr>
          <w:rFonts w:ascii="Bookman Old Style"/>
          <w:b w:val="0"/>
          <w:spacing w:val="-54"/>
          <w:w w:val="90"/>
        </w:rPr>
        <w:t xml:space="preserve"> </w:t>
      </w:r>
      <w:r>
        <w:rPr>
          <w:rFonts w:ascii="Bookman Old Style"/>
          <w:b w:val="0"/>
          <w:w w:val="90"/>
        </w:rPr>
        <w:t>to</w:t>
      </w:r>
      <w:r>
        <w:rPr>
          <w:rFonts w:ascii="Bookman Old Style"/>
          <w:b w:val="0"/>
          <w:spacing w:val="-52"/>
          <w:w w:val="90"/>
        </w:rPr>
        <w:t xml:space="preserve"> </w:t>
      </w:r>
      <w:r>
        <w:rPr>
          <w:rFonts w:ascii="Bookman Old Style"/>
          <w:b w:val="0"/>
          <w:w w:val="90"/>
        </w:rPr>
        <w:t>oil project</w:t>
        <w:tab/>
        <w:t>in</w:t>
        <w:tab/>
      </w:r>
      <w:r>
        <w:rPr>
          <w:rFonts w:ascii="Bookman Old Style"/>
          <w:b w:val="0"/>
          <w:w w:val="85"/>
        </w:rPr>
        <w:t>product</w:t>
        <w:tab/>
        <w:t>separation</w:t>
        <w:tab/>
      </w:r>
      <w:r>
        <w:rPr>
          <w:rFonts w:ascii="Bookman Old Style"/>
          <w:b w:val="0"/>
          <w:w w:val="90"/>
        </w:rPr>
        <w:t>unit,</w:t>
        <w:tab/>
      </w:r>
      <w:r>
        <w:rPr>
          <w:rFonts w:ascii="Bookman Old Style"/>
          <w:b w:val="0"/>
          <w:w w:val="85"/>
        </w:rPr>
        <w:t>hydrogenation</w:t>
        <w:tab/>
      </w:r>
      <w:r>
        <w:rPr>
          <w:rFonts w:ascii="Bookman Old Style"/>
          <w:b w:val="0"/>
          <w:w w:val="90"/>
        </w:rPr>
        <w:t>modification</w:t>
        <w:tab/>
      </w:r>
      <w:r>
        <w:rPr>
          <w:rFonts w:ascii="Bookman Old Style"/>
          <w:b w:val="0"/>
          <w:w w:val="75"/>
        </w:rPr>
        <w:t xml:space="preserve">uint,air </w:t>
      </w:r>
      <w:r>
        <w:rPr>
          <w:rFonts w:ascii="Bookman Old Style"/>
          <w:b w:val="0"/>
          <w:w w:val="85"/>
        </w:rPr>
        <w:t>separation unitand water treatment were adopted advanced technology. Meanwhile</w:t>
      </w:r>
      <w:r>
        <w:rPr>
          <w:rFonts w:ascii="Bookman Old Style"/>
          <w:b w:val="0"/>
          <w:spacing w:val="-44"/>
          <w:w w:val="85"/>
        </w:rPr>
        <w:t xml:space="preserve"> </w:t>
      </w:r>
      <w:r>
        <w:rPr>
          <w:rFonts w:ascii="Bookman Old Style"/>
          <w:b w:val="0"/>
          <w:w w:val="85"/>
        </w:rPr>
        <w:t>the</w:t>
      </w:r>
      <w:r>
        <w:rPr>
          <w:rFonts w:ascii="Bookman Old Style"/>
          <w:b w:val="0"/>
          <w:spacing w:val="-44"/>
          <w:w w:val="85"/>
        </w:rPr>
        <w:t xml:space="preserve"> </w:t>
      </w:r>
      <w:r>
        <w:rPr>
          <w:rFonts w:ascii="Bookman Old Style"/>
          <w:b w:val="0"/>
          <w:w w:val="85"/>
        </w:rPr>
        <w:t>engineering</w:t>
      </w:r>
      <w:r>
        <w:rPr>
          <w:rFonts w:ascii="Bookman Old Style"/>
          <w:b w:val="0"/>
          <w:spacing w:val="-43"/>
          <w:w w:val="85"/>
        </w:rPr>
        <w:t xml:space="preserve"> </w:t>
      </w:r>
      <w:r>
        <w:rPr>
          <w:rFonts w:ascii="Bookman Old Style"/>
          <w:b w:val="0"/>
          <w:w w:val="85"/>
        </w:rPr>
        <w:t>and</w:t>
      </w:r>
      <w:r>
        <w:rPr>
          <w:rFonts w:ascii="Bookman Old Style"/>
          <w:b w:val="0"/>
          <w:spacing w:val="-44"/>
          <w:w w:val="85"/>
        </w:rPr>
        <w:t xml:space="preserve"> </w:t>
      </w:r>
      <w:r>
        <w:rPr>
          <w:rFonts w:ascii="Bookman Old Style"/>
          <w:b w:val="0"/>
          <w:w w:val="85"/>
        </w:rPr>
        <w:t>construction</w:t>
      </w:r>
      <w:r>
        <w:rPr>
          <w:rFonts w:ascii="Bookman Old Style"/>
          <w:b w:val="0"/>
          <w:spacing w:val="-44"/>
          <w:w w:val="85"/>
        </w:rPr>
        <w:t xml:space="preserve"> </w:t>
      </w:r>
      <w:r>
        <w:rPr>
          <w:rFonts w:ascii="Bookman Old Style"/>
          <w:b w:val="0"/>
          <w:w w:val="85"/>
        </w:rPr>
        <w:t>of</w:t>
      </w:r>
      <w:r>
        <w:rPr>
          <w:rFonts w:ascii="Bookman Old Style"/>
          <w:b w:val="0"/>
          <w:spacing w:val="-43"/>
          <w:w w:val="85"/>
        </w:rPr>
        <w:t xml:space="preserve"> </w:t>
      </w:r>
      <w:r>
        <w:rPr>
          <w:rFonts w:ascii="Bookman Old Style"/>
          <w:b w:val="0"/>
          <w:w w:val="85"/>
        </w:rPr>
        <w:t>the</w:t>
      </w:r>
      <w:r>
        <w:rPr>
          <w:rFonts w:ascii="Bookman Old Style"/>
          <w:b w:val="0"/>
          <w:spacing w:val="-44"/>
          <w:w w:val="85"/>
        </w:rPr>
        <w:t xml:space="preserve"> </w:t>
      </w:r>
      <w:r>
        <w:rPr>
          <w:rFonts w:ascii="Bookman Old Style"/>
          <w:b w:val="0"/>
          <w:w w:val="85"/>
        </w:rPr>
        <w:t>project</w:t>
      </w:r>
      <w:r>
        <w:rPr>
          <w:rFonts w:ascii="Bookman Old Style"/>
          <w:b w:val="0"/>
          <w:spacing w:val="-44"/>
          <w:w w:val="85"/>
        </w:rPr>
        <w:t xml:space="preserve"> </w:t>
      </w:r>
      <w:r>
        <w:rPr>
          <w:rFonts w:ascii="Bookman Old Style"/>
          <w:b w:val="0"/>
          <w:w w:val="85"/>
        </w:rPr>
        <w:t>also</w:t>
      </w:r>
      <w:r>
        <w:rPr>
          <w:rFonts w:ascii="Bookman Old Style"/>
          <w:b w:val="0"/>
          <w:spacing w:val="-43"/>
          <w:w w:val="85"/>
        </w:rPr>
        <w:t xml:space="preserve"> </w:t>
      </w:r>
      <w:r>
        <w:rPr>
          <w:rFonts w:ascii="Bookman Old Style"/>
          <w:b w:val="0"/>
          <w:w w:val="85"/>
        </w:rPr>
        <w:t xml:space="preserve">guaranteed </w:t>
      </w:r>
      <w:r>
        <w:rPr>
          <w:rFonts w:ascii="Bookman Old Style"/>
          <w:b w:val="0"/>
          <w:w w:val="90"/>
        </w:rPr>
        <w:t>the</w:t>
      </w:r>
      <w:r>
        <w:rPr>
          <w:rFonts w:ascii="Bookman Old Style"/>
          <w:b w:val="0"/>
          <w:spacing w:val="-35"/>
          <w:w w:val="90"/>
        </w:rPr>
        <w:t xml:space="preserve"> </w:t>
      </w:r>
      <w:r>
        <w:rPr>
          <w:rFonts w:ascii="Bookman Old Style"/>
          <w:b w:val="0"/>
          <w:w w:val="90"/>
        </w:rPr>
        <w:t>system</w:t>
      </w:r>
      <w:r>
        <w:rPr>
          <w:rFonts w:ascii="Bookman Old Style"/>
          <w:b w:val="0"/>
          <w:spacing w:val="-34"/>
          <w:w w:val="90"/>
        </w:rPr>
        <w:t xml:space="preserve"> </w:t>
      </w:r>
      <w:r>
        <w:rPr>
          <w:rFonts w:ascii="Bookman Old Style"/>
          <w:b w:val="0"/>
          <w:w w:val="90"/>
        </w:rPr>
        <w:t>of</w:t>
      </w:r>
      <w:r>
        <w:rPr>
          <w:rFonts w:ascii="Bookman Old Style"/>
          <w:b w:val="0"/>
          <w:spacing w:val="-34"/>
          <w:w w:val="90"/>
        </w:rPr>
        <w:t xml:space="preserve"> </w:t>
      </w:r>
      <w:r>
        <w:rPr>
          <w:rFonts w:ascii="Bookman Old Style"/>
          <w:b w:val="0"/>
          <w:w w:val="90"/>
        </w:rPr>
        <w:t>shenhua</w:t>
      </w:r>
      <w:r>
        <w:rPr>
          <w:rFonts w:ascii="Bookman Old Style"/>
          <w:b w:val="0"/>
          <w:spacing w:val="-34"/>
          <w:w w:val="90"/>
        </w:rPr>
        <w:t xml:space="preserve"> </w:t>
      </w:r>
      <w:r>
        <w:rPr>
          <w:rFonts w:ascii="Bookman Old Style"/>
          <w:b w:val="0"/>
          <w:w w:val="90"/>
        </w:rPr>
        <w:t>coal</w:t>
      </w:r>
      <w:r>
        <w:rPr>
          <w:rFonts w:ascii="Bookman Old Style"/>
          <w:b w:val="0"/>
          <w:spacing w:val="-34"/>
          <w:w w:val="90"/>
        </w:rPr>
        <w:t xml:space="preserve"> </w:t>
      </w:r>
      <w:r>
        <w:rPr>
          <w:rFonts w:ascii="Bookman Old Style"/>
          <w:b w:val="0"/>
          <w:w w:val="90"/>
        </w:rPr>
        <w:t>to</w:t>
      </w:r>
      <w:r>
        <w:rPr>
          <w:rFonts w:ascii="Bookman Old Style"/>
          <w:b w:val="0"/>
          <w:spacing w:val="-34"/>
          <w:w w:val="90"/>
        </w:rPr>
        <w:t xml:space="preserve"> </w:t>
      </w:r>
      <w:r>
        <w:rPr>
          <w:rFonts w:ascii="Bookman Old Style"/>
          <w:b w:val="0"/>
          <w:w w:val="90"/>
        </w:rPr>
        <w:t>oil</w:t>
      </w:r>
      <w:r>
        <w:rPr>
          <w:rFonts w:ascii="Bookman Old Style"/>
          <w:b w:val="0"/>
          <w:spacing w:val="-34"/>
          <w:w w:val="90"/>
        </w:rPr>
        <w:t xml:space="preserve"> </w:t>
      </w:r>
      <w:r>
        <w:rPr>
          <w:rFonts w:ascii="Bookman Old Style"/>
          <w:b w:val="0"/>
          <w:w w:val="90"/>
        </w:rPr>
        <w:t>on</w:t>
      </w:r>
      <w:r>
        <w:rPr>
          <w:rFonts w:ascii="Bookman Old Style"/>
          <w:b w:val="0"/>
          <w:spacing w:val="-34"/>
          <w:w w:val="90"/>
        </w:rPr>
        <w:t xml:space="preserve"> </w:t>
      </w:r>
      <w:r>
        <w:rPr>
          <w:rFonts w:ascii="Bookman Old Style"/>
          <w:b w:val="0"/>
          <w:w w:val="90"/>
        </w:rPr>
        <w:t>construction</w:t>
      </w:r>
      <w:r>
        <w:rPr>
          <w:rFonts w:ascii="Bookman Old Style"/>
          <w:b w:val="0"/>
          <w:spacing w:val="-34"/>
          <w:w w:val="90"/>
        </w:rPr>
        <w:t xml:space="preserve"> </w:t>
      </w:r>
      <w:r>
        <w:rPr>
          <w:rFonts w:ascii="Bookman Old Style"/>
          <w:b w:val="0"/>
          <w:w w:val="90"/>
        </w:rPr>
        <w:t>orderly.</w:t>
      </w:r>
    </w:p>
    <w:p>
      <w:pPr>
        <w:pStyle w:val="BodyText"/>
        <w:tabs>
          <w:tab w:val="left" w:pos="3742"/>
          <w:tab w:val="left" w:pos="5231"/>
          <w:tab w:val="left" w:pos="6465"/>
          <w:tab w:val="left" w:pos="7746"/>
          <w:tab w:val="left" w:pos="9045"/>
          <w:tab w:val="left" w:pos="9804"/>
        </w:tabs>
        <w:spacing w:line="345" w:lineRule="auto"/>
        <w:ind w:left="644" w:right="2241" w:firstLine="719"/>
        <w:rPr>
          <w:rFonts w:ascii="Bookman Old Style"/>
          <w:b w:val="0"/>
        </w:rPr>
      </w:pPr>
      <w:r>
        <w:rPr>
          <w:rFonts w:ascii="Bookman Old Style"/>
          <w:b w:val="0"/>
          <w:w w:val="85"/>
        </w:rPr>
        <w:t>Environmental</w:t>
        <w:tab/>
        <w:t>analysis,</w:t>
        <w:tab/>
      </w:r>
      <w:r>
        <w:rPr>
          <w:rFonts w:ascii="Bookman Old Style"/>
          <w:b w:val="0"/>
          <w:w w:val="90"/>
        </w:rPr>
        <w:t>mainly</w:t>
        <w:tab/>
        <w:t>studied</w:t>
        <w:tab/>
        <w:t>sewage</w:t>
        <w:tab/>
        <w:t>and</w:t>
        <w:tab/>
      </w:r>
      <w:r>
        <w:rPr>
          <w:rFonts w:ascii="Bookman Old Style"/>
          <w:b w:val="0"/>
          <w:spacing w:val="-2"/>
          <w:w w:val="80"/>
        </w:rPr>
        <w:t xml:space="preserve">liquefaction </w:t>
      </w:r>
      <w:r>
        <w:rPr>
          <w:rFonts w:ascii="Bookman Old Style"/>
          <w:b w:val="0"/>
          <w:w w:val="85"/>
        </w:rPr>
        <w:t>residues</w:t>
      </w:r>
      <w:r>
        <w:rPr>
          <w:rFonts w:ascii="Bookman Old Style"/>
          <w:b w:val="0"/>
          <w:spacing w:val="-32"/>
          <w:w w:val="85"/>
        </w:rPr>
        <w:t xml:space="preserve"> </w:t>
      </w:r>
      <w:r>
        <w:rPr>
          <w:rFonts w:ascii="Bookman Old Style"/>
          <w:b w:val="0"/>
          <w:w w:val="85"/>
        </w:rPr>
        <w:t>in</w:t>
      </w:r>
      <w:r>
        <w:rPr>
          <w:rFonts w:ascii="Bookman Old Style"/>
          <w:b w:val="0"/>
          <w:spacing w:val="-32"/>
          <w:w w:val="85"/>
        </w:rPr>
        <w:t xml:space="preserve"> </w:t>
      </w:r>
      <w:r>
        <w:rPr>
          <w:rFonts w:ascii="Bookman Old Style"/>
          <w:b w:val="0"/>
          <w:w w:val="85"/>
        </w:rPr>
        <w:t>the</w:t>
      </w:r>
      <w:r>
        <w:rPr>
          <w:rFonts w:ascii="Bookman Old Style"/>
          <w:b w:val="0"/>
          <w:spacing w:val="-32"/>
          <w:w w:val="85"/>
        </w:rPr>
        <w:t xml:space="preserve"> </w:t>
      </w:r>
      <w:r>
        <w:rPr>
          <w:rFonts w:ascii="Bookman Old Style"/>
          <w:b w:val="0"/>
          <w:w w:val="85"/>
        </w:rPr>
        <w:t>project.</w:t>
      </w:r>
      <w:r>
        <w:rPr>
          <w:rFonts w:ascii="Bookman Old Style"/>
          <w:b w:val="0"/>
          <w:spacing w:val="-32"/>
          <w:w w:val="85"/>
        </w:rPr>
        <w:t xml:space="preserve"> </w:t>
      </w:r>
      <w:r>
        <w:rPr>
          <w:rFonts w:ascii="Bookman Old Style"/>
          <w:b w:val="0"/>
          <w:w w:val="85"/>
        </w:rPr>
        <w:t>The</w:t>
      </w:r>
      <w:r>
        <w:rPr>
          <w:rFonts w:ascii="Bookman Old Style"/>
          <w:b w:val="0"/>
          <w:spacing w:val="-31"/>
          <w:w w:val="85"/>
        </w:rPr>
        <w:t xml:space="preserve"> </w:t>
      </w:r>
      <w:r>
        <w:rPr>
          <w:rFonts w:ascii="Bookman Old Style"/>
          <w:b w:val="0"/>
          <w:w w:val="85"/>
        </w:rPr>
        <w:t>Suggestions</w:t>
      </w:r>
      <w:r>
        <w:rPr>
          <w:rFonts w:ascii="Bookman Old Style"/>
          <w:b w:val="0"/>
          <w:spacing w:val="-32"/>
          <w:w w:val="85"/>
        </w:rPr>
        <w:t xml:space="preserve"> </w:t>
      </w:r>
      <w:r>
        <w:rPr>
          <w:rFonts w:ascii="Bookman Old Style"/>
          <w:b w:val="0"/>
          <w:w w:val="85"/>
        </w:rPr>
        <w:t>were</w:t>
      </w:r>
      <w:r>
        <w:rPr>
          <w:rFonts w:ascii="Bookman Old Style"/>
          <w:b w:val="0"/>
          <w:spacing w:val="-32"/>
          <w:w w:val="85"/>
        </w:rPr>
        <w:t xml:space="preserve"> </w:t>
      </w:r>
      <w:r>
        <w:rPr>
          <w:rFonts w:ascii="Bookman Old Style"/>
          <w:b w:val="0"/>
          <w:w w:val="85"/>
        </w:rPr>
        <w:t>put</w:t>
      </w:r>
      <w:r>
        <w:rPr>
          <w:rFonts w:ascii="Bookman Old Style"/>
          <w:b w:val="0"/>
          <w:spacing w:val="-32"/>
          <w:w w:val="85"/>
        </w:rPr>
        <w:t xml:space="preserve"> </w:t>
      </w:r>
      <w:r>
        <w:rPr>
          <w:rFonts w:ascii="Bookman Old Style"/>
          <w:b w:val="0"/>
          <w:w w:val="85"/>
        </w:rPr>
        <w:t>forward</w:t>
      </w:r>
      <w:r>
        <w:rPr>
          <w:rFonts w:ascii="Bookman Old Style"/>
          <w:b w:val="0"/>
          <w:spacing w:val="-31"/>
          <w:w w:val="85"/>
        </w:rPr>
        <w:t xml:space="preserve"> </w:t>
      </w:r>
      <w:r>
        <w:rPr>
          <w:rFonts w:ascii="Bookman Old Style"/>
          <w:b w:val="0"/>
          <w:w w:val="85"/>
        </w:rPr>
        <w:t>for</w:t>
      </w:r>
      <w:r>
        <w:rPr>
          <w:rFonts w:ascii="Bookman Old Style"/>
          <w:b w:val="0"/>
          <w:spacing w:val="-32"/>
          <w:w w:val="85"/>
        </w:rPr>
        <w:t xml:space="preserve"> </w:t>
      </w:r>
      <w:r>
        <w:rPr>
          <w:rFonts w:ascii="Bookman Old Style"/>
          <w:b w:val="0"/>
          <w:w w:val="85"/>
        </w:rPr>
        <w:t>this</w:t>
      </w:r>
      <w:r>
        <w:rPr>
          <w:rFonts w:ascii="Bookman Old Style"/>
          <w:b w:val="0"/>
          <w:spacing w:val="-32"/>
          <w:w w:val="85"/>
        </w:rPr>
        <w:t xml:space="preserve"> </w:t>
      </w:r>
      <w:r>
        <w:rPr>
          <w:rFonts w:ascii="Bookman Old Style"/>
          <w:b w:val="0"/>
          <w:w w:val="85"/>
        </w:rPr>
        <w:t>project.</w:t>
      </w:r>
    </w:p>
    <w:p>
      <w:pPr>
        <w:pStyle w:val="BodyText"/>
        <w:spacing w:line="345" w:lineRule="auto"/>
        <w:ind w:left="644" w:right="2217" w:firstLine="719"/>
        <w:jc w:val="both"/>
        <w:rPr>
          <w:rFonts w:ascii="Bookman Old Style"/>
          <w:b w:val="0"/>
        </w:rPr>
      </w:pPr>
      <w:r>
        <w:rPr>
          <w:rFonts w:ascii="Bookman Old Style"/>
          <w:b w:val="0"/>
          <w:w w:val="85"/>
        </w:rPr>
        <w:t>Finally,</w:t>
      </w:r>
      <w:r>
        <w:rPr>
          <w:rFonts w:ascii="Bookman Old Style"/>
          <w:b w:val="0"/>
          <w:spacing w:val="-37"/>
          <w:w w:val="85"/>
        </w:rPr>
        <w:t xml:space="preserve"> </w:t>
      </w:r>
      <w:r>
        <w:rPr>
          <w:rFonts w:ascii="Bookman Old Style"/>
          <w:b w:val="0"/>
          <w:w w:val="85"/>
        </w:rPr>
        <w:t>this</w:t>
      </w:r>
      <w:r>
        <w:rPr>
          <w:rFonts w:ascii="Bookman Old Style"/>
          <w:b w:val="0"/>
          <w:spacing w:val="5"/>
          <w:w w:val="85"/>
        </w:rPr>
        <w:t xml:space="preserve"> </w:t>
      </w:r>
      <w:r>
        <w:rPr>
          <w:rFonts w:ascii="Bookman Old Style"/>
          <w:b w:val="0"/>
          <w:w w:val="85"/>
        </w:rPr>
        <w:t>paper</w:t>
      </w:r>
      <w:r>
        <w:rPr>
          <w:rFonts w:ascii="Bookman Old Style"/>
          <w:b w:val="0"/>
          <w:spacing w:val="-8"/>
          <w:w w:val="85"/>
        </w:rPr>
        <w:t xml:space="preserve"> </w:t>
      </w:r>
      <w:r>
        <w:rPr>
          <w:rFonts w:ascii="Bookman Old Style"/>
          <w:b w:val="0"/>
          <w:w w:val="85"/>
        </w:rPr>
        <w:t>gave</w:t>
      </w:r>
      <w:r>
        <w:rPr>
          <w:rFonts w:ascii="Bookman Old Style"/>
          <w:b w:val="0"/>
          <w:spacing w:val="-37"/>
          <w:w w:val="85"/>
        </w:rPr>
        <w:t xml:space="preserve"> </w:t>
      </w:r>
      <w:r>
        <w:rPr>
          <w:rFonts w:ascii="Bookman Old Style"/>
          <w:b w:val="0"/>
          <w:w w:val="85"/>
        </w:rPr>
        <w:t>the</w:t>
      </w:r>
      <w:r>
        <w:rPr>
          <w:rFonts w:ascii="Bookman Old Style"/>
          <w:b w:val="0"/>
          <w:spacing w:val="-37"/>
          <w:w w:val="85"/>
        </w:rPr>
        <w:t xml:space="preserve"> </w:t>
      </w:r>
      <w:r>
        <w:rPr>
          <w:rFonts w:ascii="Bookman Old Style"/>
          <w:b w:val="0"/>
          <w:w w:val="85"/>
        </w:rPr>
        <w:t>advices</w:t>
      </w:r>
      <w:r>
        <w:rPr>
          <w:rFonts w:ascii="Bookman Old Style"/>
          <w:b w:val="0"/>
          <w:spacing w:val="47"/>
          <w:w w:val="85"/>
        </w:rPr>
        <w:t xml:space="preserve"> </w:t>
      </w:r>
      <w:r>
        <w:rPr>
          <w:rFonts w:ascii="Bookman Old Style"/>
          <w:b w:val="0"/>
          <w:w w:val="85"/>
        </w:rPr>
        <w:t>for</w:t>
      </w:r>
      <w:r>
        <w:rPr>
          <w:rFonts w:ascii="Bookman Old Style"/>
          <w:b w:val="0"/>
          <w:spacing w:val="-37"/>
          <w:w w:val="85"/>
        </w:rPr>
        <w:t xml:space="preserve"> </w:t>
      </w:r>
      <w:r>
        <w:rPr>
          <w:rFonts w:ascii="Bookman Old Style"/>
          <w:b w:val="0"/>
          <w:w w:val="85"/>
        </w:rPr>
        <w:t>shenhua</w:t>
      </w:r>
      <w:r>
        <w:rPr>
          <w:rFonts w:ascii="Bookman Old Style"/>
          <w:b w:val="0"/>
          <w:spacing w:val="-37"/>
          <w:w w:val="85"/>
        </w:rPr>
        <w:t xml:space="preserve"> </w:t>
      </w:r>
      <w:r>
        <w:rPr>
          <w:rFonts w:ascii="Bookman Old Style"/>
          <w:b w:val="0"/>
          <w:w w:val="85"/>
        </w:rPr>
        <w:t>program,</w:t>
      </w:r>
      <w:r>
        <w:rPr>
          <w:rFonts w:ascii="Bookman Old Style"/>
          <w:b w:val="0"/>
          <w:spacing w:val="48"/>
          <w:w w:val="85"/>
        </w:rPr>
        <w:t xml:space="preserve"> </w:t>
      </w:r>
      <w:r>
        <w:rPr>
          <w:rFonts w:ascii="Bookman Old Style"/>
          <w:b w:val="0"/>
          <w:w w:val="85"/>
        </w:rPr>
        <w:t>consisting of</w:t>
      </w:r>
      <w:r>
        <w:rPr>
          <w:rFonts w:ascii="Bookman Old Style"/>
          <w:b w:val="0"/>
          <w:spacing w:val="-52"/>
          <w:w w:val="85"/>
        </w:rPr>
        <w:t xml:space="preserve"> </w:t>
      </w:r>
      <w:r>
        <w:rPr>
          <w:rFonts w:ascii="Bookman Old Style"/>
          <w:b w:val="0"/>
          <w:w w:val="85"/>
        </w:rPr>
        <w:t>strengthening</w:t>
      </w:r>
      <w:r>
        <w:rPr>
          <w:rFonts w:ascii="Bookman Old Style"/>
          <w:b w:val="0"/>
          <w:spacing w:val="-51"/>
          <w:w w:val="85"/>
        </w:rPr>
        <w:t xml:space="preserve"> </w:t>
      </w:r>
      <w:r>
        <w:rPr>
          <w:rFonts w:ascii="Bookman Old Style"/>
          <w:b w:val="0"/>
          <w:w w:val="85"/>
        </w:rPr>
        <w:t>technology</w:t>
      </w:r>
      <w:r>
        <w:rPr>
          <w:rFonts w:ascii="Bookman Old Style"/>
          <w:b w:val="0"/>
          <w:spacing w:val="-51"/>
          <w:w w:val="85"/>
        </w:rPr>
        <w:t xml:space="preserve"> </w:t>
      </w:r>
      <w:r>
        <w:rPr>
          <w:rFonts w:ascii="Bookman Old Style"/>
          <w:b w:val="0"/>
          <w:w w:val="85"/>
        </w:rPr>
        <w:t>study,</w:t>
      </w:r>
      <w:r>
        <w:rPr>
          <w:rFonts w:ascii="Bookman Old Style"/>
          <w:b w:val="0"/>
          <w:spacing w:val="-52"/>
          <w:w w:val="85"/>
        </w:rPr>
        <w:t xml:space="preserve"> </w:t>
      </w:r>
      <w:r>
        <w:rPr>
          <w:rFonts w:ascii="Bookman Old Style"/>
          <w:b w:val="0"/>
          <w:w w:val="85"/>
        </w:rPr>
        <w:t>establishing</w:t>
      </w:r>
      <w:r>
        <w:rPr>
          <w:rFonts w:ascii="Bookman Old Style"/>
          <w:b w:val="0"/>
          <w:spacing w:val="-51"/>
          <w:w w:val="85"/>
        </w:rPr>
        <w:t xml:space="preserve"> </w:t>
      </w:r>
      <w:r>
        <w:rPr>
          <w:rFonts w:ascii="Bookman Old Style"/>
          <w:b w:val="0"/>
          <w:w w:val="85"/>
        </w:rPr>
        <w:t>reservoir,</w:t>
      </w:r>
      <w:r>
        <w:rPr>
          <w:rFonts w:ascii="Bookman Old Style"/>
          <w:b w:val="0"/>
          <w:spacing w:val="-51"/>
          <w:w w:val="85"/>
        </w:rPr>
        <w:t xml:space="preserve"> </w:t>
      </w:r>
      <w:r>
        <w:rPr>
          <w:rFonts w:ascii="Bookman Old Style"/>
          <w:b w:val="0"/>
          <w:w w:val="85"/>
        </w:rPr>
        <w:t>completing</w:t>
      </w:r>
      <w:r>
        <w:rPr>
          <w:rFonts w:ascii="Bookman Old Style"/>
          <w:b w:val="0"/>
          <w:spacing w:val="-52"/>
          <w:w w:val="85"/>
        </w:rPr>
        <w:t xml:space="preserve"> </w:t>
      </w:r>
      <w:r>
        <w:rPr>
          <w:rFonts w:ascii="Bookman Old Style"/>
          <w:b w:val="0"/>
          <w:w w:val="85"/>
        </w:rPr>
        <w:t xml:space="preserve">green </w:t>
      </w:r>
      <w:r>
        <w:rPr>
          <w:rFonts w:ascii="Bookman Old Style"/>
          <w:b w:val="0"/>
          <w:w w:val="90"/>
        </w:rPr>
        <w:t>program</w:t>
      </w:r>
      <w:r>
        <w:rPr>
          <w:rFonts w:ascii="Bookman Old Style"/>
          <w:b w:val="0"/>
          <w:spacing w:val="-47"/>
          <w:w w:val="90"/>
        </w:rPr>
        <w:t xml:space="preserve"> </w:t>
      </w:r>
      <w:r>
        <w:rPr>
          <w:rFonts w:ascii="Bookman Old Style"/>
          <w:b w:val="0"/>
          <w:w w:val="90"/>
        </w:rPr>
        <w:t>and</w:t>
      </w:r>
      <w:r>
        <w:rPr>
          <w:rFonts w:ascii="Bookman Old Style"/>
          <w:b w:val="0"/>
          <w:spacing w:val="-46"/>
          <w:w w:val="90"/>
        </w:rPr>
        <w:t xml:space="preserve"> </w:t>
      </w:r>
      <w:r>
        <w:rPr>
          <w:rFonts w:ascii="Bookman Old Style"/>
          <w:b w:val="0"/>
          <w:w w:val="90"/>
        </w:rPr>
        <w:t>studying</w:t>
      </w:r>
      <w:r>
        <w:rPr>
          <w:rFonts w:ascii="Bookman Old Style"/>
          <w:b w:val="0"/>
          <w:spacing w:val="-46"/>
          <w:w w:val="90"/>
        </w:rPr>
        <w:t xml:space="preserve"> </w:t>
      </w:r>
      <w:r>
        <w:rPr>
          <w:rFonts w:ascii="Bookman Old Style"/>
          <w:b w:val="0"/>
          <w:w w:val="90"/>
        </w:rPr>
        <w:t>electricity,</w:t>
      </w:r>
      <w:r>
        <w:rPr>
          <w:rFonts w:ascii="Bookman Old Style"/>
          <w:b w:val="0"/>
          <w:spacing w:val="-46"/>
          <w:w w:val="90"/>
        </w:rPr>
        <w:t xml:space="preserve"> </w:t>
      </w:r>
      <w:r>
        <w:rPr>
          <w:rFonts w:ascii="Bookman Old Style"/>
          <w:b w:val="0"/>
          <w:w w:val="90"/>
        </w:rPr>
        <w:t>water,</w:t>
      </w:r>
      <w:r>
        <w:rPr>
          <w:rFonts w:ascii="Bookman Old Style"/>
          <w:b w:val="0"/>
          <w:spacing w:val="-46"/>
          <w:w w:val="90"/>
        </w:rPr>
        <w:t xml:space="preserve"> </w:t>
      </w:r>
      <w:r>
        <w:rPr>
          <w:rFonts w:ascii="Bookman Old Style"/>
          <w:b w:val="0"/>
          <w:w w:val="90"/>
        </w:rPr>
        <w:t>chemical</w:t>
      </w:r>
      <w:r>
        <w:rPr>
          <w:rFonts w:ascii="Bookman Old Style"/>
          <w:b w:val="0"/>
          <w:spacing w:val="-46"/>
          <w:w w:val="90"/>
        </w:rPr>
        <w:t xml:space="preserve"> </w:t>
      </w:r>
      <w:r>
        <w:rPr>
          <w:rFonts w:ascii="Bookman Old Style"/>
          <w:b w:val="0"/>
          <w:w w:val="90"/>
        </w:rPr>
        <w:t>combination.</w:t>
      </w:r>
    </w:p>
    <w:p>
      <w:pPr>
        <w:pStyle w:val="BodyText"/>
        <w:rPr>
          <w:rFonts w:ascii="Bookman Old Style"/>
          <w:b w:val="0"/>
          <w:sz w:val="40"/>
        </w:rPr>
      </w:pPr>
    </w:p>
    <w:p>
      <w:pPr>
        <w:pStyle w:val="BodyText"/>
        <w:rPr>
          <w:rFonts w:ascii="Bookman Old Style"/>
          <w:b w:val="0"/>
          <w:sz w:val="40"/>
        </w:rPr>
      </w:pPr>
    </w:p>
    <w:p>
      <w:pPr>
        <w:pStyle w:val="BodyText"/>
        <w:rPr>
          <w:rFonts w:ascii="Bookman Old Style"/>
          <w:b w:val="0"/>
          <w:sz w:val="40"/>
        </w:rPr>
      </w:pPr>
    </w:p>
    <w:p>
      <w:pPr>
        <w:pStyle w:val="BodyText"/>
        <w:rPr>
          <w:rFonts w:ascii="Bookman Old Style"/>
          <w:b w:val="0"/>
          <w:sz w:val="40"/>
        </w:rPr>
      </w:pPr>
    </w:p>
    <w:p>
      <w:pPr>
        <w:pStyle w:val="BodyText"/>
        <w:spacing w:before="11"/>
        <w:rPr>
          <w:rFonts w:ascii="Bookman Old Style"/>
          <w:b w:val="0"/>
          <w:sz w:val="45"/>
        </w:rPr>
      </w:pPr>
    </w:p>
    <w:p>
      <w:pPr>
        <w:pStyle w:val="BodyText"/>
        <w:ind w:left="644"/>
        <w:jc w:val="both"/>
        <w:rPr>
          <w:rFonts w:ascii="Bookman Old Style" w:eastAsia="Bookman Old Style"/>
          <w:b w:val="0"/>
        </w:rPr>
      </w:pPr>
      <w:r>
        <w:rPr>
          <w:rFonts w:ascii="Bookman Old Style" w:eastAsia="Bookman Old Style"/>
          <w:b w:val="0"/>
          <w:w w:val="95"/>
        </w:rPr>
        <w:t xml:space="preserve">Key </w:t>
      </w:r>
      <w:r>
        <w:rPr>
          <w:rFonts w:ascii="Bookman Old Style" w:eastAsia="Bookman Old Style"/>
          <w:b w:val="0"/>
          <w:spacing w:val="-7"/>
          <w:w w:val="95"/>
        </w:rPr>
        <w:t>Words</w:t>
      </w:r>
      <w:r>
        <w:rPr>
          <w:rFonts w:ascii="幼圆" w:eastAsia="幼圆" w:hint="eastAsia"/>
          <w:spacing w:val="-7"/>
          <w:w w:val="95"/>
        </w:rPr>
        <w:t>：</w:t>
      </w:r>
      <w:r>
        <w:rPr>
          <w:rFonts w:ascii="幼圆" w:eastAsia="幼圆" w:hint="eastAsia"/>
          <w:spacing w:val="-67"/>
          <w:w w:val="95"/>
        </w:rPr>
        <w:t xml:space="preserve"> </w:t>
      </w:r>
      <w:r>
        <w:rPr>
          <w:rFonts w:ascii="Bookman Old Style" w:eastAsia="Bookman Old Style"/>
          <w:b w:val="0"/>
          <w:w w:val="95"/>
        </w:rPr>
        <w:t>coal to oil; direct liquefaction; comprehensive evaluation</w:t>
      </w:r>
    </w:p>
    <w:p>
      <w:pPr>
        <w:spacing w:after="0"/>
        <w:jc w:val="both"/>
        <w:rPr>
          <w:rFonts w:ascii="Bookman Old Style" w:eastAsia="Bookman Old Style"/>
        </w:rPr>
        <w:sectPr>
          <w:pgSz w:w="15480" w:h="21860"/>
          <w:pgMar w:top="2000" w:right="0" w:bottom="280" w:left="1740" w:header="708" w:footer="708"/>
          <w:pgNumType w:start="3"/>
          <w:cols w:space="708"/>
        </w:sectPr>
      </w:pPr>
    </w:p>
    <w:p>
      <w:pPr>
        <w:pStyle w:val="BodyText"/>
        <w:rPr>
          <w:rFonts w:ascii="Bookman Old Style"/>
          <w:b w:val="0"/>
          <w:sz w:val="20"/>
        </w:rPr>
      </w:pPr>
    </w:p>
    <w:p>
      <w:pPr>
        <w:pStyle w:val="BodyText"/>
        <w:spacing w:before="10"/>
        <w:rPr>
          <w:rFonts w:ascii="Bookman Old Style"/>
          <w:b w:val="0"/>
          <w:sz w:val="20"/>
        </w:rPr>
      </w:pPr>
    </w:p>
    <w:p>
      <w:pPr>
        <w:pStyle w:val="Heading1"/>
        <w:tabs>
          <w:tab w:val="left" w:pos="900"/>
        </w:tabs>
        <w:spacing w:before="37"/>
        <w:ind w:right="1565"/>
        <w:jc w:val="center"/>
      </w:pPr>
      <w:bookmarkStart w:id="1" w:name="_TOC_250030"/>
      <w:bookmarkEnd w:id="1"/>
      <w:r>
        <w:t>目</w:t>
        <w:tab/>
        <w:t>录</w:t>
      </w:r>
    </w:p>
    <w:p>
      <w:pPr>
        <w:spacing w:after="0"/>
        <w:jc w:val="center"/>
        <w:sectPr>
          <w:pgSz w:w="15480" w:h="21860"/>
          <w:pgMar w:top="2080" w:right="0" w:bottom="2723" w:left="1740" w:header="708" w:footer="708"/>
          <w:pgNumType w:start="4"/>
          <w:cols w:space="708"/>
        </w:sectPr>
      </w:pPr>
    </w:p>
    <w:sdt>
      <w:sdtPr>
        <w:id w:val="2103002694"/>
        <w:docPartObj>
          <w:docPartGallery w:val="Table of Contents"/>
          <w:docPartUnique/>
        </w:docPartObj>
      </w:sdtPr>
      <w:sdtContent>
        <w:p>
          <w:pPr>
            <w:pStyle w:val="TOC1"/>
            <w:tabs>
              <w:tab w:val="left" w:pos="1543"/>
              <w:tab w:val="right" w:leader="dot" w:pos="11563"/>
            </w:tabs>
            <w:spacing w:before="858"/>
            <w:rPr>
              <w:rFonts w:ascii="Arial" w:eastAsia="Arial"/>
            </w:rPr>
          </w:pPr>
          <w:hyperlink w:anchor="_TOC_250031" w:history="1">
            <w:r>
              <w:rPr>
                <w:w w:val="105"/>
              </w:rPr>
              <w:t>摘</w:t>
              <w:tab/>
              <w:t>要</w:t>
              <w:tab/>
            </w:r>
            <w:r>
              <w:rPr>
                <w:rFonts w:ascii="Arial" w:eastAsia="Arial"/>
                <w:w w:val="105"/>
              </w:rPr>
              <w:t>I</w:t>
            </w:r>
          </w:hyperlink>
        </w:p>
        <w:p>
          <w:pPr>
            <w:pStyle w:val="TOC1"/>
            <w:tabs>
              <w:tab w:val="right" w:leader="dot" w:pos="11553"/>
            </w:tabs>
            <w:spacing w:before="166"/>
            <w:rPr>
              <w:rFonts w:ascii="Arial"/>
            </w:rPr>
          </w:pPr>
          <w:r>
            <w:rPr>
              <w:rFonts w:ascii="Arial"/>
              <w:w w:val="105"/>
            </w:rPr>
            <w:t>Abstract</w:t>
            <w:tab/>
            <w:t>II</w:t>
          </w:r>
        </w:p>
        <w:p>
          <w:pPr>
            <w:pStyle w:val="TOC1"/>
            <w:tabs>
              <w:tab w:val="left" w:pos="1363"/>
              <w:tab w:val="right" w:leader="dot" w:pos="11511"/>
            </w:tabs>
            <w:spacing w:before="176"/>
            <w:rPr>
              <w:rFonts w:ascii="Arial" w:eastAsia="Arial"/>
            </w:rPr>
          </w:pPr>
          <w:hyperlink w:anchor="_TOC_250030" w:history="1">
            <w:r>
              <w:rPr>
                <w:w w:val="105"/>
              </w:rPr>
              <w:t>目</w:t>
              <w:tab/>
              <w:t>录</w:t>
              <w:tab/>
            </w:r>
            <w:r>
              <w:rPr>
                <w:rFonts w:ascii="Arial" w:eastAsia="Arial"/>
                <w:spacing w:val="-3"/>
                <w:w w:val="105"/>
              </w:rPr>
              <w:t>IV</w:t>
            </w:r>
          </w:hyperlink>
        </w:p>
        <w:p>
          <w:pPr>
            <w:pStyle w:val="TOC1"/>
            <w:tabs>
              <w:tab w:val="right" w:leader="dot" w:pos="11518"/>
            </w:tabs>
            <w:rPr>
              <w:rFonts w:ascii="Arial" w:eastAsia="Arial"/>
            </w:rPr>
          </w:pPr>
          <w:hyperlink w:anchor="_TOC_250029" w:history="1">
            <w:r>
              <w:t xml:space="preserve">第 </w:t>
            </w:r>
            <w:r>
              <w:rPr>
                <w:rFonts w:ascii="Arial" w:eastAsia="Arial"/>
              </w:rPr>
              <w:t xml:space="preserve">1 </w:t>
            </w:r>
            <w:r>
              <w:t>章</w:t>
            </w:r>
            <w:r>
              <w:rPr>
                <w:spacing w:val="-103"/>
              </w:rPr>
              <w:t xml:space="preserve"> </w:t>
            </w:r>
            <w:r>
              <w:t>前</w:t>
            </w:r>
            <w:r>
              <w:rPr>
                <w:spacing w:val="-1"/>
              </w:rPr>
              <w:t xml:space="preserve"> </w:t>
            </w:r>
            <w:r>
              <w:t>言</w:t>
              <w:tab/>
            </w:r>
            <w:r>
              <w:rPr>
                <w:rFonts w:ascii="Arial" w:eastAsia="Arial"/>
              </w:rPr>
              <w:t>1</w:t>
            </w:r>
          </w:hyperlink>
        </w:p>
        <w:p>
          <w:pPr>
            <w:pStyle w:val="TOC1"/>
            <w:tabs>
              <w:tab w:val="right" w:leader="dot" w:pos="11518"/>
            </w:tabs>
            <w:spacing w:before="148"/>
            <w:rPr>
              <w:rFonts w:ascii="Arial" w:eastAsia="Arial"/>
            </w:rPr>
          </w:pPr>
          <w:hyperlink w:anchor="_TOC_250028" w:history="1">
            <w:r>
              <w:t>第</w:t>
            </w:r>
            <w:r>
              <w:rPr>
                <w:spacing w:val="-91"/>
              </w:rPr>
              <w:t xml:space="preserve"> </w:t>
            </w:r>
            <w:r>
              <w:rPr>
                <w:rFonts w:ascii="Arial" w:eastAsia="Arial"/>
              </w:rPr>
              <w:t>2</w:t>
            </w:r>
            <w:r>
              <w:rPr>
                <w:rFonts w:ascii="Arial" w:eastAsia="Arial"/>
                <w:spacing w:val="-11"/>
              </w:rPr>
              <w:t xml:space="preserve"> </w:t>
            </w:r>
            <w:r>
              <w:t>章</w:t>
            </w:r>
            <w:r>
              <w:rPr>
                <w:spacing w:val="-1"/>
              </w:rPr>
              <w:t xml:space="preserve"> </w:t>
            </w:r>
            <w:r>
              <w:t>文献综述</w:t>
              <w:tab/>
            </w:r>
            <w:r>
              <w:rPr>
                <w:rFonts w:ascii="Arial" w:eastAsia="Arial"/>
              </w:rPr>
              <w:t>3</w:t>
            </w:r>
          </w:hyperlink>
        </w:p>
        <w:p>
          <w:pPr>
            <w:pStyle w:val="TOC2"/>
            <w:numPr>
              <w:ilvl w:val="1"/>
              <w:numId w:val="31"/>
            </w:numPr>
            <w:tabs>
              <w:tab w:val="left" w:pos="1814"/>
              <w:tab w:val="right" w:leader="dot" w:pos="11518"/>
            </w:tabs>
            <w:spacing w:before="147" w:after="0" w:line="240" w:lineRule="auto"/>
            <w:ind w:left="1813" w:right="0" w:hanging="541"/>
            <w:jc w:val="left"/>
            <w:rPr>
              <w:rFonts w:ascii="Arial" w:eastAsia="Arial"/>
            </w:rPr>
          </w:pPr>
          <w:hyperlink w:anchor="_TOC_250027" w:history="1">
            <w:r>
              <w:t>煤直接液化技术概论</w:t>
              <w:tab/>
            </w:r>
            <w:r>
              <w:rPr>
                <w:rFonts w:ascii="Arial" w:eastAsia="Arial"/>
              </w:rPr>
              <w:t>3</w:t>
            </w:r>
          </w:hyperlink>
        </w:p>
        <w:p>
          <w:pPr>
            <w:pStyle w:val="TOC3"/>
            <w:numPr>
              <w:ilvl w:val="2"/>
              <w:numId w:val="31"/>
            </w:numPr>
            <w:tabs>
              <w:tab w:val="left" w:pos="2714"/>
              <w:tab w:val="right" w:leader="dot" w:pos="11518"/>
            </w:tabs>
            <w:spacing w:before="147" w:after="0" w:line="240" w:lineRule="auto"/>
            <w:ind w:left="2713" w:right="0" w:hanging="811"/>
            <w:jc w:val="left"/>
            <w:rPr>
              <w:rFonts w:ascii="Arial" w:eastAsia="Arial"/>
            </w:rPr>
          </w:pPr>
          <w:r>
            <w:t>煤直接液化的基本原理</w:t>
            <w:tab/>
          </w:r>
          <w:r>
            <w:rPr>
              <w:rFonts w:ascii="Arial" w:eastAsia="Arial"/>
            </w:rPr>
            <w:t>3</w:t>
          </w:r>
        </w:p>
        <w:p>
          <w:pPr>
            <w:pStyle w:val="TOC3"/>
            <w:numPr>
              <w:ilvl w:val="2"/>
              <w:numId w:val="31"/>
            </w:numPr>
            <w:tabs>
              <w:tab w:val="left" w:pos="2714"/>
              <w:tab w:val="right" w:leader="dot" w:pos="11518"/>
            </w:tabs>
            <w:spacing w:before="148" w:after="0" w:line="240" w:lineRule="auto"/>
            <w:ind w:left="2713" w:right="0" w:hanging="811"/>
            <w:jc w:val="left"/>
            <w:rPr>
              <w:rFonts w:ascii="Arial" w:eastAsia="Arial"/>
            </w:rPr>
          </w:pPr>
          <w:r>
            <w:t>煤直接液化工艺介绍</w:t>
            <w:tab/>
          </w:r>
          <w:r>
            <w:rPr>
              <w:rFonts w:ascii="Arial" w:eastAsia="Arial"/>
            </w:rPr>
            <w:t>3</w:t>
          </w:r>
        </w:p>
        <w:p>
          <w:pPr>
            <w:pStyle w:val="TOC3"/>
            <w:numPr>
              <w:ilvl w:val="2"/>
              <w:numId w:val="31"/>
            </w:numPr>
            <w:tabs>
              <w:tab w:val="left" w:pos="2714"/>
              <w:tab w:val="right" w:leader="dot" w:pos="11518"/>
            </w:tabs>
            <w:spacing w:before="147" w:after="0" w:line="240" w:lineRule="auto"/>
            <w:ind w:left="2713" w:right="0" w:hanging="811"/>
            <w:jc w:val="left"/>
            <w:rPr>
              <w:rFonts w:ascii="Arial" w:eastAsia="Arial"/>
            </w:rPr>
          </w:pPr>
          <w:r>
            <w:t>煤直接液化技术的发展</w:t>
            <w:tab/>
          </w:r>
          <w:r>
            <w:rPr>
              <w:rFonts w:ascii="Arial" w:eastAsia="Arial"/>
            </w:rPr>
            <w:t>5</w:t>
          </w:r>
        </w:p>
        <w:p>
          <w:pPr>
            <w:pStyle w:val="TOC3"/>
            <w:numPr>
              <w:ilvl w:val="2"/>
              <w:numId w:val="31"/>
            </w:numPr>
            <w:tabs>
              <w:tab w:val="left" w:pos="2714"/>
              <w:tab w:val="right" w:leader="dot" w:pos="11518"/>
            </w:tabs>
            <w:spacing w:before="147" w:after="0" w:line="240" w:lineRule="auto"/>
            <w:ind w:left="2713" w:right="0" w:hanging="811"/>
            <w:jc w:val="left"/>
            <w:rPr>
              <w:rFonts w:ascii="Arial" w:eastAsia="Arial"/>
            </w:rPr>
          </w:pPr>
          <w:r>
            <w:t>煤炭直接液化典型工艺</w:t>
            <w:tab/>
          </w:r>
          <w:r>
            <w:rPr>
              <w:rFonts w:ascii="Arial" w:eastAsia="Arial"/>
            </w:rPr>
            <w:t>6</w:t>
          </w:r>
        </w:p>
        <w:p>
          <w:pPr>
            <w:pStyle w:val="TOC2"/>
            <w:numPr>
              <w:ilvl w:val="1"/>
              <w:numId w:val="31"/>
            </w:numPr>
            <w:tabs>
              <w:tab w:val="left" w:pos="1814"/>
              <w:tab w:val="right" w:leader="dot" w:pos="11518"/>
            </w:tabs>
            <w:spacing w:before="147" w:after="0" w:line="240" w:lineRule="auto"/>
            <w:ind w:left="1813" w:right="0" w:hanging="541"/>
            <w:jc w:val="left"/>
            <w:rPr>
              <w:rFonts w:ascii="Arial" w:eastAsia="Arial"/>
            </w:rPr>
          </w:pPr>
          <w:hyperlink w:anchor="_TOC_250026" w:history="1">
            <w:r>
              <w:t>国外煤液化项目发展情况</w:t>
              <w:tab/>
            </w:r>
            <w:r>
              <w:rPr>
                <w:rFonts w:ascii="Arial" w:eastAsia="Arial"/>
              </w:rPr>
              <w:t>9</w:t>
            </w:r>
          </w:hyperlink>
        </w:p>
        <w:p>
          <w:pPr>
            <w:pStyle w:val="TOC3"/>
            <w:numPr>
              <w:ilvl w:val="2"/>
              <w:numId w:val="31"/>
            </w:numPr>
            <w:tabs>
              <w:tab w:val="left" w:pos="2714"/>
              <w:tab w:val="right" w:leader="dot" w:pos="11518"/>
            </w:tabs>
            <w:spacing w:before="148" w:after="0" w:line="240" w:lineRule="auto"/>
            <w:ind w:left="2713" w:right="0" w:hanging="811"/>
            <w:jc w:val="left"/>
            <w:rPr>
              <w:rFonts w:ascii="Arial" w:eastAsia="Arial"/>
            </w:rPr>
          </w:pPr>
          <w:r>
            <w:t>美国、澳大利亚、印度、新西兰、和菲律宾的情况</w:t>
            <w:tab/>
          </w:r>
          <w:r>
            <w:rPr>
              <w:rFonts w:ascii="Arial" w:eastAsia="Arial"/>
            </w:rPr>
            <w:t>9</w:t>
          </w:r>
        </w:p>
        <w:p>
          <w:pPr>
            <w:pStyle w:val="TOC2"/>
            <w:numPr>
              <w:ilvl w:val="1"/>
              <w:numId w:val="31"/>
            </w:numPr>
            <w:tabs>
              <w:tab w:val="left" w:pos="1814"/>
              <w:tab w:val="right" w:leader="dot" w:pos="11518"/>
            </w:tabs>
            <w:spacing w:before="147" w:after="0" w:line="240" w:lineRule="auto"/>
            <w:ind w:left="1813" w:right="0" w:hanging="541"/>
            <w:jc w:val="left"/>
            <w:rPr>
              <w:rFonts w:ascii="Arial" w:eastAsia="Arial"/>
            </w:rPr>
          </w:pPr>
          <w:hyperlink w:anchor="_TOC_250025" w:history="1">
            <w:r>
              <w:t>神华项目简介</w:t>
              <w:tab/>
            </w:r>
            <w:r>
              <w:rPr>
                <w:rFonts w:ascii="Arial" w:eastAsia="Arial"/>
              </w:rPr>
              <w:t>12</w:t>
            </w:r>
          </w:hyperlink>
        </w:p>
        <w:p>
          <w:pPr>
            <w:pStyle w:val="TOC3"/>
            <w:numPr>
              <w:ilvl w:val="2"/>
              <w:numId w:val="31"/>
            </w:numPr>
            <w:tabs>
              <w:tab w:val="left" w:pos="2714"/>
              <w:tab w:val="right" w:leader="dot" w:pos="11518"/>
            </w:tabs>
            <w:spacing w:before="147" w:after="0" w:line="240" w:lineRule="auto"/>
            <w:ind w:left="2713" w:right="0" w:hanging="811"/>
            <w:jc w:val="left"/>
            <w:rPr>
              <w:rFonts w:ascii="Arial" w:eastAsia="Arial"/>
            </w:rPr>
          </w:pPr>
          <w:r>
            <w:t>项目背景介绍</w:t>
            <w:tab/>
          </w:r>
          <w:r>
            <w:rPr>
              <w:rFonts w:ascii="Arial" w:eastAsia="Arial"/>
            </w:rPr>
            <w:t>12</w:t>
          </w:r>
        </w:p>
        <w:p>
          <w:pPr>
            <w:pStyle w:val="TOC3"/>
            <w:numPr>
              <w:ilvl w:val="2"/>
              <w:numId w:val="31"/>
            </w:numPr>
            <w:tabs>
              <w:tab w:val="left" w:pos="2714"/>
              <w:tab w:val="right" w:leader="dot" w:pos="11518"/>
            </w:tabs>
            <w:spacing w:before="147" w:after="0" w:line="240" w:lineRule="auto"/>
            <w:ind w:left="2713" w:right="0" w:hanging="811"/>
            <w:jc w:val="left"/>
            <w:rPr>
              <w:rFonts w:ascii="Arial" w:eastAsia="Arial"/>
            </w:rPr>
          </w:pPr>
          <w:r>
            <w:t>神华煤直接项目介绍</w:t>
            <w:tab/>
          </w:r>
          <w:r>
            <w:rPr>
              <w:rFonts w:ascii="Arial" w:eastAsia="Arial"/>
            </w:rPr>
            <w:t>13</w:t>
          </w:r>
        </w:p>
        <w:p>
          <w:pPr>
            <w:pStyle w:val="TOC3"/>
            <w:numPr>
              <w:ilvl w:val="2"/>
              <w:numId w:val="31"/>
            </w:numPr>
            <w:tabs>
              <w:tab w:val="left" w:pos="2714"/>
              <w:tab w:val="right" w:leader="dot" w:pos="11518"/>
            </w:tabs>
            <w:spacing w:before="147" w:after="0" w:line="240" w:lineRule="auto"/>
            <w:ind w:left="2713" w:right="0" w:hanging="811"/>
            <w:jc w:val="left"/>
            <w:rPr>
              <w:rFonts w:ascii="Arial" w:eastAsia="Arial"/>
            </w:rPr>
          </w:pPr>
          <w:r>
            <w:t>项目进展</w:t>
            <w:tab/>
          </w:r>
          <w:r>
            <w:rPr>
              <w:rFonts w:ascii="Arial" w:eastAsia="Arial"/>
            </w:rPr>
            <w:t>14</w:t>
          </w:r>
        </w:p>
        <w:p>
          <w:pPr>
            <w:pStyle w:val="TOC3"/>
            <w:numPr>
              <w:ilvl w:val="2"/>
              <w:numId w:val="31"/>
            </w:numPr>
            <w:tabs>
              <w:tab w:val="left" w:pos="2804"/>
              <w:tab w:val="right" w:leader="dot" w:pos="11518"/>
            </w:tabs>
            <w:spacing w:before="147" w:after="0" w:line="240" w:lineRule="auto"/>
            <w:ind w:left="2803" w:right="0" w:hanging="901"/>
            <w:jc w:val="left"/>
            <w:rPr>
              <w:rFonts w:ascii="Arial" w:eastAsia="Arial"/>
            </w:rPr>
          </w:pPr>
          <w:r>
            <w:t>神华集团发展煤直接液化的优势</w:t>
            <w:tab/>
          </w:r>
          <w:r>
            <w:rPr>
              <w:rFonts w:ascii="Arial" w:eastAsia="Arial"/>
            </w:rPr>
            <w:t>16</w:t>
          </w:r>
        </w:p>
        <w:p>
          <w:pPr>
            <w:pStyle w:val="TOC2"/>
            <w:tabs>
              <w:tab w:val="right" w:leader="dot" w:pos="11518"/>
            </w:tabs>
            <w:spacing w:before="148"/>
            <w:ind w:left="1273" w:firstLine="0"/>
            <w:rPr>
              <w:rFonts w:ascii="Arial" w:eastAsia="Arial"/>
            </w:rPr>
          </w:pPr>
          <w:hyperlink w:anchor="_TOC_250024" w:history="1">
            <w:r>
              <w:rPr>
                <w:rFonts w:ascii="Arial" w:eastAsia="Arial"/>
              </w:rPr>
              <w:t>2.4</w:t>
            </w:r>
            <w:r>
              <w:rPr>
                <w:rFonts w:ascii="Arial" w:eastAsia="Arial"/>
                <w:spacing w:val="-12"/>
              </w:rPr>
              <w:t xml:space="preserve"> </w:t>
            </w:r>
            <w:r>
              <w:t>小结</w:t>
              <w:tab/>
            </w:r>
            <w:r>
              <w:rPr>
                <w:rFonts w:ascii="Arial" w:eastAsia="Arial"/>
              </w:rPr>
              <w:t>17</w:t>
            </w:r>
          </w:hyperlink>
        </w:p>
        <w:p>
          <w:pPr>
            <w:pStyle w:val="TOC1"/>
            <w:tabs>
              <w:tab w:val="right" w:leader="dot" w:pos="11518"/>
            </w:tabs>
            <w:spacing w:before="148"/>
            <w:rPr>
              <w:rFonts w:ascii="Arial" w:eastAsia="Arial"/>
            </w:rPr>
          </w:pPr>
          <w:hyperlink w:anchor="_TOC_250023" w:history="1">
            <w:r>
              <w:t>第</w:t>
            </w:r>
            <w:r>
              <w:rPr>
                <w:spacing w:val="-91"/>
              </w:rPr>
              <w:t xml:space="preserve"> </w:t>
            </w:r>
            <w:r>
              <w:rPr>
                <w:rFonts w:ascii="Arial" w:eastAsia="Arial"/>
              </w:rPr>
              <w:t>3</w:t>
            </w:r>
            <w:r>
              <w:rPr>
                <w:rFonts w:ascii="Arial" w:eastAsia="Arial"/>
                <w:spacing w:val="-12"/>
              </w:rPr>
              <w:t xml:space="preserve"> </w:t>
            </w:r>
            <w:r>
              <w:t>章</w:t>
            </w:r>
            <w:r>
              <w:rPr>
                <w:spacing w:val="-2"/>
              </w:rPr>
              <w:t xml:space="preserve"> </w:t>
            </w:r>
            <w:r>
              <w:t>神华煤直接液化工艺流程</w:t>
              <w:tab/>
            </w:r>
            <w:r>
              <w:rPr>
                <w:rFonts w:ascii="Arial" w:eastAsia="Arial"/>
              </w:rPr>
              <w:t>18</w:t>
            </w:r>
          </w:hyperlink>
        </w:p>
        <w:p>
          <w:pPr>
            <w:pStyle w:val="TOC2"/>
            <w:numPr>
              <w:ilvl w:val="1"/>
              <w:numId w:val="29"/>
            </w:numPr>
            <w:tabs>
              <w:tab w:val="left" w:pos="1814"/>
              <w:tab w:val="right" w:leader="dot" w:pos="11518"/>
            </w:tabs>
            <w:spacing w:before="147" w:after="0" w:line="240" w:lineRule="auto"/>
            <w:ind w:left="1813" w:right="0" w:hanging="541"/>
            <w:jc w:val="left"/>
            <w:rPr>
              <w:rFonts w:ascii="Arial" w:eastAsia="Arial"/>
            </w:rPr>
          </w:pPr>
          <w:hyperlink w:anchor="_TOC_250022" w:history="1">
            <w:r>
              <w:t>总加工流程</w:t>
              <w:tab/>
            </w:r>
            <w:r>
              <w:rPr>
                <w:rFonts w:ascii="Arial" w:eastAsia="Arial"/>
              </w:rPr>
              <w:t>18</w:t>
            </w:r>
          </w:hyperlink>
        </w:p>
        <w:p>
          <w:pPr>
            <w:pStyle w:val="TOC3"/>
            <w:numPr>
              <w:ilvl w:val="2"/>
              <w:numId w:val="29"/>
            </w:numPr>
            <w:tabs>
              <w:tab w:val="left" w:pos="2714"/>
              <w:tab w:val="right" w:leader="dot" w:pos="11518"/>
            </w:tabs>
            <w:spacing w:before="147" w:after="0" w:line="240" w:lineRule="auto"/>
            <w:ind w:left="2713" w:right="0" w:hanging="811"/>
            <w:jc w:val="left"/>
            <w:rPr>
              <w:rFonts w:ascii="Arial" w:eastAsia="Arial"/>
            </w:rPr>
          </w:pPr>
          <w:r>
            <w:t>先期总加工流程简介</w:t>
            <w:tab/>
          </w:r>
          <w:r>
            <w:rPr>
              <w:rFonts w:ascii="Arial" w:eastAsia="Arial"/>
            </w:rPr>
            <w:t>18</w:t>
          </w:r>
        </w:p>
        <w:p>
          <w:pPr>
            <w:pStyle w:val="TOC3"/>
            <w:numPr>
              <w:ilvl w:val="2"/>
              <w:numId w:val="29"/>
            </w:numPr>
            <w:tabs>
              <w:tab w:val="left" w:pos="2714"/>
              <w:tab w:val="right" w:leader="dot" w:pos="11518"/>
            </w:tabs>
            <w:spacing w:before="147" w:after="0" w:line="240" w:lineRule="auto"/>
            <w:ind w:left="2713" w:right="0" w:hanging="811"/>
            <w:jc w:val="left"/>
            <w:rPr>
              <w:rFonts w:ascii="Arial" w:eastAsia="Arial"/>
            </w:rPr>
          </w:pPr>
          <w:r>
            <w:t>一期总加工流程简介</w:t>
            <w:tab/>
          </w:r>
          <w:r>
            <w:rPr>
              <w:rFonts w:ascii="Arial" w:eastAsia="Arial"/>
            </w:rPr>
            <w:t>20</w:t>
          </w:r>
        </w:p>
        <w:p>
          <w:pPr>
            <w:pStyle w:val="TOC2"/>
            <w:numPr>
              <w:ilvl w:val="1"/>
              <w:numId w:val="29"/>
            </w:numPr>
            <w:tabs>
              <w:tab w:val="left" w:pos="1814"/>
              <w:tab w:val="right" w:leader="dot" w:pos="11518"/>
            </w:tabs>
            <w:spacing w:before="147" w:after="0" w:line="240" w:lineRule="auto"/>
            <w:ind w:left="1813" w:right="0" w:hanging="541"/>
            <w:jc w:val="left"/>
            <w:rPr>
              <w:rFonts w:ascii="Arial" w:eastAsia="Arial"/>
            </w:rPr>
          </w:pPr>
          <w:hyperlink w:anchor="_TOC_250021" w:history="1">
            <w:r>
              <w:t>煤直接液化工艺特点</w:t>
              <w:tab/>
            </w:r>
            <w:r>
              <w:rPr>
                <w:rFonts w:ascii="Arial" w:eastAsia="Arial"/>
              </w:rPr>
              <w:t>22</w:t>
            </w:r>
          </w:hyperlink>
        </w:p>
        <w:p>
          <w:pPr>
            <w:pStyle w:val="TOC3"/>
            <w:numPr>
              <w:ilvl w:val="2"/>
              <w:numId w:val="29"/>
            </w:numPr>
            <w:tabs>
              <w:tab w:val="left" w:pos="2714"/>
              <w:tab w:val="right" w:leader="dot" w:pos="11518"/>
            </w:tabs>
            <w:spacing w:before="148" w:after="0" w:line="240" w:lineRule="auto"/>
            <w:ind w:left="2713" w:right="0" w:hanging="811"/>
            <w:jc w:val="left"/>
            <w:rPr>
              <w:rFonts w:ascii="Arial" w:eastAsia="Arial"/>
            </w:rPr>
            <w:sectPr>
              <w:type w:val="continuous"/>
              <w:pgSz w:w="15480" w:h="21860"/>
              <w:pgMar w:top="2000" w:right="0" w:bottom="2723" w:left="1740" w:header="708" w:footer="708"/>
              <w:pgNumType w:start="5"/>
              <w:cols w:space="708"/>
            </w:sectPr>
          </w:pPr>
          <w:r>
            <w:t>采用悬浮床反应器，处理能力大，效率高</w:t>
            <w:tab/>
          </w:r>
          <w:r>
            <w:rPr>
              <w:rFonts w:ascii="Arial" w:eastAsia="Arial"/>
            </w:rPr>
            <w:t>22</w:t>
          </w:r>
        </w:p>
      </w:sdtContent>
    </w:sdt>
    <w:sdt>
      <w:sdtPr>
        <w:id w:val="937637091"/>
        <w:docPartObj>
          <w:docPartGallery w:val="Table of Contents"/>
          <w:docPartUnique/>
        </w:docPartObj>
      </w:sdtPr>
      <w:sdtContent>
        <w:p>
          <w:pPr>
            <w:pStyle w:val="TOC3"/>
            <w:numPr>
              <w:ilvl w:val="2"/>
              <w:numId w:val="29"/>
            </w:numPr>
            <w:tabs>
              <w:tab w:val="left" w:pos="2714"/>
              <w:tab w:val="right" w:leader="dot" w:pos="11518"/>
            </w:tabs>
            <w:spacing w:before="146" w:after="20" w:line="240" w:lineRule="auto"/>
            <w:ind w:left="2713" w:right="0" w:hanging="811"/>
            <w:jc w:val="left"/>
            <w:rPr>
              <w:rFonts w:ascii="Arial" w:eastAsia="Arial"/>
            </w:rPr>
          </w:pPr>
          <w:r>
            <w:t>催化剂制备单元</w:t>
            <w:tab/>
          </w:r>
          <w:r>
            <w:rPr>
              <w:rFonts w:ascii="Arial" w:eastAsia="Arial"/>
            </w:rPr>
            <w:t>24</w:t>
          </w:r>
        </w:p>
        <w:p>
          <w:pPr>
            <w:pStyle w:val="TOC3"/>
            <w:numPr>
              <w:ilvl w:val="2"/>
              <w:numId w:val="28"/>
            </w:numPr>
            <w:tabs>
              <w:tab w:val="left" w:pos="2714"/>
              <w:tab w:val="right" w:leader="dot" w:pos="11518"/>
            </w:tabs>
            <w:spacing w:before="64" w:after="0" w:line="240" w:lineRule="auto"/>
            <w:ind w:left="2713" w:right="0" w:hanging="811"/>
            <w:jc w:val="left"/>
            <w:rPr>
              <w:rFonts w:ascii="Arial" w:eastAsia="Arial"/>
            </w:rPr>
          </w:pPr>
          <w:r>
            <w:t>采用</w:t>
          </w:r>
          <w:r>
            <w:rPr>
              <w:spacing w:val="-94"/>
            </w:rPr>
            <w:t xml:space="preserve"> </w:t>
          </w:r>
          <w:r>
            <w:rPr>
              <w:rFonts w:ascii="Arial" w:eastAsia="Arial"/>
            </w:rPr>
            <w:t>T-star</w:t>
          </w:r>
          <w:r>
            <w:rPr>
              <w:rFonts w:ascii="Arial" w:eastAsia="Arial"/>
              <w:spacing w:val="-48"/>
            </w:rPr>
            <w:t xml:space="preserve"> </w:t>
          </w:r>
          <w:r>
            <w:t>工艺对液化粗油进行精制</w:t>
            <w:tab/>
          </w:r>
          <w:r>
            <w:rPr>
              <w:rFonts w:ascii="Arial" w:eastAsia="Arial"/>
            </w:rPr>
            <w:t>24</w:t>
          </w:r>
        </w:p>
        <w:p>
          <w:pPr>
            <w:pStyle w:val="TOC3"/>
            <w:numPr>
              <w:ilvl w:val="2"/>
              <w:numId w:val="28"/>
            </w:numPr>
            <w:tabs>
              <w:tab w:val="left" w:pos="2714"/>
              <w:tab w:val="right" w:leader="dot" w:pos="11518"/>
            </w:tabs>
            <w:spacing w:before="147" w:after="0" w:line="240" w:lineRule="auto"/>
            <w:ind w:left="2713" w:right="0" w:hanging="811"/>
            <w:jc w:val="left"/>
            <w:rPr>
              <w:rFonts w:ascii="Arial" w:eastAsia="Arial"/>
            </w:rPr>
          </w:pPr>
          <w:r>
            <w:t>加氢改质单元</w:t>
            <w:tab/>
          </w:r>
          <w:r>
            <w:rPr>
              <w:rFonts w:ascii="Arial" w:eastAsia="Arial"/>
            </w:rPr>
            <w:t>25</w:t>
          </w:r>
        </w:p>
        <w:p>
          <w:pPr>
            <w:pStyle w:val="TOC3"/>
            <w:numPr>
              <w:ilvl w:val="2"/>
              <w:numId w:val="28"/>
            </w:numPr>
            <w:tabs>
              <w:tab w:val="left" w:pos="2714"/>
              <w:tab w:val="right" w:leader="dot" w:pos="11518"/>
            </w:tabs>
            <w:spacing w:before="148" w:after="0" w:line="240" w:lineRule="auto"/>
            <w:ind w:left="2713" w:right="0" w:hanging="811"/>
            <w:jc w:val="left"/>
            <w:rPr>
              <w:rFonts w:ascii="Arial" w:eastAsia="Arial"/>
            </w:rPr>
          </w:pPr>
          <w:r>
            <w:t>重整抽提单元</w:t>
            <w:tab/>
          </w:r>
          <w:r>
            <w:rPr>
              <w:rFonts w:ascii="Arial" w:eastAsia="Arial"/>
            </w:rPr>
            <w:t>26</w:t>
          </w:r>
        </w:p>
        <w:p>
          <w:pPr>
            <w:pStyle w:val="TOC3"/>
            <w:numPr>
              <w:ilvl w:val="2"/>
              <w:numId w:val="28"/>
            </w:numPr>
            <w:tabs>
              <w:tab w:val="left" w:pos="2714"/>
              <w:tab w:val="right" w:leader="dot" w:pos="11518"/>
            </w:tabs>
            <w:spacing w:before="147" w:after="0" w:line="240" w:lineRule="auto"/>
            <w:ind w:left="2713" w:right="0" w:hanging="811"/>
            <w:jc w:val="left"/>
            <w:rPr>
              <w:rFonts w:ascii="Arial" w:eastAsia="Arial"/>
            </w:rPr>
          </w:pPr>
          <w:r>
            <w:t>异构化单元</w:t>
            <w:tab/>
          </w:r>
          <w:r>
            <w:rPr>
              <w:rFonts w:ascii="Arial" w:eastAsia="Arial"/>
            </w:rPr>
            <w:t>26</w:t>
          </w:r>
        </w:p>
        <w:p>
          <w:pPr>
            <w:pStyle w:val="TOC3"/>
            <w:numPr>
              <w:ilvl w:val="2"/>
              <w:numId w:val="28"/>
            </w:numPr>
            <w:tabs>
              <w:tab w:val="left" w:pos="2714"/>
              <w:tab w:val="right" w:leader="dot" w:pos="11518"/>
            </w:tabs>
            <w:spacing w:before="147" w:after="0" w:line="240" w:lineRule="auto"/>
            <w:ind w:left="2713" w:right="0" w:hanging="811"/>
            <w:jc w:val="left"/>
            <w:rPr>
              <w:rFonts w:ascii="Arial" w:eastAsia="Arial"/>
            </w:rPr>
          </w:pPr>
          <w:r>
            <w:t>煤制氢单元</w:t>
            <w:tab/>
          </w:r>
          <w:r>
            <w:rPr>
              <w:rFonts w:ascii="Arial" w:eastAsia="Arial"/>
            </w:rPr>
            <w:t>27</w:t>
          </w:r>
        </w:p>
        <w:p>
          <w:pPr>
            <w:pStyle w:val="TOC3"/>
            <w:numPr>
              <w:ilvl w:val="2"/>
              <w:numId w:val="28"/>
            </w:numPr>
            <w:tabs>
              <w:tab w:val="left" w:pos="2714"/>
              <w:tab w:val="right" w:leader="dot" w:pos="11518"/>
            </w:tabs>
            <w:spacing w:before="147" w:after="0" w:line="240" w:lineRule="auto"/>
            <w:ind w:left="2713" w:right="0" w:hanging="811"/>
            <w:jc w:val="left"/>
            <w:rPr>
              <w:rFonts w:ascii="Arial" w:eastAsia="Arial"/>
            </w:rPr>
          </w:pPr>
          <w:r>
            <w:t>空分装置</w:t>
            <w:tab/>
          </w:r>
          <w:r>
            <w:rPr>
              <w:rFonts w:ascii="Arial" w:eastAsia="Arial"/>
            </w:rPr>
            <w:t>28</w:t>
          </w:r>
        </w:p>
        <w:p>
          <w:pPr>
            <w:pStyle w:val="TOC3"/>
            <w:numPr>
              <w:ilvl w:val="2"/>
              <w:numId w:val="28"/>
            </w:numPr>
            <w:tabs>
              <w:tab w:val="left" w:pos="2714"/>
              <w:tab w:val="right" w:leader="dot" w:pos="11518"/>
            </w:tabs>
            <w:spacing w:before="147" w:after="0" w:line="240" w:lineRule="auto"/>
            <w:ind w:left="2713" w:right="0" w:hanging="811"/>
            <w:jc w:val="left"/>
            <w:rPr>
              <w:rFonts w:ascii="Arial" w:eastAsia="Arial"/>
            </w:rPr>
          </w:pPr>
          <w:r>
            <w:t>自备电站</w:t>
            <w:tab/>
          </w:r>
          <w:r>
            <w:rPr>
              <w:rFonts w:ascii="Arial" w:eastAsia="Arial"/>
            </w:rPr>
            <w:t>28</w:t>
          </w:r>
        </w:p>
        <w:p>
          <w:pPr>
            <w:pStyle w:val="TOC3"/>
            <w:numPr>
              <w:ilvl w:val="2"/>
              <w:numId w:val="28"/>
            </w:numPr>
            <w:tabs>
              <w:tab w:val="left" w:pos="2714"/>
              <w:tab w:val="right" w:leader="dot" w:pos="11518"/>
            </w:tabs>
            <w:spacing w:before="148" w:after="0" w:line="240" w:lineRule="auto"/>
            <w:ind w:left="2713" w:right="0" w:hanging="811"/>
            <w:jc w:val="left"/>
            <w:rPr>
              <w:rFonts w:ascii="Arial" w:eastAsia="Arial"/>
            </w:rPr>
          </w:pPr>
          <w:r>
            <w:t>水处理装置</w:t>
            <w:tab/>
          </w:r>
          <w:r>
            <w:rPr>
              <w:rFonts w:ascii="Arial" w:eastAsia="Arial"/>
            </w:rPr>
            <w:t>29</w:t>
          </w:r>
        </w:p>
        <w:p>
          <w:pPr>
            <w:pStyle w:val="TOC2"/>
            <w:tabs>
              <w:tab w:val="right" w:leader="dot" w:pos="11518"/>
            </w:tabs>
            <w:ind w:left="1273" w:firstLine="0"/>
            <w:rPr>
              <w:rFonts w:ascii="Arial" w:eastAsia="Arial"/>
            </w:rPr>
          </w:pPr>
          <w:hyperlink w:anchor="_TOC_250020" w:history="1">
            <w:r>
              <w:rPr>
                <w:rFonts w:ascii="Arial" w:eastAsia="Arial"/>
              </w:rPr>
              <w:t>3.3</w:t>
            </w:r>
            <w:r>
              <w:rPr>
                <w:rFonts w:ascii="Arial" w:eastAsia="Arial"/>
                <w:spacing w:val="-12"/>
              </w:rPr>
              <w:t xml:space="preserve"> </w:t>
            </w:r>
            <w:r>
              <w:t>小结</w:t>
              <w:tab/>
            </w:r>
            <w:r>
              <w:rPr>
                <w:rFonts w:ascii="Arial" w:eastAsia="Arial"/>
              </w:rPr>
              <w:t>29</w:t>
            </w:r>
          </w:hyperlink>
        </w:p>
        <w:p>
          <w:pPr>
            <w:pStyle w:val="TOC1"/>
            <w:tabs>
              <w:tab w:val="right" w:leader="dot" w:pos="11518"/>
            </w:tabs>
            <w:rPr>
              <w:rFonts w:ascii="Arial" w:eastAsia="Arial"/>
            </w:rPr>
          </w:pPr>
          <w:hyperlink w:anchor="_TOC_250019" w:history="1">
            <w:r>
              <w:t>第</w:t>
            </w:r>
            <w:r>
              <w:rPr>
                <w:spacing w:val="-91"/>
              </w:rPr>
              <w:t xml:space="preserve"> </w:t>
            </w:r>
            <w:r>
              <w:rPr>
                <w:rFonts w:ascii="Arial" w:eastAsia="Arial"/>
              </w:rPr>
              <w:t>4</w:t>
            </w:r>
            <w:r>
              <w:rPr>
                <w:rFonts w:ascii="Arial" w:eastAsia="Arial"/>
                <w:spacing w:val="-12"/>
              </w:rPr>
              <w:t xml:space="preserve"> </w:t>
            </w:r>
            <w:r>
              <w:t>章</w:t>
            </w:r>
            <w:r>
              <w:rPr>
                <w:spacing w:val="-2"/>
              </w:rPr>
              <w:t xml:space="preserve"> </w:t>
            </w:r>
            <w:r>
              <w:t>煤直接液化工艺经济分析</w:t>
              <w:tab/>
            </w:r>
            <w:r>
              <w:rPr>
                <w:rFonts w:ascii="Arial" w:eastAsia="Arial"/>
              </w:rPr>
              <w:t>30</w:t>
            </w:r>
          </w:hyperlink>
        </w:p>
        <w:p>
          <w:pPr>
            <w:pStyle w:val="TOC2"/>
            <w:numPr>
              <w:ilvl w:val="1"/>
              <w:numId w:val="27"/>
            </w:numPr>
            <w:tabs>
              <w:tab w:val="left" w:pos="1814"/>
              <w:tab w:val="right" w:leader="dot" w:pos="11518"/>
            </w:tabs>
            <w:spacing w:before="148" w:after="0" w:line="240" w:lineRule="auto"/>
            <w:ind w:left="1813" w:right="0" w:hanging="541"/>
            <w:jc w:val="left"/>
            <w:rPr>
              <w:rFonts w:ascii="Arial" w:eastAsia="Arial"/>
            </w:rPr>
          </w:pPr>
          <w:hyperlink w:anchor="_TOC_250018" w:history="1">
            <w:r>
              <w:t>投资估算与资金筹措</w:t>
              <w:tab/>
            </w:r>
            <w:r>
              <w:rPr>
                <w:rFonts w:ascii="Arial" w:eastAsia="Arial"/>
              </w:rPr>
              <w:t>30</w:t>
            </w:r>
          </w:hyperlink>
        </w:p>
        <w:p>
          <w:pPr>
            <w:pStyle w:val="TOC3"/>
            <w:numPr>
              <w:ilvl w:val="2"/>
              <w:numId w:val="27"/>
            </w:numPr>
            <w:tabs>
              <w:tab w:val="left" w:pos="2714"/>
              <w:tab w:val="right" w:leader="dot" w:pos="11518"/>
            </w:tabs>
            <w:spacing w:before="147" w:after="0" w:line="240" w:lineRule="auto"/>
            <w:ind w:left="2713" w:right="0" w:hanging="811"/>
            <w:jc w:val="left"/>
            <w:rPr>
              <w:rFonts w:ascii="Arial" w:eastAsia="Arial"/>
            </w:rPr>
          </w:pPr>
          <w:r>
            <w:t>建设投资与流动资金估算</w:t>
            <w:tab/>
          </w:r>
          <w:r>
            <w:rPr>
              <w:rFonts w:ascii="Arial" w:eastAsia="Arial"/>
            </w:rPr>
            <w:t>30</w:t>
          </w:r>
        </w:p>
        <w:p>
          <w:pPr>
            <w:pStyle w:val="TOC3"/>
            <w:numPr>
              <w:ilvl w:val="2"/>
              <w:numId w:val="27"/>
            </w:numPr>
            <w:tabs>
              <w:tab w:val="left" w:pos="2714"/>
              <w:tab w:val="right" w:leader="dot" w:pos="11518"/>
            </w:tabs>
            <w:spacing w:before="147" w:after="0" w:line="240" w:lineRule="auto"/>
            <w:ind w:left="2713" w:right="0" w:hanging="811"/>
            <w:jc w:val="left"/>
            <w:rPr>
              <w:rFonts w:ascii="Arial" w:eastAsia="Arial"/>
            </w:rPr>
          </w:pPr>
          <w:r>
            <w:t>资金筹措及用使用计划</w:t>
            <w:tab/>
          </w:r>
          <w:r>
            <w:rPr>
              <w:rFonts w:ascii="Arial" w:eastAsia="Arial"/>
            </w:rPr>
            <w:t>33</w:t>
          </w:r>
        </w:p>
        <w:p>
          <w:pPr>
            <w:pStyle w:val="TOC3"/>
            <w:numPr>
              <w:ilvl w:val="2"/>
              <w:numId w:val="27"/>
            </w:numPr>
            <w:tabs>
              <w:tab w:val="left" w:pos="2714"/>
              <w:tab w:val="right" w:leader="dot" w:pos="11518"/>
            </w:tabs>
            <w:spacing w:before="147" w:after="0" w:line="240" w:lineRule="auto"/>
            <w:ind w:left="2713" w:right="0" w:hanging="811"/>
            <w:jc w:val="left"/>
            <w:rPr>
              <w:rFonts w:ascii="Arial" w:eastAsia="Arial"/>
            </w:rPr>
          </w:pPr>
          <w:r>
            <w:t>总投资</w:t>
            <w:tab/>
          </w:r>
          <w:r>
            <w:rPr>
              <w:rFonts w:ascii="Arial" w:eastAsia="Arial"/>
            </w:rPr>
            <w:t>34</w:t>
          </w:r>
        </w:p>
        <w:p>
          <w:pPr>
            <w:pStyle w:val="TOC2"/>
            <w:numPr>
              <w:ilvl w:val="1"/>
              <w:numId w:val="27"/>
            </w:numPr>
            <w:tabs>
              <w:tab w:val="left" w:pos="1814"/>
              <w:tab w:val="right" w:leader="dot" w:pos="11518"/>
            </w:tabs>
            <w:spacing w:before="148" w:after="0" w:line="240" w:lineRule="auto"/>
            <w:ind w:left="1813" w:right="0" w:hanging="541"/>
            <w:jc w:val="left"/>
            <w:rPr>
              <w:rFonts w:ascii="Arial" w:eastAsia="Arial"/>
            </w:rPr>
          </w:pPr>
          <w:hyperlink w:anchor="_TOC_250017" w:history="1">
            <w:r>
              <w:t>总成本费用估算</w:t>
              <w:tab/>
            </w:r>
            <w:r>
              <w:rPr>
                <w:rFonts w:ascii="Arial" w:eastAsia="Arial"/>
              </w:rPr>
              <w:t>34</w:t>
            </w:r>
          </w:hyperlink>
        </w:p>
        <w:p>
          <w:pPr>
            <w:pStyle w:val="TOC3"/>
            <w:numPr>
              <w:ilvl w:val="2"/>
              <w:numId w:val="27"/>
            </w:numPr>
            <w:tabs>
              <w:tab w:val="left" w:pos="2714"/>
              <w:tab w:val="right" w:leader="dot" w:pos="11518"/>
            </w:tabs>
            <w:spacing w:before="147" w:after="0" w:line="240" w:lineRule="auto"/>
            <w:ind w:left="2713" w:right="0" w:hanging="811"/>
            <w:jc w:val="left"/>
            <w:rPr>
              <w:rFonts w:ascii="Arial" w:eastAsia="Arial"/>
            </w:rPr>
          </w:pPr>
          <w:r>
            <w:t>炼油总成本的构成</w:t>
            <w:tab/>
          </w:r>
          <w:r>
            <w:rPr>
              <w:rFonts w:ascii="Arial" w:eastAsia="Arial"/>
            </w:rPr>
            <w:t>34</w:t>
          </w:r>
        </w:p>
        <w:p>
          <w:pPr>
            <w:pStyle w:val="TOC3"/>
            <w:numPr>
              <w:ilvl w:val="2"/>
              <w:numId w:val="27"/>
            </w:numPr>
            <w:tabs>
              <w:tab w:val="left" w:pos="2714"/>
              <w:tab w:val="right" w:leader="dot" w:pos="11518"/>
            </w:tabs>
            <w:spacing w:before="147" w:after="0" w:line="240" w:lineRule="auto"/>
            <w:ind w:left="2713" w:right="0" w:hanging="811"/>
            <w:jc w:val="left"/>
            <w:rPr>
              <w:rFonts w:ascii="Arial" w:eastAsia="Arial"/>
            </w:rPr>
          </w:pPr>
          <w:r>
            <w:t>生产成本</w:t>
            <w:tab/>
          </w:r>
          <w:r>
            <w:rPr>
              <w:rFonts w:ascii="Arial" w:eastAsia="Arial"/>
            </w:rPr>
            <w:t>35</w:t>
          </w:r>
        </w:p>
        <w:p>
          <w:pPr>
            <w:pStyle w:val="TOC3"/>
            <w:numPr>
              <w:ilvl w:val="2"/>
              <w:numId w:val="27"/>
            </w:numPr>
            <w:tabs>
              <w:tab w:val="left" w:pos="2714"/>
              <w:tab w:val="right" w:leader="dot" w:pos="11518"/>
            </w:tabs>
            <w:spacing w:before="147" w:after="0" w:line="240" w:lineRule="auto"/>
            <w:ind w:left="2713" w:right="0" w:hanging="811"/>
            <w:jc w:val="left"/>
            <w:rPr>
              <w:rFonts w:ascii="Arial" w:eastAsia="Arial"/>
            </w:rPr>
          </w:pPr>
          <w:r>
            <w:t>管理费用</w:t>
            <w:tab/>
          </w:r>
          <w:r>
            <w:rPr>
              <w:rFonts w:ascii="Arial" w:eastAsia="Arial"/>
            </w:rPr>
            <w:t>38</w:t>
          </w:r>
        </w:p>
        <w:p>
          <w:pPr>
            <w:pStyle w:val="TOC3"/>
            <w:numPr>
              <w:ilvl w:val="2"/>
              <w:numId w:val="27"/>
            </w:numPr>
            <w:tabs>
              <w:tab w:val="left" w:pos="2714"/>
              <w:tab w:val="right" w:leader="dot" w:pos="11518"/>
            </w:tabs>
            <w:spacing w:before="147" w:after="0" w:line="240" w:lineRule="auto"/>
            <w:ind w:left="2713" w:right="0" w:hanging="811"/>
            <w:jc w:val="left"/>
            <w:rPr>
              <w:rFonts w:ascii="Arial" w:eastAsia="Arial"/>
            </w:rPr>
          </w:pPr>
          <w:r>
            <w:t>财务费用</w:t>
            <w:tab/>
          </w:r>
          <w:r>
            <w:rPr>
              <w:rFonts w:ascii="Arial" w:eastAsia="Arial"/>
            </w:rPr>
            <w:t>38</w:t>
          </w:r>
        </w:p>
        <w:p>
          <w:pPr>
            <w:pStyle w:val="TOC3"/>
            <w:numPr>
              <w:ilvl w:val="2"/>
              <w:numId w:val="27"/>
            </w:numPr>
            <w:tabs>
              <w:tab w:val="left" w:pos="2714"/>
              <w:tab w:val="right" w:leader="dot" w:pos="11518"/>
            </w:tabs>
            <w:spacing w:before="148" w:after="0" w:line="240" w:lineRule="auto"/>
            <w:ind w:left="2713" w:right="0" w:hanging="811"/>
            <w:jc w:val="left"/>
            <w:rPr>
              <w:rFonts w:ascii="Arial" w:eastAsia="Arial"/>
            </w:rPr>
          </w:pPr>
          <w:r>
            <w:t>销售费用费用</w:t>
            <w:tab/>
          </w:r>
          <w:r>
            <w:rPr>
              <w:rFonts w:ascii="Arial" w:eastAsia="Arial"/>
            </w:rPr>
            <w:t>38</w:t>
          </w:r>
        </w:p>
        <w:p>
          <w:pPr>
            <w:pStyle w:val="TOC3"/>
            <w:tabs>
              <w:tab w:val="right" w:leader="dot" w:pos="11518"/>
            </w:tabs>
            <w:ind w:left="1903" w:firstLine="0"/>
            <w:rPr>
              <w:rFonts w:ascii="Arial" w:eastAsia="Arial"/>
            </w:rPr>
          </w:pPr>
          <w:r>
            <w:rPr>
              <w:rFonts w:ascii="Arial" w:eastAsia="Arial"/>
            </w:rPr>
            <w:t>4.2.6</w:t>
          </w:r>
          <w:r>
            <w:rPr>
              <w:rFonts w:ascii="Arial" w:eastAsia="Arial"/>
              <w:spacing w:val="-13"/>
            </w:rPr>
            <w:t xml:space="preserve"> </w:t>
          </w:r>
          <w:r>
            <w:t>合计</w:t>
            <w:tab/>
          </w:r>
          <w:r>
            <w:rPr>
              <w:rFonts w:ascii="Arial" w:eastAsia="Arial"/>
            </w:rPr>
            <w:t>39</w:t>
          </w:r>
        </w:p>
        <w:p>
          <w:pPr>
            <w:pStyle w:val="TOC2"/>
            <w:numPr>
              <w:ilvl w:val="1"/>
              <w:numId w:val="27"/>
            </w:numPr>
            <w:tabs>
              <w:tab w:val="left" w:pos="1814"/>
              <w:tab w:val="right" w:leader="dot" w:pos="11518"/>
            </w:tabs>
            <w:spacing w:before="148" w:after="0" w:line="240" w:lineRule="auto"/>
            <w:ind w:left="1813" w:right="0" w:hanging="541"/>
            <w:jc w:val="left"/>
            <w:rPr>
              <w:rFonts w:ascii="Arial" w:eastAsia="Arial"/>
            </w:rPr>
          </w:pPr>
          <w:hyperlink w:anchor="_TOC_250016" w:history="1">
            <w:r>
              <w:t>销售收入与税金计算</w:t>
              <w:tab/>
            </w:r>
            <w:r>
              <w:rPr>
                <w:rFonts w:ascii="Arial" w:eastAsia="Arial"/>
              </w:rPr>
              <w:t>39</w:t>
            </w:r>
          </w:hyperlink>
        </w:p>
        <w:p>
          <w:pPr>
            <w:pStyle w:val="TOC3"/>
            <w:numPr>
              <w:ilvl w:val="2"/>
              <w:numId w:val="27"/>
            </w:numPr>
            <w:tabs>
              <w:tab w:val="left" w:pos="2714"/>
              <w:tab w:val="right" w:leader="dot" w:pos="11518"/>
            </w:tabs>
            <w:spacing w:before="147" w:after="0" w:line="240" w:lineRule="auto"/>
            <w:ind w:left="2713" w:right="0" w:hanging="811"/>
            <w:jc w:val="left"/>
            <w:rPr>
              <w:rFonts w:ascii="Arial" w:eastAsia="Arial"/>
            </w:rPr>
          </w:pPr>
          <w:r>
            <w:t>销售收入</w:t>
            <w:tab/>
          </w:r>
          <w:r>
            <w:rPr>
              <w:rFonts w:ascii="Arial" w:eastAsia="Arial"/>
            </w:rPr>
            <w:t>39</w:t>
          </w:r>
        </w:p>
        <w:p>
          <w:pPr>
            <w:pStyle w:val="TOC3"/>
            <w:numPr>
              <w:ilvl w:val="2"/>
              <w:numId w:val="27"/>
            </w:numPr>
            <w:tabs>
              <w:tab w:val="left" w:pos="2714"/>
              <w:tab w:val="right" w:leader="dot" w:pos="11518"/>
            </w:tabs>
            <w:spacing w:before="147" w:after="0" w:line="240" w:lineRule="auto"/>
            <w:ind w:left="2713" w:right="0" w:hanging="811"/>
            <w:jc w:val="left"/>
            <w:rPr>
              <w:rFonts w:ascii="Arial" w:eastAsia="Arial"/>
            </w:rPr>
          </w:pPr>
          <w:r>
            <w:t>流转税及附加计算</w:t>
            <w:tab/>
          </w:r>
          <w:r>
            <w:rPr>
              <w:rFonts w:ascii="Arial" w:eastAsia="Arial"/>
            </w:rPr>
            <w:t>40</w:t>
          </w:r>
        </w:p>
        <w:p>
          <w:pPr>
            <w:pStyle w:val="TOC2"/>
            <w:numPr>
              <w:ilvl w:val="1"/>
              <w:numId w:val="27"/>
            </w:numPr>
            <w:tabs>
              <w:tab w:val="left" w:pos="1814"/>
              <w:tab w:val="right" w:leader="dot" w:pos="11518"/>
            </w:tabs>
            <w:spacing w:before="147" w:after="0" w:line="240" w:lineRule="auto"/>
            <w:ind w:left="1813" w:right="0" w:hanging="541"/>
            <w:jc w:val="left"/>
            <w:rPr>
              <w:rFonts w:ascii="Arial" w:eastAsia="Arial"/>
            </w:rPr>
          </w:pPr>
          <w:r>
            <w:t>现金流量计算</w:t>
            <w:tab/>
          </w:r>
          <w:r>
            <w:rPr>
              <w:rFonts w:ascii="Arial" w:eastAsia="Arial"/>
            </w:rPr>
            <w:t>42</w:t>
          </w:r>
        </w:p>
        <w:p>
          <w:pPr>
            <w:pStyle w:val="TOC3"/>
            <w:numPr>
              <w:ilvl w:val="2"/>
              <w:numId w:val="27"/>
            </w:numPr>
            <w:tabs>
              <w:tab w:val="left" w:pos="2714"/>
              <w:tab w:val="right" w:leader="dot" w:pos="11518"/>
            </w:tabs>
            <w:spacing w:before="147" w:after="0" w:line="240" w:lineRule="auto"/>
            <w:ind w:left="2713" w:right="0" w:hanging="811"/>
            <w:jc w:val="left"/>
            <w:rPr>
              <w:rFonts w:ascii="Arial" w:eastAsia="Arial"/>
            </w:rPr>
          </w:pPr>
          <w:r>
            <w:t>计算依据</w:t>
            <w:tab/>
          </w:r>
          <w:r>
            <w:rPr>
              <w:rFonts w:ascii="Arial" w:eastAsia="Arial"/>
            </w:rPr>
            <w:t>42</w:t>
          </w:r>
        </w:p>
        <w:p>
          <w:pPr>
            <w:pStyle w:val="TOC3"/>
            <w:numPr>
              <w:ilvl w:val="2"/>
              <w:numId w:val="27"/>
            </w:numPr>
            <w:tabs>
              <w:tab w:val="left" w:pos="2714"/>
              <w:tab w:val="right" w:leader="dot" w:pos="11518"/>
            </w:tabs>
            <w:spacing w:before="148" w:after="0" w:line="240" w:lineRule="auto"/>
            <w:ind w:left="2713" w:right="0" w:hanging="811"/>
            <w:jc w:val="left"/>
            <w:rPr>
              <w:rFonts w:ascii="Arial" w:eastAsia="Arial"/>
            </w:rPr>
            <w:sectPr>
              <w:type w:val="nextPage"/>
              <w:pgSz w:w="15480" w:h="21860"/>
              <w:pgMar w:top="2000" w:right="0" w:bottom="2723" w:left="1740" w:header="708" w:footer="708"/>
              <w:pgNumType w:start="6"/>
              <w:cols w:space="708"/>
              <w:titlePg w:val="0"/>
            </w:sectPr>
          </w:pPr>
          <w:r>
            <w:t>相关指标计算及其结果</w:t>
            <w:tab/>
          </w:r>
          <w:r>
            <w:rPr>
              <w:rFonts w:ascii="Arial" w:eastAsia="Arial"/>
            </w:rPr>
            <w:t>42</w:t>
          </w:r>
        </w:p>
      </w:sdtContent>
    </w:sdt>
    <w:sdt>
      <w:sdtPr>
        <w:id w:val="424637627"/>
        <w:docPartObj>
          <w:docPartGallery w:val="Table of Contents"/>
          <w:docPartUnique/>
        </w:docPartObj>
      </w:sdtPr>
      <w:sdtContent>
        <w:p>
          <w:pPr>
            <w:pStyle w:val="TOC2"/>
            <w:numPr>
              <w:ilvl w:val="1"/>
              <w:numId w:val="27"/>
            </w:numPr>
            <w:tabs>
              <w:tab w:val="left" w:pos="1814"/>
              <w:tab w:val="right" w:leader="dot" w:pos="11518"/>
            </w:tabs>
            <w:spacing w:before="147" w:after="182" w:line="240" w:lineRule="auto"/>
            <w:ind w:left="1813" w:right="0" w:hanging="541"/>
            <w:jc w:val="left"/>
            <w:rPr>
              <w:rFonts w:ascii="Arial" w:eastAsia="Arial"/>
            </w:rPr>
          </w:pPr>
          <w:r>
            <w:t>其它指标计算</w:t>
            <w:tab/>
          </w:r>
          <w:r>
            <w:rPr>
              <w:rFonts w:ascii="Arial" w:eastAsia="Arial"/>
            </w:rPr>
            <w:t>43</w:t>
          </w:r>
        </w:p>
        <w:p>
          <w:pPr>
            <w:pStyle w:val="TOC2"/>
            <w:numPr>
              <w:ilvl w:val="1"/>
              <w:numId w:val="27"/>
            </w:numPr>
            <w:tabs>
              <w:tab w:val="left" w:pos="1814"/>
              <w:tab w:val="right" w:leader="dot" w:pos="11518"/>
            </w:tabs>
            <w:spacing w:before="64" w:after="0" w:line="240" w:lineRule="auto"/>
            <w:ind w:left="1813" w:right="0" w:hanging="541"/>
            <w:jc w:val="left"/>
            <w:rPr>
              <w:rFonts w:ascii="Arial" w:eastAsia="Arial"/>
            </w:rPr>
          </w:pPr>
          <w:hyperlink w:anchor="_TOC_250015" w:history="1">
            <w:r>
              <w:t>各种经济指标汇总</w:t>
              <w:tab/>
            </w:r>
            <w:r>
              <w:rPr>
                <w:rFonts w:ascii="Arial" w:eastAsia="Arial"/>
              </w:rPr>
              <w:t>44</w:t>
            </w:r>
          </w:hyperlink>
        </w:p>
        <w:p>
          <w:pPr>
            <w:pStyle w:val="TOC2"/>
            <w:tabs>
              <w:tab w:val="right" w:leader="dot" w:pos="11518"/>
            </w:tabs>
            <w:ind w:left="1273" w:firstLine="0"/>
            <w:rPr>
              <w:rFonts w:ascii="Arial" w:eastAsia="Arial"/>
            </w:rPr>
          </w:pPr>
          <w:hyperlink w:anchor="_TOC_250014" w:history="1">
            <w:r>
              <w:rPr>
                <w:rFonts w:ascii="Arial" w:eastAsia="Arial"/>
              </w:rPr>
              <w:t>4.6</w:t>
            </w:r>
            <w:r>
              <w:rPr>
                <w:rFonts w:ascii="Arial" w:eastAsia="Arial"/>
                <w:spacing w:val="-12"/>
              </w:rPr>
              <w:t xml:space="preserve"> </w:t>
            </w:r>
            <w:r>
              <w:t>小结</w:t>
              <w:tab/>
            </w:r>
            <w:r>
              <w:rPr>
                <w:rFonts w:ascii="Arial" w:eastAsia="Arial"/>
              </w:rPr>
              <w:t>45</w:t>
            </w:r>
          </w:hyperlink>
        </w:p>
        <w:p>
          <w:pPr>
            <w:pStyle w:val="TOC1"/>
            <w:tabs>
              <w:tab w:val="right" w:leader="dot" w:pos="11518"/>
            </w:tabs>
            <w:spacing w:before="148"/>
            <w:rPr>
              <w:rFonts w:ascii="Arial" w:eastAsia="Arial"/>
            </w:rPr>
          </w:pPr>
          <w:hyperlink w:anchor="_TOC_250013" w:history="1">
            <w:r>
              <w:t>第</w:t>
            </w:r>
            <w:r>
              <w:rPr>
                <w:spacing w:val="-91"/>
              </w:rPr>
              <w:t xml:space="preserve"> </w:t>
            </w:r>
            <w:r>
              <w:rPr>
                <w:rFonts w:ascii="Arial" w:eastAsia="Arial"/>
              </w:rPr>
              <w:t>5</w:t>
            </w:r>
            <w:r>
              <w:rPr>
                <w:rFonts w:ascii="Arial" w:eastAsia="Arial"/>
                <w:spacing w:val="-12"/>
              </w:rPr>
              <w:t xml:space="preserve"> </w:t>
            </w:r>
            <w:r>
              <w:t>章</w:t>
            </w:r>
            <w:r>
              <w:rPr>
                <w:spacing w:val="-2"/>
              </w:rPr>
              <w:t xml:space="preserve"> </w:t>
            </w:r>
            <w:r>
              <w:t>煤直接液化技术研究</w:t>
              <w:tab/>
            </w:r>
            <w:r>
              <w:rPr>
                <w:rFonts w:ascii="Arial" w:eastAsia="Arial"/>
              </w:rPr>
              <w:t>46</w:t>
            </w:r>
          </w:hyperlink>
        </w:p>
        <w:p>
          <w:pPr>
            <w:pStyle w:val="TOC2"/>
            <w:numPr>
              <w:ilvl w:val="1"/>
              <w:numId w:val="26"/>
            </w:numPr>
            <w:tabs>
              <w:tab w:val="left" w:pos="1814"/>
              <w:tab w:val="right" w:leader="dot" w:pos="11518"/>
            </w:tabs>
            <w:spacing w:before="147" w:after="0" w:line="240" w:lineRule="auto"/>
            <w:ind w:left="1813" w:right="0" w:hanging="541"/>
            <w:jc w:val="left"/>
            <w:rPr>
              <w:rFonts w:ascii="Arial" w:eastAsia="Arial"/>
            </w:rPr>
          </w:pPr>
          <w:hyperlink w:anchor="_TOC_250012" w:history="1">
            <w:r>
              <w:t>神华采用的技术方案</w:t>
              <w:tab/>
            </w:r>
            <w:r>
              <w:rPr>
                <w:rFonts w:ascii="Arial" w:eastAsia="Arial"/>
              </w:rPr>
              <w:t>46</w:t>
            </w:r>
          </w:hyperlink>
        </w:p>
        <w:p>
          <w:pPr>
            <w:pStyle w:val="TOC3"/>
            <w:numPr>
              <w:ilvl w:val="2"/>
              <w:numId w:val="26"/>
            </w:numPr>
            <w:tabs>
              <w:tab w:val="left" w:pos="2714"/>
              <w:tab w:val="right" w:leader="dot" w:pos="11518"/>
            </w:tabs>
            <w:spacing w:before="147" w:after="0" w:line="240" w:lineRule="auto"/>
            <w:ind w:left="2713" w:right="0" w:hanging="811"/>
            <w:jc w:val="left"/>
            <w:rPr>
              <w:rFonts w:ascii="Arial" w:eastAsia="Arial"/>
            </w:rPr>
          </w:pPr>
          <w:r>
            <w:t>最核心工艺的选择</w:t>
            <w:tab/>
          </w:r>
          <w:r>
            <w:rPr>
              <w:rFonts w:ascii="Arial" w:eastAsia="Arial"/>
            </w:rPr>
            <w:t>47</w:t>
          </w:r>
        </w:p>
        <w:p>
          <w:pPr>
            <w:pStyle w:val="TOC3"/>
            <w:numPr>
              <w:ilvl w:val="2"/>
              <w:numId w:val="26"/>
            </w:numPr>
            <w:tabs>
              <w:tab w:val="left" w:pos="2714"/>
              <w:tab w:val="right" w:leader="dot" w:pos="11518"/>
            </w:tabs>
            <w:spacing w:before="147" w:after="0" w:line="240" w:lineRule="auto"/>
            <w:ind w:left="2713" w:right="0" w:hanging="811"/>
            <w:jc w:val="left"/>
            <w:rPr>
              <w:rFonts w:ascii="Arial" w:eastAsia="Arial"/>
            </w:rPr>
          </w:pPr>
          <w:r>
            <w:t>煤直接用煤的洗选</w:t>
            <w:tab/>
          </w:r>
          <w:r>
            <w:rPr>
              <w:rFonts w:ascii="Arial" w:eastAsia="Arial"/>
            </w:rPr>
            <w:t>49</w:t>
          </w:r>
        </w:p>
        <w:p>
          <w:pPr>
            <w:pStyle w:val="TOC3"/>
            <w:numPr>
              <w:ilvl w:val="2"/>
              <w:numId w:val="26"/>
            </w:numPr>
            <w:tabs>
              <w:tab w:val="left" w:pos="2714"/>
              <w:tab w:val="right" w:leader="dot" w:pos="11518"/>
            </w:tabs>
            <w:spacing w:before="147" w:after="0" w:line="240" w:lineRule="auto"/>
            <w:ind w:left="2713" w:right="0" w:hanging="811"/>
            <w:jc w:val="left"/>
            <w:rPr>
              <w:rFonts w:ascii="Arial" w:eastAsia="Arial"/>
            </w:rPr>
          </w:pPr>
          <w:r>
            <w:t>煤直接液化反应器的制造</w:t>
            <w:tab/>
          </w:r>
          <w:r>
            <w:rPr>
              <w:rFonts w:ascii="Arial" w:eastAsia="Arial"/>
            </w:rPr>
            <w:t>50</w:t>
          </w:r>
        </w:p>
        <w:p>
          <w:pPr>
            <w:pStyle w:val="TOC3"/>
            <w:numPr>
              <w:ilvl w:val="2"/>
              <w:numId w:val="26"/>
            </w:numPr>
            <w:tabs>
              <w:tab w:val="left" w:pos="2714"/>
              <w:tab w:val="right" w:leader="dot" w:pos="11518"/>
            </w:tabs>
            <w:spacing w:before="148" w:after="0" w:line="240" w:lineRule="auto"/>
            <w:ind w:left="2713" w:right="0" w:hanging="811"/>
            <w:jc w:val="left"/>
            <w:rPr>
              <w:rFonts w:ascii="Arial" w:eastAsia="Arial"/>
            </w:rPr>
          </w:pPr>
          <w:r>
            <w:t>煤直接液化催化剂</w:t>
            <w:tab/>
          </w:r>
          <w:r>
            <w:rPr>
              <w:rFonts w:ascii="Arial" w:eastAsia="Arial"/>
            </w:rPr>
            <w:t>51</w:t>
          </w:r>
        </w:p>
        <w:p>
          <w:pPr>
            <w:pStyle w:val="TOC3"/>
            <w:numPr>
              <w:ilvl w:val="2"/>
              <w:numId w:val="26"/>
            </w:numPr>
            <w:tabs>
              <w:tab w:val="left" w:pos="2714"/>
              <w:tab w:val="right" w:leader="dot" w:pos="11518"/>
            </w:tabs>
            <w:spacing w:before="147" w:after="0" w:line="240" w:lineRule="auto"/>
            <w:ind w:left="2713" w:right="0" w:hanging="811"/>
            <w:jc w:val="left"/>
            <w:rPr>
              <w:rFonts w:ascii="Arial" w:eastAsia="Arial"/>
            </w:rPr>
          </w:pPr>
          <w:r>
            <w:t>煤直接液化制氢单元</w:t>
            <w:tab/>
          </w:r>
          <w:r>
            <w:rPr>
              <w:rFonts w:ascii="Arial" w:eastAsia="Arial"/>
            </w:rPr>
            <w:t>52</w:t>
          </w:r>
        </w:p>
        <w:p>
          <w:pPr>
            <w:pStyle w:val="TOC3"/>
            <w:numPr>
              <w:ilvl w:val="2"/>
              <w:numId w:val="26"/>
            </w:numPr>
            <w:tabs>
              <w:tab w:val="left" w:pos="2714"/>
              <w:tab w:val="right" w:leader="dot" w:pos="11518"/>
            </w:tabs>
            <w:spacing w:before="147" w:after="0" w:line="240" w:lineRule="auto"/>
            <w:ind w:left="2713" w:right="0" w:hanging="811"/>
            <w:jc w:val="left"/>
            <w:rPr>
              <w:rFonts w:ascii="Arial" w:eastAsia="Arial"/>
            </w:rPr>
          </w:pPr>
          <w:r>
            <w:t>煤直接液化空分装置</w:t>
            <w:tab/>
          </w:r>
          <w:r>
            <w:rPr>
              <w:rFonts w:ascii="Arial" w:eastAsia="Arial"/>
            </w:rPr>
            <w:t>52</w:t>
          </w:r>
        </w:p>
        <w:p>
          <w:pPr>
            <w:pStyle w:val="TOC3"/>
            <w:numPr>
              <w:ilvl w:val="2"/>
              <w:numId w:val="26"/>
            </w:numPr>
            <w:tabs>
              <w:tab w:val="left" w:pos="2714"/>
              <w:tab w:val="right" w:leader="dot" w:pos="11518"/>
            </w:tabs>
            <w:spacing w:before="148" w:after="0" w:line="240" w:lineRule="auto"/>
            <w:ind w:left="2713" w:right="0" w:hanging="811"/>
            <w:jc w:val="left"/>
            <w:rPr>
              <w:rFonts w:ascii="Arial" w:eastAsia="Arial"/>
            </w:rPr>
          </w:pPr>
          <w:r>
            <w:t>煤直接液化自备电站</w:t>
            <w:tab/>
          </w:r>
          <w:r>
            <w:rPr>
              <w:rFonts w:ascii="Arial" w:eastAsia="Arial"/>
            </w:rPr>
            <w:t>52</w:t>
          </w:r>
        </w:p>
        <w:p>
          <w:pPr>
            <w:pStyle w:val="TOC3"/>
            <w:numPr>
              <w:ilvl w:val="2"/>
              <w:numId w:val="25"/>
            </w:numPr>
            <w:tabs>
              <w:tab w:val="left" w:pos="2714"/>
              <w:tab w:val="right" w:leader="dot" w:pos="11518"/>
            </w:tabs>
            <w:spacing w:before="147" w:after="0" w:line="240" w:lineRule="auto"/>
            <w:ind w:left="2713" w:right="0" w:hanging="811"/>
            <w:jc w:val="left"/>
            <w:rPr>
              <w:rFonts w:ascii="Arial" w:eastAsia="Arial"/>
            </w:rPr>
          </w:pPr>
          <w:r>
            <w:t>煤直接液化控制系统</w:t>
            <w:tab/>
          </w:r>
          <w:r>
            <w:rPr>
              <w:rFonts w:ascii="Arial" w:eastAsia="Arial"/>
            </w:rPr>
            <w:t>53</w:t>
          </w:r>
        </w:p>
        <w:p>
          <w:pPr>
            <w:pStyle w:val="TOC3"/>
            <w:numPr>
              <w:ilvl w:val="2"/>
              <w:numId w:val="25"/>
            </w:numPr>
            <w:tabs>
              <w:tab w:val="left" w:pos="2714"/>
              <w:tab w:val="right" w:leader="dot" w:pos="11518"/>
            </w:tabs>
            <w:spacing w:before="147" w:after="0" w:line="240" w:lineRule="auto"/>
            <w:ind w:left="2713" w:right="0" w:hanging="811"/>
            <w:jc w:val="left"/>
            <w:rPr>
              <w:rFonts w:ascii="Arial" w:eastAsia="Arial"/>
            </w:rPr>
          </w:pPr>
          <w:r>
            <w:t>煤直接液化固液分离系统</w:t>
            <w:tab/>
          </w:r>
          <w:r>
            <w:rPr>
              <w:rFonts w:ascii="Arial" w:eastAsia="Arial"/>
            </w:rPr>
            <w:t>53</w:t>
          </w:r>
        </w:p>
        <w:p>
          <w:pPr>
            <w:pStyle w:val="TOC3"/>
            <w:numPr>
              <w:ilvl w:val="2"/>
              <w:numId w:val="25"/>
            </w:numPr>
            <w:tabs>
              <w:tab w:val="left" w:pos="2714"/>
              <w:tab w:val="right" w:leader="dot" w:pos="11518"/>
            </w:tabs>
            <w:spacing w:before="147" w:after="0" w:line="240" w:lineRule="auto"/>
            <w:ind w:left="2713" w:right="0" w:hanging="811"/>
            <w:jc w:val="left"/>
            <w:rPr>
              <w:rFonts w:ascii="Arial" w:eastAsia="Arial"/>
            </w:rPr>
          </w:pPr>
          <w:r>
            <w:t>煤直接液化固液供氢溶剂</w:t>
            <w:tab/>
          </w:r>
          <w:r>
            <w:rPr>
              <w:rFonts w:ascii="Arial" w:eastAsia="Arial"/>
            </w:rPr>
            <w:t>53</w:t>
          </w:r>
        </w:p>
        <w:p>
          <w:pPr>
            <w:pStyle w:val="TOC3"/>
            <w:numPr>
              <w:ilvl w:val="2"/>
              <w:numId w:val="25"/>
            </w:numPr>
            <w:tabs>
              <w:tab w:val="left" w:pos="2894"/>
              <w:tab w:val="right" w:leader="dot" w:pos="11518"/>
            </w:tabs>
            <w:spacing w:before="148" w:after="0" w:line="240" w:lineRule="auto"/>
            <w:ind w:left="2893" w:right="0" w:hanging="991"/>
            <w:jc w:val="left"/>
            <w:rPr>
              <w:rFonts w:ascii="Arial" w:eastAsia="Arial"/>
            </w:rPr>
          </w:pPr>
          <w:r>
            <w:t>煤直接液化</w:t>
          </w:r>
          <w:r>
            <w:rPr>
              <w:spacing w:val="-93"/>
            </w:rPr>
            <w:t xml:space="preserve"> </w:t>
          </w:r>
          <w:r>
            <w:rPr>
              <w:rFonts w:ascii="Arial" w:eastAsia="Arial"/>
            </w:rPr>
            <w:t>T-star</w:t>
          </w:r>
          <w:r>
            <w:rPr>
              <w:rFonts w:ascii="Arial" w:eastAsia="Arial"/>
              <w:spacing w:val="-47"/>
            </w:rPr>
            <w:t xml:space="preserve"> </w:t>
          </w:r>
          <w:r>
            <w:t>工艺</w:t>
            <w:tab/>
          </w:r>
          <w:r>
            <w:rPr>
              <w:rFonts w:ascii="Arial" w:eastAsia="Arial"/>
            </w:rPr>
            <w:t>53</w:t>
          </w:r>
        </w:p>
        <w:p>
          <w:pPr>
            <w:pStyle w:val="TOC2"/>
            <w:numPr>
              <w:ilvl w:val="1"/>
              <w:numId w:val="26"/>
            </w:numPr>
            <w:tabs>
              <w:tab w:val="left" w:pos="1814"/>
              <w:tab w:val="right" w:leader="dot" w:pos="11518"/>
            </w:tabs>
            <w:spacing w:before="147" w:after="0" w:line="240" w:lineRule="auto"/>
            <w:ind w:left="1813" w:right="0" w:hanging="541"/>
            <w:jc w:val="left"/>
            <w:rPr>
              <w:rFonts w:ascii="Arial" w:eastAsia="Arial"/>
            </w:rPr>
          </w:pPr>
          <w:hyperlink w:anchor="_TOC_250011" w:history="1">
            <w:r>
              <w:t>神华项目工程放大研究</w:t>
              <w:tab/>
            </w:r>
            <w:r>
              <w:rPr>
                <w:rFonts w:ascii="Arial" w:eastAsia="Arial"/>
              </w:rPr>
              <w:t>54</w:t>
            </w:r>
          </w:hyperlink>
        </w:p>
        <w:p>
          <w:pPr>
            <w:pStyle w:val="TOC2"/>
            <w:numPr>
              <w:ilvl w:val="1"/>
              <w:numId w:val="26"/>
            </w:numPr>
            <w:tabs>
              <w:tab w:val="left" w:pos="1814"/>
              <w:tab w:val="right" w:leader="dot" w:pos="11518"/>
            </w:tabs>
            <w:spacing w:before="147" w:after="0" w:line="240" w:lineRule="auto"/>
            <w:ind w:left="1813" w:right="0" w:hanging="541"/>
            <w:jc w:val="left"/>
            <w:rPr>
              <w:rFonts w:ascii="Arial" w:eastAsia="Arial"/>
            </w:rPr>
          </w:pPr>
          <w:hyperlink w:anchor="_TOC_250010" w:history="1">
            <w:r>
              <w:t>神华项目建设研究</w:t>
              <w:tab/>
            </w:r>
            <w:r>
              <w:rPr>
                <w:rFonts w:ascii="Arial" w:eastAsia="Arial"/>
              </w:rPr>
              <w:t>54</w:t>
            </w:r>
          </w:hyperlink>
        </w:p>
        <w:p>
          <w:pPr>
            <w:pStyle w:val="TOC2"/>
            <w:tabs>
              <w:tab w:val="right" w:leader="dot" w:pos="11518"/>
            </w:tabs>
            <w:ind w:left="1273" w:firstLine="0"/>
            <w:rPr>
              <w:rFonts w:ascii="Arial" w:eastAsia="Arial"/>
            </w:rPr>
          </w:pPr>
          <w:hyperlink w:anchor="_TOC_250009" w:history="1">
            <w:r>
              <w:rPr>
                <w:rFonts w:ascii="Arial" w:eastAsia="Arial"/>
              </w:rPr>
              <w:t>5.4</w:t>
            </w:r>
            <w:r>
              <w:rPr>
                <w:rFonts w:ascii="Arial" w:eastAsia="Arial"/>
                <w:spacing w:val="-12"/>
              </w:rPr>
              <w:t xml:space="preserve"> </w:t>
            </w:r>
            <w:r>
              <w:t>小结</w:t>
              <w:tab/>
            </w:r>
            <w:r>
              <w:rPr>
                <w:rFonts w:ascii="Arial" w:eastAsia="Arial"/>
              </w:rPr>
              <w:t>55</w:t>
            </w:r>
          </w:hyperlink>
        </w:p>
        <w:p>
          <w:pPr>
            <w:pStyle w:val="TOC1"/>
            <w:tabs>
              <w:tab w:val="right" w:leader="dot" w:pos="11518"/>
            </w:tabs>
            <w:rPr>
              <w:rFonts w:ascii="Arial" w:eastAsia="Arial"/>
            </w:rPr>
          </w:pPr>
          <w:hyperlink w:anchor="_TOC_250008" w:history="1">
            <w:r>
              <w:t>第</w:t>
            </w:r>
            <w:r>
              <w:rPr>
                <w:spacing w:val="-91"/>
              </w:rPr>
              <w:t xml:space="preserve"> </w:t>
            </w:r>
            <w:r>
              <w:rPr>
                <w:rFonts w:ascii="Arial" w:eastAsia="Arial"/>
              </w:rPr>
              <w:t>6</w:t>
            </w:r>
            <w:r>
              <w:rPr>
                <w:rFonts w:ascii="Arial" w:eastAsia="Arial"/>
                <w:spacing w:val="-12"/>
              </w:rPr>
              <w:t xml:space="preserve"> </w:t>
            </w:r>
            <w:r>
              <w:t>章</w:t>
            </w:r>
            <w:r>
              <w:rPr>
                <w:spacing w:val="-2"/>
              </w:rPr>
              <w:t xml:space="preserve"> </w:t>
            </w:r>
            <w:r>
              <w:t>煤直接液化环境分析</w:t>
              <w:tab/>
            </w:r>
            <w:r>
              <w:rPr>
                <w:rFonts w:ascii="Arial" w:eastAsia="Arial"/>
              </w:rPr>
              <w:t>56</w:t>
            </w:r>
          </w:hyperlink>
        </w:p>
        <w:p>
          <w:pPr>
            <w:pStyle w:val="TOC2"/>
            <w:numPr>
              <w:ilvl w:val="1"/>
              <w:numId w:val="24"/>
            </w:numPr>
            <w:tabs>
              <w:tab w:val="left" w:pos="1814"/>
              <w:tab w:val="right" w:leader="dot" w:pos="11518"/>
            </w:tabs>
            <w:spacing w:before="148" w:after="0" w:line="240" w:lineRule="auto"/>
            <w:ind w:left="1813" w:right="0" w:hanging="541"/>
            <w:jc w:val="left"/>
            <w:rPr>
              <w:rFonts w:ascii="Arial" w:eastAsia="Arial"/>
            </w:rPr>
          </w:pPr>
          <w:hyperlink w:anchor="_TOC_250007" w:history="1">
            <w:r>
              <w:t>神华煤直接液化污水回用</w:t>
              <w:tab/>
            </w:r>
            <w:r>
              <w:rPr>
                <w:rFonts w:ascii="Arial" w:eastAsia="Arial"/>
              </w:rPr>
              <w:t>56</w:t>
            </w:r>
          </w:hyperlink>
        </w:p>
        <w:p>
          <w:pPr>
            <w:pStyle w:val="TOC3"/>
            <w:numPr>
              <w:ilvl w:val="2"/>
              <w:numId w:val="24"/>
            </w:numPr>
            <w:tabs>
              <w:tab w:val="left" w:pos="2714"/>
              <w:tab w:val="right" w:leader="dot" w:pos="11518"/>
            </w:tabs>
            <w:spacing w:before="147" w:after="0" w:line="240" w:lineRule="auto"/>
            <w:ind w:left="2713" w:right="0" w:hanging="811"/>
            <w:jc w:val="left"/>
            <w:rPr>
              <w:rFonts w:ascii="Arial" w:eastAsia="Arial"/>
            </w:rPr>
          </w:pPr>
          <w:r>
            <w:t>神东矿区污水回用分析</w:t>
            <w:tab/>
          </w:r>
          <w:r>
            <w:rPr>
              <w:rFonts w:ascii="Arial" w:eastAsia="Arial"/>
            </w:rPr>
            <w:t>56</w:t>
          </w:r>
        </w:p>
        <w:p>
          <w:pPr>
            <w:pStyle w:val="TOC3"/>
            <w:numPr>
              <w:ilvl w:val="2"/>
              <w:numId w:val="24"/>
            </w:numPr>
            <w:tabs>
              <w:tab w:val="left" w:pos="2714"/>
              <w:tab w:val="right" w:leader="dot" w:pos="11518"/>
            </w:tabs>
            <w:spacing w:before="148" w:after="0" w:line="240" w:lineRule="auto"/>
            <w:ind w:left="2713" w:right="0" w:hanging="811"/>
            <w:jc w:val="left"/>
            <w:rPr>
              <w:rFonts w:ascii="Arial" w:eastAsia="Arial"/>
            </w:rPr>
          </w:pPr>
          <w:r>
            <w:t>神华项目供水、污水回用方案</w:t>
            <w:tab/>
          </w:r>
          <w:r>
            <w:rPr>
              <w:rFonts w:ascii="Arial" w:eastAsia="Arial"/>
            </w:rPr>
            <w:t>57</w:t>
          </w:r>
        </w:p>
        <w:p>
          <w:pPr>
            <w:pStyle w:val="TOC3"/>
            <w:numPr>
              <w:ilvl w:val="2"/>
              <w:numId w:val="24"/>
            </w:numPr>
            <w:tabs>
              <w:tab w:val="left" w:pos="2714"/>
              <w:tab w:val="right" w:leader="dot" w:pos="11518"/>
            </w:tabs>
            <w:spacing w:before="147" w:after="0" w:line="240" w:lineRule="auto"/>
            <w:ind w:left="2713" w:right="0" w:hanging="811"/>
            <w:jc w:val="left"/>
            <w:rPr>
              <w:rFonts w:ascii="Arial" w:eastAsia="Arial"/>
            </w:rPr>
          </w:pPr>
          <w:r>
            <w:t>分析结论</w:t>
            <w:tab/>
          </w:r>
          <w:r>
            <w:rPr>
              <w:rFonts w:ascii="Arial" w:eastAsia="Arial"/>
            </w:rPr>
            <w:t>58</w:t>
          </w:r>
        </w:p>
        <w:p>
          <w:pPr>
            <w:pStyle w:val="TOC2"/>
            <w:numPr>
              <w:ilvl w:val="1"/>
              <w:numId w:val="24"/>
            </w:numPr>
            <w:tabs>
              <w:tab w:val="left" w:pos="1814"/>
              <w:tab w:val="right" w:leader="dot" w:pos="11518"/>
            </w:tabs>
            <w:spacing w:before="147" w:after="0" w:line="240" w:lineRule="auto"/>
            <w:ind w:left="1813" w:right="0" w:hanging="541"/>
            <w:jc w:val="left"/>
            <w:rPr>
              <w:rFonts w:ascii="Arial" w:eastAsia="Arial"/>
            </w:rPr>
          </w:pPr>
          <w:hyperlink w:anchor="_TOC_250006" w:history="1">
            <w:r>
              <w:t>煤直接液化残渣利用</w:t>
              <w:tab/>
            </w:r>
            <w:r>
              <w:rPr>
                <w:rFonts w:ascii="Arial" w:eastAsia="Arial"/>
              </w:rPr>
              <w:t>58</w:t>
            </w:r>
          </w:hyperlink>
        </w:p>
        <w:p>
          <w:pPr>
            <w:pStyle w:val="TOC3"/>
            <w:numPr>
              <w:ilvl w:val="2"/>
              <w:numId w:val="24"/>
            </w:numPr>
            <w:tabs>
              <w:tab w:val="left" w:pos="2714"/>
              <w:tab w:val="right" w:leader="dot" w:pos="11518"/>
            </w:tabs>
            <w:spacing w:before="147" w:after="0" w:line="240" w:lineRule="auto"/>
            <w:ind w:left="2713" w:right="0" w:hanging="811"/>
            <w:jc w:val="left"/>
            <w:rPr>
              <w:rFonts w:ascii="Arial" w:eastAsia="Arial"/>
            </w:rPr>
          </w:pPr>
          <w:r>
            <w:t>干馏焦化</w:t>
            <w:tab/>
          </w:r>
          <w:r>
            <w:rPr>
              <w:rFonts w:ascii="Arial" w:eastAsia="Arial"/>
            </w:rPr>
            <w:t>59</w:t>
          </w:r>
        </w:p>
        <w:p>
          <w:pPr>
            <w:pStyle w:val="TOC3"/>
            <w:numPr>
              <w:ilvl w:val="2"/>
              <w:numId w:val="24"/>
            </w:numPr>
            <w:tabs>
              <w:tab w:val="left" w:pos="2714"/>
              <w:tab w:val="right" w:leader="dot" w:pos="11518"/>
            </w:tabs>
            <w:spacing w:before="147" w:after="0" w:line="240" w:lineRule="auto"/>
            <w:ind w:left="2713" w:right="0" w:hanging="811"/>
            <w:jc w:val="left"/>
            <w:rPr>
              <w:rFonts w:ascii="Arial" w:eastAsia="Arial"/>
            </w:rPr>
          </w:pPr>
          <w:r>
            <w:t>燃烧发电</w:t>
            <w:tab/>
          </w:r>
          <w:r>
            <w:rPr>
              <w:rFonts w:ascii="Arial" w:eastAsia="Arial"/>
            </w:rPr>
            <w:t>59</w:t>
          </w:r>
        </w:p>
        <w:p>
          <w:pPr>
            <w:pStyle w:val="TOC3"/>
            <w:tabs>
              <w:tab w:val="right" w:leader="dot" w:pos="11518"/>
            </w:tabs>
            <w:spacing w:before="148"/>
            <w:ind w:left="1903" w:firstLine="0"/>
            <w:rPr>
              <w:rFonts w:ascii="Arial" w:eastAsia="Arial"/>
            </w:rPr>
            <w:sectPr>
              <w:type w:val="nextPage"/>
              <w:pgSz w:w="15480" w:h="21860"/>
              <w:pgMar w:top="2000" w:right="0" w:bottom="2723" w:left="1740" w:header="708" w:footer="708"/>
              <w:pgNumType w:start="7"/>
              <w:cols w:space="708"/>
              <w:titlePg w:val="0"/>
            </w:sectPr>
          </w:pPr>
          <w:r>
            <w:rPr>
              <w:rFonts w:ascii="Arial" w:eastAsia="Arial"/>
            </w:rPr>
            <w:t>6.2.3</w:t>
          </w:r>
          <w:r>
            <w:rPr>
              <w:rFonts w:ascii="Arial" w:eastAsia="Arial"/>
              <w:spacing w:val="-13"/>
            </w:rPr>
            <w:t xml:space="preserve"> </w:t>
          </w:r>
          <w:r>
            <w:t>气化</w:t>
            <w:tab/>
          </w:r>
          <w:r>
            <w:rPr>
              <w:rFonts w:ascii="Arial" w:eastAsia="Arial"/>
            </w:rPr>
            <w:t>60</w:t>
          </w:r>
        </w:p>
      </w:sdtContent>
    </w:sdt>
    <w:sdt>
      <w:sdtPr>
        <w:id w:val="177420394"/>
        <w:docPartObj>
          <w:docPartGallery w:val="Table of Contents"/>
          <w:docPartUnique/>
        </w:docPartObj>
      </w:sdtPr>
      <w:sdtContent>
        <w:p>
          <w:pPr>
            <w:pStyle w:val="TOC3"/>
            <w:tabs>
              <w:tab w:val="right" w:leader="dot" w:pos="11518"/>
            </w:tabs>
            <w:spacing w:after="182"/>
            <w:ind w:left="1903" w:firstLine="0"/>
            <w:rPr>
              <w:rFonts w:ascii="Arial" w:eastAsia="Arial"/>
            </w:rPr>
          </w:pPr>
          <w:r>
            <w:rPr>
              <w:rFonts w:ascii="Arial" w:eastAsia="Arial"/>
            </w:rPr>
            <w:t>6.2.4</w:t>
          </w:r>
          <w:r>
            <w:rPr>
              <w:rFonts w:ascii="Arial" w:eastAsia="Arial"/>
              <w:spacing w:val="-13"/>
            </w:rPr>
            <w:t xml:space="preserve"> </w:t>
          </w:r>
          <w:r>
            <w:t>分析结果</w:t>
            <w:tab/>
          </w:r>
          <w:r>
            <w:rPr>
              <w:rFonts w:ascii="Arial" w:eastAsia="Arial"/>
            </w:rPr>
            <w:t>60</w:t>
          </w:r>
        </w:p>
        <w:p>
          <w:pPr>
            <w:pStyle w:val="TOC1"/>
            <w:tabs>
              <w:tab w:val="right" w:leader="dot" w:pos="11518"/>
            </w:tabs>
            <w:spacing w:before="64"/>
            <w:rPr>
              <w:rFonts w:ascii="Arial" w:eastAsia="Arial"/>
            </w:rPr>
          </w:pPr>
          <w:hyperlink w:anchor="_TOC_250005" w:history="1">
            <w:r>
              <w:t>第</w:t>
            </w:r>
            <w:r>
              <w:rPr>
                <w:spacing w:val="-92"/>
              </w:rPr>
              <w:t xml:space="preserve"> </w:t>
            </w:r>
            <w:r>
              <w:rPr>
                <w:rFonts w:ascii="Arial" w:eastAsia="Arial"/>
              </w:rPr>
              <w:t>7</w:t>
            </w:r>
            <w:r>
              <w:rPr>
                <w:rFonts w:ascii="Arial" w:eastAsia="Arial"/>
                <w:spacing w:val="-12"/>
              </w:rPr>
              <w:t xml:space="preserve"> </w:t>
            </w:r>
            <w:r>
              <w:t>章</w:t>
            </w:r>
            <w:r>
              <w:rPr>
                <w:spacing w:val="-2"/>
              </w:rPr>
              <w:t xml:space="preserve"> </w:t>
            </w:r>
            <w:r>
              <w:t>神华煤直接液化项目发展建议</w:t>
              <w:tab/>
            </w:r>
            <w:r>
              <w:rPr>
                <w:rFonts w:ascii="Arial" w:eastAsia="Arial"/>
              </w:rPr>
              <w:t>61</w:t>
            </w:r>
          </w:hyperlink>
        </w:p>
        <w:p>
          <w:pPr>
            <w:pStyle w:val="TOC2"/>
            <w:numPr>
              <w:ilvl w:val="1"/>
              <w:numId w:val="32"/>
            </w:numPr>
            <w:tabs>
              <w:tab w:val="left" w:pos="1814"/>
              <w:tab w:val="right" w:leader="dot" w:pos="11518"/>
            </w:tabs>
            <w:spacing w:before="147" w:after="0" w:line="240" w:lineRule="auto"/>
            <w:ind w:left="1813" w:right="0" w:hanging="541"/>
            <w:jc w:val="left"/>
            <w:rPr>
              <w:rFonts w:ascii="Arial" w:eastAsia="Arial"/>
            </w:rPr>
          </w:pPr>
          <w:hyperlink w:anchor="_TOC_250004" w:history="1">
            <w:r>
              <w:t>项目的发展前景</w:t>
              <w:tab/>
            </w:r>
            <w:r>
              <w:rPr>
                <w:rFonts w:ascii="Arial" w:eastAsia="Arial"/>
              </w:rPr>
              <w:t>61</w:t>
            </w:r>
          </w:hyperlink>
        </w:p>
        <w:p>
          <w:pPr>
            <w:pStyle w:val="TOC3"/>
            <w:numPr>
              <w:ilvl w:val="2"/>
              <w:numId w:val="32"/>
            </w:numPr>
            <w:tabs>
              <w:tab w:val="left" w:pos="2714"/>
              <w:tab w:val="right" w:leader="dot" w:pos="11518"/>
            </w:tabs>
            <w:spacing w:before="148" w:after="0" w:line="240" w:lineRule="auto"/>
            <w:ind w:left="2713" w:right="0" w:hanging="811"/>
            <w:jc w:val="left"/>
            <w:rPr>
              <w:rFonts w:ascii="Arial" w:eastAsia="Arial"/>
            </w:rPr>
          </w:pPr>
          <w:r>
            <w:t>国家政策</w:t>
            <w:tab/>
          </w:r>
          <w:r>
            <w:rPr>
              <w:rFonts w:ascii="Arial" w:eastAsia="Arial"/>
            </w:rPr>
            <w:t>61</w:t>
          </w:r>
        </w:p>
        <w:p>
          <w:pPr>
            <w:pStyle w:val="TOC3"/>
            <w:numPr>
              <w:ilvl w:val="2"/>
              <w:numId w:val="32"/>
            </w:numPr>
            <w:tabs>
              <w:tab w:val="left" w:pos="2714"/>
              <w:tab w:val="right" w:leader="dot" w:pos="11518"/>
            </w:tabs>
            <w:spacing w:before="147" w:after="0" w:line="240" w:lineRule="auto"/>
            <w:ind w:left="2713" w:right="0" w:hanging="811"/>
            <w:jc w:val="left"/>
            <w:rPr>
              <w:rFonts w:ascii="Arial" w:eastAsia="Arial"/>
            </w:rPr>
          </w:pPr>
          <w:r>
            <w:t>我国的能源结构</w:t>
            <w:tab/>
          </w:r>
          <w:r>
            <w:rPr>
              <w:rFonts w:ascii="Arial" w:eastAsia="Arial"/>
            </w:rPr>
            <w:t>61</w:t>
          </w:r>
        </w:p>
        <w:p>
          <w:pPr>
            <w:pStyle w:val="TOC3"/>
            <w:numPr>
              <w:ilvl w:val="2"/>
              <w:numId w:val="32"/>
            </w:numPr>
            <w:tabs>
              <w:tab w:val="left" w:pos="2714"/>
              <w:tab w:val="right" w:leader="dot" w:pos="11518"/>
            </w:tabs>
            <w:spacing w:before="147" w:after="0" w:line="240" w:lineRule="auto"/>
            <w:ind w:left="2713" w:right="0" w:hanging="811"/>
            <w:jc w:val="left"/>
            <w:rPr>
              <w:rFonts w:ascii="Arial" w:eastAsia="Arial"/>
            </w:rPr>
          </w:pPr>
          <w:r>
            <w:t>神华集团的实力</w:t>
            <w:tab/>
          </w:r>
          <w:r>
            <w:rPr>
              <w:rFonts w:ascii="Arial" w:eastAsia="Arial"/>
            </w:rPr>
            <w:t>62</w:t>
          </w:r>
        </w:p>
        <w:p>
          <w:pPr>
            <w:pStyle w:val="TOC2"/>
            <w:numPr>
              <w:ilvl w:val="1"/>
              <w:numId w:val="32"/>
            </w:numPr>
            <w:tabs>
              <w:tab w:val="left" w:pos="1814"/>
              <w:tab w:val="right" w:leader="dot" w:pos="11518"/>
            </w:tabs>
            <w:spacing w:before="147" w:after="0" w:line="240" w:lineRule="auto"/>
            <w:ind w:left="1813" w:right="0" w:hanging="541"/>
            <w:jc w:val="left"/>
            <w:rPr>
              <w:rFonts w:ascii="Arial" w:eastAsia="Arial"/>
            </w:rPr>
          </w:pPr>
          <w:hyperlink w:anchor="_TOC_250003" w:history="1">
            <w:r>
              <w:t>项目的发展建议</w:t>
              <w:tab/>
            </w:r>
            <w:r>
              <w:rPr>
                <w:rFonts w:ascii="Arial" w:eastAsia="Arial"/>
              </w:rPr>
              <w:t>62</w:t>
            </w:r>
          </w:hyperlink>
        </w:p>
        <w:p>
          <w:pPr>
            <w:pStyle w:val="TOC3"/>
            <w:numPr>
              <w:ilvl w:val="2"/>
              <w:numId w:val="32"/>
            </w:numPr>
            <w:tabs>
              <w:tab w:val="left" w:pos="2714"/>
              <w:tab w:val="right" w:leader="dot" w:pos="11518"/>
            </w:tabs>
            <w:spacing w:before="147" w:after="0" w:line="240" w:lineRule="auto"/>
            <w:ind w:left="2713" w:right="0" w:hanging="811"/>
            <w:jc w:val="left"/>
            <w:rPr>
              <w:rFonts w:ascii="Arial" w:eastAsia="Arial"/>
            </w:rPr>
          </w:pPr>
          <w:r>
            <w:t>优化技术方案，掌握核心技术</w:t>
            <w:tab/>
          </w:r>
          <w:r>
            <w:rPr>
              <w:rFonts w:ascii="Arial" w:eastAsia="Arial"/>
            </w:rPr>
            <w:t>62</w:t>
          </w:r>
        </w:p>
        <w:p>
          <w:pPr>
            <w:pStyle w:val="TOC3"/>
            <w:numPr>
              <w:ilvl w:val="2"/>
              <w:numId w:val="32"/>
            </w:numPr>
            <w:tabs>
              <w:tab w:val="left" w:pos="2714"/>
              <w:tab w:val="right" w:leader="dot" w:pos="11518"/>
            </w:tabs>
            <w:spacing w:before="148" w:after="0" w:line="240" w:lineRule="auto"/>
            <w:ind w:left="2713" w:right="0" w:hanging="811"/>
            <w:jc w:val="left"/>
            <w:rPr>
              <w:rFonts w:ascii="Arial" w:eastAsia="Arial"/>
            </w:rPr>
          </w:pPr>
          <w:r>
            <w:t>建立完善的绿化方案</w:t>
            <w:tab/>
          </w:r>
          <w:r>
            <w:rPr>
              <w:rFonts w:ascii="Arial" w:eastAsia="Arial"/>
            </w:rPr>
            <w:t>63</w:t>
          </w:r>
        </w:p>
        <w:p>
          <w:pPr>
            <w:pStyle w:val="TOC3"/>
            <w:numPr>
              <w:ilvl w:val="2"/>
              <w:numId w:val="32"/>
            </w:numPr>
            <w:tabs>
              <w:tab w:val="left" w:pos="2714"/>
              <w:tab w:val="right" w:leader="dot" w:pos="11518"/>
            </w:tabs>
            <w:spacing w:before="147" w:after="0" w:line="240" w:lineRule="auto"/>
            <w:ind w:left="2713" w:right="0" w:hanging="811"/>
            <w:jc w:val="left"/>
            <w:rPr>
              <w:rFonts w:ascii="Arial" w:eastAsia="Arial"/>
            </w:rPr>
          </w:pPr>
          <w:r>
            <w:t>建立水库储备水量</w:t>
            <w:tab/>
          </w:r>
          <w:r>
            <w:rPr>
              <w:rFonts w:ascii="Arial" w:eastAsia="Arial"/>
            </w:rPr>
            <w:t>63</w:t>
          </w:r>
        </w:p>
        <w:p>
          <w:pPr>
            <w:pStyle w:val="TOC3"/>
            <w:numPr>
              <w:ilvl w:val="2"/>
              <w:numId w:val="32"/>
            </w:numPr>
            <w:tabs>
              <w:tab w:val="left" w:pos="2804"/>
              <w:tab w:val="right" w:leader="dot" w:pos="11518"/>
            </w:tabs>
            <w:spacing w:before="147" w:after="0" w:line="240" w:lineRule="auto"/>
            <w:ind w:left="2803" w:right="0" w:hanging="901"/>
            <w:jc w:val="left"/>
            <w:rPr>
              <w:rFonts w:ascii="Arial" w:eastAsia="Arial"/>
            </w:rPr>
          </w:pPr>
          <w:r>
            <w:t>研究项目煤、电和化工的结合</w:t>
            <w:tab/>
          </w:r>
          <w:r>
            <w:rPr>
              <w:rFonts w:ascii="Arial" w:eastAsia="Arial"/>
            </w:rPr>
            <w:t>63</w:t>
          </w:r>
        </w:p>
        <w:p>
          <w:pPr>
            <w:pStyle w:val="TOC1"/>
            <w:tabs>
              <w:tab w:val="right" w:leader="dot" w:pos="11518"/>
            </w:tabs>
            <w:spacing w:before="148"/>
            <w:rPr>
              <w:rFonts w:ascii="Arial" w:eastAsia="Arial"/>
            </w:rPr>
          </w:pPr>
          <w:hyperlink w:anchor="_TOC_250002" w:history="1">
            <w:r>
              <w:t>第</w:t>
            </w:r>
            <w:r>
              <w:rPr>
                <w:spacing w:val="-91"/>
              </w:rPr>
              <w:t xml:space="preserve"> </w:t>
            </w:r>
            <w:r>
              <w:rPr>
                <w:rFonts w:ascii="Arial" w:eastAsia="Arial"/>
              </w:rPr>
              <w:t>8</w:t>
            </w:r>
            <w:r>
              <w:rPr>
                <w:rFonts w:ascii="Arial" w:eastAsia="Arial"/>
                <w:spacing w:val="-12"/>
              </w:rPr>
              <w:t xml:space="preserve"> </w:t>
            </w:r>
            <w:r>
              <w:t>章</w:t>
            </w:r>
            <w:r>
              <w:rPr>
                <w:spacing w:val="-1"/>
              </w:rPr>
              <w:t xml:space="preserve"> </w:t>
            </w:r>
            <w:r>
              <w:t>结论与建议</w:t>
              <w:tab/>
            </w:r>
            <w:r>
              <w:rPr>
                <w:rFonts w:ascii="Arial" w:eastAsia="Arial"/>
              </w:rPr>
              <w:t>65</w:t>
            </w:r>
          </w:hyperlink>
        </w:p>
        <w:p>
          <w:pPr>
            <w:pStyle w:val="TOC1"/>
            <w:tabs>
              <w:tab w:val="right" w:leader="dot" w:pos="11518"/>
            </w:tabs>
            <w:rPr>
              <w:rFonts w:ascii="Arial" w:eastAsia="Arial"/>
            </w:rPr>
          </w:pPr>
          <w:hyperlink w:anchor="_TOC_250001" w:history="1">
            <w:r>
              <w:t>参考文献</w:t>
              <w:tab/>
            </w:r>
            <w:r>
              <w:rPr>
                <w:rFonts w:ascii="Arial" w:eastAsia="Arial"/>
              </w:rPr>
              <w:t>67</w:t>
            </w:r>
          </w:hyperlink>
        </w:p>
        <w:p>
          <w:pPr>
            <w:pStyle w:val="TOC1"/>
            <w:tabs>
              <w:tab w:val="right" w:leader="dot" w:pos="11518"/>
            </w:tabs>
            <w:rPr>
              <w:rFonts w:ascii="Arial" w:eastAsia="Arial"/>
            </w:rPr>
          </w:pPr>
          <w:hyperlink w:anchor="_TOC_250000" w:history="1">
            <w:r>
              <w:t>附图</w:t>
              <w:tab/>
            </w:r>
            <w:r>
              <w:rPr>
                <w:rFonts w:ascii="Arial" w:eastAsia="Arial"/>
              </w:rPr>
              <w:t>72</w:t>
            </w:r>
          </w:hyperlink>
        </w:p>
        <w:p>
          <w:pPr>
            <w:pStyle w:val="TOC1"/>
            <w:tabs>
              <w:tab w:val="right" w:leader="dot" w:pos="11518"/>
            </w:tabs>
            <w:rPr>
              <w:rFonts w:ascii="Arial" w:eastAsia="Arial"/>
            </w:rPr>
          </w:pPr>
          <w:r>
            <w:t>附表</w:t>
            <w:tab/>
          </w:r>
          <w:r>
            <w:rPr>
              <w:rFonts w:ascii="Arial" w:eastAsia="Arial"/>
            </w:rPr>
            <w:t>73</w:t>
          </w:r>
        </w:p>
      </w:sdtContent>
    </w:sdt>
    <w:p>
      <w:pPr>
        <w:spacing w:after="0"/>
        <w:rPr>
          <w:rFonts w:ascii="Arial" w:eastAsia="Arial"/>
        </w:rPr>
        <w:sectPr>
          <w:type w:val="nextPage"/>
          <w:pgSz w:w="15480" w:h="21860"/>
          <w:pgMar w:top="2000" w:right="0" w:bottom="2723" w:left="1740" w:header="708" w:footer="708"/>
          <w:pgNumType w:start="8"/>
          <w:cols w:space="708"/>
          <w:titlePg w:val="0"/>
        </w:sectPr>
      </w:pPr>
    </w:p>
    <w:p>
      <w:pPr>
        <w:pStyle w:val="BodyText"/>
        <w:spacing w:before="3"/>
        <w:rPr>
          <w:rFonts w:ascii="Arial"/>
          <w:sz w:val="60"/>
        </w:rPr>
      </w:pPr>
    </w:p>
    <w:p>
      <w:pPr>
        <w:pStyle w:val="Heading1"/>
        <w:spacing w:before="0"/>
        <w:ind w:right="1561"/>
        <w:jc w:val="center"/>
      </w:pPr>
      <w:bookmarkStart w:id="2" w:name="_TOC_250029"/>
      <w:r>
        <w:t xml:space="preserve">第 </w:t>
      </w:r>
      <w:r>
        <w:rPr>
          <w:rFonts w:ascii="Times New Roman" w:eastAsia="Times New Roman"/>
        </w:rPr>
        <w:t xml:space="preserve">1 </w:t>
      </w:r>
      <w:bookmarkEnd w:id="2"/>
      <w:r>
        <w:t>章 前 言</w:t>
      </w:r>
    </w:p>
    <w:p>
      <w:pPr>
        <w:pStyle w:val="BodyText"/>
        <w:rPr>
          <w:rFonts w:ascii="黑体"/>
          <w:sz w:val="46"/>
        </w:rPr>
      </w:pPr>
    </w:p>
    <w:p>
      <w:pPr>
        <w:pStyle w:val="BodyText"/>
        <w:spacing w:before="10"/>
        <w:rPr>
          <w:rFonts w:ascii="黑体"/>
          <w:sz w:val="34"/>
        </w:rPr>
      </w:pPr>
    </w:p>
    <w:p>
      <w:pPr>
        <w:pStyle w:val="BodyText"/>
        <w:spacing w:line="316" w:lineRule="auto"/>
        <w:ind w:left="644" w:right="2028" w:firstLine="719"/>
      </w:pPr>
      <w:r>
        <w:t>能源和环境是当今我国面临的两大严峻问题，如何在保护环境的条件下，合理高效的使用能源是大家共同关心的话题。我国总的能源</w:t>
      </w:r>
      <w:r>
        <w:rPr>
          <w:spacing w:val="-24"/>
        </w:rPr>
        <w:t xml:space="preserve">特征是“富煤、贫油、少气”，煤炭在我国石化能源总储量中居于首位， </w:t>
      </w:r>
      <w:r>
        <w:rPr>
          <w:spacing w:val="-26"/>
        </w:rPr>
        <w:t xml:space="preserve">高达 </w:t>
      </w:r>
      <w:r>
        <w:rPr>
          <w:rFonts w:ascii="Times New Roman" w:eastAsia="Times New Roman" w:hAnsi="Times New Roman"/>
        </w:rPr>
        <w:t>90%</w:t>
      </w:r>
      <w:r>
        <w:rPr>
          <w:spacing w:val="-6"/>
        </w:rPr>
        <w:t xml:space="preserve">，而石油和天然气储量总共不到 </w:t>
      </w:r>
      <w:r>
        <w:rPr>
          <w:rFonts w:ascii="Times New Roman" w:eastAsia="Times New Roman" w:hAnsi="Times New Roman"/>
        </w:rPr>
        <w:t>10%</w:t>
      </w:r>
      <w:r>
        <w:t>。目前，在我国总的能源消费结构中</w:t>
      </w:r>
      <w:r>
        <w:rPr>
          <w:rFonts w:ascii="Times New Roman" w:eastAsia="Times New Roman" w:hAnsi="Times New Roman"/>
          <w:vertAlign w:val="subscript"/>
        </w:rPr>
        <w:t>[1]</w:t>
      </w:r>
      <w:r>
        <w:rPr>
          <w:spacing w:val="-13"/>
          <w:vertAlign w:val="baseline"/>
        </w:rPr>
        <w:t xml:space="preserve">，煤炭的消耗约占 </w:t>
      </w:r>
      <w:r>
        <w:rPr>
          <w:rFonts w:ascii="Times New Roman" w:eastAsia="Times New Roman" w:hAnsi="Times New Roman"/>
          <w:vertAlign w:val="baseline"/>
        </w:rPr>
        <w:t>72.9%</w:t>
      </w:r>
      <w:r>
        <w:rPr>
          <w:spacing w:val="-27"/>
          <w:vertAlign w:val="baseline"/>
        </w:rPr>
        <w:t xml:space="preserve">、油占 </w:t>
      </w:r>
      <w:r>
        <w:rPr>
          <w:rFonts w:ascii="Times New Roman" w:eastAsia="Times New Roman" w:hAnsi="Times New Roman"/>
          <w:vertAlign w:val="baseline"/>
        </w:rPr>
        <w:t>22.5%</w:t>
      </w:r>
      <w:r>
        <w:rPr>
          <w:vertAlign w:val="baseline"/>
        </w:rPr>
        <w:t>、其他能源总共</w:t>
      </w:r>
      <w:r>
        <w:rPr>
          <w:spacing w:val="-9"/>
          <w:vertAlign w:val="baseline"/>
        </w:rPr>
        <w:t xml:space="preserve">只占 </w:t>
      </w:r>
      <w:r>
        <w:rPr>
          <w:rFonts w:ascii="Times New Roman" w:eastAsia="Times New Roman" w:hAnsi="Times New Roman"/>
          <w:vertAlign w:val="baseline"/>
        </w:rPr>
        <w:t>4.6%</w:t>
      </w:r>
      <w:r>
        <w:rPr>
          <w:vertAlign w:val="baseline"/>
        </w:rPr>
        <w:t>。而且，在未来相当长的时间内</w:t>
      </w:r>
      <w:r>
        <w:rPr>
          <w:rFonts w:ascii="Times New Roman" w:eastAsia="Times New Roman" w:hAnsi="Times New Roman"/>
          <w:vertAlign w:val="subscript"/>
        </w:rPr>
        <w:t>[2]</w:t>
      </w:r>
      <w:r>
        <w:rPr>
          <w:vertAlign w:val="baseline"/>
        </w:rPr>
        <w:t>，在一次能源消费结构中煤炭仍将居于主导地位。开发、高效和环保的利用煤炭资源就显得格外重要。</w:t>
      </w:r>
    </w:p>
    <w:p>
      <w:pPr>
        <w:pStyle w:val="BodyText"/>
        <w:spacing w:line="316" w:lineRule="auto"/>
        <w:ind w:left="644" w:right="2201" w:firstLine="651"/>
      </w:pPr>
      <w:r>
        <w:t>我国传统的煤炭资源主要用于火电厂发电和水煤气制氨，少量的</w:t>
      </w:r>
      <w:r>
        <w:rPr>
          <w:spacing w:val="-19"/>
        </w:rPr>
        <w:t xml:space="preserve">用于民用。造成的问题一是环境污染大，发电产生的 </w:t>
      </w:r>
      <w:r>
        <w:rPr>
          <w:rFonts w:ascii="Times New Roman" w:eastAsia="Times New Roman"/>
        </w:rPr>
        <w:t xml:space="preserve">NOx </w:t>
      </w:r>
      <w:r>
        <w:rPr>
          <w:spacing w:val="-45"/>
        </w:rPr>
        <w:t xml:space="preserve">和 </w:t>
      </w:r>
      <w:r>
        <w:rPr>
          <w:rFonts w:ascii="Times New Roman" w:eastAsia="Times New Roman"/>
        </w:rPr>
        <w:t xml:space="preserve">SOx </w:t>
      </w:r>
      <w:r>
        <w:rPr>
          <w:spacing w:val="-7"/>
        </w:rPr>
        <w:t>是我</w:t>
      </w:r>
      <w:r>
        <w:rPr>
          <w:spacing w:val="-12"/>
        </w:rPr>
        <w:t xml:space="preserve">国大气主要的污染物，另外还有大量的烟尘。据 </w:t>
      </w:r>
      <w:r>
        <w:rPr>
          <w:rFonts w:ascii="Times New Roman" w:eastAsia="Times New Roman"/>
        </w:rPr>
        <w:t xml:space="preserve">2000 </w:t>
      </w:r>
      <w:r>
        <w:rPr>
          <w:spacing w:val="-2"/>
        </w:rPr>
        <w:t>年的数据统计表</w:t>
      </w:r>
    </w:p>
    <w:p>
      <w:pPr>
        <w:pStyle w:val="BodyText"/>
        <w:spacing w:line="316" w:lineRule="auto"/>
        <w:ind w:left="644" w:right="2026"/>
      </w:pPr>
      <w:r>
        <w:t>明</w:t>
      </w:r>
      <w:r>
        <w:rPr>
          <w:rFonts w:ascii="Times New Roman" w:eastAsia="Times New Roman"/>
          <w:vertAlign w:val="subscript"/>
        </w:rPr>
        <w:t>[3]</w:t>
      </w:r>
      <w:r>
        <w:rPr>
          <w:spacing w:val="-5"/>
          <w:vertAlign w:val="baseline"/>
        </w:rPr>
        <w:t xml:space="preserve">，我国烟尘排放量为 </w:t>
      </w:r>
      <w:r>
        <w:rPr>
          <w:rFonts w:ascii="Times New Roman" w:eastAsia="Times New Roman"/>
          <w:vertAlign w:val="baseline"/>
        </w:rPr>
        <w:t xml:space="preserve">1719 </w:t>
      </w:r>
      <w:r>
        <w:rPr>
          <w:vertAlign w:val="baseline"/>
        </w:rPr>
        <w:t>万吨，</w:t>
      </w:r>
      <w:r>
        <w:rPr>
          <w:rFonts w:ascii="Times New Roman" w:eastAsia="Times New Roman"/>
          <w:vertAlign w:val="baseline"/>
        </w:rPr>
        <w:t xml:space="preserve">SOx </w:t>
      </w:r>
      <w:r>
        <w:rPr>
          <w:spacing w:val="-12"/>
          <w:vertAlign w:val="baseline"/>
        </w:rPr>
        <w:t xml:space="preserve">排放量为 </w:t>
      </w:r>
      <w:r>
        <w:rPr>
          <w:rFonts w:ascii="Times New Roman" w:eastAsia="Times New Roman"/>
          <w:vertAlign w:val="baseline"/>
        </w:rPr>
        <w:t xml:space="preserve">2360 </w:t>
      </w:r>
      <w:r>
        <w:rPr>
          <w:vertAlign w:val="baseline"/>
        </w:rPr>
        <w:t>万吨，</w:t>
      </w:r>
      <w:r>
        <w:rPr>
          <w:rFonts w:ascii="Times New Roman" w:eastAsia="Times New Roman"/>
          <w:vertAlign w:val="baseline"/>
        </w:rPr>
        <w:t xml:space="preserve">NOx </w:t>
      </w:r>
      <w:r>
        <w:rPr>
          <w:spacing w:val="-19"/>
          <w:vertAlign w:val="baseline"/>
        </w:rPr>
        <w:t xml:space="preserve">排放量为 </w:t>
      </w:r>
      <w:r>
        <w:rPr>
          <w:rFonts w:ascii="Times New Roman" w:eastAsia="Times New Roman"/>
          <w:vertAlign w:val="baseline"/>
        </w:rPr>
        <w:t xml:space="preserve">800 </w:t>
      </w:r>
      <w:r>
        <w:rPr>
          <w:spacing w:val="-6"/>
          <w:vertAlign w:val="baseline"/>
        </w:rPr>
        <w:t>万吨。其中由燃煤产生的固体粉尘、</w:t>
      </w:r>
      <w:r>
        <w:rPr>
          <w:rFonts w:ascii="Times New Roman" w:eastAsia="Times New Roman"/>
          <w:vertAlign w:val="baseline"/>
        </w:rPr>
        <w:t xml:space="preserve">SOx </w:t>
      </w:r>
      <w:r>
        <w:rPr>
          <w:spacing w:val="-45"/>
          <w:vertAlign w:val="baseline"/>
        </w:rPr>
        <w:t xml:space="preserve">和 </w:t>
      </w:r>
      <w:r>
        <w:rPr>
          <w:rFonts w:ascii="Times New Roman" w:eastAsia="Times New Roman"/>
          <w:vertAlign w:val="baseline"/>
        </w:rPr>
        <w:t xml:space="preserve">NOx </w:t>
      </w:r>
      <w:r>
        <w:rPr>
          <w:vertAlign w:val="baseline"/>
        </w:rPr>
        <w:t>排放量</w:t>
      </w:r>
      <w:r>
        <w:rPr>
          <w:spacing w:val="-9"/>
          <w:vertAlign w:val="baseline"/>
        </w:rPr>
        <w:t xml:space="preserve">分别占我国总排放量的 </w:t>
      </w:r>
      <w:r>
        <w:rPr>
          <w:rFonts w:ascii="Times New Roman" w:eastAsia="Times New Roman"/>
          <w:vertAlign w:val="baseline"/>
        </w:rPr>
        <w:t>77%</w:t>
      </w:r>
      <w:r>
        <w:rPr>
          <w:spacing w:val="-47"/>
          <w:vertAlign w:val="baseline"/>
        </w:rPr>
        <w:t>、</w:t>
      </w:r>
      <w:r>
        <w:rPr>
          <w:rFonts w:ascii="Times New Roman" w:eastAsia="Times New Roman"/>
          <w:vertAlign w:val="baseline"/>
        </w:rPr>
        <w:t>90%</w:t>
      </w:r>
      <w:r>
        <w:rPr>
          <w:spacing w:val="-46"/>
          <w:vertAlign w:val="baseline"/>
        </w:rPr>
        <w:t xml:space="preserve">和 </w:t>
      </w:r>
      <w:r>
        <w:rPr>
          <w:rFonts w:ascii="Times New Roman" w:eastAsia="Times New Roman"/>
          <w:spacing w:val="-12"/>
          <w:vertAlign w:val="baseline"/>
        </w:rPr>
        <w:t>70%</w:t>
      </w:r>
      <w:r>
        <w:rPr>
          <w:spacing w:val="-4"/>
          <w:vertAlign w:val="baseline"/>
        </w:rPr>
        <w:t xml:space="preserve">，二是能源的使用效率不高， </w:t>
      </w:r>
      <w:r>
        <w:rPr>
          <w:vertAlign w:val="baseline"/>
        </w:rPr>
        <w:t>经研究，我国只有无烟煤很适合用来发电，其他的长焰煤、烟煤等较年轻的煤用来燃烧发电的效果并不好。目前，我国煤炭的平均利用效</w:t>
      </w:r>
      <w:r>
        <w:rPr>
          <w:spacing w:val="-13"/>
          <w:vertAlign w:val="baseline"/>
        </w:rPr>
        <w:t xml:space="preserve">率为 </w:t>
      </w:r>
      <w:r>
        <w:rPr>
          <w:rFonts w:ascii="Times New Roman" w:eastAsia="Times New Roman"/>
          <w:vertAlign w:val="baseline"/>
        </w:rPr>
        <w:t>30%</w:t>
      </w:r>
      <w:r>
        <w:rPr>
          <w:spacing w:val="-4"/>
          <w:vertAlign w:val="baseline"/>
        </w:rPr>
        <w:t xml:space="preserve">，比世界平均水平低 </w:t>
      </w:r>
      <w:r>
        <w:rPr>
          <w:rFonts w:ascii="Times New Roman" w:eastAsia="Times New Roman"/>
          <w:vertAlign w:val="baseline"/>
        </w:rPr>
        <w:t>10%</w:t>
      </w:r>
      <w:r>
        <w:rPr>
          <w:spacing w:val="-5"/>
          <w:vertAlign w:val="baseline"/>
        </w:rPr>
        <w:t xml:space="preserve">，比发达国家低 </w:t>
      </w:r>
      <w:r>
        <w:rPr>
          <w:rFonts w:ascii="Times New Roman" w:eastAsia="Times New Roman"/>
          <w:vertAlign w:val="baseline"/>
        </w:rPr>
        <w:t>25~28%</w:t>
      </w:r>
      <w:r>
        <w:rPr>
          <w:vertAlign w:val="baseline"/>
        </w:rPr>
        <w:t>；与国际</w:t>
      </w:r>
      <w:r>
        <w:rPr>
          <w:spacing w:val="-15"/>
          <w:vertAlign w:val="baseline"/>
        </w:rPr>
        <w:t xml:space="preserve">先进水平相比，工业锅炉低 </w:t>
      </w:r>
      <w:r>
        <w:rPr>
          <w:rFonts w:ascii="Times New Roman" w:eastAsia="Times New Roman"/>
          <w:spacing w:val="-9"/>
          <w:vertAlign w:val="baseline"/>
        </w:rPr>
        <w:t>15~20%</w:t>
      </w:r>
      <w:r>
        <w:rPr>
          <w:spacing w:val="-11"/>
          <w:vertAlign w:val="baseline"/>
        </w:rPr>
        <w:t xml:space="preserve">，火电厂平均煤耗高约 </w:t>
      </w:r>
      <w:r>
        <w:rPr>
          <w:rFonts w:ascii="Times New Roman" w:eastAsia="Times New Roman"/>
          <w:spacing w:val="-15"/>
          <w:vertAlign w:val="baseline"/>
        </w:rPr>
        <w:t>25%</w:t>
      </w:r>
      <w:r>
        <w:rPr>
          <w:spacing w:val="-6"/>
          <w:vertAlign w:val="baseline"/>
        </w:rPr>
        <w:t>，城市</w:t>
      </w:r>
      <w:r>
        <w:rPr>
          <w:spacing w:val="-14"/>
          <w:vertAlign w:val="baseline"/>
        </w:rPr>
        <w:t xml:space="preserve">居民生活燃煤热效率仅 </w:t>
      </w:r>
      <w:r>
        <w:rPr>
          <w:rFonts w:ascii="Times New Roman" w:eastAsia="Times New Roman"/>
          <w:vertAlign w:val="baseline"/>
        </w:rPr>
        <w:t>25~45%</w:t>
      </w:r>
      <w:r>
        <w:rPr>
          <w:spacing w:val="-13"/>
          <w:vertAlign w:val="baseline"/>
        </w:rPr>
        <w:t>。所以未来如何减少使用煤炭的污染和高效的使用煤炭资源就尤为重要了。</w:t>
      </w:r>
    </w:p>
    <w:p>
      <w:pPr>
        <w:pStyle w:val="BodyText"/>
        <w:spacing w:line="316" w:lineRule="auto"/>
        <w:ind w:left="644" w:right="2295" w:firstLine="629"/>
        <w:jc w:val="both"/>
      </w:pPr>
      <w:r>
        <w:t>煤炭液化技术就是针对使用煤炭对环境造成污染所提出的技术对策，是最大限度利用煤的能源，同时将造成的污染降到最小限度的技术方案。从概念上说，煤直接液化是煤在适当的温度和压力条件下， 直接催化加氢裂化，使其降解和加氢转化为液体油品的工艺过程，煤直接液化也称加氢液化。它将经济效益、社会效益与环保效益结合为</w:t>
      </w:r>
    </w:p>
    <w:p>
      <w:pPr>
        <w:spacing w:after="0" w:line="316" w:lineRule="auto"/>
        <w:jc w:val="both"/>
        <w:sectPr>
          <w:pgSz w:w="15480" w:h="21860"/>
          <w:pgMar w:top="2080" w:right="0" w:bottom="280" w:left="1740" w:header="708" w:footer="708"/>
          <w:pgNumType w:start="9"/>
          <w:cols w:space="708"/>
        </w:sectPr>
      </w:pPr>
    </w:p>
    <w:p>
      <w:pPr>
        <w:pStyle w:val="BodyText"/>
        <w:spacing w:before="24" w:line="316" w:lineRule="auto"/>
        <w:ind w:left="644" w:right="2295"/>
      </w:pPr>
      <w:r>
        <w:t>一体，开创了煤炭开发利用的新局面，使煤炭成为高效、洁净、可靠的能源，可以满足国民经济的发展和环境保护的需要。</w:t>
      </w:r>
    </w:p>
    <w:p>
      <w:pPr>
        <w:pStyle w:val="BodyText"/>
        <w:spacing w:line="316" w:lineRule="auto"/>
        <w:ind w:left="644" w:right="2127" w:firstLine="719"/>
        <w:rPr>
          <w:rFonts w:ascii="Arial" w:eastAsia="Arial"/>
        </w:rPr>
      </w:pPr>
      <w:r>
        <w:t xml:space="preserve">我国的神华集团就是世界上首个工业化煤炭直接液化项目的企 </w:t>
      </w:r>
      <w:r>
        <w:rPr>
          <w:spacing w:val="-9"/>
        </w:rPr>
        <w:t xml:space="preserve">业，项目总建设规模为年产油品 </w:t>
      </w:r>
      <w:r>
        <w:rPr>
          <w:rFonts w:ascii="Arial" w:eastAsia="Arial"/>
        </w:rPr>
        <w:t>500</w:t>
      </w:r>
      <w:r>
        <w:rPr>
          <w:rFonts w:ascii="Arial" w:eastAsia="Arial"/>
          <w:spacing w:val="-30"/>
        </w:rPr>
        <w:t xml:space="preserve"> </w:t>
      </w:r>
      <w:r>
        <w:rPr>
          <w:spacing w:val="-56"/>
        </w:rPr>
        <w:t xml:space="preserve">万 </w:t>
      </w:r>
      <w:r>
        <w:rPr>
          <w:rFonts w:ascii="Arial" w:eastAsia="Arial"/>
        </w:rPr>
        <w:t>t</w:t>
      </w:r>
      <w:r>
        <w:rPr>
          <w:spacing w:val="-2"/>
        </w:rPr>
        <w:t>，分二期建设，其中，一期工</w:t>
      </w:r>
      <w:r>
        <w:rPr>
          <w:spacing w:val="-27"/>
        </w:rPr>
        <w:t xml:space="preserve">程用煤 </w:t>
      </w:r>
      <w:r>
        <w:rPr>
          <w:rFonts w:ascii="Arial" w:eastAsia="Arial"/>
        </w:rPr>
        <w:t>970</w:t>
      </w:r>
      <w:r>
        <w:rPr>
          <w:rFonts w:ascii="Arial" w:eastAsia="Arial"/>
          <w:spacing w:val="-28"/>
        </w:rPr>
        <w:t xml:space="preserve"> </w:t>
      </w:r>
      <w:r>
        <w:rPr>
          <w:spacing w:val="-53"/>
        </w:rPr>
        <w:t xml:space="preserve">万 </w:t>
      </w:r>
      <w:r>
        <w:rPr>
          <w:rFonts w:ascii="Arial" w:eastAsia="Arial"/>
        </w:rPr>
        <w:t>t</w:t>
      </w:r>
      <w:r>
        <w:rPr>
          <w:spacing w:val="-10"/>
        </w:rPr>
        <w:t xml:space="preserve">，建设规模为年产油品 </w:t>
      </w:r>
      <w:r>
        <w:rPr>
          <w:rFonts w:ascii="Arial" w:eastAsia="Arial"/>
        </w:rPr>
        <w:t>320</w:t>
      </w:r>
      <w:r>
        <w:rPr>
          <w:rFonts w:ascii="Arial" w:eastAsia="Arial"/>
          <w:spacing w:val="-31"/>
        </w:rPr>
        <w:t xml:space="preserve"> </w:t>
      </w:r>
      <w:r>
        <w:rPr>
          <w:spacing w:val="-54"/>
        </w:rPr>
        <w:t xml:space="preserve">万 </w:t>
      </w:r>
      <w:r>
        <w:rPr>
          <w:rFonts w:ascii="Arial" w:eastAsia="Arial"/>
        </w:rPr>
        <w:t>t(</w:t>
      </w:r>
      <w:r>
        <w:rPr>
          <w:spacing w:val="-36"/>
        </w:rPr>
        <w:t xml:space="preserve">汽油 </w:t>
      </w:r>
      <w:r>
        <w:rPr>
          <w:rFonts w:ascii="Arial" w:eastAsia="Arial"/>
        </w:rPr>
        <w:t>50</w:t>
      </w:r>
      <w:r>
        <w:rPr>
          <w:rFonts w:ascii="Arial" w:eastAsia="Arial"/>
          <w:spacing w:val="-27"/>
        </w:rPr>
        <w:t xml:space="preserve"> </w:t>
      </w:r>
      <w:r>
        <w:rPr>
          <w:spacing w:val="-54"/>
        </w:rPr>
        <w:t xml:space="preserve">万 </w:t>
      </w:r>
      <w:r>
        <w:rPr>
          <w:rFonts w:ascii="Arial" w:eastAsia="Arial"/>
        </w:rPr>
        <w:t>t</w:t>
      </w:r>
      <w:r>
        <w:rPr>
          <w:spacing w:val="-29"/>
        </w:rPr>
        <w:t xml:space="preserve">，柴油 </w:t>
      </w:r>
      <w:r>
        <w:rPr>
          <w:rFonts w:ascii="Arial" w:eastAsia="Arial"/>
        </w:rPr>
        <w:t>215</w:t>
      </w:r>
    </w:p>
    <w:p>
      <w:pPr>
        <w:pStyle w:val="BodyText"/>
        <w:spacing w:line="316" w:lineRule="auto"/>
        <w:ind w:left="644" w:right="1973"/>
      </w:pPr>
      <w:r>
        <w:rPr>
          <w:spacing w:val="-52"/>
        </w:rPr>
        <w:t xml:space="preserve">万 </w:t>
      </w:r>
      <w:r>
        <w:rPr>
          <w:rFonts w:ascii="Arial" w:eastAsia="Arial"/>
        </w:rPr>
        <w:t>t</w:t>
      </w:r>
      <w:r>
        <w:rPr>
          <w:spacing w:val="-24"/>
        </w:rPr>
        <w:t xml:space="preserve">，液化气 </w:t>
      </w:r>
      <w:r>
        <w:rPr>
          <w:rFonts w:ascii="Arial" w:eastAsia="Arial"/>
        </w:rPr>
        <w:t xml:space="preserve">31 </w:t>
      </w:r>
      <w:r>
        <w:rPr>
          <w:spacing w:val="-52"/>
        </w:rPr>
        <w:t xml:space="preserve">万 </w:t>
      </w:r>
      <w:r>
        <w:rPr>
          <w:rFonts w:ascii="Arial" w:eastAsia="Arial"/>
        </w:rPr>
        <w:t>t</w:t>
      </w:r>
      <w:r>
        <w:rPr>
          <w:spacing w:val="6"/>
        </w:rPr>
        <w:t>，苯、混合二甲苯等</w:t>
      </w:r>
      <w:r>
        <w:rPr>
          <w:rFonts w:ascii="Arial" w:eastAsia="Arial"/>
        </w:rPr>
        <w:t xml:space="preserve">24 </w:t>
      </w:r>
      <w:r>
        <w:rPr>
          <w:spacing w:val="-52"/>
        </w:rPr>
        <w:t xml:space="preserve">万 </w:t>
      </w:r>
      <w:r>
        <w:rPr>
          <w:rFonts w:ascii="Arial" w:eastAsia="Arial"/>
        </w:rPr>
        <w:t>t)</w:t>
      </w:r>
      <w:r>
        <w:rPr>
          <w:spacing w:val="-2"/>
        </w:rPr>
        <w:t xml:space="preserve">，由三条生产线组成， </w:t>
      </w:r>
      <w:r>
        <w:t>包括煤液化、煤制氢、溶剂加氢、加氢改质、催化剂制备等</w:t>
      </w:r>
      <w:r>
        <w:rPr>
          <w:rFonts w:ascii="Arial" w:eastAsia="Arial"/>
        </w:rPr>
        <w:t xml:space="preserve">14 </w:t>
      </w:r>
      <w:r>
        <w:t>套主要生产装置。工程采取分步实施的方案，先建设一条生产线，装置运转</w:t>
      </w:r>
      <w:r>
        <w:rPr>
          <w:spacing w:val="-5"/>
        </w:rPr>
        <w:t>平稳后，再建设其他生产线。</w:t>
      </w:r>
      <w:r>
        <w:rPr>
          <w:rFonts w:ascii="Arial" w:eastAsia="Arial"/>
        </w:rPr>
        <w:t xml:space="preserve">2004 </w:t>
      </w:r>
      <w:r>
        <w:rPr>
          <w:spacing w:val="-60"/>
        </w:rPr>
        <w:t xml:space="preserve">年 </w:t>
      </w:r>
      <w:r>
        <w:rPr>
          <w:rFonts w:ascii="Arial" w:eastAsia="Arial"/>
        </w:rPr>
        <w:t xml:space="preserve">8 </w:t>
      </w:r>
      <w:r>
        <w:rPr>
          <w:spacing w:val="-1"/>
        </w:rPr>
        <w:t>月一期工程开工建设，</w:t>
      </w:r>
      <w:r>
        <w:rPr>
          <w:rFonts w:ascii="Arial" w:eastAsia="Arial"/>
          <w:spacing w:val="-7"/>
        </w:rPr>
        <w:t xml:space="preserve">2007 </w:t>
      </w:r>
      <w:r>
        <w:t>年</w:t>
      </w:r>
      <w:r>
        <w:rPr>
          <w:rFonts w:ascii="Arial" w:eastAsia="Arial"/>
        </w:rPr>
        <w:t xml:space="preserve">7 </w:t>
      </w:r>
      <w:r>
        <w:t>月建成第一条生产线，</w:t>
      </w:r>
      <w:r>
        <w:rPr>
          <w:rFonts w:ascii="Arial" w:eastAsia="Arial"/>
        </w:rPr>
        <w:t xml:space="preserve">2010 </w:t>
      </w:r>
      <w:r>
        <w:t>年左右建成后两条生产线。</w:t>
      </w:r>
    </w:p>
    <w:p>
      <w:pPr>
        <w:pStyle w:val="BodyText"/>
        <w:spacing w:line="316" w:lineRule="auto"/>
        <w:ind w:left="644" w:right="2208" w:firstLine="651"/>
      </w:pPr>
      <w:r>
        <w:t>项目做了详细的的研究，有关经济，技术和环境上的问题都做了</w:t>
      </w:r>
      <w:r>
        <w:rPr>
          <w:spacing w:val="4"/>
          <w:w w:val="95"/>
        </w:rPr>
        <w:t xml:space="preserve">充分的考虑，同时项目也得到了国家的大力支持，国家发改委在 </w:t>
      </w:r>
      <w:r>
        <w:rPr>
          <w:rFonts w:ascii="Arial" w:eastAsia="Arial"/>
          <w:spacing w:val="-5"/>
          <w:w w:val="95"/>
        </w:rPr>
        <w:t xml:space="preserve">2004 </w:t>
      </w:r>
      <w:r>
        <w:rPr>
          <w:spacing w:val="-18"/>
        </w:rPr>
        <w:t xml:space="preserve">年印发了《关于 </w:t>
      </w:r>
      <w:r>
        <w:rPr>
          <w:rFonts w:ascii="Arial" w:eastAsia="Arial"/>
        </w:rPr>
        <w:t>2004~2005</w:t>
      </w:r>
      <w:r>
        <w:rPr>
          <w:rFonts w:ascii="Arial" w:eastAsia="Arial"/>
          <w:spacing w:val="-56"/>
        </w:rPr>
        <w:t xml:space="preserve"> </w:t>
      </w:r>
      <w:r>
        <w:rPr>
          <w:spacing w:val="-1"/>
        </w:rPr>
        <w:t>年度国家工程研究中心重点建设领域的通</w:t>
      </w:r>
      <w:r>
        <w:rPr>
          <w:spacing w:val="-18"/>
        </w:rPr>
        <w:t>知》，将包括煤化工在内的一批产业列入国家工程研究中心重点建设领</w:t>
      </w:r>
      <w:r>
        <w:t>域。</w:t>
      </w:r>
    </w:p>
    <w:p>
      <w:pPr>
        <w:pStyle w:val="BodyText"/>
        <w:spacing w:line="316" w:lineRule="auto"/>
        <w:ind w:left="644" w:right="2295" w:firstLine="651"/>
        <w:jc w:val="both"/>
      </w:pPr>
      <w:r>
        <w:t>本文对神华煤直接液化项目上做了详细的研究，包括工艺流程， 经济收益和技术、环境可行性。提出了对于神华项目的发展的前景和建议。</w:t>
      </w:r>
    </w:p>
    <w:p>
      <w:pPr>
        <w:spacing w:after="0" w:line="316" w:lineRule="auto"/>
        <w:jc w:val="both"/>
        <w:sectPr>
          <w:pgSz w:w="15480" w:h="21860"/>
          <w:pgMar w:top="2020" w:right="0" w:bottom="280" w:left="1740" w:header="708" w:footer="708"/>
          <w:pgNumType w:start="10"/>
          <w:cols w:space="708"/>
        </w:sectPr>
      </w:pPr>
    </w:p>
    <w:p>
      <w:pPr>
        <w:pStyle w:val="BodyText"/>
        <w:rPr>
          <w:sz w:val="20"/>
        </w:rPr>
      </w:pPr>
    </w:p>
    <w:p>
      <w:pPr>
        <w:pStyle w:val="BodyText"/>
        <w:rPr>
          <w:sz w:val="20"/>
        </w:rPr>
      </w:pPr>
    </w:p>
    <w:p>
      <w:pPr>
        <w:pStyle w:val="Heading1"/>
        <w:ind w:left="4399"/>
      </w:pPr>
      <w:bookmarkStart w:id="3" w:name="_TOC_250028"/>
      <w:r>
        <w:rPr>
          <w:spacing w:val="-56"/>
        </w:rPr>
        <w:t xml:space="preserve">第 </w:t>
      </w:r>
      <w:r>
        <w:rPr>
          <w:rFonts w:ascii="Arial" w:eastAsia="Arial"/>
        </w:rPr>
        <w:t xml:space="preserve">2 </w:t>
      </w:r>
      <w:bookmarkEnd w:id="3"/>
      <w:r>
        <w:t>章 文献综述</w:t>
      </w:r>
    </w:p>
    <w:p>
      <w:pPr>
        <w:pStyle w:val="BodyText"/>
        <w:rPr>
          <w:rFonts w:ascii="黑体"/>
          <w:sz w:val="48"/>
        </w:rPr>
      </w:pPr>
    </w:p>
    <w:p>
      <w:pPr>
        <w:pStyle w:val="BodyText"/>
        <w:spacing w:before="3"/>
        <w:rPr>
          <w:rFonts w:ascii="黑体"/>
          <w:sz w:val="38"/>
        </w:rPr>
      </w:pPr>
    </w:p>
    <w:p>
      <w:pPr>
        <w:pStyle w:val="Heading2"/>
        <w:numPr>
          <w:ilvl w:val="1"/>
          <w:numId w:val="22"/>
        </w:numPr>
        <w:tabs>
          <w:tab w:val="left" w:pos="1274"/>
        </w:tabs>
        <w:spacing w:before="0" w:after="0" w:line="240" w:lineRule="auto"/>
        <w:ind w:left="1273" w:right="0" w:hanging="630"/>
        <w:jc w:val="left"/>
        <w:rPr>
          <w:rFonts w:ascii="Arial" w:eastAsia="Arial"/>
        </w:rPr>
      </w:pPr>
      <w:bookmarkStart w:id="4" w:name="_TOC_250027"/>
      <w:bookmarkEnd w:id="4"/>
      <w:r>
        <w:t>煤直接液化技术概论</w:t>
      </w:r>
    </w:p>
    <w:p>
      <w:pPr>
        <w:pStyle w:val="BodyText"/>
        <w:spacing w:before="10"/>
        <w:rPr>
          <w:rFonts w:ascii="黑体"/>
          <w:sz w:val="52"/>
        </w:rPr>
      </w:pPr>
    </w:p>
    <w:p>
      <w:pPr>
        <w:pStyle w:val="ListParagraph"/>
        <w:numPr>
          <w:ilvl w:val="2"/>
          <w:numId w:val="22"/>
        </w:numPr>
        <w:tabs>
          <w:tab w:val="left" w:pos="1454"/>
        </w:tabs>
        <w:spacing w:before="0" w:after="0" w:line="240" w:lineRule="auto"/>
        <w:ind w:left="1453" w:right="0" w:hanging="810"/>
        <w:jc w:val="left"/>
        <w:rPr>
          <w:rFonts w:ascii="Arial" w:eastAsia="Arial"/>
          <w:sz w:val="36"/>
        </w:rPr>
      </w:pPr>
      <w:r>
        <w:rPr>
          <w:rFonts w:ascii="黑体" w:eastAsia="黑体" w:hint="eastAsia"/>
          <w:sz w:val="36"/>
        </w:rPr>
        <w:t>煤直接液化的基本原理</w:t>
      </w:r>
    </w:p>
    <w:p>
      <w:pPr>
        <w:pStyle w:val="BodyText"/>
        <w:spacing w:before="148" w:line="316" w:lineRule="auto"/>
        <w:ind w:left="644" w:right="2193" w:firstLine="719"/>
        <w:jc w:val="both"/>
      </w:pPr>
      <w:r>
        <w:rPr>
          <w:spacing w:val="7"/>
        </w:rPr>
        <w:t>煤炭直接液化</w:t>
      </w:r>
      <w:r>
        <w:rPr>
          <w:rFonts w:ascii="Arial" w:eastAsia="Arial"/>
          <w:spacing w:val="2"/>
          <w:vertAlign w:val="subscript"/>
        </w:rPr>
        <w:t>[4]</w:t>
      </w:r>
      <w:r>
        <w:rPr>
          <w:vertAlign w:val="baseline"/>
        </w:rPr>
        <w:t>是指把固体状态的煤炭在高压和一定温度下直接与氢气发生加氢反应，使煤炭转化为液体油品的工艺技术。在直接液化工艺中，煤炭大分子结构的分解是通过加热来实现的，桥键的断裂产生了以结构单元为基础的自由基，自由基非常不稳定，在高压氢气环境和有溶剂分子分隔的条件下，它被加氢生成稳定的低分子产物， 在没有高压氢气环境和没有溶剂分子分隔的条件下，自由基又会相互结合而生成较大的分子。煤炭经过加氢液化后剩余的无机矿物质和少量未反应煤还是固体状态，可采用各种不同的固液分离方法把固体从液化油中分离出去，常用的方法有减压蒸馏、加压过滤、离心沉降和溶剂萃取等固液分离方法。煤炭经过加氢液化产生的液化油含有较多的芳香烃，并含有较多的氧、氮和硫等杂原子。必须再经过提质加工才能生产合格的汽油和柴油产品。不同的工艺路线，得到的直接液化</w:t>
      </w:r>
      <w:r>
        <w:rPr>
          <w:spacing w:val="-1"/>
          <w:vertAlign w:val="baseline"/>
        </w:rPr>
        <w:t>产品也相差甚远，同时液化产品也与煤种和反应条件</w:t>
      </w:r>
      <w:r>
        <w:rPr>
          <w:rFonts w:ascii="Arial" w:eastAsia="Arial"/>
          <w:vertAlign w:val="baseline"/>
        </w:rPr>
        <w:t>(</w:t>
      </w:r>
      <w:r>
        <w:rPr>
          <w:spacing w:val="-3"/>
          <w:vertAlign w:val="baseline"/>
        </w:rPr>
        <w:t>例如压力、温度</w:t>
      </w:r>
      <w:r>
        <w:rPr>
          <w:vertAlign w:val="baseline"/>
        </w:rPr>
        <w:t>和催化剂</w:t>
      </w:r>
      <w:r>
        <w:rPr>
          <w:rFonts w:ascii="Arial" w:eastAsia="Arial"/>
          <w:vertAlign w:val="baseline"/>
        </w:rPr>
        <w:t>)</w:t>
      </w:r>
      <w:r>
        <w:rPr>
          <w:vertAlign w:val="baseline"/>
        </w:rPr>
        <w:t>有关。</w:t>
      </w:r>
    </w:p>
    <w:p>
      <w:pPr>
        <w:pStyle w:val="BodyText"/>
        <w:spacing w:before="11"/>
        <w:rPr>
          <w:sz w:val="26"/>
        </w:rPr>
      </w:pPr>
    </w:p>
    <w:p>
      <w:pPr>
        <w:pStyle w:val="ListParagraph"/>
        <w:numPr>
          <w:ilvl w:val="2"/>
          <w:numId w:val="22"/>
        </w:numPr>
        <w:tabs>
          <w:tab w:val="left" w:pos="1454"/>
        </w:tabs>
        <w:spacing w:before="1" w:after="0" w:line="240" w:lineRule="auto"/>
        <w:ind w:left="1453" w:right="0" w:hanging="810"/>
        <w:jc w:val="left"/>
        <w:rPr>
          <w:rFonts w:ascii="Arial" w:eastAsia="Arial"/>
          <w:sz w:val="36"/>
        </w:rPr>
      </w:pPr>
      <w:r>
        <w:rPr>
          <w:rFonts w:ascii="黑体" w:eastAsia="黑体" w:hint="eastAsia"/>
          <w:sz w:val="36"/>
        </w:rPr>
        <w:t>煤直接液化工艺介绍</w:t>
      </w:r>
    </w:p>
    <w:p>
      <w:pPr>
        <w:pStyle w:val="BodyText"/>
        <w:spacing w:before="150" w:line="316" w:lineRule="auto"/>
        <w:ind w:left="644" w:right="2148" w:firstLine="719"/>
        <w:jc w:val="both"/>
      </w:pPr>
      <w:r>
        <w:t>直接液化典型的工艺过程主要包括煤的破碎与干燥、煤浆制备、加氢液化、固液分离、气体净化、液体产品分馏和精制，以及液化残渣气化制取氢气等部分。氢气制备是加氢液化的重要环节，大规模制</w:t>
      </w:r>
      <w:r>
        <w:rPr>
          <w:spacing w:val="-4"/>
        </w:rPr>
        <w:t>氢通常采用煤气化及天然气转化。液化过程中</w:t>
      </w:r>
      <w:r>
        <w:rPr>
          <w:rFonts w:ascii="Arial" w:eastAsia="Arial" w:hAnsi="Arial"/>
          <w:spacing w:val="-14"/>
          <w:vertAlign w:val="subscript"/>
        </w:rPr>
        <w:t>[5]</w:t>
      </w:r>
      <w:r>
        <w:rPr>
          <w:spacing w:val="-9"/>
          <w:vertAlign w:val="baseline"/>
        </w:rPr>
        <w:t>，将煤、催化剂和循环油制成的煤浆，与制得的氢气混合送入反应器。在液化反应器内，煤首先发生热解反应，生成自由基“碎片</w:t>
      </w:r>
      <w:r>
        <w:rPr>
          <w:spacing w:val="-19"/>
          <w:vertAlign w:val="baseline"/>
        </w:rPr>
        <w:t>”，不稳定的自由基“碎片”再</w:t>
      </w:r>
    </w:p>
    <w:p>
      <w:pPr>
        <w:spacing w:after="0" w:line="316" w:lineRule="auto"/>
        <w:jc w:val="both"/>
        <w:sectPr>
          <w:pgSz w:w="15480" w:h="21860"/>
          <w:pgMar w:top="2080" w:right="0" w:bottom="280" w:left="1740" w:header="708" w:footer="708"/>
          <w:pgNumType w:start="11"/>
          <w:cols w:space="708"/>
        </w:sectPr>
      </w:pPr>
    </w:p>
    <w:p>
      <w:pPr>
        <w:pStyle w:val="BodyText"/>
        <w:spacing w:before="24" w:line="316" w:lineRule="auto"/>
        <w:ind w:left="644" w:right="2183"/>
        <w:jc w:val="both"/>
      </w:pPr>
      <w:r>
        <w:t>与氢在催化剂存在条件下结合，形成分子量比煤低得多的初级加氢产物。出反应器的产物构成十分复杂，包括气、液、固三相。气相的主要成分是氢气，分离后循环返回反应器重新参加反应；固相为未反应的煤、矿物质及催化剂；液相则为轻油（粗汽油</w:t>
      </w:r>
      <w:r>
        <w:rPr>
          <w:spacing w:val="-250"/>
        </w:rPr>
        <w:t>）</w:t>
      </w:r>
      <w:r>
        <w:rPr>
          <w:spacing w:val="-2"/>
        </w:rPr>
        <w:t>、中油等馏份油及重</w:t>
      </w:r>
      <w:r>
        <w:t>油。液相馏份油经提质加工（如加氢精制、加氢裂化和重整）得到合格的汽油、柴油和航空煤油等产品。重质的液固淤浆经进一步分离得到重油和残渣，重油作为循环溶剂配煤浆用。</w:t>
      </w:r>
    </w:p>
    <w:p>
      <w:pPr>
        <w:pStyle w:val="BodyText"/>
        <w:spacing w:line="316" w:lineRule="auto"/>
        <w:ind w:left="644" w:right="2072" w:firstLine="719"/>
      </w:pPr>
      <w:r>
        <w:t>煤直接液化粗油中石脑油</w:t>
      </w:r>
      <w:r>
        <w:rPr>
          <w:rFonts w:ascii="Arial" w:eastAsia="Arial" w:hAnsi="Arial"/>
          <w:vertAlign w:val="subscript"/>
        </w:rPr>
        <w:t>[6]</w:t>
      </w:r>
      <w:r>
        <w:rPr>
          <w:spacing w:val="-30"/>
          <w:vertAlign w:val="baseline"/>
        </w:rPr>
        <w:t xml:space="preserve">馏分约占 </w:t>
      </w:r>
      <w:r>
        <w:rPr>
          <w:rFonts w:ascii="Arial" w:eastAsia="Arial" w:hAnsi="Arial"/>
          <w:vertAlign w:val="baseline"/>
        </w:rPr>
        <w:t>15~30%</w:t>
      </w:r>
      <w:r>
        <w:rPr>
          <w:vertAlign w:val="baseline"/>
        </w:rPr>
        <w:t>，且芳烃含量较高， 加氢后的石脑油馏分经过较缓和的重整即可得到高辛烷值汽油和丰富的芳烃原料，汽油产品的辛烷值、芳烃含量等主要指标均符合相关标准</w:t>
      </w:r>
      <w:r>
        <w:rPr>
          <w:spacing w:val="-11"/>
          <w:vertAlign w:val="baseline"/>
        </w:rPr>
        <w:t>（</w:t>
      </w:r>
      <w:r>
        <w:rPr>
          <w:rFonts w:ascii="Arial" w:eastAsia="Arial" w:hAnsi="Arial"/>
          <w:w w:val="91"/>
          <w:vertAlign w:val="baseline"/>
        </w:rPr>
        <w:t>GB17930-199</w:t>
      </w:r>
      <w:r>
        <w:rPr>
          <w:rFonts w:ascii="Arial" w:eastAsia="Arial" w:hAnsi="Arial"/>
          <w:spacing w:val="-4"/>
          <w:w w:val="91"/>
          <w:vertAlign w:val="baseline"/>
        </w:rPr>
        <w:t>9</w:t>
      </w:r>
      <w:r>
        <w:rPr>
          <w:spacing w:val="-180"/>
          <w:vertAlign w:val="baseline"/>
        </w:rPr>
        <w:t>）</w:t>
      </w:r>
      <w:r>
        <w:rPr>
          <w:vertAlign w:val="baseline"/>
        </w:rPr>
        <w:t>，且硫含量大大低于标准值</w:t>
      </w:r>
      <w:r>
        <w:rPr>
          <w:spacing w:val="-18"/>
          <w:vertAlign w:val="baseline"/>
        </w:rPr>
        <w:t>（</w:t>
      </w:r>
      <w:r>
        <w:rPr>
          <w:rFonts w:ascii="幼圆" w:eastAsia="幼圆" w:hAnsi="幼圆" w:hint="eastAsia"/>
          <w:vertAlign w:val="baseline"/>
        </w:rPr>
        <w:t>≤0.</w:t>
      </w:r>
      <w:r>
        <w:rPr>
          <w:rFonts w:ascii="幼圆" w:eastAsia="幼圆" w:hAnsi="幼圆" w:hint="eastAsia"/>
          <w:spacing w:val="-72"/>
          <w:vertAlign w:val="baseline"/>
        </w:rPr>
        <w:t>0</w:t>
      </w:r>
      <w:r>
        <w:rPr>
          <w:rFonts w:ascii="Arial" w:eastAsia="Arial" w:hAnsi="Arial"/>
          <w:spacing w:val="-229"/>
          <w:w w:val="93"/>
          <w:vertAlign w:val="baseline"/>
        </w:rPr>
        <w:t>%</w:t>
      </w:r>
      <w:r>
        <w:rPr>
          <w:rFonts w:ascii="幼圆" w:eastAsia="幼圆" w:hAnsi="幼圆" w:hint="eastAsia"/>
          <w:vertAlign w:val="baseline"/>
        </w:rPr>
        <w:t>8</w:t>
      </w:r>
      <w:r>
        <w:rPr>
          <w:rFonts w:ascii="幼圆" w:eastAsia="幼圆" w:hAnsi="幼圆" w:hint="eastAsia"/>
          <w:spacing w:val="-133"/>
          <w:vertAlign w:val="baseline"/>
        </w:rPr>
        <w:t xml:space="preserve"> </w:t>
      </w:r>
      <w:r>
        <w:rPr>
          <w:spacing w:val="-180"/>
          <w:vertAlign w:val="baseline"/>
        </w:rPr>
        <w:t>）</w:t>
      </w:r>
      <w:r>
        <w:rPr>
          <w:vertAlign w:val="baseline"/>
        </w:rPr>
        <w:t>，是合格的</w:t>
      </w:r>
      <w:r>
        <w:rPr>
          <w:spacing w:val="-14"/>
          <w:vertAlign w:val="baseline"/>
        </w:rPr>
        <w:t xml:space="preserve">优质洁净燃料。中间油约占全部直接液化油的 </w:t>
      </w:r>
      <w:r>
        <w:rPr>
          <w:rFonts w:ascii="Arial" w:eastAsia="Arial" w:hAnsi="Arial"/>
          <w:spacing w:val="-11"/>
          <w:vertAlign w:val="baseline"/>
        </w:rPr>
        <w:t>50~60%</w:t>
      </w:r>
      <w:r>
        <w:rPr>
          <w:spacing w:val="-3"/>
          <w:vertAlign w:val="baseline"/>
        </w:rPr>
        <w:t>，芳烃含量高达</w:t>
      </w:r>
      <w:r>
        <w:rPr>
          <w:rFonts w:ascii="Arial" w:eastAsia="Arial" w:hAnsi="Arial"/>
          <w:spacing w:val="-3"/>
          <w:vertAlign w:val="baseline"/>
        </w:rPr>
        <w:t>70%</w:t>
      </w:r>
      <w:r>
        <w:rPr>
          <w:spacing w:val="-3"/>
          <w:vertAlign w:val="baseline"/>
        </w:rPr>
        <w:t>以上，经深度加氢后可获得合格柴油。重油馏分一般占液化粗油</w:t>
      </w:r>
      <w:r>
        <w:rPr>
          <w:spacing w:val="50"/>
          <w:w w:val="95"/>
          <w:vertAlign w:val="baseline"/>
        </w:rPr>
        <w:t xml:space="preserve">的 </w:t>
      </w:r>
      <w:r>
        <w:rPr>
          <w:rFonts w:ascii="Arial" w:eastAsia="Arial" w:hAnsi="Arial"/>
          <w:w w:val="95"/>
          <w:vertAlign w:val="baseline"/>
        </w:rPr>
        <w:t>10~20%</w:t>
      </w:r>
      <w:r>
        <w:rPr>
          <w:spacing w:val="-1"/>
          <w:w w:val="95"/>
          <w:vertAlign w:val="baseline"/>
        </w:rPr>
        <w:t>，有的工艺该馏分很少，由于杂原子、沥青烯含量较高，加</w:t>
      </w:r>
      <w:r>
        <w:rPr>
          <w:vertAlign w:val="baseline"/>
        </w:rPr>
        <w:t>工较困难，可以作为燃料油使用。煤液化中油和重油混合经加氢裂化可以制取汽油，并在加氢裂化前进行深度加氢以除去其中的杂原子及金属盐。</w:t>
      </w:r>
    </w:p>
    <w:p>
      <w:pPr>
        <w:pStyle w:val="BodyText"/>
        <w:spacing w:line="483" w:lineRule="exact"/>
        <w:ind w:left="1273"/>
        <w:rPr>
          <w:sz w:val="31"/>
        </w:rPr>
      </w:pPr>
      <w:r>
        <w:t>煤在一定温度、压力下的加氢液化过程基本分为下面三大步骤</w:t>
      </w:r>
      <w:r>
        <w:rPr>
          <w:rFonts w:ascii="Arial" w:eastAsia="Arial"/>
          <w:vertAlign w:val="subscript"/>
        </w:rPr>
        <w:t>[7,8]</w:t>
      </w:r>
      <w:r>
        <w:rPr>
          <w:position w:val="-3"/>
          <w:sz w:val="31"/>
          <w:vertAlign w:val="baseline"/>
        </w:rPr>
        <w:t>：</w:t>
      </w:r>
    </w:p>
    <w:p>
      <w:pPr>
        <w:pStyle w:val="ListParagraph"/>
        <w:numPr>
          <w:ilvl w:val="3"/>
          <w:numId w:val="22"/>
        </w:numPr>
        <w:tabs>
          <w:tab w:val="left" w:pos="2175"/>
        </w:tabs>
        <w:spacing w:before="119" w:after="0" w:line="316" w:lineRule="auto"/>
        <w:ind w:left="644" w:right="2208" w:firstLine="629"/>
        <w:jc w:val="both"/>
        <w:rPr>
          <w:sz w:val="36"/>
        </w:rPr>
      </w:pPr>
      <w:r>
        <w:rPr>
          <w:spacing w:val="-10"/>
          <w:sz w:val="36"/>
        </w:rPr>
        <w:t xml:space="preserve">当温度升至 </w:t>
      </w:r>
      <w:r>
        <w:rPr>
          <w:rFonts w:ascii="Arial" w:eastAsia="Arial" w:hAnsi="Arial"/>
          <w:sz w:val="36"/>
        </w:rPr>
        <w:t>300</w:t>
      </w:r>
      <w:r>
        <w:rPr>
          <w:spacing w:val="-1"/>
          <w:sz w:val="36"/>
        </w:rPr>
        <w:t>℃以上时，煤受热分解，即煤的大分子结构</w:t>
      </w:r>
      <w:r>
        <w:rPr>
          <w:sz w:val="36"/>
        </w:rPr>
        <w:t>中较弱的桥键开始断裂，打碎了煤的分子结构，从而产生大量的以结构单元为基体的自由基碎片，自由基的相对分子质量在数百范围。</w:t>
      </w:r>
    </w:p>
    <w:p>
      <w:pPr>
        <w:pStyle w:val="ListParagraph"/>
        <w:numPr>
          <w:ilvl w:val="3"/>
          <w:numId w:val="22"/>
        </w:numPr>
        <w:tabs>
          <w:tab w:val="left" w:pos="2175"/>
        </w:tabs>
        <w:spacing w:before="0" w:after="0" w:line="316" w:lineRule="auto"/>
        <w:ind w:left="644" w:right="2023" w:firstLine="629"/>
        <w:jc w:val="left"/>
        <w:rPr>
          <w:sz w:val="36"/>
        </w:rPr>
      </w:pPr>
      <w:r>
        <w:rPr>
          <w:sz w:val="36"/>
        </w:rPr>
        <w:t>在具有供氢能力的溶剂环境和较高氢气压力的条件下、自由基被加氢得到稳定，成为沥青烯及液化油分子。能与自由基结合的氢</w:t>
      </w:r>
      <w:r>
        <w:rPr>
          <w:spacing w:val="-13"/>
          <w:sz w:val="36"/>
        </w:rPr>
        <w:t>并非是分子氢</w:t>
      </w:r>
      <w:r>
        <w:rPr>
          <w:sz w:val="36"/>
        </w:rPr>
        <w:t>（</w:t>
      </w:r>
      <w:r>
        <w:rPr>
          <w:rFonts w:ascii="Arial" w:eastAsia="Arial"/>
          <w:spacing w:val="-1"/>
          <w:w w:val="99"/>
          <w:sz w:val="36"/>
        </w:rPr>
        <w:t>H</w:t>
      </w:r>
      <w:r>
        <w:rPr>
          <w:rFonts w:ascii="Arial" w:eastAsia="Arial"/>
          <w:spacing w:val="-23"/>
          <w:w w:val="89"/>
          <w:position w:val="-12"/>
          <w:sz w:val="29"/>
        </w:rPr>
        <w:t>2</w:t>
      </w:r>
      <w:r>
        <w:rPr>
          <w:spacing w:val="-180"/>
          <w:sz w:val="36"/>
        </w:rPr>
        <w:t>）</w:t>
      </w:r>
      <w:r>
        <w:rPr>
          <w:spacing w:val="-17"/>
          <w:sz w:val="36"/>
        </w:rPr>
        <w:t>，而应是氢自由基，即氢原子，或者是活化氢分子，</w:t>
      </w:r>
    </w:p>
    <w:p>
      <w:pPr>
        <w:pStyle w:val="BodyText"/>
        <w:spacing w:line="370" w:lineRule="exact"/>
        <w:ind w:left="644"/>
      </w:pPr>
      <w:r>
        <w:t>氢原子或活化氢分子的来源有：①煤分子中碳氢键断裂产生的氢自由</w:t>
      </w:r>
    </w:p>
    <w:p>
      <w:pPr>
        <w:pStyle w:val="BodyText"/>
        <w:spacing w:before="147" w:line="316" w:lineRule="auto"/>
        <w:ind w:left="644" w:right="2295"/>
        <w:jc w:val="both"/>
      </w:pPr>
      <w:r>
        <w:rPr>
          <w:spacing w:val="-1"/>
        </w:rPr>
        <w:t>基；②供氢溶剂碳氢键断裂产生的氢自由基；③氢气中的氢分子被催化剂活化；④化学反应放出的氢。当外界提供的活性氢不足时，自由基碎片可发生缩聚反应和高温下的脱氢反应，最后生成固体半焦或焦</w:t>
      </w:r>
    </w:p>
    <w:p>
      <w:pPr>
        <w:spacing w:after="0" w:line="316" w:lineRule="auto"/>
        <w:jc w:val="both"/>
        <w:sectPr>
          <w:pgSz w:w="15480" w:h="21860"/>
          <w:pgMar w:top="2020" w:right="0" w:bottom="280" w:left="1740" w:header="708" w:footer="708"/>
          <w:pgNumType w:start="12"/>
          <w:cols w:space="708"/>
        </w:sectPr>
      </w:pPr>
    </w:p>
    <w:p>
      <w:pPr>
        <w:pStyle w:val="BodyText"/>
        <w:spacing w:before="24"/>
        <w:ind w:left="644"/>
      </w:pPr>
      <w:r>
        <w:t>炭。</w:t>
      </w:r>
    </w:p>
    <w:p>
      <w:pPr>
        <w:pStyle w:val="ListParagraph"/>
        <w:numPr>
          <w:ilvl w:val="3"/>
          <w:numId w:val="33"/>
        </w:numPr>
        <w:tabs>
          <w:tab w:val="left" w:pos="2175"/>
        </w:tabs>
        <w:spacing w:before="147" w:after="0" w:line="240" w:lineRule="auto"/>
        <w:ind w:left="2174" w:right="0" w:hanging="902"/>
        <w:jc w:val="left"/>
        <w:rPr>
          <w:sz w:val="36"/>
        </w:rPr>
      </w:pPr>
      <w:r>
        <w:rPr>
          <w:sz w:val="36"/>
        </w:rPr>
        <w:t>沥青烯及液化油分子被继续加氢裂化生成更小的分子。</w:t>
      </w:r>
    </w:p>
    <w:p>
      <w:pPr>
        <w:pStyle w:val="BodyText"/>
        <w:spacing w:before="10"/>
        <w:rPr>
          <w:sz w:val="38"/>
        </w:rPr>
      </w:pPr>
    </w:p>
    <w:p>
      <w:pPr>
        <w:pStyle w:val="ListParagraph"/>
        <w:numPr>
          <w:ilvl w:val="2"/>
          <w:numId w:val="33"/>
        </w:numPr>
        <w:tabs>
          <w:tab w:val="left" w:pos="1454"/>
        </w:tabs>
        <w:spacing w:before="0" w:after="0" w:line="240" w:lineRule="auto"/>
        <w:ind w:left="1453" w:right="0" w:hanging="810"/>
        <w:jc w:val="left"/>
        <w:rPr>
          <w:rFonts w:ascii="Arial" w:eastAsia="Arial"/>
          <w:sz w:val="36"/>
        </w:rPr>
      </w:pPr>
      <w:r>
        <w:rPr>
          <w:rFonts w:ascii="幼圆" w:eastAsia="幼圆" w:hint="eastAsia"/>
          <w:sz w:val="36"/>
        </w:rPr>
        <w:t>煤直接液化技术的发展</w:t>
      </w:r>
    </w:p>
    <w:p>
      <w:pPr>
        <w:pStyle w:val="BodyText"/>
        <w:spacing w:before="147" w:line="316" w:lineRule="auto"/>
        <w:ind w:left="644" w:right="2295" w:firstLine="719"/>
        <w:jc w:val="both"/>
      </w:pPr>
      <w:r>
        <w:t>煤炭直接液化技术已经走过了近一个世纪的发展历程。每一步进展都与世界的政治、经济科技及能源格局有着密切的关系。归结起来可以看作三个阶段，每一个阶段都开发了当时最先进的工艺技术</w:t>
      </w:r>
      <w:r>
        <w:rPr>
          <w:rFonts w:ascii="Arial" w:eastAsia="Arial"/>
          <w:vertAlign w:val="subscript"/>
        </w:rPr>
        <w:t>[9]</w:t>
      </w:r>
      <w:r>
        <w:rPr>
          <w:vertAlign w:val="baseline"/>
        </w:rPr>
        <w:t>。</w:t>
      </w:r>
    </w:p>
    <w:p>
      <w:pPr>
        <w:pStyle w:val="BodyText"/>
        <w:spacing w:line="316" w:lineRule="auto"/>
        <w:ind w:left="644" w:right="2030" w:firstLine="719"/>
      </w:pPr>
      <w:r>
        <w:rPr>
          <w:spacing w:val="-3"/>
          <w:w w:val="95"/>
        </w:rPr>
        <w:t>第一代液化技术：</w:t>
      </w:r>
      <w:r>
        <w:rPr>
          <w:rFonts w:ascii="Arial" w:eastAsia="Arial" w:hAnsi="Arial"/>
          <w:spacing w:val="-19"/>
          <w:w w:val="95"/>
        </w:rPr>
        <w:t>1913</w:t>
      </w:r>
      <w:r>
        <w:rPr>
          <w:rFonts w:ascii="Arial" w:eastAsia="Arial" w:hAnsi="Arial"/>
          <w:spacing w:val="55"/>
          <w:w w:val="95"/>
        </w:rPr>
        <w:t xml:space="preserve"> </w:t>
      </w:r>
      <w:r>
        <w:rPr>
          <w:spacing w:val="-9"/>
          <w:w w:val="95"/>
        </w:rPr>
        <w:t xml:space="preserve">年到第二次世界大战结束。在这段时间里， </w:t>
      </w:r>
      <w:r>
        <w:rPr>
          <w:spacing w:val="-1"/>
        </w:rPr>
        <w:t>德国首先开启了煤炭液化的进程。</w:t>
      </w:r>
      <w:r>
        <w:rPr>
          <w:rFonts w:ascii="Arial" w:eastAsia="Arial" w:hAnsi="Arial"/>
        </w:rPr>
        <w:t>1913</w:t>
      </w:r>
      <w:r>
        <w:rPr>
          <w:rFonts w:ascii="Arial" w:eastAsia="Arial" w:hAnsi="Arial"/>
          <w:spacing w:val="-38"/>
        </w:rPr>
        <w:t xml:space="preserve"> </w:t>
      </w:r>
      <w:r>
        <w:t>年，德国的柏吉乌斯首先研究了煤的高压加氢，从而为煤的直接液化奠定了基础，并获得世界上第</w:t>
      </w:r>
      <w:r>
        <w:rPr>
          <w:spacing w:val="-4"/>
          <w:w w:val="95"/>
        </w:rPr>
        <w:t>一个煤直接液化专利。</w:t>
      </w:r>
      <w:r>
        <w:rPr>
          <w:rFonts w:ascii="Arial" w:eastAsia="Arial" w:hAnsi="Arial"/>
          <w:w w:val="95"/>
        </w:rPr>
        <w:t>1927</w:t>
      </w:r>
      <w:r>
        <w:rPr>
          <w:rFonts w:ascii="Arial" w:eastAsia="Arial" w:hAnsi="Arial"/>
          <w:spacing w:val="45"/>
          <w:w w:val="95"/>
        </w:rPr>
        <w:t xml:space="preserve">  </w:t>
      </w:r>
      <w:r>
        <w:rPr>
          <w:spacing w:val="-5"/>
          <w:w w:val="95"/>
        </w:rPr>
        <w:t>年，德国在莱那</w:t>
      </w:r>
      <w:r>
        <w:rPr>
          <w:rFonts w:ascii="Arial" w:eastAsia="Arial" w:hAnsi="Arial"/>
          <w:w w:val="95"/>
        </w:rPr>
        <w:t>(Leuna)</w:t>
      </w:r>
      <w:r>
        <w:rPr>
          <w:w w:val="95"/>
        </w:rPr>
        <w:t>建立了世界上第一</w:t>
      </w:r>
      <w:r>
        <w:t>个</w:t>
      </w:r>
      <w:r>
        <w:rPr>
          <w:spacing w:val="-13"/>
        </w:rPr>
        <w:t xml:space="preserve">煤直接液化厂，规模 </w:t>
      </w:r>
      <w:r>
        <w:rPr>
          <w:rFonts w:ascii="Arial" w:eastAsia="Arial" w:hAnsi="Arial"/>
        </w:rPr>
        <w:t>10</w:t>
      </w:r>
      <w:r>
        <w:rPr>
          <w:rFonts w:ascii="Arial" w:eastAsia="Arial" w:hAnsi="Arial"/>
          <w:spacing w:val="-45"/>
        </w:rPr>
        <w:t xml:space="preserve"> </w:t>
      </w:r>
      <w:r>
        <w:rPr>
          <w:spacing w:val="-62"/>
        </w:rPr>
        <w:t xml:space="preserve">万 </w:t>
      </w:r>
      <w:r>
        <w:rPr>
          <w:rFonts w:ascii="Arial" w:eastAsia="Arial" w:hAnsi="Arial"/>
        </w:rPr>
        <w:t>t/a</w:t>
      </w:r>
      <w:r>
        <w:rPr>
          <w:spacing w:val="-42"/>
        </w:rPr>
        <w:t xml:space="preserve">。在 </w:t>
      </w:r>
      <w:r>
        <w:rPr>
          <w:rFonts w:ascii="Arial" w:eastAsia="Arial" w:hAnsi="Arial"/>
        </w:rPr>
        <w:t>1936~1943</w:t>
      </w:r>
      <w:r>
        <w:rPr>
          <w:rFonts w:ascii="Arial" w:eastAsia="Arial" w:hAnsi="Arial"/>
          <w:spacing w:val="-42"/>
        </w:rPr>
        <w:t xml:space="preserve"> </w:t>
      </w:r>
      <w:r>
        <w:rPr>
          <w:spacing w:val="-18"/>
        </w:rPr>
        <w:t xml:space="preserve">年，德国又有 </w:t>
      </w:r>
      <w:r>
        <w:rPr>
          <w:rFonts w:ascii="Arial" w:eastAsia="Arial" w:hAnsi="Arial"/>
        </w:rPr>
        <w:t>11</w:t>
      </w:r>
      <w:r>
        <w:rPr>
          <w:rFonts w:ascii="Arial" w:eastAsia="Arial" w:hAnsi="Arial"/>
          <w:spacing w:val="-53"/>
        </w:rPr>
        <w:t xml:space="preserve"> </w:t>
      </w:r>
      <w:r>
        <w:t>套直接</w:t>
      </w:r>
      <w:r>
        <w:rPr>
          <w:spacing w:val="-8"/>
        </w:rPr>
        <w:t xml:space="preserve">液化装置建成投产，到 </w:t>
      </w:r>
      <w:r>
        <w:rPr>
          <w:rFonts w:ascii="Arial" w:eastAsia="Arial" w:hAnsi="Arial"/>
        </w:rPr>
        <w:t>1944</w:t>
      </w:r>
      <w:r>
        <w:rPr>
          <w:rFonts w:ascii="Arial" w:eastAsia="Arial" w:hAnsi="Arial"/>
          <w:spacing w:val="-3"/>
        </w:rPr>
        <w:t xml:space="preserve"> </w:t>
      </w:r>
      <w:r>
        <w:rPr>
          <w:spacing w:val="-10"/>
        </w:rPr>
        <w:t xml:space="preserve">年，生产能力达到 </w:t>
      </w:r>
      <w:r>
        <w:rPr>
          <w:rFonts w:ascii="Arial" w:eastAsia="Arial" w:hAnsi="Arial"/>
        </w:rPr>
        <w:t>423</w:t>
      </w:r>
      <w:r>
        <w:rPr>
          <w:rFonts w:ascii="Arial" w:eastAsia="Arial" w:hAnsi="Arial"/>
          <w:spacing w:val="-2"/>
        </w:rPr>
        <w:t xml:space="preserve"> </w:t>
      </w:r>
      <w:r>
        <w:rPr>
          <w:spacing w:val="-41"/>
        </w:rPr>
        <w:t xml:space="preserve">万 </w:t>
      </w:r>
      <w:r>
        <w:rPr>
          <w:rFonts w:ascii="Arial" w:eastAsia="Arial" w:hAnsi="Arial"/>
        </w:rPr>
        <w:t>t/a</w:t>
      </w:r>
      <w:r>
        <w:t>，为发动第</w:t>
      </w:r>
      <w:r>
        <w:rPr>
          <w:spacing w:val="-8"/>
        </w:rPr>
        <w:t xml:space="preserve">二次世界大战的德国提供了大约 </w:t>
      </w:r>
      <w:r>
        <w:rPr>
          <w:rFonts w:ascii="Arial" w:eastAsia="Arial" w:hAnsi="Arial"/>
        </w:rPr>
        <w:t>70%</w:t>
      </w:r>
      <w:r>
        <w:rPr>
          <w:spacing w:val="-22"/>
        </w:rPr>
        <w:t xml:space="preserve">的汽车和 </w:t>
      </w:r>
      <w:r>
        <w:rPr>
          <w:rFonts w:ascii="Arial" w:eastAsia="Arial" w:hAnsi="Arial"/>
        </w:rPr>
        <w:t>50%</w:t>
      </w:r>
      <w:r>
        <w:t>装甲车用油。当时</w:t>
      </w:r>
      <w:r>
        <w:rPr>
          <w:spacing w:val="-7"/>
        </w:rPr>
        <w:t xml:space="preserve">的液化反应条件较为苛刻，反应温度 </w:t>
      </w:r>
      <w:r>
        <w:rPr>
          <w:rFonts w:ascii="Arial" w:eastAsia="Arial" w:hAnsi="Arial"/>
        </w:rPr>
        <w:t>470</w:t>
      </w:r>
      <w:r>
        <w:rPr>
          <w:spacing w:val="-16"/>
        </w:rPr>
        <w:t xml:space="preserve">℃，反应压力 </w:t>
      </w:r>
      <w:r>
        <w:rPr>
          <w:rFonts w:ascii="Arial" w:eastAsia="Arial" w:hAnsi="Arial"/>
        </w:rPr>
        <w:t>70MPa</w:t>
      </w:r>
      <w:r>
        <w:t>。</w:t>
      </w:r>
    </w:p>
    <w:p>
      <w:pPr>
        <w:pStyle w:val="BodyText"/>
        <w:spacing w:line="316" w:lineRule="auto"/>
        <w:ind w:left="644" w:right="2031" w:firstLine="719"/>
      </w:pPr>
      <w:r>
        <w:t>第二代液化技术：二次世界大战后，由于中东地区大量廉价石油的开发，使煤直接液化失去了竞争力和继续存在的必要。</w:t>
      </w:r>
      <w:r>
        <w:rPr>
          <w:rFonts w:ascii="Arial" w:eastAsia="Arial"/>
        </w:rPr>
        <w:t xml:space="preserve">1973 </w:t>
      </w:r>
      <w:r>
        <w:t>年后， 西方世界发生了一场能源危机，煤转化技术研究又开始活跃起来。德国、美国、日本等主要工业发达国家，做了大量的研究工作。大部分的研究工作重点放在如何降低反应条件，即降低反应压力从而达到降低煤液化油的生产成本的目的。主要的成果有：美国的氢</w:t>
      </w:r>
      <w:r>
        <w:rPr>
          <w:rFonts w:ascii="Arial" w:eastAsia="Arial"/>
        </w:rPr>
        <w:t>-</w:t>
      </w:r>
      <w:r>
        <w:t>煤法、溶剂精炼煤法、供氢溶剂法、日本的</w:t>
      </w:r>
      <w:r>
        <w:rPr>
          <w:rFonts w:ascii="Arial" w:eastAsia="Arial"/>
        </w:rPr>
        <w:t xml:space="preserve">NEDOL </w:t>
      </w:r>
      <w:r>
        <w:t>法及西德开发的德国新工艺。这些技术存在的普遍缺点是：</w:t>
      </w:r>
      <w:r>
        <w:rPr>
          <w:rFonts w:ascii="Arial" w:eastAsia="Arial"/>
        </w:rPr>
        <w:t>1</w:t>
      </w:r>
      <w:r>
        <w:t>）因反应选择性欠佳，气态烃多，耗氢高，故成本高；</w:t>
      </w:r>
      <w:r>
        <w:rPr>
          <w:rFonts w:ascii="Arial" w:eastAsia="Arial"/>
        </w:rPr>
        <w:t>2</w:t>
      </w:r>
      <w:r>
        <w:t xml:space="preserve">）固液分离技术虽有所改进，但尚未根本解决； </w:t>
      </w:r>
      <w:r>
        <w:rPr>
          <w:rFonts w:ascii="Arial" w:eastAsia="Arial"/>
        </w:rPr>
        <w:t>3</w:t>
      </w:r>
      <w:r>
        <w:t>） 催化剂不理想，铁催化剂活性不够好，钻</w:t>
      </w:r>
      <w:r>
        <w:rPr>
          <w:rFonts w:ascii="Arial" w:eastAsia="Arial"/>
        </w:rPr>
        <w:t>-</w:t>
      </w:r>
      <w:r>
        <w:t>镍催化剂成本高。</w:t>
      </w:r>
    </w:p>
    <w:p>
      <w:pPr>
        <w:pStyle w:val="BodyText"/>
        <w:spacing w:line="316" w:lineRule="auto"/>
        <w:ind w:left="644" w:right="2111" w:firstLine="719"/>
      </w:pPr>
      <w:r>
        <w:t>第三代液化技术</w:t>
      </w:r>
      <w:r>
        <w:rPr>
          <w:rFonts w:ascii="Arial" w:eastAsia="Arial"/>
          <w:vertAlign w:val="subscript"/>
        </w:rPr>
        <w:t>[10]</w:t>
      </w:r>
      <w:r>
        <w:rPr>
          <w:vertAlign w:val="baseline"/>
        </w:rPr>
        <w:t>：为进一步改进和完善煤直接液化技术，世界几大工业国美国、德国和日本正在继续研究开发第三代煤直接液化新工艺。具有代表性的目前世界上最先进的几种煤直接液化工艺是：</w:t>
      </w:r>
      <w:r>
        <w:rPr>
          <w:rFonts w:ascii="Times New Roman" w:eastAsia="Times New Roman"/>
          <w:b/>
          <w:vertAlign w:val="baseline"/>
        </w:rPr>
        <w:t>1</w:t>
      </w:r>
      <w:r>
        <w:rPr>
          <w:b/>
          <w:vertAlign w:val="baseline"/>
        </w:rPr>
        <w:t xml:space="preserve">） </w:t>
      </w:r>
      <w:r>
        <w:rPr>
          <w:vertAlign w:val="baseline"/>
        </w:rPr>
        <w:t>美国碳氢化合物研究公司两段催化液化工艺；</w:t>
      </w:r>
      <w:r>
        <w:rPr>
          <w:rFonts w:ascii="Times New Roman" w:eastAsia="Times New Roman"/>
          <w:b/>
          <w:vertAlign w:val="baseline"/>
        </w:rPr>
        <w:t>2</w:t>
      </w:r>
      <w:r>
        <w:rPr>
          <w:b/>
          <w:vertAlign w:val="baseline"/>
        </w:rPr>
        <w:t>）</w:t>
      </w:r>
      <w:r>
        <w:rPr>
          <w:vertAlign w:val="baseline"/>
        </w:rPr>
        <w:t>美国的煤油共炼工艺</w:t>
      </w:r>
    </w:p>
    <w:p>
      <w:pPr>
        <w:spacing w:after="0" w:line="316" w:lineRule="auto"/>
        <w:sectPr>
          <w:pgSz w:w="15480" w:h="21860"/>
          <w:pgMar w:top="2020" w:right="0" w:bottom="280" w:left="1740" w:header="708" w:footer="708"/>
          <w:pgNumType w:start="13"/>
          <w:cols w:space="708"/>
        </w:sectPr>
      </w:pPr>
    </w:p>
    <w:p>
      <w:pPr>
        <w:pStyle w:val="BodyText"/>
        <w:spacing w:before="44" w:line="316" w:lineRule="auto"/>
        <w:ind w:left="644" w:right="2308"/>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9829800" cy="13690599"/>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9829800" cy="13690599"/>
                    </a:xfrm>
                    <a:prstGeom prst="rect">
                      <a:avLst/>
                    </a:prstGeom>
                  </pic:spPr>
                </pic:pic>
              </a:graphicData>
            </a:graphic>
          </wp:anchor>
        </w:drawing>
      </w:r>
      <w:r>
        <w:rPr>
          <w:rFonts w:ascii="Arial" w:eastAsia="Arial"/>
          <w:w w:val="95"/>
        </w:rPr>
        <w:t>COP</w:t>
      </w:r>
      <w:r>
        <w:rPr>
          <w:spacing w:val="-1"/>
          <w:w w:val="95"/>
        </w:rPr>
        <w:t xml:space="preserve">。这些新的液化工艺具有反应条件缓和，油收率高和油价相对低 </w:t>
      </w:r>
      <w:r>
        <w:t>廉的特点。</w:t>
      </w:r>
    </w:p>
    <w:p>
      <w:pPr>
        <w:pStyle w:val="BodyText"/>
        <w:spacing w:before="2"/>
        <w:rPr>
          <w:sz w:val="27"/>
        </w:rPr>
      </w:pPr>
    </w:p>
    <w:p>
      <w:pPr>
        <w:pStyle w:val="ListParagraph"/>
        <w:numPr>
          <w:ilvl w:val="2"/>
          <w:numId w:val="22"/>
        </w:numPr>
        <w:tabs>
          <w:tab w:val="left" w:pos="1454"/>
        </w:tabs>
        <w:spacing w:before="1" w:after="0" w:line="240" w:lineRule="auto"/>
        <w:ind w:left="1453" w:right="0" w:hanging="810"/>
        <w:jc w:val="left"/>
        <w:rPr>
          <w:rFonts w:ascii="Arial" w:eastAsia="Arial"/>
          <w:sz w:val="36"/>
        </w:rPr>
      </w:pPr>
      <w:r>
        <w:rPr>
          <w:rFonts w:ascii="黑体" w:eastAsia="黑体" w:hint="eastAsia"/>
          <w:sz w:val="36"/>
        </w:rPr>
        <w:t>煤炭直接液化典型工艺</w:t>
      </w:r>
    </w:p>
    <w:p>
      <w:pPr>
        <w:pStyle w:val="BodyText"/>
        <w:spacing w:before="147" w:line="316" w:lineRule="auto"/>
        <w:ind w:left="644" w:right="2295" w:firstLine="629"/>
        <w:jc w:val="both"/>
      </w:pPr>
      <w:r>
        <w:t>自从德国发明了煤炭直接液化技术之后，美国、日本、英国、俄国也都独自研发出了拥有自主知识产权的液化技术。以下简单介绍几种</w:t>
      </w:r>
      <w:r>
        <w:rPr>
          <w:rFonts w:ascii="Arial" w:eastAsia="Arial"/>
          <w:vertAlign w:val="subscript"/>
        </w:rPr>
        <w:t>[11]</w:t>
      </w:r>
      <w:r>
        <w:rPr>
          <w:vertAlign w:val="baseline"/>
        </w:rPr>
        <w:t>型的煤炭直接液化工艺。</w:t>
      </w:r>
    </w:p>
    <w:p>
      <w:pPr>
        <w:pStyle w:val="ListParagraph"/>
        <w:numPr>
          <w:ilvl w:val="0"/>
          <w:numId w:val="21"/>
        </w:numPr>
        <w:tabs>
          <w:tab w:val="left" w:pos="1815"/>
        </w:tabs>
        <w:spacing w:before="0" w:after="0" w:line="461" w:lineRule="exact"/>
        <w:ind w:left="1814" w:right="0" w:hanging="542"/>
        <w:jc w:val="left"/>
        <w:rPr>
          <w:rFonts w:ascii="Arial" w:eastAsia="Arial"/>
          <w:sz w:val="34"/>
        </w:rPr>
      </w:pPr>
      <w:r>
        <w:rPr>
          <w:spacing w:val="-30"/>
          <w:sz w:val="36"/>
        </w:rPr>
        <w:t xml:space="preserve">德国 </w:t>
      </w:r>
      <w:r>
        <w:rPr>
          <w:rFonts w:ascii="Arial" w:eastAsia="Arial"/>
          <w:sz w:val="36"/>
        </w:rPr>
        <w:t>IGOR</w:t>
      </w:r>
      <w:r>
        <w:rPr>
          <w:rFonts w:ascii="Arial" w:eastAsia="Arial"/>
          <w:spacing w:val="-16"/>
          <w:sz w:val="36"/>
        </w:rPr>
        <w:t xml:space="preserve"> </w:t>
      </w:r>
      <w:r>
        <w:rPr>
          <w:sz w:val="36"/>
        </w:rPr>
        <w:t>工艺</w:t>
      </w:r>
      <w:r>
        <w:rPr>
          <w:rFonts w:ascii="Arial" w:eastAsia="Arial"/>
          <w:sz w:val="36"/>
          <w:vertAlign w:val="subscript"/>
        </w:rPr>
        <w:t>[12]</w:t>
      </w:r>
    </w:p>
    <w:p>
      <w:pPr>
        <w:pStyle w:val="BodyText"/>
        <w:spacing w:before="147" w:line="316" w:lineRule="auto"/>
        <w:ind w:left="644" w:right="2084" w:firstLine="719"/>
      </w:pPr>
      <w:r>
        <w:rPr>
          <w:spacing w:val="-5"/>
        </w:rPr>
        <w:t xml:space="preserve">该煤炭直接液化工艺以炼铝赤泥为催化剂，催化剂加入量为 </w:t>
      </w:r>
      <w:r>
        <w:rPr>
          <w:rFonts w:ascii="Arial" w:eastAsia="Arial" w:hAnsi="Arial"/>
          <w:spacing w:val="-7"/>
        </w:rPr>
        <w:t>4%</w:t>
      </w:r>
      <w:r>
        <w:rPr>
          <w:spacing w:val="-7"/>
        </w:rPr>
        <w:t xml:space="preserve">， </w:t>
      </w:r>
      <w:r>
        <w:t>不进行催化剂回收。该工艺的主要特点是：反应条件较苛刻，反应温</w:t>
      </w:r>
      <w:r>
        <w:rPr>
          <w:spacing w:val="53"/>
          <w:w w:val="95"/>
        </w:rPr>
        <w:t xml:space="preserve">度 </w:t>
      </w:r>
      <w:r>
        <w:rPr>
          <w:rFonts w:ascii="Arial" w:eastAsia="Arial" w:hAnsi="Arial"/>
          <w:w w:val="95"/>
        </w:rPr>
        <w:t>470</w:t>
      </w:r>
      <w:r>
        <w:rPr>
          <w:spacing w:val="8"/>
          <w:w w:val="95"/>
        </w:rPr>
        <w:t>℃，反应压力</w:t>
      </w:r>
      <w:r>
        <w:rPr>
          <w:rFonts w:ascii="Arial" w:eastAsia="Arial" w:hAnsi="Arial"/>
          <w:w w:val="95"/>
        </w:rPr>
        <w:t>30MPa</w:t>
      </w:r>
      <w:r>
        <w:rPr>
          <w:spacing w:val="-3"/>
          <w:w w:val="95"/>
        </w:rPr>
        <w:t>；催化剂使用炼铝工业的废渣</w:t>
      </w:r>
      <w:r>
        <w:rPr>
          <w:rFonts w:ascii="Arial" w:eastAsia="Arial" w:hAnsi="Arial"/>
          <w:w w:val="95"/>
        </w:rPr>
        <w:t>(</w:t>
      </w:r>
      <w:r>
        <w:rPr>
          <w:w w:val="95"/>
        </w:rPr>
        <w:t>赤泥</w:t>
      </w:r>
      <w:r>
        <w:rPr>
          <w:rFonts w:ascii="Arial" w:eastAsia="Arial" w:hAnsi="Arial"/>
          <w:w w:val="95"/>
        </w:rPr>
        <w:t>)</w:t>
      </w:r>
      <w:r>
        <w:rPr>
          <w:w w:val="95"/>
        </w:rPr>
        <w:t>；液化</w:t>
      </w:r>
      <w:r>
        <w:t>反应和液化油加氢精制在一个高压系统内进行，可一次得到杂原子含量极低的液化精制油。该液化油经过蒸馏就可以得到低辛烷值汽油， 汽油馏分再经重整即可得到高辛烷值汽油；配煤浆用的循环溶剂是加</w:t>
      </w:r>
      <w:r>
        <w:rPr>
          <w:spacing w:val="-4"/>
        </w:rPr>
        <w:t xml:space="preserve">氢油，供氢性能好，煤液化转化率高。其工艺流程框图见图 </w:t>
      </w:r>
      <w:r>
        <w:rPr>
          <w:rFonts w:ascii="Arial" w:eastAsia="Arial" w:hAnsi="Arial"/>
        </w:rPr>
        <w:t>2-1</w:t>
      </w:r>
      <w:r>
        <w:t>。</w:t>
      </w: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spacing w:before="309"/>
        <w:ind w:left="4424" w:right="0" w:firstLine="0"/>
        <w:jc w:val="left"/>
        <w:rPr>
          <w:rFonts w:ascii="黑体" w:eastAsia="黑体" w:hint="eastAsia"/>
          <w:sz w:val="31"/>
        </w:rPr>
      </w:pPr>
      <w:r>
        <w:rPr>
          <w:rFonts w:ascii="黑体" w:eastAsia="黑体" w:hint="eastAsia"/>
          <w:spacing w:val="-39"/>
          <w:sz w:val="31"/>
        </w:rPr>
        <w:t xml:space="preserve">图 </w:t>
      </w:r>
      <w:r>
        <w:rPr>
          <w:rFonts w:ascii="Arial" w:eastAsia="Arial"/>
          <w:sz w:val="31"/>
        </w:rPr>
        <w:t>2-1</w:t>
      </w:r>
      <w:r>
        <w:rPr>
          <w:rFonts w:ascii="Arial" w:eastAsia="Arial"/>
          <w:spacing w:val="67"/>
          <w:sz w:val="31"/>
        </w:rPr>
        <w:t xml:space="preserve"> </w:t>
      </w:r>
      <w:r>
        <w:rPr>
          <w:rFonts w:ascii="黑体" w:eastAsia="黑体" w:hint="eastAsia"/>
          <w:spacing w:val="38"/>
          <w:sz w:val="31"/>
        </w:rPr>
        <w:t>德国</w:t>
      </w:r>
      <w:r>
        <w:rPr>
          <w:rFonts w:ascii="Arial" w:eastAsia="Arial"/>
          <w:sz w:val="31"/>
        </w:rPr>
        <w:t xml:space="preserve">IGOR </w:t>
      </w:r>
      <w:r>
        <w:rPr>
          <w:rFonts w:ascii="黑体" w:eastAsia="黑体" w:hint="eastAsia"/>
          <w:sz w:val="31"/>
        </w:rPr>
        <w:t>流程</w:t>
      </w:r>
    </w:p>
    <w:p>
      <w:pPr>
        <w:pStyle w:val="BodyText"/>
        <w:spacing w:before="4"/>
        <w:rPr>
          <w:rFonts w:ascii="黑体"/>
          <w:sz w:val="29"/>
        </w:rPr>
      </w:pPr>
    </w:p>
    <w:p>
      <w:pPr>
        <w:pStyle w:val="BodyText"/>
        <w:spacing w:before="1" w:line="316" w:lineRule="auto"/>
        <w:ind w:left="644" w:right="2295" w:firstLine="719"/>
      </w:pPr>
      <w:r>
        <w:t>与老工艺相比，新工艺主要有以下改进：①固液分离不用离心过滤，而用闪蒸塔，生产能力大、效率高。②循环油不但不含固体，还</w:t>
      </w:r>
    </w:p>
    <w:p>
      <w:pPr>
        <w:spacing w:after="0" w:line="316" w:lineRule="auto"/>
        <w:sectPr>
          <w:pgSz w:w="15480" w:h="21860"/>
          <w:pgMar w:top="2000" w:right="0" w:bottom="280" w:left="1740" w:header="708" w:footer="708"/>
          <w:pgNumType w:start="14"/>
          <w:cols w:space="708"/>
        </w:sectPr>
      </w:pPr>
    </w:p>
    <w:p>
      <w:pPr>
        <w:pStyle w:val="BodyText"/>
        <w:spacing w:before="24" w:line="316" w:lineRule="auto"/>
        <w:ind w:left="644" w:right="2295"/>
        <w:jc w:val="both"/>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9829800" cy="13690599"/>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9829800" cy="13690599"/>
                    </a:xfrm>
                    <a:prstGeom prst="rect">
                      <a:avLst/>
                    </a:prstGeom>
                  </pic:spPr>
                </pic:pic>
              </a:graphicData>
            </a:graphic>
          </wp:anchor>
        </w:drawing>
      </w:r>
      <w:r>
        <w:t>基本上排除了沥青烯。③闪蒸塔底流出的淤浆有流动性，可以用泵输送到德士古气化炉，制氢或燃烧。④煤加氢和油精制一体化，油收率高，质量提高。</w:t>
      </w:r>
    </w:p>
    <w:p>
      <w:pPr>
        <w:pStyle w:val="ListParagraph"/>
        <w:numPr>
          <w:ilvl w:val="0"/>
          <w:numId w:val="34"/>
        </w:numPr>
        <w:tabs>
          <w:tab w:val="left" w:pos="1815"/>
        </w:tabs>
        <w:spacing w:before="0" w:after="0" w:line="460" w:lineRule="exact"/>
        <w:ind w:left="1814" w:right="0" w:hanging="542"/>
        <w:jc w:val="left"/>
        <w:rPr>
          <w:rFonts w:ascii="Arial" w:eastAsia="Arial"/>
          <w:sz w:val="34"/>
        </w:rPr>
      </w:pPr>
      <w:r>
        <w:rPr>
          <w:spacing w:val="-31"/>
          <w:sz w:val="36"/>
        </w:rPr>
        <w:t xml:space="preserve">日本 </w:t>
      </w:r>
      <w:r>
        <w:rPr>
          <w:rFonts w:ascii="Arial" w:eastAsia="Arial"/>
          <w:sz w:val="36"/>
        </w:rPr>
        <w:t>NEDOL</w:t>
      </w:r>
      <w:r>
        <w:rPr>
          <w:rFonts w:ascii="Arial" w:eastAsia="Arial"/>
          <w:spacing w:val="-12"/>
          <w:sz w:val="36"/>
        </w:rPr>
        <w:t xml:space="preserve"> </w:t>
      </w:r>
      <w:r>
        <w:rPr>
          <w:sz w:val="36"/>
        </w:rPr>
        <w:t>工艺</w:t>
      </w:r>
    </w:p>
    <w:p>
      <w:pPr>
        <w:pStyle w:val="BodyText"/>
        <w:spacing w:before="147" w:line="316" w:lineRule="auto"/>
        <w:ind w:left="644" w:right="2163" w:firstLine="719"/>
      </w:pPr>
      <w:r>
        <w:t>该煤炭直接液化工艺是日本解决能源问题的阳光计划的核心项目</w:t>
      </w:r>
      <w:r>
        <w:rPr>
          <w:w w:val="95"/>
        </w:rPr>
        <w:t>之一。它以天然黄铁矿为催化剂，催化剂加入量为</w:t>
      </w:r>
      <w:r>
        <w:rPr>
          <w:rFonts w:ascii="Arial" w:eastAsia="Arial" w:hAnsi="Arial"/>
          <w:w w:val="95"/>
        </w:rPr>
        <w:t>4%</w:t>
      </w:r>
      <w:r>
        <w:rPr>
          <w:spacing w:val="-3"/>
          <w:w w:val="95"/>
        </w:rPr>
        <w:t xml:space="preserve">，也不进行催化  </w:t>
      </w:r>
      <w:r>
        <w:rPr>
          <w:spacing w:val="-10"/>
        </w:rPr>
        <w:t xml:space="preserve">剂回收。反应压力为 </w:t>
      </w:r>
      <w:r>
        <w:rPr>
          <w:rFonts w:ascii="Arial" w:eastAsia="Arial" w:hAnsi="Arial"/>
        </w:rPr>
        <w:t>19MPa</w:t>
      </w:r>
      <w:r>
        <w:rPr>
          <w:spacing w:val="-14"/>
        </w:rPr>
        <w:t xml:space="preserve">，反应温度为 </w:t>
      </w:r>
      <w:r>
        <w:rPr>
          <w:rFonts w:ascii="Arial" w:eastAsia="Arial" w:hAnsi="Arial"/>
        </w:rPr>
        <w:t>460</w:t>
      </w:r>
      <w:r>
        <w:t>℃。其主要特点是循环溶剂全部在一个单独的固定床反应器中，用高活性催化剂预先加氢， 使之变为供氢溶剂。液化粗油经过冷却后再进行提质加工。液化残渣连同其中所含的重质油即可进一步进行油品回收，也可直接用作气化</w:t>
      </w:r>
      <w:r>
        <w:rPr>
          <w:spacing w:val="-6"/>
        </w:rPr>
        <w:t xml:space="preserve">制氢的原料。现己完成原料煤用量分别为 </w:t>
      </w:r>
      <w:r>
        <w:rPr>
          <w:rFonts w:ascii="Arial" w:eastAsia="Arial" w:hAnsi="Arial"/>
        </w:rPr>
        <w:t>0.01</w:t>
      </w:r>
      <w:r>
        <w:rPr>
          <w:rFonts w:ascii="Arial" w:eastAsia="Arial" w:hAnsi="Arial"/>
          <w:spacing w:val="-32"/>
        </w:rPr>
        <w:t xml:space="preserve"> </w:t>
      </w:r>
      <w:r>
        <w:rPr>
          <w:spacing w:val="-57"/>
        </w:rPr>
        <w:t xml:space="preserve">万 </w:t>
      </w:r>
      <w:r>
        <w:rPr>
          <w:rFonts w:ascii="Arial" w:eastAsia="Arial" w:hAnsi="Arial"/>
        </w:rPr>
        <w:t>t/a</w:t>
      </w:r>
      <w:r>
        <w:t>、</w:t>
      </w:r>
      <w:r>
        <w:rPr>
          <w:rFonts w:ascii="Arial" w:eastAsia="Arial" w:hAnsi="Arial"/>
        </w:rPr>
        <w:t>0.1</w:t>
      </w:r>
      <w:r>
        <w:rPr>
          <w:rFonts w:ascii="Arial" w:eastAsia="Arial" w:hAnsi="Arial"/>
          <w:spacing w:val="-33"/>
        </w:rPr>
        <w:t xml:space="preserve"> </w:t>
      </w:r>
      <w:r>
        <w:rPr>
          <w:spacing w:val="-57"/>
        </w:rPr>
        <w:t xml:space="preserve">万 </w:t>
      </w:r>
      <w:r>
        <w:rPr>
          <w:rFonts w:ascii="Arial" w:eastAsia="Arial" w:hAnsi="Arial"/>
        </w:rPr>
        <w:t>t/a</w:t>
      </w:r>
      <w:r>
        <w:t>、</w:t>
      </w:r>
      <w:r>
        <w:rPr>
          <w:rFonts w:ascii="Arial" w:eastAsia="Arial" w:hAnsi="Arial"/>
        </w:rPr>
        <w:t>1</w:t>
      </w:r>
      <w:r>
        <w:rPr>
          <w:rFonts w:ascii="Arial" w:eastAsia="Arial" w:hAnsi="Arial"/>
          <w:spacing w:val="-32"/>
        </w:rPr>
        <w:t xml:space="preserve"> </w:t>
      </w:r>
      <w:r>
        <w:t>万</w:t>
      </w:r>
    </w:p>
    <w:p>
      <w:pPr>
        <w:pStyle w:val="BodyText"/>
        <w:tabs>
          <w:tab w:val="left" w:pos="6725"/>
        </w:tabs>
        <w:spacing w:line="460" w:lineRule="exact"/>
        <w:ind w:left="644"/>
      </w:pPr>
      <w:r>
        <w:rPr>
          <w:rFonts w:ascii="Arial" w:eastAsia="Arial" w:hAnsi="Arial"/>
        </w:rPr>
        <w:t>t/a</w:t>
      </w:r>
      <w:r>
        <w:rPr>
          <w:rFonts w:ascii="Arial" w:eastAsia="Arial" w:hAnsi="Arial"/>
          <w:spacing w:val="-17"/>
        </w:rPr>
        <w:t xml:space="preserve"> </w:t>
      </w:r>
      <w:r>
        <w:t>以及</w:t>
      </w:r>
      <w:r>
        <w:rPr>
          <w:spacing w:val="-97"/>
        </w:rPr>
        <w:t xml:space="preserve"> </w:t>
      </w:r>
      <w:r>
        <w:rPr>
          <w:rFonts w:ascii="Arial" w:eastAsia="Arial" w:hAnsi="Arial"/>
        </w:rPr>
        <w:t>150</w:t>
      </w:r>
      <w:r>
        <w:rPr>
          <w:rFonts w:ascii="Arial" w:eastAsia="Arial" w:hAnsi="Arial"/>
          <w:spacing w:val="-20"/>
        </w:rPr>
        <w:t xml:space="preserve"> </w:t>
      </w:r>
      <w:r>
        <w:t>万</w:t>
      </w:r>
      <w:r>
        <w:rPr>
          <w:spacing w:val="-96"/>
        </w:rPr>
        <w:t xml:space="preserve"> </w:t>
      </w:r>
      <w:r>
        <w:rPr>
          <w:rFonts w:ascii="Arial" w:eastAsia="Arial" w:hAnsi="Arial"/>
        </w:rPr>
        <w:t>t/d</w:t>
      </w:r>
      <w:r>
        <w:rPr>
          <w:rFonts w:ascii="Arial" w:eastAsia="Arial" w:hAnsi="Arial"/>
          <w:spacing w:val="-18"/>
        </w:rPr>
        <w:t xml:space="preserve"> </w:t>
      </w:r>
      <w:r>
        <w:t>规模的试验研</w:t>
      </w:r>
      <w:r>
        <w:rPr>
          <w:spacing w:val="-3"/>
        </w:rPr>
        <w:t>究</w:t>
      </w:r>
      <w:r>
        <w:rPr>
          <w:rFonts w:ascii="Arial" w:eastAsia="Arial" w:hAnsi="Arial"/>
          <w:spacing w:val="-14"/>
          <w:position w:val="-2"/>
          <w:sz w:val="29"/>
        </w:rPr>
        <w:t>[13</w:t>
      </w:r>
      <w:r>
        <w:rPr>
          <w:spacing w:val="-319"/>
        </w:rPr>
        <w:t>。</w:t>
      </w:r>
      <w:r>
        <w:rPr>
          <w:rFonts w:ascii="Arial" w:eastAsia="Arial" w:hAnsi="Arial"/>
          <w:position w:val="-2"/>
          <w:sz w:val="29"/>
        </w:rPr>
        <w:t>]</w:t>
        <w:tab/>
      </w:r>
      <w:r>
        <w:rPr>
          <w:spacing w:val="-1"/>
        </w:rPr>
        <w:t>它集聚</w:t>
      </w:r>
      <w:r>
        <w:t>了</w:t>
      </w:r>
      <w:r>
        <w:rPr>
          <w:rFonts w:ascii="Times New Roman" w:eastAsia="Times New Roman" w:hAnsi="Times New Roman"/>
        </w:rPr>
        <w:t>“</w:t>
      </w:r>
      <w:r>
        <w:t>直接加氢法</w:t>
      </w:r>
      <w:r>
        <w:rPr>
          <w:rFonts w:ascii="Times New Roman" w:eastAsia="Times New Roman" w:hAnsi="Times New Roman"/>
        </w:rPr>
        <w:t>”</w:t>
      </w:r>
      <w:r>
        <w:t>、</w:t>
      </w:r>
      <w:r>
        <w:rPr>
          <w:rFonts w:ascii="Times New Roman" w:eastAsia="Times New Roman" w:hAnsi="Times New Roman"/>
        </w:rPr>
        <w:t>“</w:t>
      </w:r>
      <w:r>
        <w:t>溶剂</w:t>
      </w:r>
    </w:p>
    <w:p>
      <w:pPr>
        <w:pStyle w:val="BodyText"/>
        <w:spacing w:before="147" w:line="316" w:lineRule="auto"/>
        <w:ind w:left="644" w:right="2174"/>
      </w:pPr>
      <w:r>
        <w:t>萃取法</w:t>
      </w:r>
      <w:r>
        <w:rPr>
          <w:rFonts w:ascii="Times New Roman" w:eastAsia="Times New Roman" w:hAnsi="Times New Roman"/>
        </w:rPr>
        <w:t>”</w:t>
      </w:r>
      <w:r>
        <w:t>和</w:t>
      </w:r>
      <w:r>
        <w:rPr>
          <w:rFonts w:ascii="Times New Roman" w:eastAsia="Times New Roman" w:hAnsi="Times New Roman"/>
        </w:rPr>
        <w:t>“</w:t>
      </w:r>
      <w:r>
        <w:t>溶剂分解法</w:t>
      </w:r>
      <w:r>
        <w:rPr>
          <w:rFonts w:ascii="Times New Roman" w:eastAsia="Times New Roman" w:hAnsi="Times New Roman"/>
        </w:rPr>
        <w:t>”</w:t>
      </w:r>
      <w:r>
        <w:t xml:space="preserve">这三种烟煤液化法的优点，适用于从次烟煤至煤化度低的烟煤等广泛煤种。目前日本此项煤液化技术已达到世界先进水平。其工艺流程框图见图 </w:t>
      </w:r>
      <w:r>
        <w:rPr>
          <w:rFonts w:ascii="Arial" w:eastAsia="Arial" w:hAnsi="Arial"/>
        </w:rPr>
        <w:t>2-2</w:t>
      </w:r>
      <w:r>
        <w:t>。</w:t>
      </w: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spacing w:before="311"/>
        <w:ind w:left="4082" w:right="0" w:firstLine="0"/>
        <w:jc w:val="left"/>
        <w:rPr>
          <w:rFonts w:ascii="黑体" w:eastAsia="黑体" w:hint="eastAsia"/>
          <w:sz w:val="31"/>
        </w:rPr>
      </w:pPr>
      <w:r>
        <w:rPr>
          <w:rFonts w:ascii="黑体" w:eastAsia="黑体" w:hint="eastAsia"/>
          <w:sz w:val="31"/>
        </w:rPr>
        <w:t xml:space="preserve">图 </w:t>
      </w:r>
      <w:r>
        <w:rPr>
          <w:rFonts w:ascii="Arial" w:eastAsia="Arial"/>
          <w:sz w:val="31"/>
        </w:rPr>
        <w:t xml:space="preserve">2-2 </w:t>
      </w:r>
      <w:r>
        <w:rPr>
          <w:rFonts w:ascii="黑体" w:eastAsia="黑体" w:hint="eastAsia"/>
          <w:sz w:val="31"/>
        </w:rPr>
        <w:t>日本</w:t>
      </w:r>
      <w:r>
        <w:rPr>
          <w:rFonts w:ascii="Arial" w:eastAsia="Arial"/>
          <w:sz w:val="31"/>
        </w:rPr>
        <w:t xml:space="preserve">NEDOL </w:t>
      </w:r>
      <w:r>
        <w:rPr>
          <w:rFonts w:ascii="黑体" w:eastAsia="黑体" w:hint="eastAsia"/>
          <w:sz w:val="31"/>
        </w:rPr>
        <w:t>工艺流程</w:t>
      </w:r>
    </w:p>
    <w:p>
      <w:pPr>
        <w:pStyle w:val="BodyText"/>
        <w:spacing w:before="4"/>
        <w:rPr>
          <w:rFonts w:ascii="黑体"/>
          <w:sz w:val="29"/>
        </w:rPr>
      </w:pPr>
    </w:p>
    <w:p>
      <w:pPr>
        <w:pStyle w:val="BodyText"/>
        <w:tabs>
          <w:tab w:val="left" w:pos="8097"/>
        </w:tabs>
        <w:spacing w:line="316" w:lineRule="auto"/>
        <w:ind w:left="644" w:right="2206" w:firstLine="719"/>
      </w:pPr>
      <w:r>
        <w:rPr>
          <w:rFonts w:ascii="Arial" w:eastAsia="Arial" w:hAnsi="Arial"/>
        </w:rPr>
        <w:t>NEDOL</w:t>
      </w:r>
      <w:r>
        <w:rPr>
          <w:rFonts w:ascii="Arial" w:eastAsia="Arial" w:hAnsi="Arial"/>
          <w:spacing w:val="75"/>
        </w:rPr>
        <w:t xml:space="preserve"> </w:t>
      </w:r>
      <w:r>
        <w:t>工艺特点：①反应压力较低，为</w:t>
        <w:tab/>
      </w:r>
      <w:r>
        <w:rPr>
          <w:rFonts w:ascii="Arial" w:eastAsia="Arial" w:hAnsi="Arial"/>
          <w:w w:val="95"/>
        </w:rPr>
        <w:t>17~19MPa</w:t>
      </w:r>
      <w:r>
        <w:rPr>
          <w:w w:val="95"/>
        </w:rPr>
        <w:t>，反应温度</w:t>
      </w:r>
      <w:r>
        <w:rPr>
          <w:rFonts w:ascii="Arial" w:eastAsia="Arial" w:hAnsi="Arial"/>
          <w:spacing w:val="-6"/>
          <w:w w:val="95"/>
        </w:rPr>
        <w:t>455~465</w:t>
      </w:r>
      <w:r>
        <w:rPr>
          <w:spacing w:val="-6"/>
          <w:w w:val="95"/>
        </w:rPr>
        <w:t>℃；②</w:t>
      </w:r>
      <w:r>
        <w:rPr>
          <w:w w:val="95"/>
        </w:rPr>
        <w:t>催化剂采用合成硫化铁或天然硫铁矿</w:t>
      </w:r>
      <w:r>
        <w:rPr>
          <w:spacing w:val="-27"/>
          <w:w w:val="95"/>
        </w:rPr>
        <w:t>；③</w:t>
      </w:r>
      <w:r>
        <w:rPr>
          <w:w w:val="95"/>
        </w:rPr>
        <w:t>固液分离采</w:t>
      </w:r>
      <w:r>
        <w:rPr>
          <w:spacing w:val="-17"/>
          <w:w w:val="95"/>
        </w:rPr>
        <w:t>用</w:t>
      </w:r>
    </w:p>
    <w:p>
      <w:pPr>
        <w:spacing w:after="0" w:line="316" w:lineRule="auto"/>
        <w:sectPr>
          <w:pgSz w:w="15480" w:h="21860"/>
          <w:pgMar w:top="2020" w:right="0" w:bottom="280" w:left="1740" w:header="708" w:footer="708"/>
          <w:pgNumType w:start="15"/>
          <w:cols w:space="708"/>
        </w:sectPr>
      </w:pPr>
    </w:p>
    <w:p>
      <w:pPr>
        <w:pStyle w:val="BodyText"/>
        <w:spacing w:before="24" w:line="316" w:lineRule="auto"/>
        <w:ind w:left="644" w:right="2295"/>
        <w:jc w:val="both"/>
      </w:pPr>
      <w: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9829800" cy="13690599"/>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9829800" cy="13690599"/>
                    </a:xfrm>
                    <a:prstGeom prst="rect">
                      <a:avLst/>
                    </a:prstGeom>
                  </pic:spPr>
                </pic:pic>
              </a:graphicData>
            </a:graphic>
          </wp:anchor>
        </w:drawing>
      </w:r>
      <w:r>
        <w:t>减压蒸馏的方法；④配煤浆用的循环溶剂单独加氢，以提高溶剂的供氢能力；⑤液化油含有较多的杂原子，必须加氢提质才能获得合格产品。</w:t>
      </w:r>
    </w:p>
    <w:p>
      <w:pPr>
        <w:pStyle w:val="ListParagraph"/>
        <w:numPr>
          <w:ilvl w:val="0"/>
          <w:numId w:val="35"/>
        </w:numPr>
        <w:tabs>
          <w:tab w:val="left" w:pos="1815"/>
        </w:tabs>
        <w:spacing w:before="0" w:after="0" w:line="460" w:lineRule="exact"/>
        <w:ind w:left="1814" w:right="0" w:hanging="542"/>
        <w:jc w:val="left"/>
        <w:rPr>
          <w:rFonts w:ascii="Times New Roman" w:eastAsia="Times New Roman"/>
          <w:sz w:val="34"/>
        </w:rPr>
      </w:pPr>
      <w:r>
        <w:rPr>
          <w:spacing w:val="-30"/>
          <w:sz w:val="36"/>
        </w:rPr>
        <w:t xml:space="preserve">美国 </w:t>
      </w:r>
      <w:r>
        <w:rPr>
          <w:rFonts w:ascii="Times New Roman" w:eastAsia="Times New Roman"/>
          <w:sz w:val="36"/>
        </w:rPr>
        <w:t>HTI</w:t>
      </w:r>
      <w:r>
        <w:rPr>
          <w:rFonts w:ascii="Times New Roman" w:eastAsia="Times New Roman"/>
          <w:spacing w:val="-2"/>
          <w:sz w:val="36"/>
        </w:rPr>
        <w:t xml:space="preserve"> </w:t>
      </w:r>
      <w:r>
        <w:rPr>
          <w:sz w:val="36"/>
        </w:rPr>
        <w:t>工艺</w:t>
      </w:r>
    </w:p>
    <w:p>
      <w:pPr>
        <w:pStyle w:val="BodyText"/>
        <w:spacing w:before="147" w:line="316" w:lineRule="auto"/>
        <w:ind w:left="644" w:right="2025" w:firstLine="719"/>
        <w:rPr>
          <w:rFonts w:ascii="Times New Roman" w:eastAsia="Times New Roman" w:hAnsi="Times New Roman"/>
        </w:rPr>
      </w:pPr>
      <w:r>
        <w:t>该煤炭直接液化工艺使用人工合成的高分散催化剂，加入量为</w:t>
      </w:r>
      <w:r>
        <w:rPr>
          <w:rFonts w:ascii="Times New Roman" w:eastAsia="Times New Roman" w:hAnsi="Times New Roman"/>
          <w:spacing w:val="-9"/>
        </w:rPr>
        <w:t>0.5wt%</w:t>
      </w:r>
      <w:r>
        <w:rPr>
          <w:spacing w:val="-14"/>
        </w:rPr>
        <w:t xml:space="preserve">，不进行催化剂回收。反应压力为 </w:t>
      </w:r>
      <w:r>
        <w:rPr>
          <w:rFonts w:ascii="Times New Roman" w:eastAsia="Times New Roman" w:hAnsi="Times New Roman"/>
        </w:rPr>
        <w:t xml:space="preserve">17 </w:t>
      </w:r>
      <w:r>
        <w:rPr>
          <w:rFonts w:ascii="Times New Roman" w:eastAsia="Times New Roman" w:hAnsi="Times New Roman"/>
          <w:spacing w:val="-15"/>
        </w:rPr>
        <w:t>MPa</w:t>
      </w:r>
      <w:r>
        <w:rPr>
          <w:spacing w:val="-17"/>
        </w:rPr>
        <w:t xml:space="preserve">，反应温度为 </w:t>
      </w:r>
      <w:r>
        <w:rPr>
          <w:rFonts w:ascii="Times New Roman" w:eastAsia="Times New Roman" w:hAnsi="Times New Roman"/>
        </w:rPr>
        <w:t>450</w:t>
      </w:r>
      <w:r>
        <w:rPr>
          <w:spacing w:val="-7"/>
        </w:rPr>
        <w:t>℃。</w:t>
      </w:r>
      <w:r>
        <w:rPr>
          <w:rFonts w:ascii="Times New Roman" w:eastAsia="Times New Roman" w:hAnsi="Times New Roman"/>
        </w:rPr>
        <w:t xml:space="preserve">HTI </w:t>
      </w:r>
      <w:r>
        <w:rPr>
          <w:spacing w:val="-18"/>
        </w:rPr>
        <w:t xml:space="preserve">工艺是在 </w:t>
      </w:r>
      <w:r>
        <w:rPr>
          <w:rFonts w:ascii="Times New Roman" w:eastAsia="Times New Roman" w:hAnsi="Times New Roman"/>
        </w:rPr>
        <w:t xml:space="preserve">H-Coal </w:t>
      </w:r>
      <w:r>
        <w:rPr>
          <w:spacing w:val="-15"/>
        </w:rPr>
        <w:t xml:space="preserve">工艺基础上发展起来的，主要特点：①采用近 </w:t>
      </w:r>
      <w:r>
        <w:rPr>
          <w:rFonts w:ascii="Times New Roman" w:eastAsia="Times New Roman" w:hAnsi="Times New Roman"/>
        </w:rPr>
        <w:t xml:space="preserve">10 </w:t>
      </w:r>
      <w:r>
        <w:rPr>
          <w:spacing w:val="-6"/>
        </w:rPr>
        <w:t xml:space="preserve">年来开发的悬浮床反应器和 </w:t>
      </w:r>
      <w:r>
        <w:rPr>
          <w:rFonts w:ascii="Times New Roman" w:eastAsia="Times New Roman" w:hAnsi="Times New Roman"/>
        </w:rPr>
        <w:t xml:space="preserve">HTI </w:t>
      </w:r>
      <w:r>
        <w:t>拥有专利的铁基催化剂；②反应条件</w:t>
      </w:r>
      <w:r>
        <w:rPr>
          <w:spacing w:val="-9"/>
        </w:rPr>
        <w:t xml:space="preserve">比较温和，反应温度 </w:t>
      </w:r>
      <w:r>
        <w:rPr>
          <w:rFonts w:ascii="Times New Roman" w:eastAsia="Times New Roman" w:hAnsi="Times New Roman"/>
        </w:rPr>
        <w:t>440~450</w:t>
      </w:r>
      <w:r>
        <w:rPr>
          <w:spacing w:val="-13"/>
        </w:rPr>
        <w:t xml:space="preserve">℃，反应压力 </w:t>
      </w:r>
      <w:r>
        <w:rPr>
          <w:rFonts w:ascii="Times New Roman" w:eastAsia="Times New Roman" w:hAnsi="Times New Roman"/>
        </w:rPr>
        <w:t xml:space="preserve">17 </w:t>
      </w:r>
      <w:r>
        <w:rPr>
          <w:rFonts w:ascii="Times New Roman" w:eastAsia="Times New Roman" w:hAnsi="Times New Roman"/>
          <w:spacing w:val="4"/>
        </w:rPr>
        <w:t>MPa</w:t>
      </w:r>
      <w:r>
        <w:t>；③固液分离采用临界溶剂萃取的方法，从液化残渣中最大限度回收重质油，从而大幅度提高了液化油收率；④在高温分离器后面串联有在线加氢固定床反</w:t>
      </w:r>
      <w:r>
        <w:rPr>
          <w:spacing w:val="-4"/>
        </w:rPr>
        <w:t xml:space="preserve">应器，对液化油进行加氢精制。其工艺流程框图见图 </w:t>
      </w:r>
      <w:r>
        <w:rPr>
          <w:rFonts w:ascii="Times New Roman" w:eastAsia="Times New Roman" w:hAnsi="Times New Roman"/>
        </w:rPr>
        <w:t>2-3.</w:t>
      </w:r>
    </w:p>
    <w:p>
      <w:pPr>
        <w:pStyle w:val="BodyText"/>
        <w:rPr>
          <w:rFonts w:ascii="Times New Roman"/>
          <w:sz w:val="40"/>
        </w:rPr>
      </w:pPr>
    </w:p>
    <w:p>
      <w:pPr>
        <w:pStyle w:val="BodyText"/>
        <w:rPr>
          <w:rFonts w:ascii="Times New Roman"/>
          <w:sz w:val="40"/>
        </w:rPr>
      </w:pPr>
    </w:p>
    <w:p>
      <w:pPr>
        <w:pStyle w:val="BodyText"/>
        <w:rPr>
          <w:rFonts w:ascii="Times New Roman"/>
          <w:sz w:val="40"/>
        </w:rPr>
      </w:pPr>
    </w:p>
    <w:p>
      <w:pPr>
        <w:pStyle w:val="BodyText"/>
        <w:rPr>
          <w:rFonts w:ascii="Times New Roman"/>
          <w:sz w:val="40"/>
        </w:rPr>
      </w:pPr>
    </w:p>
    <w:p>
      <w:pPr>
        <w:pStyle w:val="BodyText"/>
        <w:rPr>
          <w:rFonts w:ascii="Times New Roman"/>
          <w:sz w:val="40"/>
        </w:rPr>
      </w:pPr>
    </w:p>
    <w:p>
      <w:pPr>
        <w:pStyle w:val="BodyText"/>
        <w:rPr>
          <w:rFonts w:ascii="Times New Roman"/>
          <w:sz w:val="40"/>
        </w:rPr>
      </w:pPr>
    </w:p>
    <w:p>
      <w:pPr>
        <w:pStyle w:val="BodyText"/>
        <w:rPr>
          <w:rFonts w:ascii="Times New Roman"/>
          <w:sz w:val="40"/>
        </w:rPr>
      </w:pPr>
    </w:p>
    <w:p>
      <w:pPr>
        <w:pStyle w:val="BodyText"/>
        <w:rPr>
          <w:rFonts w:ascii="Times New Roman"/>
          <w:sz w:val="40"/>
        </w:rPr>
      </w:pPr>
    </w:p>
    <w:p>
      <w:pPr>
        <w:pStyle w:val="BodyText"/>
        <w:rPr>
          <w:rFonts w:ascii="Times New Roman"/>
          <w:sz w:val="40"/>
        </w:rPr>
      </w:pPr>
    </w:p>
    <w:p>
      <w:pPr>
        <w:pStyle w:val="BodyText"/>
        <w:rPr>
          <w:rFonts w:ascii="Times New Roman"/>
          <w:sz w:val="40"/>
        </w:rPr>
      </w:pPr>
    </w:p>
    <w:p>
      <w:pPr>
        <w:pStyle w:val="BodyText"/>
        <w:rPr>
          <w:rFonts w:ascii="Times New Roman"/>
          <w:sz w:val="40"/>
        </w:rPr>
      </w:pPr>
    </w:p>
    <w:p>
      <w:pPr>
        <w:pStyle w:val="BodyText"/>
        <w:rPr>
          <w:rFonts w:ascii="Times New Roman"/>
          <w:sz w:val="40"/>
        </w:rPr>
      </w:pPr>
    </w:p>
    <w:p>
      <w:pPr>
        <w:pStyle w:val="BodyText"/>
        <w:rPr>
          <w:rFonts w:ascii="Times New Roman"/>
          <w:sz w:val="40"/>
        </w:rPr>
      </w:pPr>
    </w:p>
    <w:p>
      <w:pPr>
        <w:pStyle w:val="BodyText"/>
        <w:rPr>
          <w:rFonts w:ascii="Times New Roman"/>
          <w:sz w:val="40"/>
        </w:rPr>
      </w:pPr>
    </w:p>
    <w:p>
      <w:pPr>
        <w:spacing w:before="321"/>
        <w:ind w:left="4316" w:right="0" w:firstLine="0"/>
        <w:jc w:val="left"/>
        <w:rPr>
          <w:rFonts w:ascii="黑体" w:eastAsia="黑体" w:hint="eastAsia"/>
          <w:sz w:val="31"/>
        </w:rPr>
      </w:pPr>
      <w:r>
        <w:rPr>
          <w:rFonts w:ascii="黑体" w:eastAsia="黑体" w:hint="eastAsia"/>
          <w:sz w:val="31"/>
        </w:rPr>
        <w:t xml:space="preserve">图 </w:t>
      </w:r>
      <w:r>
        <w:rPr>
          <w:rFonts w:ascii="Times New Roman" w:eastAsia="Times New Roman"/>
          <w:sz w:val="31"/>
        </w:rPr>
        <w:t xml:space="preserve">2-3  </w:t>
      </w:r>
      <w:r>
        <w:rPr>
          <w:rFonts w:ascii="黑体" w:eastAsia="黑体" w:hint="eastAsia"/>
          <w:sz w:val="31"/>
        </w:rPr>
        <w:t>美国</w:t>
      </w:r>
      <w:r>
        <w:rPr>
          <w:rFonts w:ascii="Times New Roman" w:eastAsia="Times New Roman"/>
          <w:sz w:val="31"/>
        </w:rPr>
        <w:t xml:space="preserve">HTI </w:t>
      </w:r>
      <w:r>
        <w:rPr>
          <w:rFonts w:ascii="黑体" w:eastAsia="黑体" w:hint="eastAsia"/>
          <w:sz w:val="31"/>
        </w:rPr>
        <w:t>工艺流程</w:t>
      </w:r>
    </w:p>
    <w:p>
      <w:pPr>
        <w:pStyle w:val="BodyText"/>
        <w:spacing w:before="5"/>
        <w:rPr>
          <w:rFonts w:ascii="黑体"/>
          <w:sz w:val="29"/>
        </w:rPr>
      </w:pPr>
    </w:p>
    <w:p>
      <w:pPr>
        <w:pStyle w:val="BodyText"/>
        <w:spacing w:line="316" w:lineRule="auto"/>
        <w:ind w:left="644" w:right="2025" w:firstLine="719"/>
      </w:pPr>
      <w:r>
        <w:rPr>
          <w:rFonts w:ascii="Times New Roman" w:eastAsia="Times New Roman" w:hAnsi="Times New Roman"/>
        </w:rPr>
        <w:t xml:space="preserve">HTI </w:t>
      </w:r>
      <w:r>
        <w:rPr>
          <w:spacing w:val="-23"/>
        </w:rPr>
        <w:t xml:space="preserve">工艺的主要特点是：反应条件比较缓和，反应温度 </w:t>
      </w:r>
      <w:r>
        <w:rPr>
          <w:rFonts w:ascii="Times New Roman" w:eastAsia="Times New Roman" w:hAnsi="Times New Roman"/>
          <w:spacing w:val="-3"/>
        </w:rPr>
        <w:t>440~450</w:t>
      </w:r>
      <w:r>
        <w:rPr>
          <w:spacing w:val="-3"/>
        </w:rPr>
        <w:t xml:space="preserve">℃， </w:t>
      </w:r>
      <w:r>
        <w:rPr>
          <w:spacing w:val="-31"/>
        </w:rPr>
        <w:t xml:space="preserve">压力 </w:t>
      </w:r>
      <w:r>
        <w:rPr>
          <w:rFonts w:ascii="Times New Roman" w:eastAsia="Times New Roman" w:hAnsi="Times New Roman"/>
        </w:rPr>
        <w:t>17 MPa</w:t>
      </w:r>
      <w:r>
        <w:t>，采用悬浮床反应器，达到全返混反应模式；催化剂采用</w:t>
      </w:r>
      <w:r>
        <w:rPr>
          <w:rFonts w:ascii="Times New Roman" w:eastAsia="Times New Roman" w:hAnsi="Times New Roman"/>
        </w:rPr>
        <w:t>HTI</w:t>
      </w:r>
      <w:r>
        <w:rPr>
          <w:rFonts w:ascii="Times New Roman" w:eastAsia="Times New Roman" w:hAnsi="Times New Roman"/>
          <w:spacing w:val="86"/>
        </w:rPr>
        <w:t xml:space="preserve"> </w:t>
      </w:r>
      <w:r>
        <w:t>专利技术制备的铁系胶状催化剂，催化活性高，用量少；在高温分离器后面串联在线加氢固定床反应器，起到对液化油加氢精制的作</w:t>
      </w:r>
    </w:p>
    <w:p>
      <w:pPr>
        <w:spacing w:after="0" w:line="316" w:lineRule="auto"/>
        <w:sectPr>
          <w:pgSz w:w="15480" w:h="21860"/>
          <w:pgMar w:top="2020" w:right="0" w:bottom="280" w:left="1740" w:header="708" w:footer="708"/>
          <w:pgNumType w:start="16"/>
          <w:cols w:space="708"/>
        </w:sectPr>
      </w:pPr>
    </w:p>
    <w:p>
      <w:pPr>
        <w:pStyle w:val="BodyText"/>
        <w:spacing w:before="24" w:line="316" w:lineRule="auto"/>
        <w:ind w:left="644" w:right="2220"/>
        <w:jc w:val="both"/>
      </w:pPr>
      <w:r>
        <w:t>用；固液分离器采用临界溶剂萃取法，从液化残渣中最大限度地回收</w:t>
      </w:r>
      <w:r>
        <w:rPr>
          <w:spacing w:val="6"/>
          <w:w w:val="95"/>
        </w:rPr>
        <w:t xml:space="preserve">重质油，大幅度提高了液化油收率；液化油含 </w:t>
      </w:r>
      <w:r>
        <w:rPr>
          <w:rFonts w:ascii="Bookman Old Style" w:eastAsia="Bookman Old Style" w:hAnsi="Bookman Old Style"/>
          <w:b w:val="0"/>
          <w:w w:val="95"/>
        </w:rPr>
        <w:t>350~450</w:t>
      </w:r>
      <w:r>
        <w:rPr>
          <w:spacing w:val="-3"/>
          <w:w w:val="95"/>
        </w:rPr>
        <w:t>℃馏分，可用</w:t>
      </w:r>
      <w:r>
        <w:t>作加氢裂化原料，其中少量用作燃料油。</w:t>
      </w:r>
    </w:p>
    <w:p>
      <w:pPr>
        <w:pStyle w:val="Heading2"/>
        <w:numPr>
          <w:ilvl w:val="1"/>
          <w:numId w:val="22"/>
        </w:numPr>
        <w:tabs>
          <w:tab w:val="left" w:pos="1274"/>
        </w:tabs>
        <w:spacing w:before="304" w:after="0" w:line="240" w:lineRule="auto"/>
        <w:ind w:left="1273" w:right="0" w:hanging="630"/>
        <w:jc w:val="left"/>
        <w:rPr>
          <w:rFonts w:ascii="Bookman Old Style" w:eastAsia="Bookman Old Style"/>
        </w:rPr>
      </w:pPr>
      <w:bookmarkStart w:id="5" w:name="_TOC_250026"/>
      <w:bookmarkEnd w:id="5"/>
      <w:r>
        <w:t>国外煤液化项目发展情况</w:t>
      </w:r>
    </w:p>
    <w:p>
      <w:pPr>
        <w:pStyle w:val="BodyText"/>
        <w:spacing w:before="10"/>
        <w:rPr>
          <w:rFonts w:ascii="黑体"/>
          <w:sz w:val="52"/>
        </w:rPr>
      </w:pPr>
    </w:p>
    <w:p>
      <w:pPr>
        <w:pStyle w:val="ListParagraph"/>
        <w:numPr>
          <w:ilvl w:val="2"/>
          <w:numId w:val="22"/>
        </w:numPr>
        <w:tabs>
          <w:tab w:val="left" w:pos="1454"/>
        </w:tabs>
        <w:spacing w:before="0" w:after="0" w:line="240" w:lineRule="auto"/>
        <w:ind w:left="1453" w:right="0" w:hanging="810"/>
        <w:jc w:val="left"/>
        <w:rPr>
          <w:rFonts w:ascii="Bookman Old Style" w:eastAsia="Bookman Old Style"/>
          <w:sz w:val="36"/>
        </w:rPr>
      </w:pPr>
      <w:r>
        <w:rPr>
          <w:rFonts w:ascii="黑体" w:eastAsia="黑体" w:hint="eastAsia"/>
          <w:sz w:val="36"/>
        </w:rPr>
        <w:t>美国、澳大利亚、印度、新西兰、和菲律宾的情况</w:t>
      </w:r>
    </w:p>
    <w:p>
      <w:pPr>
        <w:pStyle w:val="BodyText"/>
        <w:tabs>
          <w:tab w:val="left" w:pos="6973"/>
          <w:tab w:val="left" w:pos="9772"/>
          <w:tab w:val="left" w:pos="10772"/>
        </w:tabs>
        <w:spacing w:before="148" w:line="316" w:lineRule="auto"/>
        <w:ind w:left="644" w:right="2067" w:firstLine="719"/>
      </w:pPr>
      <w:r>
        <w:t>目前国外仅南非建设有间接液化法煤制油装置。</w:t>
        <w:tab/>
      </w:r>
      <w:r>
        <w:rPr>
          <w:rFonts w:ascii="Bookman Old Style" w:eastAsia="Bookman Old Style" w:hAnsi="Bookman Old Style"/>
          <w:b w:val="0"/>
          <w:w w:val="95"/>
        </w:rPr>
        <w:t>Sasol</w:t>
        <w:tab/>
      </w:r>
      <w:r>
        <w:t>公司</w:t>
      </w:r>
      <w:r>
        <w:rPr>
          <w:rFonts w:ascii="Bookman Old Style" w:eastAsia="Bookman Old Style" w:hAnsi="Bookman Old Style"/>
          <w:b w:val="0"/>
          <w:w w:val="95"/>
        </w:rPr>
        <w:t>Secunda</w:t>
      </w:r>
      <w:r>
        <w:rPr>
          <w:rFonts w:ascii="Bookman Old Style" w:eastAsia="Bookman Old Style" w:hAnsi="Bookman Old Style"/>
          <w:b w:val="0"/>
          <w:spacing w:val="74"/>
          <w:w w:val="95"/>
        </w:rPr>
        <w:t xml:space="preserve"> </w:t>
      </w:r>
      <w:r>
        <w:rPr>
          <w:w w:val="95"/>
        </w:rPr>
        <w:t>煤制油装置将煤转化为汽油、柴油、液化石油气和石化原料</w:t>
      </w:r>
      <w:r>
        <w:rPr>
          <w:spacing w:val="-17"/>
          <w:w w:val="95"/>
        </w:rPr>
        <w:t xml:space="preserve">， </w:t>
      </w:r>
      <w:r>
        <w:t>石化原料用于</w:t>
      </w:r>
      <w:r>
        <w:rPr>
          <w:spacing w:val="-118"/>
        </w:rPr>
        <w:t xml:space="preserve"> </w:t>
      </w:r>
      <w:r>
        <w:rPr>
          <w:rFonts w:ascii="Bookman Old Style" w:eastAsia="Bookman Old Style" w:hAnsi="Bookman Old Style"/>
          <w:b w:val="0"/>
        </w:rPr>
        <w:t>45</w:t>
      </w:r>
      <w:r>
        <w:rPr>
          <w:rFonts w:ascii="Bookman Old Style" w:eastAsia="Bookman Old Style" w:hAnsi="Bookman Old Style"/>
          <w:b w:val="0"/>
          <w:spacing w:val="-53"/>
        </w:rPr>
        <w:t xml:space="preserve"> </w:t>
      </w:r>
      <w:r>
        <w:t>万</w:t>
      </w:r>
      <w:r>
        <w:rPr>
          <w:spacing w:val="-118"/>
        </w:rPr>
        <w:t xml:space="preserve"> </w:t>
      </w:r>
      <w:r>
        <w:rPr>
          <w:rFonts w:ascii="Bookman Old Style" w:eastAsia="Bookman Old Style" w:hAnsi="Bookman Old Style"/>
          <w:b w:val="0"/>
          <w:w w:val="95"/>
        </w:rPr>
        <w:t>t/a</w:t>
      </w:r>
      <w:r>
        <w:rPr>
          <w:rFonts w:ascii="Bookman Old Style" w:eastAsia="Bookman Old Style" w:hAnsi="Bookman Old Style"/>
          <w:b w:val="0"/>
          <w:spacing w:val="-50"/>
          <w:w w:val="95"/>
        </w:rPr>
        <w:t xml:space="preserve"> </w:t>
      </w:r>
      <w:r>
        <w:t>乙烯装置。还有一些装置正在规划或建设中。</w:t>
      </w:r>
      <w:r>
        <w:rPr>
          <w:w w:val="95"/>
        </w:rPr>
        <w:t>美</w:t>
      </w:r>
      <w:r>
        <w:rPr>
          <w:spacing w:val="53"/>
          <w:w w:val="95"/>
        </w:rPr>
        <w:t>国</w:t>
      </w:r>
      <w:r>
        <w:rPr>
          <w:rFonts w:ascii="Bookman Old Style" w:eastAsia="Bookman Old Style" w:hAnsi="Bookman Old Style"/>
          <w:b w:val="0"/>
          <w:w w:val="95"/>
        </w:rPr>
        <w:t>2005</w:t>
      </w:r>
      <w:r>
        <w:rPr>
          <w:rFonts w:ascii="Bookman Old Style" w:eastAsia="Bookman Old Style" w:hAnsi="Bookman Old Style"/>
          <w:b w:val="0"/>
          <w:spacing w:val="-84"/>
          <w:w w:val="95"/>
        </w:rPr>
        <w:t xml:space="preserve"> </w:t>
      </w:r>
      <w:r>
        <w:rPr>
          <w:spacing w:val="54"/>
          <w:w w:val="95"/>
        </w:rPr>
        <w:t>年</w:t>
      </w:r>
      <w:r>
        <w:rPr>
          <w:rFonts w:ascii="Bookman Old Style" w:eastAsia="Bookman Old Style" w:hAnsi="Bookman Old Style"/>
          <w:b w:val="0"/>
          <w:w w:val="95"/>
        </w:rPr>
        <w:t>8</w:t>
      </w:r>
      <w:r>
        <w:rPr>
          <w:rFonts w:ascii="Bookman Old Style" w:eastAsia="Bookman Old Style" w:hAnsi="Bookman Old Style"/>
          <w:b w:val="0"/>
          <w:spacing w:val="-83"/>
          <w:w w:val="95"/>
        </w:rPr>
        <w:t xml:space="preserve"> </w:t>
      </w:r>
      <w:r>
        <w:rPr>
          <w:w w:val="95"/>
        </w:rPr>
        <w:t>月宣布</w:t>
      </w:r>
      <w:r>
        <w:rPr>
          <w:spacing w:val="-180"/>
          <w:w w:val="95"/>
        </w:rPr>
        <w:t>，</w:t>
      </w:r>
      <w:r>
        <w:rPr>
          <w:w w:val="95"/>
        </w:rPr>
        <w:t>将采用间接液化工艺</w:t>
      </w:r>
      <w:r>
        <w:rPr>
          <w:spacing w:val="-180"/>
          <w:w w:val="95"/>
        </w:rPr>
        <w:t>，</w:t>
      </w:r>
      <w:r>
        <w:rPr>
          <w:spacing w:val="55"/>
          <w:w w:val="95"/>
        </w:rPr>
        <w:t>在</w:t>
      </w:r>
      <w:r>
        <w:rPr>
          <w:rFonts w:ascii="Bookman Old Style" w:eastAsia="Bookman Old Style" w:hAnsi="Bookman Old Style"/>
          <w:b w:val="0"/>
          <w:w w:val="95"/>
        </w:rPr>
        <w:t>Arizona</w:t>
      </w:r>
      <w:r>
        <w:rPr>
          <w:rFonts w:ascii="Bookman Old Style" w:eastAsia="Bookman Old Style" w:hAnsi="Bookman Old Style"/>
          <w:b w:val="0"/>
          <w:spacing w:val="-82"/>
          <w:w w:val="95"/>
        </w:rPr>
        <w:t xml:space="preserve"> </w:t>
      </w:r>
      <w:r>
        <w:rPr>
          <w:spacing w:val="54"/>
          <w:w w:val="95"/>
        </w:rPr>
        <w:t>和</w:t>
      </w:r>
      <w:r>
        <w:rPr>
          <w:rFonts w:ascii="Bookman Old Style" w:eastAsia="Bookman Old Style" w:hAnsi="Bookman Old Style"/>
          <w:b w:val="0"/>
          <w:w w:val="95"/>
        </w:rPr>
        <w:t>North</w:t>
      </w:r>
      <w:r>
        <w:rPr>
          <w:rFonts w:ascii="Bookman Old Style" w:eastAsia="Bookman Old Style" w:hAnsi="Bookman Old Style"/>
          <w:b w:val="0"/>
          <w:spacing w:val="-66"/>
          <w:w w:val="95"/>
        </w:rPr>
        <w:t xml:space="preserve"> </w:t>
      </w:r>
      <w:r>
        <w:rPr>
          <w:rFonts w:ascii="Bookman Old Style" w:eastAsia="Bookman Old Style" w:hAnsi="Bookman Old Style"/>
          <w:b w:val="0"/>
          <w:w w:val="95"/>
        </w:rPr>
        <w:t xml:space="preserve">Dakota </w:t>
      </w:r>
      <w:r>
        <w:t>地区建设超清洁柴油及其他燃料产能约为</w:t>
      </w:r>
      <w:r>
        <w:rPr>
          <w:spacing w:val="-107"/>
        </w:rPr>
        <w:t xml:space="preserve"> </w:t>
      </w:r>
      <w:r>
        <w:rPr>
          <w:rFonts w:ascii="Bookman Old Style" w:eastAsia="Bookman Old Style" w:hAnsi="Bookman Old Style"/>
          <w:b w:val="0"/>
        </w:rPr>
        <w:t>1</w:t>
      </w:r>
      <w:r>
        <w:rPr>
          <w:rFonts w:ascii="Bookman Old Style" w:eastAsia="Bookman Old Style" w:hAnsi="Bookman Old Style"/>
          <w:b w:val="0"/>
          <w:spacing w:val="-43"/>
        </w:rPr>
        <w:t xml:space="preserve"> </w:t>
      </w:r>
      <w:r>
        <w:t>万桶</w:t>
      </w:r>
      <w:r>
        <w:rPr>
          <w:rFonts w:ascii="Bookman Old Style" w:eastAsia="Bookman Old Style" w:hAnsi="Bookman Old Style"/>
          <w:b w:val="0"/>
          <w:w w:val="95"/>
        </w:rPr>
        <w:t>/d</w:t>
      </w:r>
      <w:r>
        <w:rPr>
          <w:rFonts w:ascii="Bookman Old Style" w:eastAsia="Bookman Old Style" w:hAnsi="Bookman Old Style"/>
          <w:b w:val="0"/>
          <w:spacing w:val="-37"/>
          <w:w w:val="95"/>
        </w:rPr>
        <w:t xml:space="preserve"> </w:t>
      </w:r>
      <w:r>
        <w:t>的煤制油装置，主</w:t>
      </w:r>
      <w:r>
        <w:rPr>
          <w:w w:val="95"/>
        </w:rPr>
        <w:t>要开发商为</w:t>
      </w:r>
      <w:r>
        <w:rPr>
          <w:spacing w:val="-91"/>
          <w:w w:val="95"/>
        </w:rPr>
        <w:t xml:space="preserve"> </w:t>
      </w:r>
      <w:r>
        <w:rPr>
          <w:rFonts w:ascii="Bookman Old Style" w:eastAsia="Bookman Old Style" w:hAnsi="Bookman Old Style"/>
          <w:b w:val="0"/>
          <w:w w:val="95"/>
        </w:rPr>
        <w:t>Headwaters</w:t>
      </w:r>
      <w:r>
        <w:rPr>
          <w:rFonts w:ascii="Bookman Old Style" w:eastAsia="Bookman Old Style" w:hAnsi="Bookman Old Style"/>
          <w:b w:val="0"/>
          <w:spacing w:val="-27"/>
          <w:w w:val="95"/>
        </w:rPr>
        <w:t xml:space="preserve"> </w:t>
      </w:r>
      <w:r>
        <w:rPr>
          <w:w w:val="95"/>
        </w:rPr>
        <w:t>公司</w:t>
      </w:r>
      <w:r>
        <w:rPr>
          <w:rFonts w:ascii="Bookman Old Style" w:eastAsia="Bookman Old Style" w:hAnsi="Bookman Old Style"/>
          <w:b w:val="0"/>
          <w:w w:val="95"/>
          <w:position w:val="3"/>
          <w:sz w:val="24"/>
        </w:rPr>
        <w:t>[14]</w:t>
      </w:r>
      <w:r>
        <w:rPr>
          <w:w w:val="95"/>
        </w:rPr>
        <w:t>。经过</w:t>
      </w:r>
      <w:r>
        <w:rPr>
          <w:spacing w:val="-112"/>
          <w:w w:val="95"/>
        </w:rPr>
        <w:t xml:space="preserve"> </w:t>
      </w:r>
      <w:r>
        <w:rPr>
          <w:rFonts w:ascii="Bookman Old Style" w:eastAsia="Bookman Old Style" w:hAnsi="Bookman Old Style"/>
          <w:b w:val="0"/>
          <w:w w:val="95"/>
        </w:rPr>
        <w:t>10</w:t>
      </w:r>
      <w:r>
        <w:rPr>
          <w:rFonts w:ascii="Bookman Old Style" w:eastAsia="Bookman Old Style" w:hAnsi="Bookman Old Style"/>
          <w:b w:val="0"/>
          <w:spacing w:val="-29"/>
          <w:w w:val="95"/>
        </w:rPr>
        <w:t xml:space="preserve"> </w:t>
      </w:r>
      <w:r>
        <w:rPr>
          <w:w w:val="95"/>
        </w:rPr>
        <w:t>多年筹备，美国</w:t>
      </w:r>
      <w:r>
        <w:rPr>
          <w:spacing w:val="-115"/>
          <w:w w:val="95"/>
        </w:rPr>
        <w:t xml:space="preserve"> </w:t>
      </w:r>
      <w:r>
        <w:rPr>
          <w:rFonts w:ascii="Bookman Old Style" w:eastAsia="Bookman Old Style" w:hAnsi="Bookman Old Style"/>
          <w:b w:val="0"/>
          <w:w w:val="95"/>
        </w:rPr>
        <w:t>WMPIPty</w:t>
      </w:r>
      <w:r>
        <w:rPr>
          <w:rFonts w:ascii="Bookman Old Style" w:eastAsia="Bookman Old Style" w:hAnsi="Bookman Old Style"/>
          <w:b w:val="0"/>
          <w:spacing w:val="-30"/>
          <w:w w:val="95"/>
        </w:rPr>
        <w:t xml:space="preserve"> </w:t>
      </w:r>
      <w:r>
        <w:rPr>
          <w:w w:val="95"/>
        </w:rPr>
        <w:t>公司</w:t>
      </w:r>
      <w:r>
        <w:rPr>
          <w:spacing w:val="53"/>
          <w:w w:val="95"/>
        </w:rPr>
        <w:t>于</w:t>
      </w:r>
      <w:r>
        <w:rPr>
          <w:rFonts w:ascii="Bookman Old Style" w:eastAsia="Bookman Old Style" w:hAnsi="Bookman Old Style"/>
          <w:b w:val="0"/>
          <w:w w:val="95"/>
        </w:rPr>
        <w:t>2006</w:t>
      </w:r>
      <w:r>
        <w:rPr>
          <w:rFonts w:ascii="Bookman Old Style" w:eastAsia="Bookman Old Style" w:hAnsi="Bookman Old Style"/>
          <w:b w:val="0"/>
          <w:spacing w:val="-52"/>
          <w:w w:val="95"/>
        </w:rPr>
        <w:t xml:space="preserve"> </w:t>
      </w:r>
      <w:r>
        <w:rPr>
          <w:w w:val="95"/>
        </w:rPr>
        <w:t>年初宣布</w:t>
      </w:r>
      <w:r>
        <w:rPr>
          <w:spacing w:val="-180"/>
          <w:w w:val="95"/>
        </w:rPr>
        <w:t>，</w:t>
      </w:r>
      <w:r>
        <w:rPr>
          <w:w w:val="95"/>
        </w:rPr>
        <w:t>将</w:t>
      </w:r>
      <w:r>
        <w:rPr>
          <w:spacing w:val="54"/>
          <w:w w:val="95"/>
        </w:rPr>
        <w:t>在</w:t>
      </w:r>
      <w:r>
        <w:rPr>
          <w:rFonts w:ascii="Bookman Old Style" w:eastAsia="Bookman Old Style" w:hAnsi="Bookman Old Style"/>
          <w:b w:val="0"/>
          <w:w w:val="95"/>
        </w:rPr>
        <w:t>Gilberton</w:t>
      </w:r>
      <w:r>
        <w:rPr>
          <w:rFonts w:ascii="Bookman Old Style" w:eastAsia="Bookman Old Style" w:hAnsi="Bookman Old Style"/>
          <w:b w:val="0"/>
          <w:spacing w:val="-51"/>
          <w:w w:val="95"/>
        </w:rPr>
        <w:t xml:space="preserve"> </w:t>
      </w:r>
      <w:r>
        <w:rPr>
          <w:w w:val="95"/>
        </w:rPr>
        <w:t>附近建设废煤</w:t>
      </w:r>
      <w:r>
        <w:rPr>
          <w:rFonts w:ascii="Bookman Old Style" w:eastAsia="Bookman Old Style" w:hAnsi="Bookman Old Style"/>
          <w:b w:val="0"/>
          <w:w w:val="95"/>
        </w:rPr>
        <w:t>(</w:t>
      </w:r>
      <w:r>
        <w:rPr>
          <w:w w:val="95"/>
        </w:rPr>
        <w:t>灰分质量分数</w:t>
      </w:r>
      <w:r>
        <w:rPr>
          <w:spacing w:val="54"/>
          <w:w w:val="95"/>
        </w:rPr>
        <w:t>为</w:t>
      </w:r>
      <w:r>
        <w:rPr>
          <w:rFonts w:ascii="Bookman Old Style" w:eastAsia="Bookman Old Style" w:hAnsi="Bookman Old Style"/>
          <w:b w:val="0"/>
          <w:w w:val="95"/>
        </w:rPr>
        <w:t xml:space="preserve">40% </w:t>
      </w:r>
      <w:r>
        <w:t>的屑状无烟煤</w:t>
      </w:r>
      <w:r>
        <w:rPr>
          <w:rFonts w:ascii="Bookman Old Style" w:eastAsia="Bookman Old Style" w:hAnsi="Bookman Old Style"/>
          <w:b w:val="0"/>
        </w:rPr>
        <w:t>)</w:t>
      </w:r>
      <w:r>
        <w:t>处理能力为</w:t>
      </w:r>
      <w:r>
        <w:rPr>
          <w:spacing w:val="-133"/>
        </w:rPr>
        <w:t xml:space="preserve"> </w:t>
      </w:r>
      <w:r>
        <w:rPr>
          <w:rFonts w:ascii="Bookman Old Style" w:eastAsia="Bookman Old Style" w:hAnsi="Bookman Old Style"/>
          <w:b w:val="0"/>
        </w:rPr>
        <w:t>140</w:t>
      </w:r>
      <w:r>
        <w:rPr>
          <w:rFonts w:ascii="Bookman Old Style" w:eastAsia="Bookman Old Style" w:hAnsi="Bookman Old Style"/>
          <w:b w:val="0"/>
          <w:spacing w:val="-68"/>
        </w:rPr>
        <w:t xml:space="preserve"> </w:t>
      </w:r>
      <w:r>
        <w:t>万</w:t>
      </w:r>
      <w:r>
        <w:rPr>
          <w:spacing w:val="-132"/>
        </w:rPr>
        <w:t xml:space="preserve"> </w:t>
      </w:r>
      <w:r>
        <w:rPr>
          <w:rFonts w:ascii="Bookman Old Style" w:eastAsia="Bookman Old Style" w:hAnsi="Bookman Old Style"/>
          <w:b w:val="0"/>
          <w:w w:val="95"/>
        </w:rPr>
        <w:t>t/</w:t>
      </w:r>
      <w:r>
        <w:rPr>
          <w:rFonts w:ascii="Bookman Old Style" w:eastAsia="Bookman Old Style" w:hAnsi="Bookman Old Style"/>
          <w:b w:val="0"/>
          <w:spacing w:val="-30"/>
          <w:w w:val="95"/>
        </w:rPr>
        <w:t xml:space="preserve"> </w:t>
      </w:r>
      <w:r>
        <w:rPr>
          <w:rFonts w:ascii="Bookman Old Style" w:eastAsia="Bookman Old Style" w:hAnsi="Bookman Old Style"/>
          <w:b w:val="0"/>
        </w:rPr>
        <w:t>a</w:t>
      </w:r>
      <w:r>
        <w:rPr>
          <w:rFonts w:ascii="Bookman Old Style" w:eastAsia="Bookman Old Style" w:hAnsi="Bookman Old Style"/>
          <w:b w:val="0"/>
          <w:spacing w:val="-68"/>
        </w:rPr>
        <w:t xml:space="preserve"> </w:t>
      </w:r>
      <w:r>
        <w:t>的煤制油装置，超清洁液体燃料</w:t>
      </w:r>
      <w:r>
        <w:rPr>
          <w:w w:val="95"/>
        </w:rPr>
        <w:t>产能为</w:t>
      </w:r>
      <w:r>
        <w:rPr>
          <w:spacing w:val="-37"/>
          <w:w w:val="95"/>
        </w:rPr>
        <w:t xml:space="preserve"> </w:t>
      </w:r>
      <w:r>
        <w:rPr>
          <w:rFonts w:ascii="Bookman Old Style" w:eastAsia="Bookman Old Style" w:hAnsi="Bookman Old Style"/>
          <w:b w:val="0"/>
          <w:w w:val="95"/>
        </w:rPr>
        <w:t>5000</w:t>
      </w:r>
      <w:r>
        <w:rPr>
          <w:rFonts w:ascii="Bookman Old Style" w:eastAsia="Bookman Old Style" w:hAnsi="Bookman Old Style"/>
          <w:b w:val="0"/>
          <w:spacing w:val="54"/>
          <w:w w:val="95"/>
        </w:rPr>
        <w:t xml:space="preserve"> </w:t>
      </w:r>
      <w:r>
        <w:rPr>
          <w:w w:val="95"/>
        </w:rPr>
        <w:t>桶</w:t>
      </w:r>
      <w:r>
        <w:rPr>
          <w:rFonts w:ascii="Bookman Old Style" w:eastAsia="Bookman Old Style" w:hAnsi="Bookman Old Style"/>
          <w:b w:val="0"/>
          <w:w w:val="95"/>
        </w:rPr>
        <w:t>/d</w:t>
      </w:r>
      <w:r>
        <w:rPr>
          <w:w w:val="95"/>
        </w:rPr>
        <w:t>，发电</w:t>
      </w:r>
      <w:r>
        <w:rPr>
          <w:spacing w:val="-37"/>
          <w:w w:val="95"/>
        </w:rPr>
        <w:t xml:space="preserve"> </w:t>
      </w:r>
      <w:r>
        <w:rPr>
          <w:rFonts w:ascii="Bookman Old Style" w:eastAsia="Bookman Old Style" w:hAnsi="Bookman Old Style"/>
          <w:b w:val="0"/>
          <w:w w:val="95"/>
        </w:rPr>
        <w:t>41MW·</w:t>
      </w:r>
      <w:r>
        <w:rPr>
          <w:rFonts w:ascii="Bookman Old Style" w:eastAsia="Bookman Old Style" w:hAnsi="Bookman Old Style"/>
          <w:b w:val="0"/>
          <w:spacing w:val="-82"/>
          <w:w w:val="95"/>
        </w:rPr>
        <w:t xml:space="preserve"> </w:t>
      </w:r>
      <w:r>
        <w:rPr>
          <w:rFonts w:ascii="Bookman Old Style" w:eastAsia="Bookman Old Style" w:hAnsi="Bookman Old Style"/>
          <w:b w:val="0"/>
          <w:w w:val="95"/>
        </w:rPr>
        <w:t>h</w:t>
      </w:r>
      <w:r>
        <w:rPr>
          <w:w w:val="95"/>
        </w:rPr>
        <w:t>。一期工程投运后，</w:t>
      </w:r>
      <w:r>
        <w:rPr>
          <w:rFonts w:ascii="Bookman Old Style" w:eastAsia="Bookman Old Style" w:hAnsi="Bookman Old Style"/>
          <w:b w:val="0"/>
          <w:w w:val="95"/>
        </w:rPr>
        <w:t>WMPIPty</w:t>
      </w:r>
      <w:r>
        <w:rPr>
          <w:rFonts w:ascii="Bookman Old Style" w:eastAsia="Bookman Old Style" w:hAnsi="Bookman Old Style"/>
          <w:b w:val="0"/>
          <w:spacing w:val="24"/>
          <w:w w:val="95"/>
        </w:rPr>
        <w:t xml:space="preserve"> </w:t>
      </w:r>
      <w:r>
        <w:rPr>
          <w:w w:val="95"/>
        </w:rPr>
        <w:t>公司</w:t>
      </w:r>
      <w:r>
        <w:t>还将建设产能为一期工程</w:t>
      </w:r>
      <w:r>
        <w:rPr>
          <w:spacing w:val="-117"/>
        </w:rPr>
        <w:t xml:space="preserve"> </w:t>
      </w:r>
      <w:r>
        <w:rPr>
          <w:rFonts w:ascii="Bookman Old Style" w:eastAsia="Bookman Old Style" w:hAnsi="Bookman Old Style"/>
          <w:b w:val="0"/>
        </w:rPr>
        <w:t>10~12</w:t>
      </w:r>
      <w:r>
        <w:rPr>
          <w:rFonts w:ascii="Bookman Old Style" w:eastAsia="Bookman Old Style" w:hAnsi="Bookman Old Style"/>
          <w:b w:val="0"/>
          <w:spacing w:val="-51"/>
        </w:rPr>
        <w:t xml:space="preserve"> </w:t>
      </w:r>
      <w:r>
        <w:t>倍的工业化煤制油装置。二期工程将采用壳牌公司煤气化技术，采用南非</w:t>
      </w:r>
      <w:r>
        <w:rPr>
          <w:spacing w:val="-108"/>
        </w:rPr>
        <w:t xml:space="preserve"> </w:t>
      </w:r>
      <w:r>
        <w:rPr>
          <w:rFonts w:ascii="Bookman Old Style" w:eastAsia="Bookman Old Style" w:hAnsi="Bookman Old Style"/>
          <w:b w:val="0"/>
        </w:rPr>
        <w:t>Sasol</w:t>
      </w:r>
      <w:r>
        <w:rPr>
          <w:rFonts w:ascii="Bookman Old Style" w:eastAsia="Bookman Old Style" w:hAnsi="Bookman Old Style"/>
          <w:b w:val="0"/>
          <w:spacing w:val="-43"/>
        </w:rPr>
        <w:t xml:space="preserve"> </w:t>
      </w:r>
      <w:r>
        <w:t>公司费</w:t>
      </w:r>
      <w:r>
        <w:rPr>
          <w:rFonts w:ascii="Bookman Old Style" w:eastAsia="Bookman Old Style" w:hAnsi="Bookman Old Style"/>
          <w:b w:val="0"/>
        </w:rPr>
        <w:t>-</w:t>
      </w:r>
      <w:r>
        <w:t>托法工艺将合成气转化为液态产品，富石蜡粗烃采用雪佛龙德士古产品公司技术转化为</w:t>
      </w:r>
      <w:r>
        <w:rPr>
          <w:w w:val="95"/>
        </w:rPr>
        <w:t>柴油、喷气燃料和石脑油</w:t>
      </w:r>
      <w:r>
        <w:rPr>
          <w:rFonts w:ascii="Bookman Old Style" w:eastAsia="Bookman Old Style" w:hAnsi="Bookman Old Style"/>
          <w:b w:val="0"/>
          <w:w w:val="95"/>
          <w:position w:val="3"/>
          <w:sz w:val="24"/>
        </w:rPr>
        <w:t>[15,16]</w:t>
      </w:r>
      <w:r>
        <w:rPr>
          <w:w w:val="95"/>
        </w:rPr>
        <w:t>。美国</w:t>
      </w:r>
      <w:r>
        <w:rPr>
          <w:spacing w:val="-86"/>
          <w:w w:val="95"/>
        </w:rPr>
        <w:t xml:space="preserve"> </w:t>
      </w:r>
      <w:r>
        <w:rPr>
          <w:rFonts w:ascii="Bookman Old Style" w:eastAsia="Bookman Old Style" w:hAnsi="Bookman Old Style"/>
          <w:b w:val="0"/>
          <w:w w:val="95"/>
        </w:rPr>
        <w:t>Rentech</w:t>
      </w:r>
      <w:r>
        <w:rPr>
          <w:rFonts w:ascii="Bookman Old Style" w:eastAsia="Bookman Old Style" w:hAnsi="Bookman Old Style"/>
          <w:b w:val="0"/>
          <w:spacing w:val="-25"/>
          <w:w w:val="95"/>
        </w:rPr>
        <w:t xml:space="preserve"> </w:t>
      </w:r>
      <w:r>
        <w:rPr>
          <w:w w:val="95"/>
        </w:rPr>
        <w:t>公司</w:t>
      </w:r>
      <w:r>
        <w:rPr>
          <w:spacing w:val="-86"/>
          <w:w w:val="95"/>
        </w:rPr>
        <w:t xml:space="preserve"> </w:t>
      </w:r>
      <w:r>
        <w:rPr>
          <w:rFonts w:ascii="Bookman Old Style" w:eastAsia="Bookman Old Style" w:hAnsi="Bookman Old Style"/>
          <w:b w:val="0"/>
          <w:w w:val="95"/>
        </w:rPr>
        <w:t>2006</w:t>
      </w:r>
      <w:r>
        <w:rPr>
          <w:rFonts w:ascii="Bookman Old Style" w:eastAsia="Bookman Old Style" w:hAnsi="Bookman Old Style"/>
          <w:b w:val="0"/>
          <w:spacing w:val="-24"/>
          <w:w w:val="95"/>
        </w:rPr>
        <w:t xml:space="preserve"> </w:t>
      </w:r>
      <w:r>
        <w:rPr>
          <w:w w:val="95"/>
        </w:rPr>
        <w:t>年</w:t>
      </w:r>
      <w:r>
        <w:rPr>
          <w:spacing w:val="-86"/>
          <w:w w:val="95"/>
        </w:rPr>
        <w:t xml:space="preserve"> </w:t>
      </w:r>
      <w:r>
        <w:rPr>
          <w:rFonts w:ascii="Bookman Old Style" w:eastAsia="Bookman Old Style" w:hAnsi="Bookman Old Style"/>
          <w:b w:val="0"/>
          <w:w w:val="95"/>
        </w:rPr>
        <w:t>1</w:t>
      </w:r>
      <w:r>
        <w:rPr>
          <w:rFonts w:ascii="Bookman Old Style" w:eastAsia="Bookman Old Style" w:hAnsi="Bookman Old Style"/>
          <w:b w:val="0"/>
          <w:spacing w:val="-25"/>
          <w:w w:val="95"/>
        </w:rPr>
        <w:t xml:space="preserve"> </w:t>
      </w:r>
      <w:r>
        <w:rPr>
          <w:w w:val="95"/>
        </w:rPr>
        <w:t>月首次将</w:t>
      </w:r>
      <w:r>
        <w:t>费</w:t>
      </w:r>
      <w:r>
        <w:rPr>
          <w:rFonts w:ascii="Bookman Old Style" w:eastAsia="Bookman Old Style" w:hAnsi="Bookman Old Style"/>
          <w:b w:val="0"/>
        </w:rPr>
        <w:t>-</w:t>
      </w:r>
      <w:r>
        <w:t>托法煤制油专利技术转让给</w:t>
      </w:r>
      <w:r>
        <w:rPr>
          <w:spacing w:val="-47"/>
        </w:rPr>
        <w:t xml:space="preserve"> </w:t>
      </w:r>
      <w:r>
        <w:rPr>
          <w:rFonts w:ascii="Bookman Old Style" w:eastAsia="Bookman Old Style" w:hAnsi="Bookman Old Style"/>
          <w:b w:val="0"/>
        </w:rPr>
        <w:t>DKRW</w:t>
      </w:r>
      <w:r>
        <w:rPr>
          <w:rFonts w:ascii="Bookman Old Style" w:eastAsia="Bookman Old Style" w:hAnsi="Bookman Old Style"/>
          <w:b w:val="0"/>
          <w:spacing w:val="3"/>
        </w:rPr>
        <w:t xml:space="preserve"> </w:t>
      </w:r>
      <w:r>
        <w:t>高级燃料公司，接受转让的是</w:t>
      </w:r>
      <w:r>
        <w:rPr>
          <w:rFonts w:ascii="Bookman Old Style" w:eastAsia="Bookman Old Style" w:hAnsi="Bookman Old Style"/>
          <w:b w:val="0"/>
        </w:rPr>
        <w:t>DKRW</w:t>
      </w:r>
      <w:r>
        <w:rPr>
          <w:rFonts w:ascii="Bookman Old Style" w:eastAsia="Bookman Old Style" w:hAnsi="Bookman Old Style"/>
          <w:b w:val="0"/>
          <w:spacing w:val="-29"/>
        </w:rPr>
        <w:t xml:space="preserve"> </w:t>
      </w:r>
      <w:r>
        <w:t>公司的子公司</w:t>
      </w:r>
      <w:r>
        <w:rPr>
          <w:spacing w:val="-122"/>
        </w:rPr>
        <w:t xml:space="preserve"> </w:t>
      </w:r>
      <w:r>
        <w:rPr>
          <w:rFonts w:ascii="Bookman Old Style" w:eastAsia="Bookman Old Style" w:hAnsi="Bookman Old Style"/>
          <w:b w:val="0"/>
        </w:rPr>
        <w:t>Medicine</w:t>
      </w:r>
      <w:r>
        <w:rPr>
          <w:rFonts w:ascii="Bookman Old Style" w:eastAsia="Bookman Old Style" w:hAnsi="Bookman Old Style"/>
          <w:b w:val="0"/>
          <w:spacing w:val="-14"/>
        </w:rPr>
        <w:t xml:space="preserve"> </w:t>
      </w:r>
      <w:r>
        <w:rPr>
          <w:rFonts w:ascii="Bookman Old Style" w:eastAsia="Bookman Old Style" w:hAnsi="Bookman Old Style"/>
          <w:b w:val="0"/>
        </w:rPr>
        <w:t>Bow</w:t>
      </w:r>
      <w:r>
        <w:rPr>
          <w:rFonts w:ascii="Bookman Old Style" w:eastAsia="Bookman Old Style" w:hAnsi="Bookman Old Style"/>
          <w:b w:val="0"/>
          <w:spacing w:val="-60"/>
        </w:rPr>
        <w:t xml:space="preserve"> </w:t>
      </w:r>
      <w:r>
        <w:t>燃料和发电公司。项目分</w:t>
      </w:r>
      <w:r>
        <w:rPr>
          <w:spacing w:val="-122"/>
        </w:rPr>
        <w:t xml:space="preserve"> </w:t>
      </w:r>
      <w:r>
        <w:rPr>
          <w:rFonts w:ascii="Bookman Old Style" w:eastAsia="Bookman Old Style" w:hAnsi="Bookman Old Style"/>
          <w:b w:val="0"/>
        </w:rPr>
        <w:t>2</w:t>
      </w:r>
      <w:r>
        <w:rPr>
          <w:rFonts w:ascii="Bookman Old Style" w:eastAsia="Bookman Old Style" w:hAnsi="Bookman Old Style"/>
          <w:b w:val="0"/>
          <w:spacing w:val="-60"/>
        </w:rPr>
        <w:t xml:space="preserve"> </w:t>
      </w:r>
      <w:r>
        <w:t>个阶段实施，第</w:t>
      </w:r>
      <w:r>
        <w:rPr>
          <w:spacing w:val="48"/>
        </w:rPr>
        <w:t xml:space="preserve"> </w:t>
      </w:r>
      <w:r>
        <w:rPr>
          <w:rFonts w:ascii="Bookman Old Style" w:eastAsia="Bookman Old Style" w:hAnsi="Bookman Old Style"/>
          <w:b w:val="0"/>
        </w:rPr>
        <w:t>1</w:t>
      </w:r>
      <w:r>
        <w:rPr>
          <w:rFonts w:ascii="Bookman Old Style" w:eastAsia="Bookman Old Style" w:hAnsi="Bookman Old Style"/>
          <w:b w:val="0"/>
          <w:spacing w:val="68"/>
        </w:rPr>
        <w:t xml:space="preserve"> </w:t>
      </w:r>
      <w:r>
        <w:t>阶段将以煤为原料联产</w:t>
        <w:tab/>
      </w:r>
      <w:r>
        <w:rPr>
          <w:rFonts w:ascii="Bookman Old Style" w:eastAsia="Bookman Old Style" w:hAnsi="Bookman Old Style"/>
          <w:b w:val="0"/>
        </w:rPr>
        <w:t>1</w:t>
      </w:r>
      <w:r>
        <w:rPr>
          <w:rFonts w:ascii="Bookman Old Style" w:eastAsia="Bookman Old Style" w:hAnsi="Bookman Old Style"/>
          <w:b w:val="0"/>
          <w:spacing w:val="19"/>
        </w:rPr>
        <w:t xml:space="preserve"> </w:t>
      </w:r>
      <w:r>
        <w:t>万</w:t>
      </w:r>
      <w:r>
        <w:rPr>
          <w:spacing w:val="25"/>
        </w:rPr>
        <w:t>桶</w:t>
      </w:r>
      <w:r>
        <w:rPr>
          <w:rFonts w:ascii="Bookman Old Style" w:eastAsia="Bookman Old Style" w:hAnsi="Bookman Old Style"/>
          <w:b w:val="0"/>
          <w:w w:val="95"/>
        </w:rPr>
        <w:t>/d</w:t>
      </w:r>
      <w:r>
        <w:rPr>
          <w:rFonts w:ascii="Bookman Old Style" w:eastAsia="Bookman Old Style" w:hAnsi="Bookman Old Style"/>
          <w:b w:val="0"/>
          <w:spacing w:val="26"/>
          <w:w w:val="95"/>
        </w:rPr>
        <w:t xml:space="preserve"> </w:t>
      </w:r>
      <w:r>
        <w:t>超清洁燃料并发电</w:t>
      </w:r>
      <w:r>
        <w:rPr>
          <w:rFonts w:ascii="Bookman Old Style" w:eastAsia="Bookman Old Style" w:hAnsi="Bookman Old Style"/>
          <w:b w:val="0"/>
          <w:w w:val="95"/>
        </w:rPr>
        <w:t>200MW·</w:t>
      </w:r>
      <w:r>
        <w:rPr>
          <w:rFonts w:ascii="Bookman Old Style" w:eastAsia="Bookman Old Style" w:hAnsi="Bookman Old Style"/>
          <w:b w:val="0"/>
          <w:spacing w:val="-88"/>
          <w:w w:val="95"/>
        </w:rPr>
        <w:t xml:space="preserve"> </w:t>
      </w:r>
      <w:r>
        <w:rPr>
          <w:rFonts w:ascii="Bookman Old Style" w:eastAsia="Bookman Old Style" w:hAnsi="Bookman Old Style"/>
          <w:b w:val="0"/>
          <w:w w:val="95"/>
        </w:rPr>
        <w:t>h</w:t>
      </w:r>
      <w:r>
        <w:rPr>
          <w:w w:val="95"/>
        </w:rPr>
        <w:t>，</w:t>
      </w:r>
      <w:r>
        <w:rPr>
          <w:spacing w:val="47"/>
          <w:w w:val="95"/>
        </w:rPr>
        <w:t>第</w:t>
      </w:r>
      <w:r>
        <w:rPr>
          <w:rFonts w:ascii="Bookman Old Style" w:eastAsia="Bookman Old Style" w:hAnsi="Bookman Old Style"/>
          <w:b w:val="0"/>
          <w:w w:val="95"/>
        </w:rPr>
        <w:t>2</w:t>
      </w:r>
      <w:r>
        <w:rPr>
          <w:rFonts w:ascii="Bookman Old Style" w:eastAsia="Bookman Old Style" w:hAnsi="Bookman Old Style"/>
          <w:b w:val="0"/>
          <w:spacing w:val="-45"/>
          <w:w w:val="95"/>
        </w:rPr>
        <w:t xml:space="preserve"> </w:t>
      </w:r>
      <w:r>
        <w:rPr>
          <w:w w:val="95"/>
        </w:rPr>
        <w:t>阶段将超清洁燃料产能提高到</w:t>
      </w:r>
      <w:r>
        <w:rPr>
          <w:spacing w:val="-105"/>
          <w:w w:val="95"/>
        </w:rPr>
        <w:t xml:space="preserve"> </w:t>
      </w:r>
      <w:r>
        <w:rPr>
          <w:rFonts w:ascii="Bookman Old Style" w:eastAsia="Bookman Old Style" w:hAnsi="Bookman Old Style"/>
          <w:b w:val="0"/>
          <w:w w:val="95"/>
        </w:rPr>
        <w:t>4</w:t>
      </w:r>
      <w:r>
        <w:rPr>
          <w:rFonts w:ascii="Bookman Old Style" w:eastAsia="Bookman Old Style" w:hAnsi="Bookman Old Style"/>
          <w:b w:val="0"/>
          <w:spacing w:val="-45"/>
          <w:w w:val="95"/>
        </w:rPr>
        <w:t xml:space="preserve"> </w:t>
      </w:r>
      <w:r>
        <w:rPr>
          <w:w w:val="95"/>
        </w:rPr>
        <w:t>万桶</w:t>
      </w:r>
      <w:r>
        <w:rPr>
          <w:rFonts w:ascii="Bookman Old Style" w:eastAsia="Bookman Old Style" w:hAnsi="Bookman Old Style"/>
          <w:b w:val="0"/>
          <w:w w:val="95"/>
        </w:rPr>
        <w:t>/d</w:t>
      </w:r>
      <w:r>
        <w:rPr>
          <w:spacing w:val="-44"/>
          <w:w w:val="95"/>
        </w:rPr>
        <w:t>。</w:t>
      </w:r>
      <w:r>
        <w:rPr>
          <w:rFonts w:ascii="Bookman Old Style" w:eastAsia="Bookman Old Style" w:hAnsi="Bookman Old Style"/>
          <w:b w:val="0"/>
          <w:w w:val="95"/>
        </w:rPr>
        <w:t>Rentech</w:t>
      </w:r>
      <w:r>
        <w:rPr>
          <w:rFonts w:ascii="Bookman Old Style" w:eastAsia="Bookman Old Style" w:hAnsi="Bookman Old Style"/>
          <w:b w:val="0"/>
          <w:spacing w:val="-46"/>
          <w:w w:val="95"/>
        </w:rPr>
        <w:t xml:space="preserve"> </w:t>
      </w:r>
      <w:r>
        <w:rPr>
          <w:w w:val="95"/>
        </w:rPr>
        <w:t>公司</w:t>
      </w:r>
      <w:r>
        <w:t>专利技术将超清洁燃料生产、发电和减少</w:t>
      </w:r>
      <w:r>
        <w:rPr>
          <w:spacing w:val="-121"/>
        </w:rPr>
        <w:t xml:space="preserve"> </w:t>
      </w:r>
      <w:r>
        <w:rPr>
          <w:rFonts w:ascii="Bookman Old Style" w:eastAsia="Bookman Old Style" w:hAnsi="Bookman Old Style"/>
          <w:b w:val="0"/>
        </w:rPr>
        <w:t>CO</w:t>
      </w:r>
      <w:r>
        <w:rPr>
          <w:rFonts w:ascii="Bookman Old Style" w:eastAsia="Bookman Old Style" w:hAnsi="Bookman Old Style"/>
          <w:b w:val="0"/>
          <w:position w:val="-12"/>
          <w:sz w:val="24"/>
        </w:rPr>
        <w:t>2</w:t>
      </w:r>
      <w:r>
        <w:rPr>
          <w:rFonts w:ascii="Bookman Old Style" w:eastAsia="Bookman Old Style" w:hAnsi="Bookman Old Style"/>
          <w:b w:val="0"/>
          <w:spacing w:val="14"/>
          <w:position w:val="-12"/>
          <w:sz w:val="24"/>
        </w:rPr>
        <w:t xml:space="preserve"> </w:t>
      </w:r>
      <w:r>
        <w:t>排放组合在一起，将费</w:t>
      </w:r>
    </w:p>
    <w:p>
      <w:pPr>
        <w:pStyle w:val="BodyText"/>
        <w:spacing w:line="177" w:lineRule="auto"/>
        <w:ind w:left="644"/>
        <w:jc w:val="both"/>
      </w:pPr>
      <w:r>
        <w:rPr>
          <w:rFonts w:ascii="Bookman Old Style" w:eastAsia="Bookman Old Style"/>
          <w:b w:val="0"/>
        </w:rPr>
        <w:t>-</w:t>
      </w:r>
      <w:r>
        <w:rPr>
          <w:spacing w:val="-13"/>
        </w:rPr>
        <w:t xml:space="preserve">托法尾气中未反应的 </w:t>
      </w:r>
      <w:r>
        <w:rPr>
          <w:rFonts w:ascii="Bookman Old Style" w:eastAsia="Bookman Old Style"/>
          <w:b w:val="0"/>
        </w:rPr>
        <w:t>H</w:t>
      </w:r>
      <w:r>
        <w:rPr>
          <w:rFonts w:ascii="Bookman Old Style" w:eastAsia="Bookman Old Style"/>
          <w:b w:val="0"/>
          <w:position w:val="-12"/>
          <w:sz w:val="24"/>
        </w:rPr>
        <w:t>2</w:t>
      </w:r>
      <w:r>
        <w:rPr>
          <w:rFonts w:ascii="Bookman Old Style" w:eastAsia="Bookman Old Style"/>
          <w:b w:val="0"/>
          <w:spacing w:val="-39"/>
          <w:position w:val="-12"/>
          <w:sz w:val="24"/>
        </w:rPr>
        <w:t xml:space="preserve"> </w:t>
      </w:r>
      <w:r>
        <w:rPr>
          <w:spacing w:val="-20"/>
        </w:rPr>
        <w:t xml:space="preserve">和旁路合成气送至变换反应器，捕集由 </w:t>
      </w:r>
      <w:r>
        <w:rPr>
          <w:rFonts w:ascii="Bookman Old Style" w:eastAsia="Bookman Old Style"/>
          <w:b w:val="0"/>
        </w:rPr>
        <w:t>CO</w:t>
      </w:r>
      <w:r>
        <w:rPr>
          <w:rFonts w:ascii="Bookman Old Style" w:eastAsia="Bookman Old Style"/>
          <w:b w:val="0"/>
          <w:spacing w:val="-62"/>
        </w:rPr>
        <w:t xml:space="preserve"> </w:t>
      </w:r>
      <w:r>
        <w:t>转</w:t>
      </w:r>
    </w:p>
    <w:p>
      <w:pPr>
        <w:pStyle w:val="BodyText"/>
        <w:spacing w:before="87" w:line="295" w:lineRule="auto"/>
        <w:ind w:left="644" w:right="2174"/>
        <w:jc w:val="both"/>
      </w:pPr>
      <w:r>
        <w:rPr>
          <w:spacing w:val="36"/>
          <w:w w:val="95"/>
        </w:rPr>
        <w:t xml:space="preserve">化来的 </w:t>
      </w:r>
      <w:r>
        <w:rPr>
          <w:rFonts w:ascii="Bookman Old Style" w:eastAsia="Bookman Old Style"/>
          <w:b w:val="0"/>
          <w:w w:val="95"/>
        </w:rPr>
        <w:t>CO</w:t>
      </w:r>
      <w:r>
        <w:rPr>
          <w:rFonts w:ascii="Bookman Old Style" w:eastAsia="Bookman Old Style"/>
          <w:b w:val="0"/>
          <w:w w:val="95"/>
          <w:position w:val="-12"/>
          <w:sz w:val="24"/>
        </w:rPr>
        <w:t>2</w:t>
      </w:r>
      <w:r>
        <w:rPr>
          <w:w w:val="95"/>
        </w:rPr>
        <w:t>，富氢物流作为联合循环透平机的燃料使用</w:t>
      </w:r>
      <w:r>
        <w:rPr>
          <w:rFonts w:ascii="Bookman Old Style" w:eastAsia="Bookman Old Style"/>
          <w:b w:val="0"/>
          <w:w w:val="95"/>
          <w:position w:val="3"/>
          <w:sz w:val="24"/>
        </w:rPr>
        <w:t>[17]</w:t>
      </w:r>
      <w:r>
        <w:rPr>
          <w:w w:val="95"/>
        </w:rPr>
        <w:t>。美国合成</w:t>
      </w:r>
      <w:r>
        <w:rPr>
          <w:spacing w:val="-15"/>
        </w:rPr>
        <w:t xml:space="preserve">油公司与澳大利亚 </w:t>
      </w:r>
      <w:r>
        <w:rPr>
          <w:rFonts w:ascii="Bookman Old Style" w:eastAsia="Bookman Old Style"/>
          <w:b w:val="0"/>
        </w:rPr>
        <w:t>Linc</w:t>
      </w:r>
      <w:r>
        <w:rPr>
          <w:rFonts w:ascii="Bookman Old Style" w:eastAsia="Bookman Old Style"/>
          <w:b w:val="0"/>
          <w:spacing w:val="-68"/>
        </w:rPr>
        <w:t xml:space="preserve"> </w:t>
      </w:r>
      <w:r>
        <w:rPr>
          <w:spacing w:val="-1"/>
        </w:rPr>
        <w:t>能源公司签约，采用合成油公司天然气制合成</w:t>
      </w:r>
      <w:r>
        <w:rPr>
          <w:spacing w:val="-67"/>
        </w:rPr>
        <w:t xml:space="preserve">油 </w:t>
      </w:r>
      <w:r>
        <w:rPr>
          <w:rFonts w:ascii="Bookman Old Style" w:eastAsia="Bookman Old Style"/>
          <w:b w:val="0"/>
        </w:rPr>
        <w:t>Linc</w:t>
      </w:r>
      <w:r>
        <w:rPr>
          <w:rFonts w:ascii="Bookman Old Style" w:eastAsia="Bookman Old Style"/>
          <w:b w:val="0"/>
          <w:spacing w:val="-75"/>
        </w:rPr>
        <w:t xml:space="preserve"> </w:t>
      </w:r>
      <w:r>
        <w:rPr>
          <w:spacing w:val="-1"/>
        </w:rPr>
        <w:t>能源公司煤地下气化组合技术，在澳大利亚昆士兰合作开发煤</w:t>
      </w:r>
    </w:p>
    <w:p>
      <w:pPr>
        <w:spacing w:after="0" w:line="295" w:lineRule="auto"/>
        <w:jc w:val="both"/>
        <w:sectPr>
          <w:pgSz w:w="15480" w:h="21860"/>
          <w:pgMar w:top="2020" w:right="0" w:bottom="280" w:left="1740" w:header="708" w:footer="708"/>
          <w:pgNumType w:start="17"/>
          <w:cols w:space="708"/>
        </w:sectPr>
      </w:pPr>
    </w:p>
    <w:p>
      <w:pPr>
        <w:pStyle w:val="BodyText"/>
        <w:spacing w:before="24"/>
        <w:ind w:left="644"/>
      </w:pPr>
      <w:r>
        <w:t>制油项目。</w:t>
      </w:r>
    </w:p>
    <w:p>
      <w:pPr>
        <w:pStyle w:val="BodyText"/>
        <w:spacing w:before="147" w:line="316" w:lineRule="auto"/>
        <w:ind w:left="644" w:right="2294" w:firstLine="719"/>
      </w:pPr>
      <w:r>
        <w:t>目前。尽管已有一些装置在规划建设之中，但离投入生产运行至少还需要几年时间</w:t>
      </w:r>
      <w:r>
        <w:rPr>
          <w:rFonts w:ascii="Times New Roman" w:eastAsia="Times New Roman"/>
          <w:position w:val="3"/>
          <w:sz w:val="24"/>
        </w:rPr>
        <w:t>[18]</w:t>
      </w:r>
      <w:r>
        <w:t>，可借鉴的实际经验并不多。</w:t>
      </w:r>
    </w:p>
    <w:p>
      <w:pPr>
        <w:pStyle w:val="BodyText"/>
        <w:spacing w:line="316" w:lineRule="auto"/>
        <w:ind w:left="644" w:right="2131" w:firstLine="719"/>
      </w:pPr>
      <w:r>
        <w:t>澳大利亚是另一个有关“煤制油”项目的活动中心。最近，其注</w:t>
      </w:r>
      <w:r>
        <w:rPr>
          <w:spacing w:val="6"/>
        </w:rPr>
        <w:t>意力集中在将合成石油公司的</w:t>
      </w:r>
      <w:r>
        <w:rPr>
          <w:rFonts w:ascii="Times New Roman" w:eastAsia="Times New Roman" w:hAnsi="Times New Roman"/>
        </w:rPr>
        <w:t xml:space="preserve">F-T </w:t>
      </w:r>
      <w:r>
        <w:rPr>
          <w:spacing w:val="7"/>
        </w:rPr>
        <w:t>技术和总部设在布里斯班的</w:t>
      </w:r>
      <w:r>
        <w:rPr>
          <w:rFonts w:ascii="Times New Roman" w:eastAsia="Times New Roman" w:hAnsi="Times New Roman"/>
        </w:rPr>
        <w:t xml:space="preserve">Linc </w:t>
      </w:r>
      <w:r>
        <w:t>能源公司的井下煤炭气化技术结合在一起的项目的建议上。这将是首个</w:t>
      </w:r>
      <w:r>
        <w:rPr>
          <w:spacing w:val="-4"/>
        </w:rPr>
        <w:t xml:space="preserve">综合这两种技术、用煤炭生产合成柴油的项目。该 </w:t>
      </w:r>
      <w:r>
        <w:rPr>
          <w:rFonts w:ascii="Times New Roman" w:eastAsia="Times New Roman" w:hAnsi="Times New Roman"/>
        </w:rPr>
        <w:t>“</w:t>
      </w:r>
      <w:r>
        <w:rPr>
          <w:spacing w:val="5"/>
        </w:rPr>
        <w:t>煤制油</w:t>
      </w:r>
      <w:r>
        <w:rPr>
          <w:rFonts w:ascii="Times New Roman" w:eastAsia="Times New Roman" w:hAnsi="Times New Roman"/>
        </w:rPr>
        <w:t>”</w:t>
      </w:r>
      <w:r>
        <w:t>工作将是</w:t>
      </w:r>
      <w:r>
        <w:rPr>
          <w:rFonts w:ascii="Times New Roman" w:eastAsia="Times New Roman" w:hAnsi="Times New Roman"/>
        </w:rPr>
        <w:t xml:space="preserve">Linc </w:t>
      </w:r>
      <w:r>
        <w:t>能源公司进行的秦齐拉项目</w:t>
      </w:r>
      <w:r>
        <w:rPr>
          <w:rFonts w:ascii="Times New Roman" w:eastAsia="Times New Roman" w:hAnsi="Times New Roman"/>
        </w:rPr>
        <w:t>(</w:t>
      </w:r>
      <w:r>
        <w:rPr>
          <w:spacing w:val="-8"/>
        </w:rPr>
        <w:t xml:space="preserve">位于昆士兰州布里斯班市以西 </w:t>
      </w:r>
      <w:r>
        <w:rPr>
          <w:rFonts w:ascii="Times New Roman" w:eastAsia="Times New Roman" w:hAnsi="Times New Roman"/>
        </w:rPr>
        <w:t xml:space="preserve">350 </w:t>
      </w:r>
      <w:r>
        <w:t>公里</w:t>
      </w:r>
      <w:r>
        <w:rPr>
          <w:rFonts w:ascii="Times New Roman" w:eastAsia="Times New Roman" w:hAnsi="Times New Roman"/>
        </w:rPr>
        <w:t>)</w:t>
      </w:r>
      <w:r>
        <w:rPr>
          <w:spacing w:val="-1"/>
        </w:rPr>
        <w:t>的一部分，同样包括建设综合电站。这种在地而进行除硫和其他调</w:t>
      </w:r>
      <w:r>
        <w:t>整的井下煤炭气化生产的合成气，与普通地而煤炭气化系统中获得的合成气相类似但是其成本低。</w:t>
      </w:r>
      <w:r>
        <w:rPr>
          <w:rFonts w:ascii="Times New Roman" w:eastAsia="Times New Roman" w:hAnsi="Times New Roman"/>
        </w:rPr>
        <w:t xml:space="preserve">Linc </w:t>
      </w:r>
      <w:r>
        <w:t>公司今年计划的该秦齐拉项目的第</w:t>
      </w:r>
      <w:r>
        <w:rPr>
          <w:spacing w:val="-6"/>
        </w:rPr>
        <w:t xml:space="preserve">一个商业阶段包括装备一座装机容量 </w:t>
      </w:r>
      <w:r>
        <w:rPr>
          <w:rFonts w:ascii="Times New Roman" w:eastAsia="Times New Roman" w:hAnsi="Times New Roman"/>
        </w:rPr>
        <w:t xml:space="preserve">30~40M W </w:t>
      </w:r>
      <w:r>
        <w:t>的电站，该电站将向</w:t>
      </w:r>
      <w:r>
        <w:rPr>
          <w:spacing w:val="-13"/>
        </w:rPr>
        <w:t xml:space="preserve">当地市场提供电力。第一阶段设想建设日生产 </w:t>
      </w:r>
      <w:r>
        <w:rPr>
          <w:rFonts w:ascii="Times New Roman" w:eastAsia="Times New Roman" w:hAnsi="Times New Roman"/>
        </w:rPr>
        <w:t xml:space="preserve">17000 </w:t>
      </w:r>
      <w:r>
        <w:t>桶合成气的</w:t>
      </w:r>
      <w:r>
        <w:rPr>
          <w:rFonts w:ascii="Times New Roman" w:eastAsia="Times New Roman" w:hAnsi="Times New Roman"/>
        </w:rPr>
        <w:t>“</w:t>
      </w:r>
      <w:r>
        <w:t>煤制油</w:t>
      </w:r>
      <w:r>
        <w:rPr>
          <w:rFonts w:ascii="Times New Roman" w:eastAsia="Times New Roman" w:hAnsi="Times New Roman"/>
        </w:rPr>
        <w:t>”</w:t>
      </w:r>
      <w:r>
        <w:rPr>
          <w:spacing w:val="-9"/>
        </w:rPr>
        <w:t>厂及进行电站扩建。英国石油公司同时表示对在秦齐拉项目中成为资产合伙人感兴趣。其他评估井下煤炭气化方案的公司，同样对此项目表示出很大的兴趣。</w:t>
      </w:r>
    </w:p>
    <w:p>
      <w:pPr>
        <w:pStyle w:val="BodyText"/>
        <w:spacing w:line="316" w:lineRule="auto"/>
        <w:ind w:left="644" w:right="2205" w:firstLine="719"/>
        <w:jc w:val="both"/>
      </w:pPr>
      <w:r>
        <w:rPr>
          <w:spacing w:val="-29"/>
        </w:rPr>
        <w:t xml:space="preserve">随着 </w:t>
      </w:r>
      <w:r>
        <w:rPr>
          <w:rFonts w:ascii="Times New Roman" w:eastAsia="Times New Roman"/>
        </w:rPr>
        <w:t xml:space="preserve">2005 </w:t>
      </w:r>
      <w:r>
        <w:rPr>
          <w:spacing w:val="-44"/>
        </w:rPr>
        <w:t xml:space="preserve">年 </w:t>
      </w:r>
      <w:r>
        <w:rPr>
          <w:rFonts w:ascii="Times New Roman" w:eastAsia="Times New Roman"/>
        </w:rPr>
        <w:t xml:space="preserve">11 </w:t>
      </w:r>
      <w:r>
        <w:rPr>
          <w:spacing w:val="-15"/>
        </w:rPr>
        <w:t xml:space="preserve">月澳大利亚 </w:t>
      </w:r>
      <w:r>
        <w:rPr>
          <w:rFonts w:ascii="Times New Roman" w:eastAsia="Times New Roman"/>
        </w:rPr>
        <w:t xml:space="preserve">Altona </w:t>
      </w:r>
      <w:r>
        <w:rPr>
          <w:spacing w:val="-1"/>
        </w:rPr>
        <w:t>资源公司获得阿卡林加煤炭项</w:t>
      </w:r>
      <w:r>
        <w:t>目，</w:t>
      </w:r>
      <w:r>
        <w:rPr>
          <w:rFonts w:ascii="Times New Roman" w:eastAsia="Times New Roman"/>
        </w:rPr>
        <w:t xml:space="preserve">Altona </w:t>
      </w:r>
      <w:r>
        <w:rPr>
          <w:spacing w:val="-7"/>
        </w:rPr>
        <w:t xml:space="preserve">己指定以美国为基地的 </w:t>
      </w:r>
      <w:r>
        <w:rPr>
          <w:rFonts w:ascii="Times New Roman" w:eastAsia="Times New Roman"/>
        </w:rPr>
        <w:t xml:space="preserve">Jacobs </w:t>
      </w:r>
      <w:r>
        <w:rPr>
          <w:spacing w:val="-2"/>
        </w:rPr>
        <w:t>咨询公司，帮助其确定适当</w:t>
      </w:r>
      <w:r>
        <w:t>的技术。</w:t>
      </w:r>
      <w:r>
        <w:rPr>
          <w:rFonts w:ascii="Times New Roman" w:eastAsia="Times New Roman"/>
        </w:rPr>
        <w:t xml:space="preserve">Jacobs </w:t>
      </w:r>
      <w:r>
        <w:rPr>
          <w:spacing w:val="-3"/>
        </w:rPr>
        <w:t xml:space="preserve">公司着手对与阿卡林加的煤炭资源有关的 </w:t>
      </w:r>
      <w:r>
        <w:rPr>
          <w:rFonts w:ascii="Times New Roman" w:eastAsia="Times New Roman"/>
        </w:rPr>
        <w:t xml:space="preserve">4 </w:t>
      </w:r>
      <w:r>
        <w:rPr>
          <w:spacing w:val="-4"/>
        </w:rPr>
        <w:t>项领先的</w:t>
      </w:r>
      <w:r>
        <w:rPr>
          <w:spacing w:val="-5"/>
        </w:rPr>
        <w:t xml:space="preserve">气化技术进行可行性研究。这项工作将与 </w:t>
      </w:r>
      <w:r>
        <w:rPr>
          <w:rFonts w:ascii="Times New Roman" w:eastAsia="Times New Roman"/>
        </w:rPr>
        <w:t xml:space="preserve">Altona </w:t>
      </w:r>
      <w:r>
        <w:rPr>
          <w:spacing w:val="-2"/>
        </w:rPr>
        <w:t>公司计划的钻进计划</w:t>
      </w:r>
      <w:r>
        <w:rPr>
          <w:spacing w:val="-8"/>
        </w:rPr>
        <w:t xml:space="preserve">结合在一起，于 </w:t>
      </w:r>
      <w:r>
        <w:rPr>
          <w:rFonts w:ascii="Times New Roman" w:eastAsia="Times New Roman"/>
        </w:rPr>
        <w:t xml:space="preserve">2006 </w:t>
      </w:r>
      <w:r>
        <w:rPr>
          <w:spacing w:val="-4"/>
        </w:rPr>
        <w:t xml:space="preserve">年第一季度结束。阿卡林加拥有 </w:t>
      </w:r>
      <w:r>
        <w:rPr>
          <w:rFonts w:ascii="Times New Roman" w:eastAsia="Times New Roman"/>
        </w:rPr>
        <w:t xml:space="preserve">70 </w:t>
      </w:r>
      <w:r>
        <w:rPr>
          <w:spacing w:val="-33"/>
        </w:rPr>
        <w:t xml:space="preserve">亿 </w:t>
      </w:r>
      <w:r>
        <w:rPr>
          <w:rFonts w:ascii="Times New Roman" w:eastAsia="Times New Roman"/>
        </w:rPr>
        <w:t xml:space="preserve">t </w:t>
      </w:r>
      <w:r>
        <w:rPr>
          <w:spacing w:val="-6"/>
        </w:rPr>
        <w:t>的次烟</w:t>
      </w:r>
      <w:r>
        <w:rPr>
          <w:spacing w:val="-9"/>
        </w:rPr>
        <w:t xml:space="preserve">煤储量，勘探总面积 </w:t>
      </w:r>
      <w:r>
        <w:rPr>
          <w:rFonts w:ascii="Times New Roman" w:eastAsia="Times New Roman"/>
        </w:rPr>
        <w:t>2500km</w:t>
      </w:r>
      <w:r>
        <w:rPr>
          <w:rFonts w:ascii="Times New Roman" w:eastAsia="Times New Roman"/>
          <w:position w:val="3"/>
          <w:sz w:val="24"/>
        </w:rPr>
        <w:t>2</w:t>
      </w:r>
      <w:r>
        <w:t>。</w:t>
      </w:r>
    </w:p>
    <w:p>
      <w:pPr>
        <w:pStyle w:val="BodyText"/>
        <w:spacing w:line="316" w:lineRule="auto"/>
        <w:ind w:left="644" w:right="2203" w:firstLine="719"/>
        <w:jc w:val="both"/>
      </w:pPr>
      <w:r>
        <w:t>在印度，</w:t>
      </w:r>
      <w:r>
        <w:rPr>
          <w:rFonts w:ascii="Times New Roman" w:eastAsia="Times New Roman"/>
        </w:rPr>
        <w:t xml:space="preserve">2004 </w:t>
      </w:r>
      <w:r>
        <w:rPr>
          <w:spacing w:val="-37"/>
        </w:rPr>
        <w:t xml:space="preserve">年 </w:t>
      </w:r>
      <w:r>
        <w:rPr>
          <w:rFonts w:ascii="Times New Roman" w:eastAsia="Times New Roman"/>
        </w:rPr>
        <w:t xml:space="preserve">10 </w:t>
      </w:r>
      <w:r>
        <w:rPr>
          <w:spacing w:val="-7"/>
        </w:rPr>
        <w:t xml:space="preserve">月，总部设在美国的 </w:t>
      </w:r>
      <w:r>
        <w:rPr>
          <w:rFonts w:ascii="Times New Roman" w:eastAsia="Times New Roman"/>
        </w:rPr>
        <w:t xml:space="preserve">Headwaters </w:t>
      </w:r>
      <w:r>
        <w:t xml:space="preserve">公司宣布， </w:t>
      </w:r>
      <w:r>
        <w:rPr>
          <w:spacing w:val="8"/>
        </w:rPr>
        <w:t>其子公司碳氢技术公司</w:t>
      </w:r>
      <w:r>
        <w:rPr>
          <w:rFonts w:ascii="Times New Roman" w:eastAsia="Times New Roman"/>
        </w:rPr>
        <w:t>(HTI)</w:t>
      </w:r>
      <w:r>
        <w:rPr>
          <w:spacing w:val="8"/>
        </w:rPr>
        <w:t>己获得印度石油有限公司</w:t>
      </w:r>
      <w:r>
        <w:rPr>
          <w:rFonts w:ascii="Times New Roman" w:eastAsia="Times New Roman"/>
        </w:rPr>
        <w:t>(OIT)</w:t>
      </w:r>
      <w:r>
        <w:t>的一个合</w:t>
      </w:r>
      <w:r>
        <w:rPr>
          <w:spacing w:val="-13"/>
        </w:rPr>
        <w:t xml:space="preserve">同，研究将 </w:t>
      </w:r>
      <w:r>
        <w:rPr>
          <w:rFonts w:ascii="Times New Roman" w:eastAsia="Times New Roman"/>
        </w:rPr>
        <w:t xml:space="preserve">HTI </w:t>
      </w:r>
      <w:r>
        <w:t>公司的煤炭直接液化技术用于印度在技术和经济上的</w:t>
      </w:r>
      <w:r>
        <w:rPr>
          <w:spacing w:val="-10"/>
        </w:rPr>
        <w:t>可行性。如果印度石油公司决定进行商业性的煤炭直接液化项目，</w:t>
      </w:r>
      <w:r>
        <w:rPr>
          <w:rFonts w:ascii="Times New Roman" w:eastAsia="Times New Roman"/>
          <w:spacing w:val="-24"/>
        </w:rPr>
        <w:t xml:space="preserve">HTI </w:t>
      </w:r>
      <w:r>
        <w:t>公司将在协商的商业条款下，提供技术许可证。</w:t>
      </w:r>
    </w:p>
    <w:p>
      <w:pPr>
        <w:pStyle w:val="BodyText"/>
        <w:spacing w:line="459" w:lineRule="exact"/>
        <w:ind w:left="1363"/>
      </w:pPr>
      <w:r>
        <w:rPr>
          <w:rFonts w:ascii="Times New Roman" w:eastAsia="Times New Roman"/>
        </w:rPr>
        <w:t xml:space="preserve">2005 </w:t>
      </w:r>
      <w:r>
        <w:t>年，印度石油公司和印度煤炭公司</w:t>
      </w:r>
      <w:r>
        <w:rPr>
          <w:rFonts w:ascii="Times New Roman" w:eastAsia="Times New Roman"/>
        </w:rPr>
        <w:t>(CIL)</w:t>
      </w:r>
      <w:r>
        <w:t>设立了一个特别工作</w:t>
      </w:r>
    </w:p>
    <w:p>
      <w:pPr>
        <w:spacing w:after="0" w:line="459" w:lineRule="exact"/>
        <w:sectPr>
          <w:pgSz w:w="15480" w:h="21860"/>
          <w:pgMar w:top="2020" w:right="0" w:bottom="280" w:left="1740" w:header="708" w:footer="708"/>
          <w:pgNumType w:start="18"/>
          <w:cols w:space="708"/>
        </w:sectPr>
      </w:pPr>
    </w:p>
    <w:p>
      <w:pPr>
        <w:pStyle w:val="BodyText"/>
        <w:spacing w:before="44" w:line="316" w:lineRule="auto"/>
        <w:ind w:left="644" w:right="2145"/>
      </w:pPr>
      <w:r>
        <w:t xml:space="preserve">小组，按照印度中央煤矿规划和设计院有限公司 </w:t>
      </w:r>
      <w:r>
        <w:rPr>
          <w:rFonts w:ascii="Arial" w:eastAsia="Arial"/>
        </w:rPr>
        <w:t>(CMPDIT)</w:t>
      </w:r>
      <w:r>
        <w:t>提供的报告，研究在印度用煤炭生产石油的可能性。据中央煤矿规划和设计院有限公司称，在每桶</w:t>
      </w:r>
      <w:r>
        <w:rPr>
          <w:rFonts w:ascii="Arial" w:eastAsia="Arial"/>
        </w:rPr>
        <w:t xml:space="preserve">35 </w:t>
      </w:r>
      <w:r>
        <w:t>美元的价格下，用煤炭生产石油是可行的。该小组将为此新项目制定一份蓝图，可能由两个合资公司实施此项目， 一个公司负责生产煤炭，另一个公司建设煤炭液化厂及进行相关的上游活动。</w:t>
      </w:r>
    </w:p>
    <w:p>
      <w:pPr>
        <w:pStyle w:val="BodyText"/>
        <w:spacing w:line="316" w:lineRule="auto"/>
        <w:ind w:left="644" w:right="2294" w:firstLine="719"/>
        <w:jc w:val="both"/>
      </w:pPr>
      <w:r>
        <w:t xml:space="preserve">过去两年，固体能源新西兰有限公司对提出的将丰富的褐煤转化为运输燃料、总金额 </w:t>
      </w:r>
      <w:r>
        <w:rPr>
          <w:rFonts w:ascii="Arial" w:eastAsia="Arial"/>
        </w:rPr>
        <w:t xml:space="preserve">6.9 </w:t>
      </w:r>
      <w:r>
        <w:t>亿美元的项目，进行了可行性研究。</w:t>
      </w:r>
    </w:p>
    <w:p>
      <w:pPr>
        <w:pStyle w:val="BodyText"/>
        <w:spacing w:line="316" w:lineRule="auto"/>
        <w:ind w:left="644" w:right="2192" w:firstLine="719"/>
        <w:jc w:val="both"/>
      </w:pPr>
      <w:r>
        <w:rPr>
          <w:spacing w:val="-4"/>
        </w:rPr>
        <w:t xml:space="preserve">该国有采矿公司己经对位于该国南岛的大量的 </w:t>
      </w:r>
      <w:r>
        <w:rPr>
          <w:rFonts w:ascii="Times New Roman" w:eastAsia="Times New Roman" w:hAnsi="Times New Roman"/>
        </w:rPr>
        <w:t>“</w:t>
      </w:r>
      <w:r>
        <w:rPr>
          <w:spacing w:val="5"/>
        </w:rPr>
        <w:t>海滨</w:t>
      </w:r>
      <w:r>
        <w:rPr>
          <w:rFonts w:ascii="Times New Roman" w:eastAsia="Times New Roman" w:hAnsi="Times New Roman"/>
        </w:rPr>
        <w:t>”</w:t>
      </w:r>
      <w:r>
        <w:t>褐煤资源是否适合煤炭液化项目做出了评估。将褐煤转变为发动机燃料、汽油和</w:t>
      </w:r>
      <w:r>
        <w:rPr>
          <w:spacing w:val="-3"/>
        </w:rPr>
        <w:t xml:space="preserve">柴油，要比将其直接供给该地区的小电站 </w:t>
      </w:r>
      <w:r>
        <w:rPr>
          <w:rFonts w:ascii="Arial" w:eastAsia="Arial" w:hAnsi="Arial"/>
          <w:spacing w:val="6"/>
        </w:rPr>
        <w:t>(</w:t>
      </w:r>
      <w:r>
        <w:rPr>
          <w:spacing w:val="6"/>
        </w:rPr>
        <w:t>且该地区对电力需求有限</w:t>
      </w:r>
      <w:r>
        <w:rPr>
          <w:rFonts w:ascii="Arial" w:eastAsia="Arial" w:hAnsi="Arial"/>
        </w:rPr>
        <w:t xml:space="preserve">) </w:t>
      </w:r>
      <w:r>
        <w:rPr>
          <w:spacing w:val="-7"/>
        </w:rPr>
        <w:t xml:space="preserve">更有价值。该液化厂每年需要 </w:t>
      </w:r>
      <w:r>
        <w:rPr>
          <w:rFonts w:ascii="Arial" w:eastAsia="Arial" w:hAnsi="Arial"/>
        </w:rPr>
        <w:t>50</w:t>
      </w:r>
      <w:r>
        <w:rPr>
          <w:rFonts w:ascii="Arial" w:eastAsia="Arial" w:hAnsi="Arial"/>
          <w:spacing w:val="-11"/>
        </w:rPr>
        <w:t xml:space="preserve"> </w:t>
      </w:r>
      <w:r>
        <w:rPr>
          <w:spacing w:val="-47"/>
        </w:rPr>
        <w:t xml:space="preserve">万 </w:t>
      </w:r>
      <w:r>
        <w:rPr>
          <w:rFonts w:ascii="Arial" w:eastAsia="Arial" w:hAnsi="Arial"/>
        </w:rPr>
        <w:t>t</w:t>
      </w:r>
      <w:r>
        <w:rPr>
          <w:rFonts w:ascii="Arial" w:eastAsia="Arial" w:hAnsi="Arial"/>
          <w:spacing w:val="-14"/>
        </w:rPr>
        <w:t xml:space="preserve"> </w:t>
      </w:r>
      <w:r>
        <w:rPr>
          <w:spacing w:val="-16"/>
        </w:rPr>
        <w:t xml:space="preserve">褐煤，价值 </w:t>
      </w:r>
      <w:r>
        <w:rPr>
          <w:rFonts w:ascii="Arial" w:eastAsia="Arial" w:hAnsi="Arial"/>
        </w:rPr>
        <w:t>6.5</w:t>
      </w:r>
      <w:r>
        <w:rPr>
          <w:rFonts w:ascii="Arial" w:eastAsia="Arial" w:hAnsi="Arial"/>
          <w:spacing w:val="-14"/>
        </w:rPr>
        <w:t xml:space="preserve"> </w:t>
      </w:r>
      <w:r>
        <w:t>亿美元。新西兰</w:t>
      </w:r>
      <w:r>
        <w:rPr>
          <w:spacing w:val="-22"/>
        </w:rPr>
        <w:t xml:space="preserve">每年需要 </w:t>
      </w:r>
      <w:r>
        <w:rPr>
          <w:rFonts w:ascii="Arial" w:eastAsia="Arial" w:hAnsi="Arial"/>
        </w:rPr>
        <w:t>1500</w:t>
      </w:r>
      <w:r>
        <w:rPr>
          <w:rFonts w:ascii="Arial" w:eastAsia="Arial" w:hAnsi="Arial"/>
          <w:spacing w:val="-29"/>
        </w:rPr>
        <w:t xml:space="preserve"> </w:t>
      </w:r>
      <w:r>
        <w:rPr>
          <w:spacing w:val="-55"/>
        </w:rPr>
        <w:t xml:space="preserve">万 </w:t>
      </w:r>
      <w:r>
        <w:rPr>
          <w:rFonts w:ascii="Arial" w:eastAsia="Arial" w:hAnsi="Arial"/>
        </w:rPr>
        <w:t>t</w:t>
      </w:r>
      <w:r>
        <w:rPr>
          <w:rFonts w:ascii="Arial" w:eastAsia="Arial" w:hAnsi="Arial"/>
          <w:spacing w:val="-29"/>
        </w:rPr>
        <w:t xml:space="preserve"> </w:t>
      </w:r>
      <w:r>
        <w:rPr>
          <w:spacing w:val="-1"/>
        </w:rPr>
        <w:t>褐煤，生产足够的柴油和汽油，使该国在运输燃料</w:t>
      </w:r>
      <w:r>
        <w:rPr>
          <w:spacing w:val="-6"/>
        </w:rPr>
        <w:t xml:space="preserve">方而达到自足。目前，新西兰大约 </w:t>
      </w:r>
      <w:r>
        <w:rPr>
          <w:rFonts w:ascii="Arial" w:eastAsia="Arial" w:hAnsi="Arial"/>
        </w:rPr>
        <w:t>80%</w:t>
      </w:r>
      <w:r>
        <w:t>的原油需要进口。</w:t>
      </w:r>
    </w:p>
    <w:p>
      <w:pPr>
        <w:pStyle w:val="BodyText"/>
        <w:spacing w:line="316" w:lineRule="auto"/>
        <w:ind w:left="644" w:right="2206" w:firstLine="719"/>
        <w:jc w:val="both"/>
      </w:pPr>
      <w:r>
        <w:t>总部设在克赖斯特彻奇的固体能源公司不愿意对液化厂的可能位</w:t>
      </w:r>
      <w:r>
        <w:rPr>
          <w:spacing w:val="-7"/>
        </w:rPr>
        <w:t xml:space="preserve">置进行公开评论。该地区 </w:t>
      </w:r>
      <w:r>
        <w:rPr>
          <w:rFonts w:ascii="Arial" w:eastAsia="Arial"/>
        </w:rPr>
        <w:t>9</w:t>
      </w:r>
      <w:r>
        <w:rPr>
          <w:rFonts w:ascii="Arial" w:eastAsia="Arial"/>
          <w:spacing w:val="1"/>
        </w:rPr>
        <w:t xml:space="preserve"> </w:t>
      </w:r>
      <w:r>
        <w:rPr>
          <w:spacing w:val="-10"/>
        </w:rPr>
        <w:t xml:space="preserve">座褐煤煤田中的 </w:t>
      </w:r>
      <w:r>
        <w:rPr>
          <w:rFonts w:ascii="Arial" w:eastAsia="Arial"/>
        </w:rPr>
        <w:t>4</w:t>
      </w:r>
      <w:r>
        <w:rPr>
          <w:rFonts w:ascii="Arial" w:eastAsia="Arial"/>
          <w:spacing w:val="1"/>
        </w:rPr>
        <w:t xml:space="preserve"> </w:t>
      </w:r>
      <w:r>
        <w:rPr>
          <w:spacing w:val="-2"/>
        </w:rPr>
        <w:t>座可提供合适的煤炭，</w:t>
      </w:r>
    </w:p>
    <w:p>
      <w:pPr>
        <w:pStyle w:val="BodyText"/>
        <w:spacing w:line="460" w:lineRule="exact"/>
        <w:ind w:left="644"/>
        <w:jc w:val="both"/>
      </w:pPr>
      <w:r>
        <w:t xml:space="preserve">并达到环境标准。是否进行此项目将于 </w:t>
      </w:r>
      <w:r>
        <w:rPr>
          <w:rFonts w:ascii="Arial" w:eastAsia="Arial"/>
        </w:rPr>
        <w:t>2006</w:t>
      </w:r>
      <w:r>
        <w:rPr>
          <w:rFonts w:ascii="Arial" w:eastAsia="Arial"/>
          <w:spacing w:val="45"/>
        </w:rPr>
        <w:t xml:space="preserve"> </w:t>
      </w:r>
      <w:r>
        <w:t>年末做出决定。在未来</w:t>
      </w:r>
    </w:p>
    <w:p>
      <w:pPr>
        <w:pStyle w:val="BodyText"/>
        <w:spacing w:before="143"/>
        <w:ind w:left="644"/>
      </w:pPr>
      <w:r>
        <w:rPr>
          <w:rFonts w:ascii="Arial" w:eastAsia="Arial"/>
        </w:rPr>
        <w:t xml:space="preserve">5~6 </w:t>
      </w:r>
      <w:r>
        <w:t>年内开始生产液态燃料。</w:t>
      </w:r>
    </w:p>
    <w:p>
      <w:pPr>
        <w:pStyle w:val="BodyText"/>
        <w:spacing w:before="147" w:line="316" w:lineRule="auto"/>
        <w:ind w:left="644" w:right="2205" w:firstLine="719"/>
        <w:jc w:val="both"/>
      </w:pPr>
      <w:r>
        <w:rPr>
          <w:rFonts w:ascii="Arial" w:eastAsia="Arial" w:hAnsi="Arial"/>
          <w:w w:val="95"/>
        </w:rPr>
        <w:t>2004</w:t>
      </w:r>
      <w:r>
        <w:rPr>
          <w:rFonts w:ascii="Arial" w:eastAsia="Arial" w:hAnsi="Arial"/>
          <w:spacing w:val="57"/>
          <w:w w:val="95"/>
        </w:rPr>
        <w:t xml:space="preserve"> </w:t>
      </w:r>
      <w:r>
        <w:rPr>
          <w:spacing w:val="-2"/>
          <w:w w:val="95"/>
        </w:rPr>
        <w:t xml:space="preserve">年，菲律宾政府委托 </w:t>
      </w:r>
      <w:r>
        <w:rPr>
          <w:rFonts w:ascii="Arial" w:eastAsia="Arial" w:hAnsi="Arial"/>
          <w:w w:val="95"/>
        </w:rPr>
        <w:t>Headwaters</w:t>
      </w:r>
      <w:r>
        <w:rPr>
          <w:rFonts w:ascii="Arial" w:eastAsia="Arial" w:hAnsi="Arial"/>
          <w:spacing w:val="55"/>
          <w:w w:val="95"/>
        </w:rPr>
        <w:t xml:space="preserve"> </w:t>
      </w:r>
      <w:r>
        <w:rPr>
          <w:spacing w:val="-2"/>
          <w:w w:val="95"/>
        </w:rPr>
        <w:t xml:space="preserve">公司的子公司 </w:t>
      </w:r>
      <w:r>
        <w:rPr>
          <w:rFonts w:ascii="Arial" w:eastAsia="Arial" w:hAnsi="Arial"/>
          <w:w w:val="95"/>
        </w:rPr>
        <w:t xml:space="preserve">Headwaters </w:t>
      </w:r>
      <w:r>
        <w:rPr>
          <w:spacing w:val="3"/>
        </w:rPr>
        <w:t>技术创新集团</w:t>
      </w:r>
      <w:r>
        <w:rPr>
          <w:rFonts w:ascii="Arial" w:eastAsia="Arial" w:hAnsi="Arial"/>
        </w:rPr>
        <w:t>(HTIG)</w:t>
      </w:r>
      <w:r>
        <w:rPr>
          <w:spacing w:val="4"/>
        </w:rPr>
        <w:t>就开发一个</w:t>
      </w:r>
      <w:r>
        <w:rPr>
          <w:rFonts w:ascii="Times New Roman" w:eastAsia="Times New Roman" w:hAnsi="Times New Roman"/>
        </w:rPr>
        <w:t>“</w:t>
      </w:r>
      <w:r>
        <w:rPr>
          <w:spacing w:val="3"/>
        </w:rPr>
        <w:t>煤制油</w:t>
      </w:r>
      <w:r>
        <w:rPr>
          <w:rFonts w:ascii="Times New Roman" w:eastAsia="Times New Roman" w:hAnsi="Times New Roman"/>
        </w:rPr>
        <w:t>”</w:t>
      </w:r>
      <w:r>
        <w:t>项目进行可行性研究。该研</w:t>
      </w:r>
      <w:r>
        <w:rPr>
          <w:spacing w:val="-2"/>
        </w:rPr>
        <w:t>究集中在包括一个煤炭直接液化装置、一个煤炭非直接液化装置</w:t>
      </w:r>
      <w:r>
        <w:rPr>
          <w:rFonts w:ascii="Arial" w:eastAsia="Arial" w:hAnsi="Arial"/>
        </w:rPr>
        <w:t>(</w:t>
      </w:r>
      <w:r>
        <w:rPr>
          <w:spacing w:val="-8"/>
        </w:rPr>
        <w:t>煤炭</w:t>
      </w:r>
      <w:r>
        <w:rPr>
          <w:spacing w:val="5"/>
        </w:rPr>
        <w:t>气化和合成气涤气装置加上一个</w:t>
      </w:r>
      <w:r>
        <w:rPr>
          <w:rFonts w:ascii="Arial" w:eastAsia="Arial" w:hAnsi="Arial"/>
        </w:rPr>
        <w:t>F-T</w:t>
      </w:r>
      <w:r>
        <w:rPr>
          <w:rFonts w:ascii="Arial" w:eastAsia="Arial" w:hAnsi="Arial"/>
          <w:spacing w:val="-45"/>
        </w:rPr>
        <w:t xml:space="preserve"> </w:t>
      </w:r>
      <w:r>
        <w:t>合成装置</w:t>
      </w:r>
      <w:r>
        <w:rPr>
          <w:rFonts w:ascii="Arial" w:eastAsia="Arial" w:hAnsi="Arial"/>
        </w:rPr>
        <w:t>)</w:t>
      </w:r>
      <w:r>
        <w:rPr>
          <w:spacing w:val="-2"/>
        </w:rPr>
        <w:t>和一台发电机组在内的</w:t>
      </w:r>
      <w:r>
        <w:rPr>
          <w:spacing w:val="-6"/>
        </w:rPr>
        <w:t xml:space="preserve">混合厂。该建议的项目每人可生产 </w:t>
      </w:r>
      <w:r>
        <w:rPr>
          <w:rFonts w:ascii="Arial" w:eastAsia="Arial" w:hAnsi="Arial"/>
        </w:rPr>
        <w:t>60000</w:t>
      </w:r>
      <w:r>
        <w:rPr>
          <w:rFonts w:ascii="Arial" w:eastAsia="Arial" w:hAnsi="Arial"/>
          <w:spacing w:val="-14"/>
        </w:rPr>
        <w:t xml:space="preserve"> </w:t>
      </w:r>
      <w:r>
        <w:rPr>
          <w:spacing w:val="-2"/>
        </w:rPr>
        <w:t>桶合成燃料，基建投资估计</w:t>
      </w:r>
      <w:r>
        <w:rPr>
          <w:spacing w:val="-61"/>
        </w:rPr>
        <w:t xml:space="preserve">为 </w:t>
      </w:r>
      <w:r>
        <w:rPr>
          <w:rFonts w:ascii="Arial" w:eastAsia="Arial" w:hAnsi="Arial"/>
        </w:rPr>
        <w:t>28</w:t>
      </w:r>
      <w:r>
        <w:rPr>
          <w:rFonts w:ascii="Arial" w:eastAsia="Arial" w:hAnsi="Arial"/>
          <w:spacing w:val="-43"/>
        </w:rPr>
        <w:t xml:space="preserve"> </w:t>
      </w:r>
      <w:r>
        <w:rPr>
          <w:spacing w:val="-16"/>
        </w:rPr>
        <w:t xml:space="preserve">亿美元。该厂可满足菲律宾大约 </w:t>
      </w:r>
      <w:r>
        <w:rPr>
          <w:rFonts w:ascii="Arial" w:eastAsia="Arial" w:hAnsi="Arial"/>
        </w:rPr>
        <w:t>15%</w:t>
      </w:r>
      <w:r>
        <w:rPr>
          <w:spacing w:val="-9"/>
        </w:rPr>
        <w:t>的运输燃料需求，估计每年</w:t>
      </w:r>
      <w:r>
        <w:rPr>
          <w:spacing w:val="-12"/>
        </w:rPr>
        <w:t xml:space="preserve">可节约 </w:t>
      </w:r>
      <w:r>
        <w:rPr>
          <w:rFonts w:ascii="Arial" w:eastAsia="Arial" w:hAnsi="Arial"/>
        </w:rPr>
        <w:t>32</w:t>
      </w:r>
      <w:r>
        <w:rPr>
          <w:rFonts w:ascii="Arial" w:eastAsia="Arial" w:hAnsi="Arial"/>
          <w:spacing w:val="62"/>
        </w:rPr>
        <w:t xml:space="preserve"> </w:t>
      </w:r>
      <w:r>
        <w:rPr>
          <w:spacing w:val="-3"/>
        </w:rPr>
        <w:t xml:space="preserve">亿美元的燃料费用。煤炭直接液化和 </w:t>
      </w:r>
      <w:r>
        <w:rPr>
          <w:rFonts w:ascii="Arial" w:eastAsia="Arial" w:hAnsi="Arial"/>
        </w:rPr>
        <w:t>F-T</w:t>
      </w:r>
      <w:r>
        <w:rPr>
          <w:rFonts w:ascii="Arial" w:eastAsia="Arial" w:hAnsi="Arial"/>
          <w:spacing w:val="33"/>
        </w:rPr>
        <w:t xml:space="preserve"> </w:t>
      </w:r>
      <w:r>
        <w:rPr>
          <w:spacing w:val="-2"/>
        </w:rPr>
        <w:t>装置中，每个装</w:t>
      </w:r>
      <w:r>
        <w:rPr>
          <w:spacing w:val="-11"/>
        </w:rPr>
        <w:t xml:space="preserve">置每人可生产大约 </w:t>
      </w:r>
      <w:r>
        <w:rPr>
          <w:rFonts w:ascii="Arial" w:eastAsia="Arial" w:hAnsi="Arial"/>
        </w:rPr>
        <w:t>30000</w:t>
      </w:r>
      <w:r>
        <w:rPr>
          <w:rFonts w:ascii="Arial" w:eastAsia="Arial" w:hAnsi="Arial"/>
          <w:spacing w:val="-14"/>
        </w:rPr>
        <w:t xml:space="preserve"> </w:t>
      </w:r>
      <w:r>
        <w:rPr>
          <w:spacing w:val="-1"/>
        </w:rPr>
        <w:t>桶液态燃料。这些产品将与最少量的下游精</w:t>
      </w:r>
      <w:r>
        <w:t>炼燃料混合，用以达到所需的燃料规格。</w:t>
      </w:r>
    </w:p>
    <w:p>
      <w:pPr>
        <w:pStyle w:val="BodyText"/>
        <w:spacing w:line="458" w:lineRule="exact"/>
        <w:ind w:left="1363"/>
        <w:jc w:val="both"/>
      </w:pPr>
      <w:r>
        <w:rPr>
          <w:rFonts w:ascii="Arial" w:eastAsia="Arial"/>
        </w:rPr>
        <w:t xml:space="preserve">2005 </w:t>
      </w:r>
      <w:r>
        <w:t xml:space="preserve">年 </w:t>
      </w:r>
      <w:r>
        <w:rPr>
          <w:rFonts w:ascii="Arial" w:eastAsia="Arial"/>
        </w:rPr>
        <w:t xml:space="preserve">9 </w:t>
      </w:r>
      <w:r>
        <w:t xml:space="preserve">月，菲律宾 </w:t>
      </w:r>
      <w:r>
        <w:rPr>
          <w:rFonts w:ascii="Arial" w:eastAsia="Arial"/>
        </w:rPr>
        <w:t xml:space="preserve">H&amp; WB </w:t>
      </w:r>
      <w:r>
        <w:t>公司宣布，该公司将进行混合厂项</w:t>
      </w:r>
    </w:p>
    <w:p>
      <w:pPr>
        <w:spacing w:after="0" w:line="458" w:lineRule="exact"/>
        <w:jc w:val="both"/>
        <w:sectPr>
          <w:pgSz w:w="15480" w:h="21860"/>
          <w:pgMar w:top="2000" w:right="0" w:bottom="280" w:left="1740" w:header="708" w:footer="708"/>
          <w:pgNumType w:start="19"/>
          <w:cols w:space="708"/>
        </w:sectPr>
      </w:pPr>
    </w:p>
    <w:p>
      <w:pPr>
        <w:pStyle w:val="BodyText"/>
        <w:spacing w:before="44" w:line="316" w:lineRule="auto"/>
        <w:ind w:left="644" w:right="2210"/>
        <w:jc w:val="both"/>
      </w:pPr>
      <w:r>
        <w:rPr>
          <w:spacing w:val="-2"/>
        </w:rPr>
        <w:t xml:space="preserve">目建设，为了下一阶段启动资金，选择菲律宾煤炭，由 </w:t>
      </w:r>
      <w:r>
        <w:rPr>
          <w:rFonts w:ascii="Times New Roman" w:eastAsia="Times New Roman"/>
        </w:rPr>
        <w:t>HTIG</w:t>
      </w:r>
      <w:r>
        <w:rPr>
          <w:rFonts w:ascii="Times New Roman" w:eastAsia="Times New Roman"/>
          <w:spacing w:val="61"/>
        </w:rPr>
        <w:t xml:space="preserve"> </w:t>
      </w:r>
      <w:r>
        <w:rPr>
          <w:spacing w:val="-6"/>
        </w:rPr>
        <w:t>公司进</w:t>
      </w:r>
      <w:r>
        <w:t>行测试，为开发前端工程收集设计资料。</w:t>
      </w:r>
    </w:p>
    <w:p>
      <w:pPr>
        <w:pStyle w:val="Heading2"/>
        <w:numPr>
          <w:ilvl w:val="1"/>
          <w:numId w:val="22"/>
        </w:numPr>
        <w:tabs>
          <w:tab w:val="left" w:pos="1274"/>
        </w:tabs>
        <w:spacing w:before="304" w:after="0" w:line="240" w:lineRule="auto"/>
        <w:ind w:left="1273" w:right="0" w:hanging="630"/>
        <w:jc w:val="left"/>
        <w:rPr>
          <w:rFonts w:ascii="Times New Roman" w:eastAsia="Times New Roman"/>
        </w:rPr>
      </w:pPr>
      <w:bookmarkStart w:id="6" w:name="_TOC_250025"/>
      <w:bookmarkEnd w:id="6"/>
      <w:r>
        <w:t>神华项目简介</w:t>
      </w:r>
    </w:p>
    <w:p>
      <w:pPr>
        <w:pStyle w:val="BodyText"/>
        <w:spacing w:before="10"/>
        <w:rPr>
          <w:rFonts w:ascii="黑体"/>
          <w:sz w:val="52"/>
        </w:rPr>
      </w:pPr>
    </w:p>
    <w:p>
      <w:pPr>
        <w:pStyle w:val="ListParagraph"/>
        <w:numPr>
          <w:ilvl w:val="2"/>
          <w:numId w:val="22"/>
        </w:numPr>
        <w:tabs>
          <w:tab w:val="left" w:pos="1454"/>
        </w:tabs>
        <w:spacing w:before="0" w:after="0" w:line="240" w:lineRule="auto"/>
        <w:ind w:left="1453" w:right="0" w:hanging="810"/>
        <w:jc w:val="left"/>
        <w:rPr>
          <w:rFonts w:ascii="Times New Roman" w:eastAsia="Times New Roman"/>
          <w:sz w:val="36"/>
        </w:rPr>
      </w:pPr>
      <w:r>
        <w:rPr>
          <w:rFonts w:ascii="黑体" w:eastAsia="黑体" w:hint="eastAsia"/>
          <w:sz w:val="36"/>
        </w:rPr>
        <w:t>项目背景介绍</w:t>
      </w:r>
    </w:p>
    <w:p>
      <w:pPr>
        <w:pStyle w:val="BodyText"/>
        <w:spacing w:before="147" w:line="316" w:lineRule="auto"/>
        <w:ind w:left="644" w:right="2201" w:firstLine="719"/>
        <w:jc w:val="both"/>
      </w:pPr>
      <w:r>
        <w:t>神华集团</w:t>
      </w:r>
      <w:r>
        <w:rPr>
          <w:rFonts w:ascii="Times New Roman" w:eastAsia="Times New Roman"/>
          <w:vertAlign w:val="subscript"/>
        </w:rPr>
        <w:t>[19]</w:t>
      </w:r>
      <w:r>
        <w:rPr>
          <w:vertAlign w:val="baseline"/>
        </w:rPr>
        <w:t>有限责任公司（简称神华集团）</w:t>
      </w:r>
      <w:r>
        <w:rPr>
          <w:spacing w:val="-24"/>
          <w:vertAlign w:val="baseline"/>
        </w:rPr>
        <w:t xml:space="preserve">是于 </w:t>
      </w:r>
      <w:r>
        <w:rPr>
          <w:rFonts w:ascii="Times New Roman" w:eastAsia="Times New Roman"/>
          <w:vertAlign w:val="baseline"/>
        </w:rPr>
        <w:t xml:space="preserve">1995 </w:t>
      </w:r>
      <w:r>
        <w:rPr>
          <w:spacing w:val="-38"/>
          <w:vertAlign w:val="baseline"/>
        </w:rPr>
        <w:t xml:space="preserve">年 </w:t>
      </w:r>
      <w:r>
        <w:rPr>
          <w:rFonts w:ascii="Times New Roman" w:eastAsia="Times New Roman"/>
          <w:vertAlign w:val="baseline"/>
        </w:rPr>
        <w:t xml:space="preserve">10 </w:t>
      </w:r>
      <w:r>
        <w:rPr>
          <w:spacing w:val="-7"/>
          <w:vertAlign w:val="baseline"/>
        </w:rPr>
        <w:t>月经</w:t>
      </w:r>
      <w:r>
        <w:rPr>
          <w:vertAlign w:val="baseline"/>
        </w:rPr>
        <w:t>国务院批准，按《公司法》组建的国有独资公司，负责统一规划和开发经营神府东胜煤田的煤炭资源和与之配套的铁路、电厂、港口、航运船队等项目，实行矿、路、电、港、航一体化开发，并开展与上述产业相关的国内外投融资、贸易等业务，开发和经营房地产、物业管理以及科技开发等相关实业。在国家计划和中央财政实行单列，享有对外融资权、外贸经营权、煤炭出口权，是中央直管的</w:t>
      </w:r>
      <w:r>
        <w:rPr>
          <w:rFonts w:ascii="Times New Roman" w:eastAsia="Times New Roman"/>
          <w:vertAlign w:val="baseline"/>
        </w:rPr>
        <w:t xml:space="preserve">53 </w:t>
      </w:r>
      <w:r>
        <w:rPr>
          <w:spacing w:val="-3"/>
          <w:vertAlign w:val="baseline"/>
        </w:rPr>
        <w:t>家国有重要</w:t>
      </w:r>
      <w:r>
        <w:rPr>
          <w:vertAlign w:val="baseline"/>
        </w:rPr>
        <w:t>骨干企业之一。</w:t>
      </w:r>
    </w:p>
    <w:p>
      <w:pPr>
        <w:pStyle w:val="BodyText"/>
        <w:spacing w:line="316" w:lineRule="auto"/>
        <w:ind w:left="644" w:right="2206" w:firstLine="719"/>
        <w:jc w:val="both"/>
      </w:pPr>
      <w:r>
        <w:t>神华集团以能源为主业，集煤矿、电厂、铁路、港口、航运为一体，实施跨地区、多元化经营，是我国最大的煤炭企业，在国民经济</w:t>
      </w:r>
      <w:r>
        <w:rPr>
          <w:spacing w:val="-1"/>
        </w:rPr>
        <w:t>中占有重要地位。</w:t>
      </w:r>
      <w:r>
        <w:rPr>
          <w:rFonts w:ascii="Times New Roman" w:eastAsia="Times New Roman"/>
        </w:rPr>
        <w:t xml:space="preserve">2003 </w:t>
      </w:r>
      <w:r>
        <w:rPr>
          <w:spacing w:val="-45"/>
        </w:rPr>
        <w:t xml:space="preserve">年 </w:t>
      </w:r>
      <w:r>
        <w:rPr>
          <w:rFonts w:ascii="Times New Roman" w:eastAsia="Times New Roman"/>
        </w:rPr>
        <w:t xml:space="preserve">12 </w:t>
      </w:r>
      <w:r>
        <w:rPr>
          <w:spacing w:val="-45"/>
        </w:rPr>
        <w:t xml:space="preserve">月 </w:t>
      </w:r>
      <w:r>
        <w:rPr>
          <w:rFonts w:ascii="Times New Roman" w:eastAsia="Times New Roman"/>
        </w:rPr>
        <w:t xml:space="preserve">27 </w:t>
      </w:r>
      <w:r>
        <w:rPr>
          <w:spacing w:val="-2"/>
        </w:rPr>
        <w:t>日，神华集团的煤炭生产和销售双</w:t>
      </w:r>
      <w:r>
        <w:rPr>
          <w:spacing w:val="-12"/>
        </w:rPr>
        <w:t xml:space="preserve">双突破 </w:t>
      </w:r>
      <w:r>
        <w:rPr>
          <w:rFonts w:ascii="Times New Roman" w:eastAsia="Times New Roman"/>
        </w:rPr>
        <w:t xml:space="preserve">1 </w:t>
      </w:r>
      <w:r>
        <w:rPr>
          <w:spacing w:val="-1"/>
        </w:rPr>
        <w:t>亿吨，使神华集团一跃成为我国煤炭行业首家实现产销超亿</w:t>
      </w:r>
    </w:p>
    <w:p>
      <w:pPr>
        <w:pStyle w:val="BodyText"/>
        <w:spacing w:line="316" w:lineRule="auto"/>
        <w:ind w:left="644" w:right="2205"/>
        <w:jc w:val="both"/>
      </w:pPr>
      <w:r>
        <w:rPr>
          <w:spacing w:val="-3"/>
        </w:rPr>
        <w:t xml:space="preserve">吨的大型企业集团，并在国际同行中排列第 </w:t>
      </w:r>
      <w:r>
        <w:rPr>
          <w:rFonts w:ascii="Times New Roman" w:eastAsia="Times New Roman"/>
        </w:rPr>
        <w:t xml:space="preserve">5 </w:t>
      </w:r>
      <w:r>
        <w:rPr>
          <w:spacing w:val="-2"/>
        </w:rPr>
        <w:t>位。作为中国最大的煤</w:t>
      </w:r>
      <w:r>
        <w:rPr>
          <w:spacing w:val="-10"/>
        </w:rPr>
        <w:t xml:space="preserve">炭企业，神华集团 </w:t>
      </w:r>
      <w:r>
        <w:rPr>
          <w:rFonts w:ascii="Times New Roman" w:eastAsia="Times New Roman"/>
        </w:rPr>
        <w:t>2001</w:t>
      </w:r>
      <w:r>
        <w:t>、</w:t>
      </w:r>
      <w:r>
        <w:rPr>
          <w:rFonts w:ascii="Times New Roman" w:eastAsia="Times New Roman"/>
        </w:rPr>
        <w:t xml:space="preserve">2002 </w:t>
      </w:r>
      <w:r>
        <w:rPr>
          <w:spacing w:val="-45"/>
        </w:rPr>
        <w:t xml:space="preserve">和 </w:t>
      </w:r>
      <w:r>
        <w:rPr>
          <w:rFonts w:ascii="Times New Roman" w:eastAsia="Times New Roman"/>
        </w:rPr>
        <w:t xml:space="preserve">2003 </w:t>
      </w:r>
      <w:r>
        <w:rPr>
          <w:spacing w:val="-8"/>
        </w:rPr>
        <w:t xml:space="preserve">年，连续三年利润都突破了 </w:t>
      </w:r>
      <w:r>
        <w:rPr>
          <w:rFonts w:ascii="Times New Roman" w:eastAsia="Times New Roman"/>
          <w:spacing w:val="-8"/>
        </w:rPr>
        <w:t xml:space="preserve">10 </w:t>
      </w:r>
      <w:r>
        <w:rPr>
          <w:spacing w:val="-4"/>
        </w:rPr>
        <w:t xml:space="preserve">亿元。在国务院五部委对全国 </w:t>
      </w:r>
      <w:r>
        <w:rPr>
          <w:rFonts w:ascii="Times New Roman" w:eastAsia="Times New Roman"/>
        </w:rPr>
        <w:t xml:space="preserve">169 </w:t>
      </w:r>
      <w:r>
        <w:rPr>
          <w:spacing w:val="-1"/>
        </w:rPr>
        <w:t xml:space="preserve">家中央企业进行综合绩效考评中， </w:t>
      </w:r>
      <w:r>
        <w:rPr>
          <w:spacing w:val="-9"/>
        </w:rPr>
        <w:t xml:space="preserve">神华集团位居全国煤炭行业第一。截止 </w:t>
      </w:r>
      <w:r>
        <w:rPr>
          <w:rFonts w:ascii="Times New Roman" w:eastAsia="Times New Roman"/>
        </w:rPr>
        <w:t xml:space="preserve">2002 </w:t>
      </w:r>
      <w:r>
        <w:rPr>
          <w:spacing w:val="-8"/>
        </w:rPr>
        <w:t>年底，神华集团拥有全资</w:t>
      </w:r>
      <w:r>
        <w:rPr>
          <w:spacing w:val="-13"/>
        </w:rPr>
        <w:t xml:space="preserve">及控股子公司 </w:t>
      </w:r>
      <w:r>
        <w:rPr>
          <w:rFonts w:ascii="Times New Roman" w:eastAsia="Times New Roman"/>
        </w:rPr>
        <w:t xml:space="preserve">29 </w:t>
      </w:r>
      <w:r>
        <w:rPr>
          <w:spacing w:val="-16"/>
        </w:rPr>
        <w:t xml:space="preserve">家，职工约 </w:t>
      </w:r>
      <w:r>
        <w:rPr>
          <w:rFonts w:ascii="Times New Roman" w:eastAsia="Times New Roman"/>
        </w:rPr>
        <w:t xml:space="preserve">9 </w:t>
      </w:r>
      <w:r>
        <w:rPr>
          <w:spacing w:val="-13"/>
        </w:rPr>
        <w:t xml:space="preserve">万人。总资产 </w:t>
      </w:r>
      <w:r>
        <w:rPr>
          <w:rFonts w:ascii="Times New Roman" w:eastAsia="Times New Roman"/>
        </w:rPr>
        <w:t xml:space="preserve">1026 </w:t>
      </w:r>
      <w:r>
        <w:t>亿元。</w:t>
      </w:r>
    </w:p>
    <w:p>
      <w:pPr>
        <w:pStyle w:val="BodyText"/>
        <w:spacing w:line="316" w:lineRule="auto"/>
        <w:ind w:left="644" w:right="2025" w:firstLine="719"/>
      </w:pPr>
      <w:r>
        <w:t>神府东胜煤田位于中国陕西省榆林地区和内蒙古伊克昭盟境内。属世界八大煤田之一</w:t>
      </w:r>
      <w:r>
        <w:rPr>
          <w:rFonts w:ascii="Times New Roman" w:eastAsia="Times New Roman"/>
          <w:vertAlign w:val="subscript"/>
        </w:rPr>
        <w:t>[20]</w:t>
      </w:r>
      <w:r>
        <w:rPr>
          <w:spacing w:val="-9"/>
          <w:vertAlign w:val="baseline"/>
        </w:rPr>
        <w:t xml:space="preserve">，已探明煤田含煤面积 </w:t>
      </w:r>
      <w:r>
        <w:rPr>
          <w:rFonts w:ascii="Times New Roman" w:eastAsia="Times New Roman"/>
          <w:vertAlign w:val="baseline"/>
        </w:rPr>
        <w:t xml:space="preserve">3.12 </w:t>
      </w:r>
      <w:r>
        <w:rPr>
          <w:vertAlign w:val="baseline"/>
        </w:rPr>
        <w:t>万平方公里，地质</w:t>
      </w:r>
      <w:r>
        <w:rPr>
          <w:spacing w:val="-23"/>
          <w:vertAlign w:val="baseline"/>
        </w:rPr>
        <w:t xml:space="preserve">储量达 </w:t>
      </w:r>
      <w:r>
        <w:rPr>
          <w:rFonts w:ascii="Times New Roman" w:eastAsia="Times New Roman"/>
          <w:vertAlign w:val="baseline"/>
        </w:rPr>
        <w:t xml:space="preserve">2236 </w:t>
      </w:r>
      <w:r>
        <w:rPr>
          <w:spacing w:val="-16"/>
          <w:vertAlign w:val="baseline"/>
        </w:rPr>
        <w:t xml:space="preserve">亿吨。目前正在开发建设的矿区规划面积 </w:t>
      </w:r>
      <w:r>
        <w:rPr>
          <w:rFonts w:ascii="Times New Roman" w:eastAsia="Times New Roman"/>
          <w:vertAlign w:val="baseline"/>
        </w:rPr>
        <w:t xml:space="preserve">3481 </w:t>
      </w:r>
      <w:r>
        <w:rPr>
          <w:spacing w:val="-4"/>
          <w:vertAlign w:val="baseline"/>
        </w:rPr>
        <w:t xml:space="preserve">平方公里， </w:t>
      </w:r>
      <w:r>
        <w:rPr>
          <w:spacing w:val="-10"/>
          <w:vertAlign w:val="baseline"/>
        </w:rPr>
        <w:t xml:space="preserve">地质储量 </w:t>
      </w:r>
      <w:r>
        <w:rPr>
          <w:rFonts w:ascii="Times New Roman" w:eastAsia="Times New Roman"/>
          <w:vertAlign w:val="baseline"/>
        </w:rPr>
        <w:t xml:space="preserve">354 </w:t>
      </w:r>
      <w:r>
        <w:rPr>
          <w:vertAlign w:val="baseline"/>
        </w:rPr>
        <w:t>亿吨。该煤田赋存条件好，煤质属低灰、特低硫、特低磷、中高发热量，为优质动力、冶金和化工用煤，也是国家有关部门</w:t>
      </w:r>
      <w:r>
        <w:rPr>
          <w:spacing w:val="-4"/>
          <w:vertAlign w:val="baseline"/>
        </w:rPr>
        <w:t xml:space="preserve">推荐的城市环保洁净煤。煤炭，共有 </w:t>
      </w:r>
      <w:r>
        <w:rPr>
          <w:rFonts w:ascii="Times New Roman" w:eastAsia="Times New Roman"/>
          <w:vertAlign w:val="baseline"/>
        </w:rPr>
        <w:t xml:space="preserve">28 </w:t>
      </w:r>
      <w:r>
        <w:rPr>
          <w:vertAlign w:val="baseline"/>
        </w:rPr>
        <w:t>个矿，</w:t>
      </w:r>
      <w:r>
        <w:rPr>
          <w:rFonts w:ascii="Times New Roman" w:eastAsia="Times New Roman"/>
          <w:vertAlign w:val="baseline"/>
        </w:rPr>
        <w:t xml:space="preserve">35 </w:t>
      </w:r>
      <w:r>
        <w:rPr>
          <w:vertAlign w:val="baseline"/>
        </w:rPr>
        <w:t>对矿井，</w:t>
      </w:r>
      <w:r>
        <w:rPr>
          <w:rFonts w:ascii="Times New Roman" w:eastAsia="Times New Roman"/>
          <w:vertAlign w:val="baseline"/>
        </w:rPr>
        <w:t xml:space="preserve">2002 </w:t>
      </w:r>
      <w:r>
        <w:rPr>
          <w:vertAlign w:val="baseline"/>
        </w:rPr>
        <w:t>年生</w:t>
      </w:r>
    </w:p>
    <w:p>
      <w:pPr>
        <w:spacing w:after="0" w:line="316" w:lineRule="auto"/>
        <w:sectPr>
          <w:pgSz w:w="15480" w:h="21860"/>
          <w:pgMar w:top="2000" w:right="0" w:bottom="280" w:left="1740" w:header="708" w:footer="708"/>
          <w:pgNumType w:start="20"/>
          <w:cols w:space="708"/>
        </w:sectPr>
      </w:pPr>
    </w:p>
    <w:p>
      <w:pPr>
        <w:pStyle w:val="BodyText"/>
        <w:spacing w:before="44" w:line="316" w:lineRule="auto"/>
        <w:ind w:left="644" w:right="2025"/>
      </w:pPr>
      <w:r>
        <w:rPr>
          <w:spacing w:val="-30"/>
        </w:rPr>
        <w:t xml:space="preserve">产原煤 </w:t>
      </w:r>
      <w:r>
        <w:rPr>
          <w:rFonts w:ascii="Arial" w:eastAsia="Arial"/>
        </w:rPr>
        <w:t>7733</w:t>
      </w:r>
      <w:r>
        <w:rPr>
          <w:rFonts w:ascii="Arial" w:eastAsia="Arial"/>
          <w:spacing w:val="-38"/>
        </w:rPr>
        <w:t xml:space="preserve"> </w:t>
      </w:r>
      <w:r>
        <w:t>万吨。神华集团所属神东煤炭公司，建设速度快，煤炭生产技术装备先进，劳动生产率高，煤炭产量大幅度递增，连续三年实现千万吨级跨越，创造了煤炭企业发展的奇迹，技术经济指标在国内</w:t>
      </w:r>
      <w:r>
        <w:rPr>
          <w:spacing w:val="-1"/>
        </w:rPr>
        <w:t>乃至世界居于领先地位。</w:t>
      </w:r>
      <w:r>
        <w:rPr>
          <w:rFonts w:ascii="Arial" w:eastAsia="Arial"/>
        </w:rPr>
        <w:t>2002</w:t>
      </w:r>
      <w:r>
        <w:rPr>
          <w:rFonts w:ascii="Arial" w:eastAsia="Arial"/>
          <w:spacing w:val="-61"/>
        </w:rPr>
        <w:t xml:space="preserve"> </w:t>
      </w:r>
      <w:r>
        <w:rPr>
          <w:spacing w:val="-11"/>
        </w:rPr>
        <w:t xml:space="preserve">年，神东煤炭公司生产原煤 </w:t>
      </w:r>
      <w:r>
        <w:rPr>
          <w:rFonts w:ascii="Arial" w:eastAsia="Arial"/>
        </w:rPr>
        <w:t>4643</w:t>
      </w:r>
      <w:r>
        <w:rPr>
          <w:rFonts w:ascii="Arial" w:eastAsia="Arial"/>
          <w:spacing w:val="-60"/>
        </w:rPr>
        <w:t xml:space="preserve"> </w:t>
      </w:r>
      <w:r>
        <w:rPr>
          <w:spacing w:val="-6"/>
        </w:rPr>
        <w:t xml:space="preserve">万吨， </w:t>
      </w:r>
      <w:r>
        <w:rPr>
          <w:spacing w:val="-8"/>
        </w:rPr>
        <w:t xml:space="preserve">全员原煤生产率达到 </w:t>
      </w:r>
      <w:r>
        <w:rPr>
          <w:rFonts w:ascii="Arial" w:eastAsia="Arial"/>
        </w:rPr>
        <w:t>71.49</w:t>
      </w:r>
      <w:r>
        <w:rPr>
          <w:rFonts w:ascii="Arial" w:eastAsia="Arial"/>
          <w:spacing w:val="2"/>
        </w:rPr>
        <w:t xml:space="preserve"> </w:t>
      </w:r>
      <w:r>
        <w:t>万吨</w:t>
      </w:r>
      <w:r>
        <w:rPr>
          <w:rFonts w:ascii="Arial" w:eastAsia="Arial"/>
        </w:rPr>
        <w:t>/</w:t>
      </w:r>
      <w:r>
        <w:t>工，其大柳塔矿和榆家梁矿，是世界</w:t>
      </w:r>
      <w:r>
        <w:rPr>
          <w:spacing w:val="-7"/>
        </w:rPr>
        <w:t xml:space="preserve">上最先达到单井单面年产原煤超过 </w:t>
      </w:r>
      <w:r>
        <w:rPr>
          <w:rFonts w:ascii="Arial" w:eastAsia="Arial"/>
        </w:rPr>
        <w:t>1000</w:t>
      </w:r>
      <w:r>
        <w:rPr>
          <w:rFonts w:ascii="Arial" w:eastAsia="Arial"/>
          <w:spacing w:val="-30"/>
        </w:rPr>
        <w:t xml:space="preserve"> </w:t>
      </w:r>
      <w:r>
        <w:rPr>
          <w:spacing w:val="-10"/>
        </w:rPr>
        <w:t>万吨的矿井，全员原煤生产率</w:t>
      </w:r>
      <w:r>
        <w:rPr>
          <w:spacing w:val="-31"/>
        </w:rPr>
        <w:t xml:space="preserve">分别达到 </w:t>
      </w:r>
      <w:r>
        <w:rPr>
          <w:rFonts w:ascii="Arial" w:eastAsia="Arial"/>
        </w:rPr>
        <w:t>117.82</w:t>
      </w:r>
      <w:r>
        <w:rPr>
          <w:rFonts w:ascii="Arial" w:eastAsia="Arial"/>
          <w:spacing w:val="-40"/>
        </w:rPr>
        <w:t xml:space="preserve"> </w:t>
      </w:r>
      <w:r>
        <w:t>万吨</w:t>
      </w:r>
      <w:r>
        <w:rPr>
          <w:rFonts w:ascii="Arial" w:eastAsia="Arial"/>
          <w:spacing w:val="4"/>
        </w:rPr>
        <w:t>/</w:t>
      </w:r>
      <w:r>
        <w:rPr>
          <w:spacing w:val="-38"/>
        </w:rPr>
        <w:t xml:space="preserve">工和 </w:t>
      </w:r>
      <w:r>
        <w:rPr>
          <w:rFonts w:ascii="Arial" w:eastAsia="Arial"/>
        </w:rPr>
        <w:t>122.74</w:t>
      </w:r>
      <w:r>
        <w:rPr>
          <w:rFonts w:ascii="Arial" w:eastAsia="Arial"/>
          <w:spacing w:val="-31"/>
        </w:rPr>
        <w:t xml:space="preserve"> </w:t>
      </w:r>
      <w:r>
        <w:t>万吨</w:t>
      </w:r>
      <w:r>
        <w:rPr>
          <w:rFonts w:ascii="Arial" w:eastAsia="Arial"/>
        </w:rPr>
        <w:t>/</w:t>
      </w:r>
      <w:r>
        <w:t>工。电力，已经运营的全资及</w:t>
      </w:r>
    </w:p>
    <w:p>
      <w:pPr>
        <w:pStyle w:val="BodyText"/>
        <w:spacing w:line="459" w:lineRule="exact"/>
        <w:ind w:left="644"/>
      </w:pPr>
      <w:r>
        <w:rPr>
          <w:spacing w:val="-10"/>
        </w:rPr>
        <w:t xml:space="preserve">控股电厂装机容量为 </w:t>
      </w:r>
      <w:r>
        <w:rPr>
          <w:rFonts w:ascii="Arial" w:eastAsia="Arial"/>
        </w:rPr>
        <w:t>476</w:t>
      </w:r>
      <w:r>
        <w:rPr>
          <w:rFonts w:ascii="Arial" w:eastAsia="Arial"/>
          <w:spacing w:val="-19"/>
        </w:rPr>
        <w:t xml:space="preserve"> </w:t>
      </w:r>
      <w:r>
        <w:rPr>
          <w:spacing w:val="-9"/>
        </w:rPr>
        <w:t xml:space="preserve">万千瓦。在建电厂规模 </w:t>
      </w:r>
      <w:r>
        <w:rPr>
          <w:rFonts w:ascii="Arial" w:eastAsia="Arial"/>
        </w:rPr>
        <w:t>360</w:t>
      </w:r>
      <w:r>
        <w:rPr>
          <w:rFonts w:ascii="Arial" w:eastAsia="Arial"/>
          <w:spacing w:val="-19"/>
        </w:rPr>
        <w:t xml:space="preserve"> </w:t>
      </w:r>
      <w:r>
        <w:t>万千瓦，国务院</w:t>
      </w:r>
    </w:p>
    <w:p>
      <w:pPr>
        <w:pStyle w:val="BodyText"/>
        <w:spacing w:before="147" w:line="316" w:lineRule="auto"/>
        <w:ind w:left="644" w:right="2029"/>
        <w:jc w:val="both"/>
      </w:pPr>
      <w:r>
        <w:rPr>
          <w:spacing w:val="-11"/>
        </w:rPr>
        <w:t xml:space="preserve">已批准立项 </w:t>
      </w:r>
      <w:r>
        <w:rPr>
          <w:rFonts w:ascii="Arial" w:eastAsia="Arial"/>
        </w:rPr>
        <w:t>360</w:t>
      </w:r>
      <w:r>
        <w:rPr>
          <w:rFonts w:ascii="Arial" w:eastAsia="Arial"/>
          <w:spacing w:val="15"/>
        </w:rPr>
        <w:t xml:space="preserve"> </w:t>
      </w:r>
      <w:r>
        <w:t>万千瓦。自有电厂的建设，为神华煤炭销售提供了稳</w:t>
      </w:r>
      <w:r>
        <w:rPr>
          <w:spacing w:val="-7"/>
        </w:rPr>
        <w:t xml:space="preserve">定的市场。铁路，建成并投入运营 </w:t>
      </w:r>
      <w:r>
        <w:rPr>
          <w:rFonts w:ascii="Arial" w:eastAsia="Arial"/>
        </w:rPr>
        <w:t>4</w:t>
      </w:r>
      <w:r>
        <w:rPr>
          <w:rFonts w:ascii="Arial" w:eastAsia="Arial"/>
          <w:spacing w:val="-31"/>
        </w:rPr>
        <w:t xml:space="preserve"> </w:t>
      </w:r>
      <w:r>
        <w:rPr>
          <w:spacing w:val="-16"/>
        </w:rPr>
        <w:t xml:space="preserve">条铁路，共计 </w:t>
      </w:r>
      <w:r>
        <w:rPr>
          <w:rFonts w:ascii="Arial" w:eastAsia="Arial"/>
        </w:rPr>
        <w:t>1292</w:t>
      </w:r>
      <w:r>
        <w:rPr>
          <w:rFonts w:ascii="Arial" w:eastAsia="Arial"/>
          <w:spacing w:val="-30"/>
        </w:rPr>
        <w:t xml:space="preserve"> </w:t>
      </w:r>
      <w:r>
        <w:t xml:space="preserve">公里。其中， </w:t>
      </w:r>
      <w:r>
        <w:rPr>
          <w:spacing w:val="-72"/>
        </w:rPr>
        <w:t>包</w:t>
      </w:r>
      <w:r>
        <w:t>（头</w:t>
      </w:r>
      <w:r>
        <w:rPr>
          <w:spacing w:val="-72"/>
        </w:rPr>
        <w:t>）神</w:t>
      </w:r>
      <w:r>
        <w:t>（木</w:t>
      </w:r>
      <w:r>
        <w:rPr>
          <w:spacing w:val="-69"/>
        </w:rPr>
        <w:t>）</w:t>
      </w:r>
      <w:r>
        <w:rPr>
          <w:spacing w:val="-62"/>
        </w:rPr>
        <w:t xml:space="preserve">线 </w:t>
      </w:r>
      <w:r>
        <w:rPr>
          <w:rFonts w:ascii="Arial" w:eastAsia="Arial"/>
        </w:rPr>
        <w:t>170</w:t>
      </w:r>
      <w:r>
        <w:rPr>
          <w:rFonts w:ascii="Arial" w:eastAsia="Arial"/>
          <w:spacing w:val="-41"/>
        </w:rPr>
        <w:t xml:space="preserve"> </w:t>
      </w:r>
      <w:r>
        <w:rPr>
          <w:spacing w:val="-24"/>
        </w:rPr>
        <w:t xml:space="preserve">公里，年运输能力 </w:t>
      </w:r>
      <w:r>
        <w:rPr>
          <w:rFonts w:ascii="Arial" w:eastAsia="Arial"/>
        </w:rPr>
        <w:t>1000</w:t>
      </w:r>
      <w:r>
        <w:rPr>
          <w:rFonts w:ascii="Arial" w:eastAsia="Arial"/>
          <w:spacing w:val="-44"/>
        </w:rPr>
        <w:t xml:space="preserve"> </w:t>
      </w:r>
      <w:r>
        <w:rPr>
          <w:spacing w:val="-37"/>
        </w:rPr>
        <w:t>万吨；神</w:t>
      </w:r>
      <w:r>
        <w:t>（木</w:t>
      </w:r>
      <w:r>
        <w:rPr>
          <w:spacing w:val="-72"/>
        </w:rPr>
        <w:t>）</w:t>
      </w:r>
      <w:r>
        <w:rPr>
          <w:spacing w:val="-69"/>
        </w:rPr>
        <w:t>朔</w:t>
      </w:r>
      <w:r>
        <w:t>（州</w:t>
      </w:r>
      <w:r>
        <w:rPr>
          <w:spacing w:val="-13"/>
        </w:rPr>
        <w:t xml:space="preserve">） </w:t>
      </w:r>
      <w:r>
        <w:rPr>
          <w:spacing w:val="-47"/>
        </w:rPr>
        <w:t xml:space="preserve">线 </w:t>
      </w:r>
      <w:r>
        <w:rPr>
          <w:rFonts w:ascii="Arial" w:eastAsia="Arial"/>
        </w:rPr>
        <w:t>270</w:t>
      </w:r>
      <w:r>
        <w:rPr>
          <w:rFonts w:ascii="Arial" w:eastAsia="Arial"/>
          <w:spacing w:val="-14"/>
        </w:rPr>
        <w:t xml:space="preserve"> </w:t>
      </w:r>
      <w:r>
        <w:rPr>
          <w:spacing w:val="-11"/>
        </w:rPr>
        <w:t xml:space="preserve">公里，年运输能力 </w:t>
      </w:r>
      <w:r>
        <w:rPr>
          <w:rFonts w:ascii="Arial" w:eastAsia="Arial"/>
        </w:rPr>
        <w:t>6000</w:t>
      </w:r>
      <w:r>
        <w:rPr>
          <w:rFonts w:ascii="Arial" w:eastAsia="Arial"/>
          <w:spacing w:val="-14"/>
        </w:rPr>
        <w:t xml:space="preserve"> </w:t>
      </w:r>
      <w:r>
        <w:t>万吨，</w:t>
      </w:r>
      <w:r>
        <w:rPr>
          <w:rFonts w:ascii="Arial" w:eastAsia="Arial"/>
        </w:rPr>
        <w:t>2004</w:t>
      </w:r>
      <w:r>
        <w:rPr>
          <w:rFonts w:ascii="Arial" w:eastAsia="Arial"/>
          <w:spacing w:val="-14"/>
        </w:rPr>
        <w:t xml:space="preserve"> </w:t>
      </w:r>
      <w:r>
        <w:rPr>
          <w:spacing w:val="-47"/>
        </w:rPr>
        <w:t xml:space="preserve">年 </w:t>
      </w:r>
      <w:r>
        <w:rPr>
          <w:rFonts w:ascii="Arial" w:eastAsia="Arial"/>
        </w:rPr>
        <w:t>6</w:t>
      </w:r>
      <w:r>
        <w:rPr>
          <w:rFonts w:ascii="Arial" w:eastAsia="Arial"/>
          <w:spacing w:val="-14"/>
        </w:rPr>
        <w:t xml:space="preserve"> </w:t>
      </w:r>
      <w:r>
        <w:t>月年运输能力将达到</w:t>
      </w:r>
    </w:p>
    <w:p>
      <w:pPr>
        <w:pStyle w:val="BodyText"/>
        <w:spacing w:line="459" w:lineRule="exact"/>
        <w:ind w:left="644"/>
        <w:jc w:val="both"/>
      </w:pPr>
      <w:r>
        <w:rPr>
          <w:rFonts w:ascii="Arial" w:eastAsia="Arial"/>
        </w:rPr>
        <w:t>8000</w:t>
      </w:r>
      <w:r>
        <w:rPr>
          <w:rFonts w:ascii="Arial" w:eastAsia="Arial"/>
          <w:spacing w:val="-20"/>
        </w:rPr>
        <w:t xml:space="preserve"> </w:t>
      </w:r>
      <w:r>
        <w:t>万吨；朔（州）黄（骅港）</w:t>
      </w:r>
      <w:r>
        <w:rPr>
          <w:spacing w:val="-49"/>
        </w:rPr>
        <w:t xml:space="preserve">线 </w:t>
      </w:r>
      <w:r>
        <w:rPr>
          <w:rFonts w:ascii="Arial" w:eastAsia="Arial"/>
        </w:rPr>
        <w:t>588</w:t>
      </w:r>
      <w:r>
        <w:rPr>
          <w:rFonts w:ascii="Arial" w:eastAsia="Arial"/>
          <w:spacing w:val="-18"/>
        </w:rPr>
        <w:t xml:space="preserve"> </w:t>
      </w:r>
      <w:r>
        <w:rPr>
          <w:spacing w:val="-10"/>
        </w:rPr>
        <w:t xml:space="preserve">公里，年运输能力为 </w:t>
      </w:r>
      <w:r>
        <w:rPr>
          <w:rFonts w:ascii="Arial" w:eastAsia="Arial"/>
        </w:rPr>
        <w:t>6885</w:t>
      </w:r>
      <w:r>
        <w:rPr>
          <w:rFonts w:ascii="Arial" w:eastAsia="Arial"/>
          <w:spacing w:val="-19"/>
        </w:rPr>
        <w:t xml:space="preserve"> </w:t>
      </w:r>
      <w:r>
        <w:t>万</w:t>
      </w:r>
    </w:p>
    <w:p>
      <w:pPr>
        <w:pStyle w:val="BodyText"/>
        <w:spacing w:before="148"/>
        <w:ind w:left="644"/>
        <w:jc w:val="both"/>
        <w:rPr>
          <w:rFonts w:ascii="Arial" w:eastAsia="Arial"/>
        </w:rPr>
      </w:pPr>
      <w:r>
        <w:rPr>
          <w:spacing w:val="-5"/>
        </w:rPr>
        <w:t xml:space="preserve">吨，远期年运输能力将达到 </w:t>
      </w:r>
      <w:r>
        <w:rPr>
          <w:rFonts w:ascii="Arial" w:eastAsia="Arial"/>
        </w:rPr>
        <w:t>1</w:t>
      </w:r>
      <w:r>
        <w:rPr>
          <w:rFonts w:ascii="Arial" w:eastAsia="Arial"/>
          <w:spacing w:val="20"/>
        </w:rPr>
        <w:t xml:space="preserve"> </w:t>
      </w:r>
      <w:r>
        <w:t>亿吨以上；大（同）准（格尔）</w:t>
      </w:r>
      <w:r>
        <w:rPr>
          <w:spacing w:val="-28"/>
        </w:rPr>
        <w:t xml:space="preserve">线 </w:t>
      </w:r>
      <w:r>
        <w:rPr>
          <w:rFonts w:ascii="Arial" w:eastAsia="Arial"/>
        </w:rPr>
        <w:t>264</w:t>
      </w:r>
    </w:p>
    <w:p>
      <w:pPr>
        <w:pStyle w:val="BodyText"/>
        <w:spacing w:before="147" w:line="316" w:lineRule="auto"/>
        <w:ind w:left="644" w:right="2205"/>
        <w:jc w:val="both"/>
      </w:pPr>
      <w:r>
        <w:rPr>
          <w:spacing w:val="-12"/>
        </w:rPr>
        <w:t xml:space="preserve">公里，年运输能力 </w:t>
      </w:r>
      <w:r>
        <w:rPr>
          <w:rFonts w:ascii="Arial" w:eastAsia="Arial"/>
        </w:rPr>
        <w:t>1500</w:t>
      </w:r>
      <w:r>
        <w:rPr>
          <w:rFonts w:ascii="Arial" w:eastAsia="Arial"/>
          <w:spacing w:val="-27"/>
        </w:rPr>
        <w:t xml:space="preserve"> </w:t>
      </w:r>
      <w:r>
        <w:rPr>
          <w:spacing w:val="-8"/>
        </w:rPr>
        <w:t xml:space="preserve">万吨，远期年运输能力将达到 </w:t>
      </w:r>
      <w:r>
        <w:rPr>
          <w:rFonts w:ascii="Arial" w:eastAsia="Arial"/>
        </w:rPr>
        <w:t>4000</w:t>
      </w:r>
      <w:r>
        <w:rPr>
          <w:rFonts w:ascii="Arial" w:eastAsia="Arial"/>
          <w:spacing w:val="-27"/>
        </w:rPr>
        <w:t xml:space="preserve"> </w:t>
      </w:r>
      <w:r>
        <w:rPr>
          <w:spacing w:val="-5"/>
        </w:rPr>
        <w:t>万吨。港</w:t>
      </w:r>
      <w:r>
        <w:rPr>
          <w:w w:val="95"/>
        </w:rPr>
        <w:t>口，</w:t>
      </w:r>
      <w:r>
        <w:rPr>
          <w:rFonts w:ascii="Arial" w:eastAsia="Arial"/>
          <w:w w:val="95"/>
        </w:rPr>
        <w:t>2001</w:t>
      </w:r>
      <w:r>
        <w:rPr>
          <w:rFonts w:ascii="Arial" w:eastAsia="Arial"/>
          <w:spacing w:val="93"/>
          <w:w w:val="95"/>
        </w:rPr>
        <w:t xml:space="preserve"> </w:t>
      </w:r>
      <w:r>
        <w:rPr>
          <w:w w:val="95"/>
        </w:rPr>
        <w:t xml:space="preserve">年底，黄骅港基本建成投产，标志着拥 </w:t>
      </w:r>
      <w:r>
        <w:rPr>
          <w:rFonts w:ascii="Arial" w:eastAsia="Arial"/>
          <w:w w:val="95"/>
        </w:rPr>
        <w:t>4000</w:t>
      </w:r>
      <w:r>
        <w:rPr>
          <w:rFonts w:ascii="Arial" w:eastAsia="Arial"/>
          <w:spacing w:val="1"/>
          <w:w w:val="95"/>
        </w:rPr>
        <w:t xml:space="preserve"> </w:t>
      </w:r>
      <w:r>
        <w:rPr>
          <w:w w:val="95"/>
        </w:rPr>
        <w:t>万吨能力、</w:t>
      </w:r>
      <w:r>
        <w:rPr>
          <w:rFonts w:ascii="Arial" w:eastAsia="Arial"/>
          <w:spacing w:val="-5"/>
          <w:w w:val="95"/>
        </w:rPr>
        <w:t xml:space="preserve">810 </w:t>
      </w:r>
      <w:r>
        <w:rPr>
          <w:spacing w:val="-1"/>
          <w:w w:val="95"/>
        </w:rPr>
        <w:t>公里铁路、</w:t>
      </w:r>
      <w:r>
        <w:rPr>
          <w:rFonts w:ascii="Arial" w:eastAsia="Arial"/>
          <w:w w:val="95"/>
        </w:rPr>
        <w:t>3000</w:t>
      </w:r>
      <w:r>
        <w:rPr>
          <w:rFonts w:ascii="Arial" w:eastAsia="Arial"/>
          <w:spacing w:val="30"/>
          <w:w w:val="95"/>
        </w:rPr>
        <w:t xml:space="preserve"> </w:t>
      </w:r>
      <w:r>
        <w:rPr>
          <w:spacing w:val="-1"/>
          <w:w w:val="95"/>
        </w:rPr>
        <w:t>万吨港口吞吐能力的神华一期工程已基本建成，</w:t>
      </w:r>
      <w:r>
        <w:rPr>
          <w:rFonts w:ascii="Arial" w:eastAsia="Arial"/>
          <w:spacing w:val="-4"/>
          <w:w w:val="95"/>
        </w:rPr>
        <w:t xml:space="preserve">2004 </w:t>
      </w:r>
      <w:r>
        <w:rPr>
          <w:spacing w:val="-6"/>
        </w:rPr>
        <w:t xml:space="preserve">年底二期建成后年吞吐能力将达到 </w:t>
      </w:r>
      <w:r>
        <w:rPr>
          <w:rFonts w:ascii="Arial" w:eastAsia="Arial"/>
        </w:rPr>
        <w:t>8000</w:t>
      </w:r>
      <w:r>
        <w:rPr>
          <w:rFonts w:ascii="Arial" w:eastAsia="Arial"/>
          <w:spacing w:val="-13"/>
        </w:rPr>
        <w:t xml:space="preserve"> </w:t>
      </w:r>
      <w:r>
        <w:t>万吨。</w:t>
      </w:r>
    </w:p>
    <w:p>
      <w:pPr>
        <w:pStyle w:val="BodyText"/>
        <w:spacing w:before="2"/>
        <w:rPr>
          <w:sz w:val="27"/>
        </w:rPr>
      </w:pPr>
    </w:p>
    <w:p>
      <w:pPr>
        <w:pStyle w:val="ListParagraph"/>
        <w:numPr>
          <w:ilvl w:val="2"/>
          <w:numId w:val="22"/>
        </w:numPr>
        <w:tabs>
          <w:tab w:val="left" w:pos="1454"/>
        </w:tabs>
        <w:spacing w:before="0" w:after="0" w:line="240" w:lineRule="auto"/>
        <w:ind w:left="1453" w:right="0" w:hanging="810"/>
        <w:jc w:val="left"/>
        <w:rPr>
          <w:rFonts w:ascii="Arial" w:eastAsia="Arial"/>
          <w:sz w:val="36"/>
        </w:rPr>
      </w:pPr>
      <w:r>
        <w:rPr>
          <w:rFonts w:ascii="幼圆" w:eastAsia="幼圆" w:hint="eastAsia"/>
          <w:sz w:val="36"/>
        </w:rPr>
        <w:t>神华煤直接项目介绍</w:t>
      </w:r>
    </w:p>
    <w:p>
      <w:pPr>
        <w:pStyle w:val="BodyText"/>
        <w:spacing w:before="147" w:line="316" w:lineRule="auto"/>
        <w:ind w:left="644" w:right="2026" w:firstLine="719"/>
      </w:pPr>
      <w:r>
        <w:t>神华煤直接液化项目以神府东胜煤田的高品质原煤为原料，经过煤液化处理后，再进行深度加工，生产出柴油、汽油等产品。项目总</w:t>
      </w:r>
      <w:r>
        <w:rPr>
          <w:spacing w:val="-12"/>
        </w:rPr>
        <w:t xml:space="preserve">建设规模为年产油品 </w:t>
      </w:r>
      <w:r>
        <w:rPr>
          <w:rFonts w:ascii="Arial" w:eastAsia="Arial"/>
        </w:rPr>
        <w:t xml:space="preserve">500 </w:t>
      </w:r>
      <w:r>
        <w:rPr>
          <w:spacing w:val="-56"/>
        </w:rPr>
        <w:t xml:space="preserve">万 </w:t>
      </w:r>
      <w:r>
        <w:rPr>
          <w:rFonts w:ascii="Arial" w:eastAsia="Arial"/>
        </w:rPr>
        <w:t>t</w:t>
      </w:r>
      <w:r>
        <w:rPr>
          <w:spacing w:val="-8"/>
        </w:rPr>
        <w:t xml:space="preserve">，分二期建设，其中，一期工程用煤 </w:t>
      </w:r>
      <w:r>
        <w:rPr>
          <w:rFonts w:ascii="Arial" w:eastAsia="Arial"/>
        </w:rPr>
        <w:t xml:space="preserve">970 </w:t>
      </w:r>
      <w:r>
        <w:rPr>
          <w:spacing w:val="-47"/>
        </w:rPr>
        <w:t xml:space="preserve">万 </w:t>
      </w:r>
      <w:r>
        <w:rPr>
          <w:rFonts w:ascii="Arial" w:eastAsia="Arial"/>
        </w:rPr>
        <w:t>t</w:t>
      </w:r>
      <w:r>
        <w:rPr>
          <w:spacing w:val="-9"/>
        </w:rPr>
        <w:t xml:space="preserve">，建设规模为年产油品 </w:t>
      </w:r>
      <w:r>
        <w:rPr>
          <w:rFonts w:ascii="Arial" w:eastAsia="Arial"/>
        </w:rPr>
        <w:t xml:space="preserve">320 </w:t>
      </w:r>
      <w:r>
        <w:rPr>
          <w:spacing w:val="-46"/>
        </w:rPr>
        <w:t xml:space="preserve">万 </w:t>
      </w:r>
      <w:r>
        <w:rPr>
          <w:rFonts w:ascii="Arial" w:eastAsia="Arial"/>
        </w:rPr>
        <w:t>t(</w:t>
      </w:r>
      <w:r>
        <w:rPr>
          <w:spacing w:val="-32"/>
        </w:rPr>
        <w:t xml:space="preserve">汽油 </w:t>
      </w:r>
      <w:r>
        <w:rPr>
          <w:rFonts w:ascii="Arial" w:eastAsia="Arial"/>
        </w:rPr>
        <w:t xml:space="preserve">50 </w:t>
      </w:r>
      <w:r>
        <w:rPr>
          <w:spacing w:val="-47"/>
        </w:rPr>
        <w:t xml:space="preserve">万 </w:t>
      </w:r>
      <w:r>
        <w:rPr>
          <w:rFonts w:ascii="Arial" w:eastAsia="Arial"/>
        </w:rPr>
        <w:t>t</w:t>
      </w:r>
      <w:r>
        <w:rPr>
          <w:spacing w:val="-24"/>
        </w:rPr>
        <w:t xml:space="preserve">，柴油 </w:t>
      </w:r>
      <w:r>
        <w:rPr>
          <w:rFonts w:ascii="Arial" w:eastAsia="Arial"/>
        </w:rPr>
        <w:t xml:space="preserve">215 </w:t>
      </w:r>
      <w:r>
        <w:rPr>
          <w:spacing w:val="-47"/>
        </w:rPr>
        <w:t xml:space="preserve">万 </w:t>
      </w:r>
      <w:r>
        <w:rPr>
          <w:rFonts w:ascii="Arial" w:eastAsia="Arial"/>
        </w:rPr>
        <w:t>t</w:t>
      </w:r>
      <w:r>
        <w:t>，液化</w:t>
      </w:r>
      <w:r>
        <w:rPr>
          <w:spacing w:val="-52"/>
        </w:rPr>
        <w:t xml:space="preserve">气 </w:t>
      </w:r>
      <w:r>
        <w:rPr>
          <w:rFonts w:ascii="Arial" w:eastAsia="Arial"/>
        </w:rPr>
        <w:t xml:space="preserve">31 </w:t>
      </w:r>
      <w:r>
        <w:rPr>
          <w:spacing w:val="-51"/>
        </w:rPr>
        <w:t xml:space="preserve">万 </w:t>
      </w:r>
      <w:r>
        <w:rPr>
          <w:rFonts w:ascii="Arial" w:eastAsia="Arial"/>
        </w:rPr>
        <w:t>t</w:t>
      </w:r>
      <w:r>
        <w:rPr>
          <w:spacing w:val="6"/>
        </w:rPr>
        <w:t>，苯、混合二甲苯等</w:t>
      </w:r>
      <w:r>
        <w:rPr>
          <w:rFonts w:ascii="Arial" w:eastAsia="Arial"/>
        </w:rPr>
        <w:t xml:space="preserve">24 </w:t>
      </w:r>
      <w:r>
        <w:rPr>
          <w:spacing w:val="-51"/>
        </w:rPr>
        <w:t xml:space="preserve">万 </w:t>
      </w:r>
      <w:r>
        <w:rPr>
          <w:rFonts w:ascii="Arial" w:eastAsia="Arial"/>
        </w:rPr>
        <w:t>t)</w:t>
      </w:r>
      <w:r>
        <w:t>，由三条生产线组成，包括煤液</w:t>
      </w:r>
      <w:r>
        <w:rPr>
          <w:spacing w:val="-22"/>
        </w:rPr>
        <w:t xml:space="preserve">化、煤制氢、溶剂加氢、加氢改质、催化剂制备等 </w:t>
      </w:r>
      <w:r>
        <w:rPr>
          <w:rFonts w:ascii="Arial" w:eastAsia="Arial"/>
        </w:rPr>
        <w:t xml:space="preserve">14 </w:t>
      </w:r>
      <w:r>
        <w:rPr>
          <w:spacing w:val="-2"/>
        </w:rPr>
        <w:t>套主要生产装置。</w:t>
      </w:r>
      <w:r>
        <w:t>工程采取分步实施的方案，先建设一条生产线，装置运转平稳后，再</w:t>
      </w:r>
      <w:r>
        <w:rPr>
          <w:spacing w:val="-6"/>
        </w:rPr>
        <w:t>建设其他生产线。</w:t>
      </w:r>
      <w:r>
        <w:rPr>
          <w:rFonts w:ascii="Arial" w:eastAsia="Arial"/>
        </w:rPr>
        <w:t xml:space="preserve">2004 </w:t>
      </w:r>
      <w:r>
        <w:rPr>
          <w:spacing w:val="-58"/>
        </w:rPr>
        <w:t xml:space="preserve">年 </w:t>
      </w:r>
      <w:r>
        <w:rPr>
          <w:rFonts w:ascii="Arial" w:eastAsia="Arial"/>
        </w:rPr>
        <w:t xml:space="preserve">8 </w:t>
      </w:r>
      <w:r>
        <w:rPr>
          <w:spacing w:val="-1"/>
        </w:rPr>
        <w:t>月一期工程开工建设，</w:t>
      </w:r>
      <w:r>
        <w:rPr>
          <w:rFonts w:ascii="Arial" w:eastAsia="Arial"/>
          <w:spacing w:val="-10"/>
        </w:rPr>
        <w:t xml:space="preserve">2007 </w:t>
      </w:r>
      <w:r>
        <w:rPr>
          <w:spacing w:val="-57"/>
        </w:rPr>
        <w:t xml:space="preserve">年 </w:t>
      </w:r>
      <w:r>
        <w:rPr>
          <w:rFonts w:ascii="Arial" w:eastAsia="Arial"/>
        </w:rPr>
        <w:t xml:space="preserve">7 </w:t>
      </w:r>
      <w:r>
        <w:t>月建成第一条生产线，</w:t>
      </w:r>
      <w:r>
        <w:rPr>
          <w:rFonts w:ascii="Arial" w:eastAsia="Arial"/>
        </w:rPr>
        <w:t xml:space="preserve">2010 </w:t>
      </w:r>
      <w:r>
        <w:t>年左右建成后两条生产线。</w:t>
      </w:r>
    </w:p>
    <w:p>
      <w:pPr>
        <w:spacing w:after="0" w:line="316" w:lineRule="auto"/>
        <w:sectPr>
          <w:pgSz w:w="15480" w:h="21860"/>
          <w:pgMar w:top="2000" w:right="0" w:bottom="280" w:left="1740" w:header="708" w:footer="708"/>
          <w:pgNumType w:start="21"/>
          <w:cols w:space="708"/>
        </w:sectPr>
      </w:pPr>
    </w:p>
    <w:p>
      <w:pPr>
        <w:pStyle w:val="ListParagraph"/>
        <w:numPr>
          <w:ilvl w:val="2"/>
          <w:numId w:val="22"/>
        </w:numPr>
        <w:tabs>
          <w:tab w:val="left" w:pos="1454"/>
        </w:tabs>
        <w:spacing w:before="41" w:after="0" w:line="240" w:lineRule="auto"/>
        <w:ind w:left="1453" w:right="0" w:hanging="810"/>
        <w:jc w:val="left"/>
        <w:rPr>
          <w:rFonts w:ascii="Arial" w:eastAsia="Arial"/>
          <w:sz w:val="36"/>
        </w:rPr>
      </w:pPr>
      <w:r>
        <w:rPr>
          <w:rFonts w:ascii="幼圆" w:eastAsia="幼圆" w:hint="eastAsia"/>
          <w:sz w:val="36"/>
        </w:rPr>
        <w:t>项目进展</w:t>
      </w:r>
    </w:p>
    <w:p>
      <w:pPr>
        <w:pStyle w:val="BodyText"/>
        <w:spacing w:before="150" w:line="316" w:lineRule="auto"/>
        <w:ind w:left="644" w:right="2025" w:firstLine="719"/>
      </w:pPr>
      <w:r>
        <w:rPr>
          <w:rFonts w:ascii="Arial" w:eastAsia="Arial"/>
        </w:rPr>
        <w:t>1997</w:t>
      </w:r>
      <w:r>
        <w:rPr>
          <w:rFonts w:ascii="Arial" w:eastAsia="Arial"/>
          <w:spacing w:val="-3"/>
        </w:rPr>
        <w:t xml:space="preserve"> </w:t>
      </w:r>
      <w:r>
        <w:rPr>
          <w:spacing w:val="-5"/>
        </w:rPr>
        <w:t xml:space="preserve">年，神华集团与美国合作完成了百万 </w:t>
      </w:r>
      <w:r>
        <w:rPr>
          <w:rFonts w:ascii="Arial" w:eastAsia="Arial"/>
        </w:rPr>
        <w:t>t</w:t>
      </w:r>
      <w:r>
        <w:rPr>
          <w:rFonts w:ascii="Arial" w:eastAsia="Arial"/>
          <w:spacing w:val="-2"/>
        </w:rPr>
        <w:t xml:space="preserve"> </w:t>
      </w:r>
      <w:r>
        <w:t>级煤直接液化商业示范厂的</w:t>
      </w:r>
      <w:r>
        <w:rPr>
          <w:rFonts w:ascii="Arial" w:eastAsia="Arial"/>
        </w:rPr>
        <w:t>(</w:t>
      </w:r>
      <w:r>
        <w:t>预</w:t>
      </w:r>
      <w:r>
        <w:rPr>
          <w:rFonts w:ascii="Arial" w:eastAsia="Arial"/>
        </w:rPr>
        <w:t>)</w:t>
      </w:r>
      <w:r>
        <w:rPr>
          <w:spacing w:val="-14"/>
        </w:rPr>
        <w:t>可行性研究，从技术上和经济上进行了建设大规模煤液化工厂的论证和评价；</w:t>
      </w:r>
      <w:r>
        <w:rPr>
          <w:rFonts w:ascii="Arial" w:eastAsia="Arial"/>
          <w:spacing w:val="-14"/>
        </w:rPr>
        <w:t>2004</w:t>
      </w:r>
      <w:r>
        <w:rPr>
          <w:rFonts w:ascii="Arial" w:eastAsia="Arial"/>
          <w:spacing w:val="-36"/>
        </w:rPr>
        <w:t xml:space="preserve"> </w:t>
      </w:r>
      <w:r>
        <w:rPr>
          <w:spacing w:val="-58"/>
        </w:rPr>
        <w:t xml:space="preserve">年 </w:t>
      </w:r>
      <w:r>
        <w:rPr>
          <w:rFonts w:ascii="Arial" w:eastAsia="Arial"/>
        </w:rPr>
        <w:t>8</w:t>
      </w:r>
      <w:r>
        <w:rPr>
          <w:rFonts w:ascii="Arial" w:eastAsia="Arial"/>
          <w:spacing w:val="-35"/>
        </w:rPr>
        <w:t xml:space="preserve"> </w:t>
      </w:r>
      <w:r>
        <w:t>月</w:t>
      </w:r>
      <w:r>
        <w:rPr>
          <w:rFonts w:ascii="Arial" w:eastAsia="Arial"/>
          <w:vertAlign w:val="subscript"/>
        </w:rPr>
        <w:t>[21]</w:t>
      </w:r>
      <w:r>
        <w:rPr>
          <w:vertAlign w:val="baseline"/>
        </w:rPr>
        <w:t>，国家发改委批准神华煤直接液化项目一期工程开工建设；</w:t>
      </w:r>
      <w:r>
        <w:rPr>
          <w:rFonts w:ascii="Arial" w:eastAsia="Arial"/>
          <w:vertAlign w:val="baseline"/>
        </w:rPr>
        <w:t>2004</w:t>
      </w:r>
      <w:r>
        <w:rPr>
          <w:rFonts w:ascii="Arial" w:eastAsia="Arial"/>
          <w:spacing w:val="-32"/>
          <w:vertAlign w:val="baseline"/>
        </w:rPr>
        <w:t xml:space="preserve"> </w:t>
      </w:r>
      <w:r>
        <w:rPr>
          <w:spacing w:val="-56"/>
          <w:vertAlign w:val="baseline"/>
        </w:rPr>
        <w:t xml:space="preserve">年 </w:t>
      </w:r>
      <w:r>
        <w:rPr>
          <w:rFonts w:ascii="Arial" w:eastAsia="Arial"/>
          <w:vertAlign w:val="baseline"/>
        </w:rPr>
        <w:t>9</w:t>
      </w:r>
      <w:r>
        <w:rPr>
          <w:rFonts w:ascii="Arial" w:eastAsia="Arial"/>
          <w:spacing w:val="-31"/>
          <w:vertAlign w:val="baseline"/>
        </w:rPr>
        <w:t xml:space="preserve"> </w:t>
      </w:r>
      <w:r>
        <w:rPr>
          <w:vertAlign w:val="baseline"/>
        </w:rPr>
        <w:t>月，中国神华煤制油有限公司就神华煤直接液化项目与中国人民财险、平安财险、太平洋财险和天安保险四家保险公司签订了保险合同及保险服务协议；</w:t>
      </w:r>
      <w:r>
        <w:rPr>
          <w:rFonts w:ascii="Arial" w:eastAsia="Arial"/>
          <w:vertAlign w:val="baseline"/>
        </w:rPr>
        <w:t>2005</w:t>
      </w:r>
      <w:r>
        <w:rPr>
          <w:rFonts w:ascii="Arial" w:eastAsia="Arial"/>
          <w:spacing w:val="-31"/>
          <w:vertAlign w:val="baseline"/>
        </w:rPr>
        <w:t xml:space="preserve"> </w:t>
      </w:r>
      <w:r>
        <w:rPr>
          <w:spacing w:val="-56"/>
          <w:vertAlign w:val="baseline"/>
        </w:rPr>
        <w:t xml:space="preserve">年 </w:t>
      </w:r>
      <w:r>
        <w:rPr>
          <w:rFonts w:ascii="Arial" w:eastAsia="Arial"/>
          <w:vertAlign w:val="baseline"/>
        </w:rPr>
        <w:t>1</w:t>
      </w:r>
      <w:r>
        <w:rPr>
          <w:rFonts w:ascii="Arial" w:eastAsia="Arial"/>
          <w:spacing w:val="-31"/>
          <w:vertAlign w:val="baseline"/>
        </w:rPr>
        <w:t xml:space="preserve"> </w:t>
      </w:r>
      <w:r>
        <w:rPr>
          <w:vertAlign w:val="baseline"/>
        </w:rPr>
        <w:t>月，上海煤</w:t>
      </w:r>
      <w:r>
        <w:rPr>
          <w:w w:val="95"/>
          <w:vertAlign w:val="baseline"/>
        </w:rPr>
        <w:t>液化中试装置</w:t>
      </w:r>
      <w:r>
        <w:rPr>
          <w:rFonts w:ascii="Arial" w:eastAsia="Arial"/>
          <w:w w:val="95"/>
          <w:vertAlign w:val="baseline"/>
        </w:rPr>
        <w:t>(PDU)</w:t>
      </w:r>
      <w:r>
        <w:rPr>
          <w:w w:val="95"/>
          <w:vertAlign w:val="baseline"/>
        </w:rPr>
        <w:t xml:space="preserve">投煤试运行，获得试验油品，工艺流程全面打通； </w:t>
      </w:r>
      <w:r>
        <w:rPr>
          <w:rFonts w:ascii="Arial" w:eastAsia="Arial"/>
          <w:vertAlign w:val="baseline"/>
        </w:rPr>
        <w:t>2005</w:t>
      </w:r>
      <w:r>
        <w:rPr>
          <w:rFonts w:ascii="Arial" w:eastAsia="Arial"/>
          <w:spacing w:val="-47"/>
          <w:vertAlign w:val="baseline"/>
        </w:rPr>
        <w:t xml:space="preserve"> </w:t>
      </w:r>
      <w:r>
        <w:rPr>
          <w:spacing w:val="-63"/>
          <w:vertAlign w:val="baseline"/>
        </w:rPr>
        <w:t xml:space="preserve">年 </w:t>
      </w:r>
      <w:r>
        <w:rPr>
          <w:rFonts w:ascii="Arial" w:eastAsia="Arial"/>
          <w:vertAlign w:val="baseline"/>
        </w:rPr>
        <w:t>4</w:t>
      </w:r>
      <w:r>
        <w:rPr>
          <w:rFonts w:ascii="Arial" w:eastAsia="Arial"/>
          <w:spacing w:val="-46"/>
          <w:vertAlign w:val="baseline"/>
        </w:rPr>
        <w:t xml:space="preserve"> </w:t>
      </w:r>
      <w:r>
        <w:rPr>
          <w:spacing w:val="-8"/>
          <w:vertAlign w:val="baseline"/>
        </w:rPr>
        <w:t>月，神华煤直接液化项目核心装置开始建设；</w:t>
      </w:r>
      <w:r>
        <w:rPr>
          <w:rFonts w:ascii="Arial" w:eastAsia="Arial"/>
          <w:spacing w:val="-9"/>
          <w:vertAlign w:val="baseline"/>
        </w:rPr>
        <w:t>2005</w:t>
      </w:r>
      <w:r>
        <w:rPr>
          <w:rFonts w:ascii="Arial" w:eastAsia="Arial"/>
          <w:spacing w:val="-47"/>
          <w:vertAlign w:val="baseline"/>
        </w:rPr>
        <w:t xml:space="preserve"> </w:t>
      </w:r>
      <w:r>
        <w:rPr>
          <w:spacing w:val="-63"/>
          <w:vertAlign w:val="baseline"/>
        </w:rPr>
        <w:t xml:space="preserve">年 </w:t>
      </w:r>
      <w:r>
        <w:rPr>
          <w:rFonts w:ascii="Arial" w:eastAsia="Arial"/>
          <w:vertAlign w:val="baseline"/>
        </w:rPr>
        <w:t>10</w:t>
      </w:r>
      <w:r>
        <w:rPr>
          <w:rFonts w:ascii="Arial" w:eastAsia="Arial"/>
          <w:spacing w:val="-46"/>
          <w:vertAlign w:val="baseline"/>
        </w:rPr>
        <w:t xml:space="preserve"> </w:t>
      </w:r>
      <w:r>
        <w:rPr>
          <w:spacing w:val="-7"/>
          <w:vertAlign w:val="baseline"/>
        </w:rPr>
        <w:t xml:space="preserve">月， </w:t>
      </w:r>
      <w:r>
        <w:rPr>
          <w:vertAlign w:val="baseline"/>
        </w:rPr>
        <w:t>上海煤液化中试装置</w:t>
      </w:r>
      <w:r>
        <w:rPr>
          <w:rFonts w:ascii="Arial" w:eastAsia="Arial"/>
          <w:vertAlign w:val="baseline"/>
        </w:rPr>
        <w:t>(PDU)</w:t>
      </w:r>
      <w:r>
        <w:rPr>
          <w:spacing w:val="-12"/>
          <w:vertAlign w:val="baseline"/>
        </w:rPr>
        <w:t>优化改造后再次投煤开工，实现装置运转稳定，各项控制参数正常；经化验数据分析，装置蒸馏油收率达到</w:t>
      </w:r>
      <w:r>
        <w:rPr>
          <w:rFonts w:ascii="Arial" w:eastAsia="Arial"/>
          <w:spacing w:val="-12"/>
          <w:vertAlign w:val="baseline"/>
        </w:rPr>
        <w:t>54~56%</w:t>
      </w:r>
      <w:r>
        <w:rPr>
          <w:spacing w:val="-30"/>
          <w:vertAlign w:val="baseline"/>
        </w:rPr>
        <w:t xml:space="preserve">，转化率为 </w:t>
      </w:r>
      <w:r>
        <w:rPr>
          <w:rFonts w:ascii="Arial" w:eastAsia="Arial"/>
          <w:vertAlign w:val="baseline"/>
        </w:rPr>
        <w:t>90~91%</w:t>
      </w:r>
      <w:r>
        <w:rPr>
          <w:vertAlign w:val="baseline"/>
        </w:rPr>
        <w:t>，神华煤直接液化工艺技术的可行性和可靠性在试验中得到验证。</w:t>
      </w:r>
    </w:p>
    <w:p>
      <w:pPr>
        <w:pStyle w:val="BodyText"/>
        <w:spacing w:line="316" w:lineRule="auto"/>
        <w:ind w:left="644" w:right="2204" w:firstLine="719"/>
        <w:jc w:val="both"/>
      </w:pPr>
      <w:r>
        <w:rPr>
          <w:rFonts w:ascii="Arial" w:eastAsia="Arial"/>
          <w:w w:val="95"/>
        </w:rPr>
        <w:t>2006</w:t>
      </w:r>
      <w:r>
        <w:rPr>
          <w:rFonts w:ascii="Arial" w:eastAsia="Arial"/>
          <w:spacing w:val="58"/>
          <w:w w:val="95"/>
        </w:rPr>
        <w:t xml:space="preserve"> </w:t>
      </w:r>
      <w:r>
        <w:rPr>
          <w:spacing w:val="-1"/>
          <w:w w:val="95"/>
        </w:rPr>
        <w:t xml:space="preserve">年，神华煤直接液化项目工程主要设备制造工作已经完成， </w:t>
      </w:r>
      <w:r>
        <w:t>煤液化反应器、加氢稳定反应器、煤制氢气化炉等超大型设备已吊装就位，空分、油罐、循环水、气柜等设备以及管道、仪表电气安装等</w:t>
      </w:r>
      <w:r>
        <w:rPr>
          <w:spacing w:val="-6"/>
        </w:rPr>
        <w:t xml:space="preserve">主要实体安装工作基本完成。截至 </w:t>
      </w:r>
      <w:r>
        <w:rPr>
          <w:rFonts w:ascii="Arial" w:eastAsia="Arial"/>
        </w:rPr>
        <w:t>2006</w:t>
      </w:r>
      <w:r>
        <w:rPr>
          <w:rFonts w:ascii="Arial" w:eastAsia="Arial"/>
          <w:spacing w:val="-15"/>
        </w:rPr>
        <w:t xml:space="preserve"> </w:t>
      </w:r>
      <w:r>
        <w:rPr>
          <w:spacing w:val="-48"/>
        </w:rPr>
        <w:t xml:space="preserve">年 </w:t>
      </w:r>
      <w:r>
        <w:rPr>
          <w:rFonts w:ascii="Arial" w:eastAsia="Arial"/>
        </w:rPr>
        <w:t>11</w:t>
      </w:r>
      <w:r>
        <w:rPr>
          <w:rFonts w:ascii="Arial" w:eastAsia="Arial"/>
          <w:spacing w:val="-26"/>
        </w:rPr>
        <w:t xml:space="preserve"> </w:t>
      </w:r>
      <w:r>
        <w:rPr>
          <w:spacing w:val="-2"/>
        </w:rPr>
        <w:t>月底，项目累计完成投</w:t>
      </w:r>
    </w:p>
    <w:p>
      <w:pPr>
        <w:pStyle w:val="BodyText"/>
        <w:spacing w:line="316" w:lineRule="auto"/>
        <w:ind w:left="644" w:right="2201"/>
        <w:jc w:val="both"/>
      </w:pPr>
      <w:r>
        <w:rPr>
          <w:spacing w:val="-48"/>
        </w:rPr>
        <w:t xml:space="preserve">资 </w:t>
      </w:r>
      <w:r>
        <w:rPr>
          <w:rFonts w:ascii="Arial" w:eastAsia="Arial"/>
        </w:rPr>
        <w:t>72</w:t>
      </w:r>
      <w:r>
        <w:rPr>
          <w:rFonts w:ascii="Arial" w:eastAsia="Arial"/>
          <w:spacing w:val="-16"/>
        </w:rPr>
        <w:t xml:space="preserve"> </w:t>
      </w:r>
      <w:r>
        <w:rPr>
          <w:spacing w:val="-11"/>
        </w:rPr>
        <w:t xml:space="preserve">亿元，占总投资的 </w:t>
      </w:r>
      <w:r>
        <w:rPr>
          <w:rFonts w:ascii="Arial" w:eastAsia="Arial"/>
        </w:rPr>
        <w:t>73%</w:t>
      </w:r>
      <w:r>
        <w:rPr>
          <w:spacing w:val="-11"/>
        </w:rPr>
        <w:t xml:space="preserve">，完成混凝土浇注 </w:t>
      </w:r>
      <w:r>
        <w:rPr>
          <w:rFonts w:ascii="Arial" w:eastAsia="Arial"/>
        </w:rPr>
        <w:t>22.8</w:t>
      </w:r>
      <w:r>
        <w:rPr>
          <w:rFonts w:ascii="Arial" w:eastAsia="Arial"/>
          <w:spacing w:val="-16"/>
        </w:rPr>
        <w:t xml:space="preserve"> </w:t>
      </w:r>
      <w:r>
        <w:t>万立方米、钢结</w:t>
      </w:r>
      <w:r>
        <w:rPr>
          <w:spacing w:val="-31"/>
        </w:rPr>
        <w:t xml:space="preserve">构安装 </w:t>
      </w:r>
      <w:r>
        <w:rPr>
          <w:rFonts w:ascii="Arial" w:eastAsia="Arial"/>
        </w:rPr>
        <w:t>2.8</w:t>
      </w:r>
      <w:r>
        <w:rPr>
          <w:rFonts w:ascii="Arial" w:eastAsia="Arial"/>
          <w:spacing w:val="-42"/>
        </w:rPr>
        <w:t xml:space="preserve"> </w:t>
      </w:r>
      <w:r>
        <w:rPr>
          <w:spacing w:val="-12"/>
        </w:rPr>
        <w:t xml:space="preserve">万吨、工艺设备安装 </w:t>
      </w:r>
      <w:r>
        <w:rPr>
          <w:rFonts w:ascii="Arial" w:eastAsia="Arial"/>
        </w:rPr>
        <w:t>1284</w:t>
      </w:r>
      <w:r>
        <w:rPr>
          <w:rFonts w:ascii="Arial" w:eastAsia="Arial"/>
          <w:spacing w:val="-41"/>
        </w:rPr>
        <w:t xml:space="preserve"> </w:t>
      </w:r>
      <w:r>
        <w:rPr>
          <w:spacing w:val="-16"/>
        </w:rPr>
        <w:t xml:space="preserve">台套、管道安装 </w:t>
      </w:r>
      <w:r>
        <w:rPr>
          <w:rFonts w:ascii="Arial" w:eastAsia="Arial"/>
        </w:rPr>
        <w:t>379</w:t>
      </w:r>
      <w:r>
        <w:rPr>
          <w:rFonts w:ascii="Arial" w:eastAsia="Arial"/>
          <w:spacing w:val="-42"/>
        </w:rPr>
        <w:t xml:space="preserve"> </w:t>
      </w:r>
      <w:r>
        <w:rPr>
          <w:spacing w:val="-3"/>
        </w:rPr>
        <w:t>公里。生产</w:t>
      </w:r>
      <w:r>
        <w:rPr>
          <w:spacing w:val="-4"/>
        </w:rPr>
        <w:t xml:space="preserve">准备工作也在加紧进行，煤液化厂到岗人员已经达到 </w:t>
      </w:r>
      <w:r>
        <w:rPr>
          <w:rFonts w:ascii="Arial" w:eastAsia="Arial"/>
        </w:rPr>
        <w:t>700</w:t>
      </w:r>
      <w:r>
        <w:rPr>
          <w:rFonts w:ascii="Arial" w:eastAsia="Arial"/>
          <w:spacing w:val="6"/>
        </w:rPr>
        <w:t xml:space="preserve"> </w:t>
      </w:r>
      <w:r>
        <w:rPr>
          <w:spacing w:val="-3"/>
        </w:rPr>
        <w:t>人，并基本</w:t>
      </w:r>
      <w:r>
        <w:t>完成了实习和培训。</w:t>
      </w:r>
    </w:p>
    <w:p>
      <w:pPr>
        <w:pStyle w:val="BodyText"/>
        <w:spacing w:line="316" w:lineRule="auto"/>
        <w:ind w:left="597" w:right="2192" w:firstLine="719"/>
        <w:jc w:val="right"/>
      </w:pPr>
      <w:r>
        <w:t>在内蒙古鄂尔多斯市建设的神华煤直接液化项目，是目前世界上唯一的煤炭直接液化项目</w:t>
      </w:r>
      <w:r>
        <w:rPr>
          <w:rFonts w:ascii="Arial" w:eastAsia="Arial"/>
          <w:vertAlign w:val="subscript"/>
        </w:rPr>
        <w:t>[22]</w:t>
      </w:r>
      <w:r>
        <w:rPr>
          <w:vertAlign w:val="baseline"/>
        </w:rPr>
        <w:t>。</w:t>
      </w:r>
      <w:r>
        <w:rPr>
          <w:rFonts w:ascii="Arial" w:eastAsia="Arial"/>
          <w:vertAlign w:val="baseline"/>
        </w:rPr>
        <w:t>2004</w:t>
      </w:r>
      <w:r>
        <w:rPr>
          <w:rFonts w:ascii="Arial" w:eastAsia="Arial"/>
          <w:spacing w:val="-54"/>
          <w:vertAlign w:val="baseline"/>
        </w:rPr>
        <w:t xml:space="preserve"> </w:t>
      </w:r>
      <w:r>
        <w:rPr>
          <w:spacing w:val="-67"/>
          <w:vertAlign w:val="baseline"/>
        </w:rPr>
        <w:t xml:space="preserve">年 </w:t>
      </w:r>
      <w:r>
        <w:rPr>
          <w:rFonts w:ascii="Arial" w:eastAsia="Arial"/>
          <w:vertAlign w:val="baseline"/>
        </w:rPr>
        <w:t>8</w:t>
      </w:r>
      <w:r>
        <w:rPr>
          <w:rFonts w:ascii="Arial" w:eastAsia="Arial"/>
          <w:spacing w:val="-54"/>
          <w:vertAlign w:val="baseline"/>
        </w:rPr>
        <w:t xml:space="preserve"> </w:t>
      </w:r>
      <w:r>
        <w:rPr>
          <w:vertAlign w:val="baseline"/>
        </w:rPr>
        <w:t>月，国家发展改革委批准了神华煤直接液化项目的工艺优化方案，并批准项目一期工程开工建设。</w:t>
      </w:r>
      <w:r>
        <w:rPr>
          <w:spacing w:val="-14"/>
          <w:vertAlign w:val="baseline"/>
        </w:rPr>
        <w:t xml:space="preserve">一期工程建设规模 </w:t>
      </w:r>
      <w:r>
        <w:rPr>
          <w:rFonts w:ascii="Arial" w:eastAsia="Arial"/>
          <w:vertAlign w:val="baseline"/>
        </w:rPr>
        <w:t xml:space="preserve">320 </w:t>
      </w:r>
      <w:r>
        <w:rPr>
          <w:vertAlign w:val="baseline"/>
        </w:rPr>
        <w:t>万吨</w:t>
      </w:r>
      <w:r>
        <w:rPr>
          <w:rFonts w:ascii="Arial" w:eastAsia="Arial"/>
          <w:vertAlign w:val="baseline"/>
        </w:rPr>
        <w:t>/</w:t>
      </w:r>
      <w:r>
        <w:rPr>
          <w:spacing w:val="-1"/>
          <w:vertAlign w:val="baseline"/>
        </w:rPr>
        <w:t>年，由三条生产线组成。为尽量减小和规</w:t>
      </w:r>
      <w:r>
        <w:rPr>
          <w:vertAlign w:val="baseline"/>
        </w:rPr>
        <w:t>避首次工业化可能遇到的风险，一期工程采取分步实施的方案，先建</w:t>
      </w:r>
      <w:r>
        <w:rPr>
          <w:spacing w:val="-21"/>
          <w:vertAlign w:val="baseline"/>
        </w:rPr>
        <w:t xml:space="preserve">设一条年产 </w:t>
      </w:r>
      <w:r>
        <w:rPr>
          <w:rFonts w:ascii="Arial" w:eastAsia="Arial"/>
          <w:vertAlign w:val="baseline"/>
        </w:rPr>
        <w:t xml:space="preserve">108 </w:t>
      </w:r>
      <w:r>
        <w:rPr>
          <w:vertAlign w:val="baseline"/>
        </w:rPr>
        <w:t xml:space="preserve">万吨的生产线，待取得成功后，再建设其余生产线。 </w:t>
      </w:r>
      <w:r>
        <w:rPr>
          <w:rFonts w:ascii="Arial" w:eastAsia="Arial"/>
          <w:w w:val="95"/>
          <w:vertAlign w:val="baseline"/>
        </w:rPr>
        <w:t xml:space="preserve">2007 </w:t>
      </w:r>
      <w:r>
        <w:rPr>
          <w:w w:val="95"/>
          <w:vertAlign w:val="baseline"/>
        </w:rPr>
        <w:t>年，神华煤直接液化项目工程全面建成，实现除煤液化装置</w:t>
      </w:r>
    </w:p>
    <w:p>
      <w:pPr>
        <w:spacing w:after="0" w:line="316" w:lineRule="auto"/>
        <w:jc w:val="right"/>
        <w:sectPr>
          <w:pgSz w:w="15480" w:h="21860"/>
          <w:pgMar w:top="2000" w:right="0" w:bottom="280" w:left="1740" w:header="708" w:footer="708"/>
          <w:pgNumType w:start="22"/>
          <w:cols w:space="708"/>
        </w:sectPr>
      </w:pPr>
    </w:p>
    <w:p>
      <w:pPr>
        <w:pStyle w:val="BodyText"/>
        <w:spacing w:before="24" w:line="316" w:lineRule="auto"/>
        <w:ind w:left="644" w:right="2027"/>
      </w:pPr>
      <w:r>
        <w:t>外的全部单元中间交接，循环水、蒸汽管网、供电、输煤、罐区、火</w:t>
      </w:r>
      <w:r>
        <w:rPr>
          <w:spacing w:val="-12"/>
        </w:rPr>
        <w:t xml:space="preserve">炬、铁路等公用工程和系统工程陆续中间交接并投运或具备使用条件， </w:t>
      </w:r>
      <w:r>
        <w:t>空分、煤制氢等装置陆续投料试车，</w:t>
      </w:r>
      <w:r>
        <w:rPr>
          <w:rFonts w:ascii="Arial" w:eastAsia="Arial"/>
        </w:rPr>
        <w:t xml:space="preserve">2008 </w:t>
      </w:r>
      <w:r>
        <w:rPr>
          <w:spacing w:val="-57"/>
        </w:rPr>
        <w:t xml:space="preserve">年 </w:t>
      </w:r>
      <w:r>
        <w:rPr>
          <w:rFonts w:ascii="Arial" w:eastAsia="Arial"/>
        </w:rPr>
        <w:t xml:space="preserve">12 </w:t>
      </w:r>
      <w:r>
        <w:rPr>
          <w:spacing w:val="-57"/>
        </w:rPr>
        <w:t xml:space="preserve">月 </w:t>
      </w:r>
      <w:r>
        <w:rPr>
          <w:rFonts w:ascii="Arial" w:eastAsia="Arial"/>
        </w:rPr>
        <w:t xml:space="preserve">30 </w:t>
      </w:r>
      <w:r>
        <w:t>日，神化煤直接液化示范工程第一次投煤试车取得圆满成功，使我国成为世界上唯一</w:t>
      </w:r>
      <w:r>
        <w:rPr>
          <w:spacing w:val="-1"/>
        </w:rPr>
        <w:t>掌握百万吨级煤直接液化关键技术的国家。</w:t>
      </w:r>
      <w:r>
        <w:rPr>
          <w:rFonts w:ascii="Arial" w:eastAsia="Arial"/>
        </w:rPr>
        <w:t xml:space="preserve">2009 </w:t>
      </w:r>
      <w:r>
        <w:rPr>
          <w:spacing w:val="-15"/>
        </w:rPr>
        <w:t xml:space="preserve">年，一期工程第 </w:t>
      </w:r>
      <w:r>
        <w:rPr>
          <w:rFonts w:ascii="Arial" w:eastAsia="Arial"/>
        </w:rPr>
        <w:t xml:space="preserve">1 </w:t>
      </w:r>
      <w:r>
        <w:t>条</w:t>
      </w:r>
      <w:r>
        <w:rPr>
          <w:spacing w:val="-5"/>
        </w:rPr>
        <w:t xml:space="preserve">生产线投资已基本完成，试生产成功，计划于今年 </w:t>
      </w:r>
      <w:r>
        <w:rPr>
          <w:rFonts w:ascii="Arial" w:eastAsia="Arial"/>
        </w:rPr>
        <w:t xml:space="preserve">5 </w:t>
      </w:r>
      <w:r>
        <w:t>月份正式投产。</w:t>
      </w:r>
    </w:p>
    <w:p>
      <w:pPr>
        <w:pStyle w:val="BodyText"/>
        <w:spacing w:line="316" w:lineRule="auto"/>
        <w:ind w:left="644" w:right="2295" w:firstLine="1371"/>
        <w:jc w:val="both"/>
      </w:pPr>
      <w:r>
        <w:t>在国家能源政策和产业政策的宏观指导下，全国拥有煤炭资源的地区，如山西、内蒙、陕西、宁夏、安徽、河南、新疆、云南、贵州、山东等地发展煤化工的热情空前高涨。这些地区都从贯彻落实科学发展观的高度和发展循环经济的理念出发，纷纷作出要加快发展煤化工的战略决策，制定煤化工发展规划，将建设新型煤化工工程作为地方经济发展的战略方向。</w:t>
      </w:r>
    </w:p>
    <w:p>
      <w:pPr>
        <w:pStyle w:val="BodyText"/>
        <w:spacing w:line="316" w:lineRule="auto"/>
        <w:ind w:left="644" w:right="2184" w:firstLine="719"/>
        <w:jc w:val="both"/>
      </w:pPr>
      <w:r>
        <w:rPr>
          <w:spacing w:val="3"/>
        </w:rPr>
        <w:t>例如，煤炭之都</w:t>
      </w:r>
      <w:r>
        <w:rPr>
          <w:rFonts w:ascii="Times New Roman" w:eastAsia="Times New Roman" w:hAnsi="Times New Roman"/>
          <w:spacing w:val="3"/>
        </w:rPr>
        <w:t>—</w:t>
      </w:r>
      <w:r>
        <w:t>山西省今年制定了《加快发展具有山西优势的</w:t>
      </w:r>
      <w:r>
        <w:rPr>
          <w:spacing w:val="-14"/>
          <w:w w:val="95"/>
        </w:rPr>
        <w:t>煤化工产业三年推进计划》，启动了</w:t>
      </w:r>
      <w:r>
        <w:rPr>
          <w:rFonts w:ascii="Times New Roman" w:eastAsia="Times New Roman" w:hAnsi="Times New Roman"/>
          <w:w w:val="95"/>
        </w:rPr>
        <w:t>“</w:t>
      </w:r>
      <w:r>
        <w:rPr>
          <w:rFonts w:ascii="Arial" w:eastAsia="Arial" w:hAnsi="Arial"/>
          <w:w w:val="95"/>
        </w:rPr>
        <w:t>5565</w:t>
      </w:r>
      <w:r>
        <w:rPr>
          <w:rFonts w:ascii="Times New Roman" w:eastAsia="Times New Roman" w:hAnsi="Times New Roman"/>
          <w:w w:val="95"/>
        </w:rPr>
        <w:t>”</w:t>
      </w:r>
      <w:r>
        <w:rPr>
          <w:spacing w:val="-2"/>
          <w:w w:val="95"/>
        </w:rPr>
        <w:t xml:space="preserve">工程，形成山西煤化工产业 </w:t>
      </w:r>
      <w:r>
        <w:t>集群，打造山西煤化工品牌，实现山西煤化工产业的可持续发展。到</w:t>
      </w:r>
      <w:r>
        <w:rPr>
          <w:rFonts w:ascii="Arial" w:eastAsia="Arial" w:hAnsi="Arial"/>
        </w:rPr>
        <w:t>2007</w:t>
      </w:r>
      <w:r>
        <w:rPr>
          <w:rFonts w:ascii="Arial" w:eastAsia="Arial" w:hAnsi="Arial"/>
          <w:spacing w:val="-37"/>
        </w:rPr>
        <w:t xml:space="preserve"> </w:t>
      </w:r>
      <w:r>
        <w:rPr>
          <w:spacing w:val="-8"/>
        </w:rPr>
        <w:t xml:space="preserve">年，全省煤化工产业实现销售收入 </w:t>
      </w:r>
      <w:r>
        <w:rPr>
          <w:rFonts w:ascii="Arial" w:eastAsia="Arial" w:hAnsi="Arial"/>
        </w:rPr>
        <w:t>500</w:t>
      </w:r>
      <w:r>
        <w:rPr>
          <w:rFonts w:ascii="Arial" w:eastAsia="Arial" w:hAnsi="Arial"/>
          <w:spacing w:val="-37"/>
        </w:rPr>
        <w:t xml:space="preserve"> </w:t>
      </w:r>
      <w:r>
        <w:rPr>
          <w:spacing w:val="-12"/>
        </w:rPr>
        <w:t xml:space="preserve">亿元，新增销售收入 </w:t>
      </w:r>
      <w:r>
        <w:rPr>
          <w:rFonts w:ascii="Arial" w:eastAsia="Arial" w:hAnsi="Arial"/>
        </w:rPr>
        <w:t xml:space="preserve">350 </w:t>
      </w:r>
      <w:r>
        <w:rPr>
          <w:spacing w:val="-12"/>
        </w:rPr>
        <w:t xml:space="preserve">亿元，新增税收 </w:t>
      </w:r>
      <w:r>
        <w:rPr>
          <w:rFonts w:ascii="Arial" w:eastAsia="Arial" w:hAnsi="Arial"/>
        </w:rPr>
        <w:t>35</w:t>
      </w:r>
      <w:r>
        <w:rPr>
          <w:rFonts w:ascii="Arial" w:eastAsia="Arial" w:hAnsi="Arial"/>
          <w:spacing w:val="-12"/>
        </w:rPr>
        <w:t xml:space="preserve"> </w:t>
      </w:r>
      <w:r>
        <w:t>亿元。</w:t>
      </w:r>
    </w:p>
    <w:p>
      <w:pPr>
        <w:pStyle w:val="BodyText"/>
        <w:spacing w:line="316" w:lineRule="auto"/>
        <w:ind w:left="644" w:right="2028" w:firstLine="719"/>
      </w:pPr>
      <w:r>
        <w:rPr>
          <w:spacing w:val="-6"/>
        </w:rPr>
        <w:t>内蒙古自治区提出依托煤炭产业优势，全力推进煤化工、煤液化、</w:t>
      </w:r>
      <w:r>
        <w:rPr>
          <w:spacing w:val="-4"/>
        </w:rPr>
        <w:t xml:space="preserve">煤转油项目建设，延长产业链，建成我国重要的化工生产基地。 </w:t>
      </w:r>
      <w:r>
        <w:rPr>
          <w:rFonts w:ascii="Arial" w:eastAsia="Arial"/>
        </w:rPr>
        <w:t xml:space="preserve">2010 </w:t>
      </w:r>
      <w:r>
        <w:rPr>
          <w:spacing w:val="-8"/>
        </w:rPr>
        <w:t xml:space="preserve">年，化工产业预计实现销售收入 </w:t>
      </w:r>
      <w:r>
        <w:rPr>
          <w:rFonts w:ascii="Arial" w:eastAsia="Arial"/>
        </w:rPr>
        <w:t xml:space="preserve">1300 </w:t>
      </w:r>
      <w:r>
        <w:rPr>
          <w:spacing w:val="-12"/>
        </w:rPr>
        <w:t xml:space="preserve">亿元，其中煤化工 </w:t>
      </w:r>
      <w:r>
        <w:rPr>
          <w:rFonts w:ascii="Arial" w:eastAsia="Arial"/>
        </w:rPr>
        <w:t xml:space="preserve">750 </w:t>
      </w:r>
      <w:r>
        <w:t>亿元。</w:t>
      </w:r>
    </w:p>
    <w:p>
      <w:pPr>
        <w:pStyle w:val="BodyText"/>
        <w:spacing w:line="316" w:lineRule="auto"/>
        <w:ind w:left="644" w:right="2177" w:firstLine="1349"/>
        <w:jc w:val="both"/>
      </w:pPr>
      <w:r>
        <w:rPr>
          <w:spacing w:val="-1"/>
        </w:rPr>
        <w:t xml:space="preserve">河南省已提出了“十一五”煤化工发展蓝图，规划建设 </w:t>
      </w:r>
      <w:r>
        <w:rPr>
          <w:rFonts w:ascii="Arial" w:eastAsia="Arial" w:hAnsi="Arial"/>
        </w:rPr>
        <w:t>5</w:t>
      </w:r>
      <w:r>
        <w:rPr>
          <w:rFonts w:ascii="Arial" w:eastAsia="Arial" w:hAnsi="Arial"/>
          <w:spacing w:val="67"/>
        </w:rPr>
        <w:t xml:space="preserve"> </w:t>
      </w:r>
      <w:r>
        <w:t>大煤化工产业基地，初步提出了“十一五”煤化工规划项目</w:t>
      </w:r>
      <w:r>
        <w:rPr>
          <w:rFonts w:ascii="Arial" w:eastAsia="Arial" w:hAnsi="Arial"/>
        </w:rPr>
        <w:t>72</w:t>
      </w:r>
      <w:r>
        <w:rPr>
          <w:rFonts w:ascii="Arial" w:eastAsia="Arial" w:hAnsi="Arial"/>
          <w:spacing w:val="-44"/>
        </w:rPr>
        <w:t xml:space="preserve"> </w:t>
      </w:r>
      <w:r>
        <w:rPr>
          <w:spacing w:val="-4"/>
        </w:rPr>
        <w:t>个，重点</w:t>
      </w:r>
      <w:r>
        <w:t>发展甲醇、烯烃、醋酸、甲醛、二甲醚、尿素、三聚氰胺、二甲基甲</w:t>
      </w:r>
      <w:r>
        <w:rPr>
          <w:spacing w:val="1"/>
          <w:w w:val="95"/>
        </w:rPr>
        <w:t>酰胺、芳烃等九大主导产品。到</w:t>
      </w:r>
      <w:r>
        <w:rPr>
          <w:rFonts w:ascii="Arial" w:eastAsia="Arial" w:hAnsi="Arial"/>
          <w:w w:val="95"/>
        </w:rPr>
        <w:t>2010</w:t>
      </w:r>
      <w:r>
        <w:rPr>
          <w:rFonts w:ascii="Arial" w:eastAsia="Arial" w:hAnsi="Arial"/>
          <w:spacing w:val="44"/>
          <w:w w:val="95"/>
        </w:rPr>
        <w:t xml:space="preserve">  </w:t>
      </w:r>
      <w:r>
        <w:rPr>
          <w:spacing w:val="-2"/>
          <w:w w:val="95"/>
        </w:rPr>
        <w:t>年，煤化工产业煤炭转化能力将</w:t>
      </w:r>
      <w:r>
        <w:rPr>
          <w:spacing w:val="-63"/>
        </w:rPr>
        <w:t xml:space="preserve">由 </w:t>
      </w:r>
      <w:r>
        <w:rPr>
          <w:rFonts w:ascii="Arial" w:eastAsia="Arial" w:hAnsi="Arial"/>
        </w:rPr>
        <w:t>2004</w:t>
      </w:r>
      <w:r>
        <w:rPr>
          <w:rFonts w:ascii="Arial" w:eastAsia="Arial" w:hAnsi="Arial"/>
          <w:spacing w:val="-46"/>
        </w:rPr>
        <w:t xml:space="preserve"> </w:t>
      </w:r>
      <w:r>
        <w:rPr>
          <w:spacing w:val="-42"/>
        </w:rPr>
        <w:t xml:space="preserve">年的 </w:t>
      </w:r>
      <w:r>
        <w:rPr>
          <w:rFonts w:ascii="Arial" w:eastAsia="Arial" w:hAnsi="Arial"/>
        </w:rPr>
        <w:t>800</w:t>
      </w:r>
      <w:r>
        <w:rPr>
          <w:rFonts w:ascii="Arial" w:eastAsia="Arial" w:hAnsi="Arial"/>
          <w:spacing w:val="-45"/>
        </w:rPr>
        <w:t xml:space="preserve"> </w:t>
      </w:r>
      <w:r>
        <w:rPr>
          <w:spacing w:val="-21"/>
        </w:rPr>
        <w:t xml:space="preserve">万吨提高到 </w:t>
      </w:r>
      <w:r>
        <w:rPr>
          <w:rFonts w:ascii="Arial" w:eastAsia="Arial" w:hAnsi="Arial"/>
        </w:rPr>
        <w:t>1900</w:t>
      </w:r>
      <w:r>
        <w:rPr>
          <w:rFonts w:ascii="Arial" w:eastAsia="Arial" w:hAnsi="Arial"/>
          <w:spacing w:val="-46"/>
        </w:rPr>
        <w:t xml:space="preserve"> </w:t>
      </w:r>
      <w:r>
        <w:rPr>
          <w:spacing w:val="-25"/>
        </w:rPr>
        <w:t xml:space="preserve">万吨，销售收入由 </w:t>
      </w:r>
      <w:r>
        <w:rPr>
          <w:rFonts w:ascii="Arial" w:eastAsia="Arial" w:hAnsi="Arial"/>
        </w:rPr>
        <w:t>2004</w:t>
      </w:r>
      <w:r>
        <w:rPr>
          <w:rFonts w:ascii="Arial" w:eastAsia="Arial" w:hAnsi="Arial"/>
          <w:spacing w:val="-45"/>
        </w:rPr>
        <w:t xml:space="preserve"> </w:t>
      </w:r>
      <w:r>
        <w:rPr>
          <w:spacing w:val="-42"/>
        </w:rPr>
        <w:t xml:space="preserve">年的 </w:t>
      </w:r>
      <w:r>
        <w:rPr>
          <w:rFonts w:ascii="Arial" w:eastAsia="Arial" w:hAnsi="Arial"/>
        </w:rPr>
        <w:t>110</w:t>
      </w:r>
      <w:r>
        <w:rPr>
          <w:rFonts w:ascii="Arial" w:eastAsia="Arial" w:hAnsi="Arial"/>
          <w:spacing w:val="-54"/>
        </w:rPr>
        <w:t xml:space="preserve"> </w:t>
      </w:r>
      <w:r>
        <w:t>亿</w:t>
      </w:r>
      <w:r>
        <w:rPr>
          <w:spacing w:val="-19"/>
        </w:rPr>
        <w:t xml:space="preserve">元增加到 </w:t>
      </w:r>
      <w:r>
        <w:rPr>
          <w:rFonts w:ascii="Arial" w:eastAsia="Arial" w:hAnsi="Arial"/>
        </w:rPr>
        <w:t>600</w:t>
      </w:r>
      <w:r>
        <w:rPr>
          <w:rFonts w:ascii="Arial" w:eastAsia="Arial" w:hAnsi="Arial"/>
          <w:spacing w:val="-12"/>
        </w:rPr>
        <w:t xml:space="preserve"> </w:t>
      </w:r>
      <w:r>
        <w:t>亿元。</w:t>
      </w:r>
    </w:p>
    <w:p>
      <w:pPr>
        <w:pStyle w:val="BodyText"/>
        <w:spacing w:line="316" w:lineRule="auto"/>
        <w:ind w:left="644" w:right="2207" w:firstLine="1349"/>
      </w:pPr>
      <w:r>
        <w:rPr>
          <w:spacing w:val="-9"/>
        </w:rPr>
        <w:t>宁夏推出了《宁东能源重化工基地整体规划与建设纲要》，确</w:t>
      </w:r>
      <w:r>
        <w:t>定重点发展电力、煤化工、煤炭开采三大产业，建设宁东能源重化工</w:t>
      </w:r>
    </w:p>
    <w:p>
      <w:pPr>
        <w:spacing w:after="0" w:line="316" w:lineRule="auto"/>
        <w:sectPr>
          <w:pgSz w:w="15480" w:h="21860"/>
          <w:pgMar w:top="2020" w:right="0" w:bottom="280" w:left="1740" w:header="708" w:footer="708"/>
          <w:pgNumType w:start="23"/>
          <w:cols w:space="708"/>
        </w:sectPr>
      </w:pPr>
    </w:p>
    <w:p>
      <w:pPr>
        <w:pStyle w:val="BodyText"/>
        <w:spacing w:before="44"/>
        <w:ind w:left="644"/>
        <w:jc w:val="both"/>
      </w:pPr>
      <w:r>
        <w:t xml:space="preserve">基地，规划占地总面积 </w:t>
      </w:r>
      <w:r>
        <w:rPr>
          <w:rFonts w:ascii="Times New Roman" w:eastAsia="Times New Roman"/>
        </w:rPr>
        <w:t xml:space="preserve">14.28 </w:t>
      </w:r>
      <w:r>
        <w:t xml:space="preserve">平方公里，总投资 </w:t>
      </w:r>
      <w:r>
        <w:rPr>
          <w:rFonts w:ascii="Times New Roman" w:eastAsia="Times New Roman"/>
        </w:rPr>
        <w:t xml:space="preserve">2000 </w:t>
      </w:r>
      <w:r>
        <w:t>亿元。</w:t>
      </w:r>
    </w:p>
    <w:p>
      <w:pPr>
        <w:pStyle w:val="BodyText"/>
        <w:spacing w:before="147"/>
        <w:ind w:left="2083"/>
        <w:jc w:val="both"/>
      </w:pPr>
      <w:r>
        <w:t xml:space="preserve">贵州省将在未来 </w:t>
      </w:r>
      <w:r>
        <w:rPr>
          <w:rFonts w:ascii="Times New Roman" w:eastAsia="Times New Roman" w:hAnsi="Times New Roman"/>
        </w:rPr>
        <w:t xml:space="preserve">5 </w:t>
      </w:r>
      <w:r>
        <w:t xml:space="preserve">年内规划和建设 </w:t>
      </w:r>
      <w:r>
        <w:rPr>
          <w:rFonts w:ascii="Times New Roman" w:eastAsia="Times New Roman" w:hAnsi="Times New Roman"/>
        </w:rPr>
        <w:t xml:space="preserve">5 </w:t>
      </w:r>
      <w:r>
        <w:t>个“循环经济”型的煤</w:t>
      </w:r>
    </w:p>
    <w:p>
      <w:pPr>
        <w:pStyle w:val="BodyText"/>
        <w:spacing w:before="148" w:line="316" w:lineRule="auto"/>
        <w:ind w:left="644" w:right="2210"/>
        <w:jc w:val="both"/>
      </w:pPr>
      <w:r>
        <w:rPr>
          <w:spacing w:val="-4"/>
        </w:rPr>
        <w:t xml:space="preserve">化工生态工业基地。预计 </w:t>
      </w:r>
      <w:r>
        <w:rPr>
          <w:rFonts w:ascii="Times New Roman" w:eastAsia="Times New Roman"/>
        </w:rPr>
        <w:t xml:space="preserve">5 </w:t>
      </w:r>
      <w:r>
        <w:rPr>
          <w:spacing w:val="-4"/>
        </w:rPr>
        <w:t xml:space="preserve">个基地煤化工生产项目总投资达 </w:t>
      </w:r>
      <w:r>
        <w:rPr>
          <w:rFonts w:ascii="Times New Roman" w:eastAsia="Times New Roman"/>
        </w:rPr>
        <w:t xml:space="preserve">522.8 </w:t>
      </w:r>
      <w:r>
        <w:rPr>
          <w:spacing w:val="-17"/>
        </w:rPr>
        <w:t>亿</w:t>
      </w:r>
      <w:r>
        <w:rPr>
          <w:spacing w:val="-12"/>
        </w:rPr>
        <w:t xml:space="preserve">元，年产值可达 </w:t>
      </w:r>
      <w:r>
        <w:rPr>
          <w:rFonts w:ascii="Times New Roman" w:eastAsia="Times New Roman"/>
        </w:rPr>
        <w:t xml:space="preserve">403 </w:t>
      </w:r>
      <w:r>
        <w:t>万元。</w:t>
      </w:r>
    </w:p>
    <w:p>
      <w:pPr>
        <w:pStyle w:val="BodyText"/>
        <w:spacing w:line="316" w:lineRule="auto"/>
        <w:ind w:left="644" w:right="2205" w:firstLine="719"/>
        <w:jc w:val="both"/>
      </w:pPr>
      <w:r>
        <w:rPr>
          <w:spacing w:val="-5"/>
        </w:rPr>
        <w:t xml:space="preserve">陕西省陕北能源重化工基地打造 </w:t>
      </w:r>
      <w:r>
        <w:rPr>
          <w:rFonts w:ascii="Times New Roman" w:eastAsia="Times New Roman"/>
        </w:rPr>
        <w:t xml:space="preserve">3 </w:t>
      </w:r>
      <w:r>
        <w:rPr>
          <w:spacing w:val="-7"/>
        </w:rPr>
        <w:t xml:space="preserve">大产业链，规划建设 </w:t>
      </w:r>
      <w:r>
        <w:rPr>
          <w:rFonts w:ascii="Times New Roman" w:eastAsia="Times New Roman"/>
        </w:rPr>
        <w:t xml:space="preserve">7 </w:t>
      </w:r>
      <w:r>
        <w:rPr>
          <w:spacing w:val="-5"/>
        </w:rPr>
        <w:t>个产业</w:t>
      </w:r>
      <w:r>
        <w:t>区，实施煤、煤电、煤制油、煤化工产品一体化开发，形成煤电油化产业链。</w:t>
      </w:r>
    </w:p>
    <w:p>
      <w:pPr>
        <w:pStyle w:val="BodyText"/>
        <w:spacing w:line="316" w:lineRule="auto"/>
        <w:ind w:left="644" w:right="2201" w:firstLine="719"/>
        <w:jc w:val="both"/>
      </w:pPr>
      <w:r>
        <w:rPr>
          <w:spacing w:val="-10"/>
        </w:rPr>
        <w:t xml:space="preserve">安徽省规划到 </w:t>
      </w:r>
      <w:r>
        <w:rPr>
          <w:rFonts w:ascii="Times New Roman" w:eastAsia="Times New Roman"/>
        </w:rPr>
        <w:t xml:space="preserve">2010 </w:t>
      </w:r>
      <w:r>
        <w:rPr>
          <w:spacing w:val="-14"/>
        </w:rPr>
        <w:t xml:space="preserve">年，形成 </w:t>
      </w:r>
      <w:r>
        <w:rPr>
          <w:rFonts w:ascii="Times New Roman" w:eastAsia="Times New Roman"/>
        </w:rPr>
        <w:t xml:space="preserve">3000 </w:t>
      </w:r>
      <w:r>
        <w:t>万吨原煤加工能力，其中焦炭</w:t>
      </w:r>
      <w:r>
        <w:rPr>
          <w:rFonts w:ascii="Times New Roman" w:eastAsia="Times New Roman"/>
        </w:rPr>
        <w:t xml:space="preserve">1000 </w:t>
      </w:r>
      <w:r>
        <w:rPr>
          <w:spacing w:val="-12"/>
        </w:rPr>
        <w:t xml:space="preserve">万吨、合成油品 </w:t>
      </w:r>
      <w:r>
        <w:rPr>
          <w:rFonts w:ascii="Times New Roman" w:eastAsia="Times New Roman"/>
        </w:rPr>
        <w:t xml:space="preserve">100 </w:t>
      </w:r>
      <w:r>
        <w:rPr>
          <w:spacing w:val="-13"/>
        </w:rPr>
        <w:t xml:space="preserve">万吨、合成氨 </w:t>
      </w:r>
      <w:r>
        <w:rPr>
          <w:rFonts w:ascii="Times New Roman" w:eastAsia="Times New Roman"/>
        </w:rPr>
        <w:t xml:space="preserve">300 </w:t>
      </w:r>
      <w:r>
        <w:rPr>
          <w:spacing w:val="-15"/>
        </w:rPr>
        <w:t xml:space="preserve">万吨、甲醇 </w:t>
      </w:r>
      <w:r>
        <w:rPr>
          <w:rFonts w:ascii="Times New Roman" w:eastAsia="Times New Roman"/>
        </w:rPr>
        <w:t xml:space="preserve">200 </w:t>
      </w:r>
      <w:r>
        <w:rPr>
          <w:spacing w:val="-4"/>
        </w:rPr>
        <w:t>万吨、烯</w:t>
      </w:r>
      <w:r>
        <w:rPr>
          <w:spacing w:val="-9"/>
        </w:rPr>
        <w:t xml:space="preserve">烃等煤化工衍生产品 </w:t>
      </w:r>
      <w:r>
        <w:rPr>
          <w:rFonts w:ascii="Times New Roman" w:eastAsia="Times New Roman"/>
        </w:rPr>
        <w:t xml:space="preserve">200 </w:t>
      </w:r>
      <w:r>
        <w:t>万吨，建成国家级煤化工基地。</w:t>
      </w:r>
    </w:p>
    <w:p>
      <w:pPr>
        <w:pStyle w:val="BodyText"/>
        <w:rPr>
          <w:sz w:val="27"/>
        </w:rPr>
      </w:pPr>
    </w:p>
    <w:p>
      <w:pPr>
        <w:pStyle w:val="ListParagraph"/>
        <w:numPr>
          <w:ilvl w:val="2"/>
          <w:numId w:val="22"/>
        </w:numPr>
        <w:tabs>
          <w:tab w:val="left" w:pos="1544"/>
        </w:tabs>
        <w:spacing w:before="0" w:after="0" w:line="240" w:lineRule="auto"/>
        <w:ind w:left="1543" w:right="0" w:hanging="900"/>
        <w:jc w:val="left"/>
        <w:rPr>
          <w:rFonts w:ascii="Times New Roman" w:eastAsia="Times New Roman"/>
          <w:sz w:val="36"/>
        </w:rPr>
      </w:pPr>
      <w:r>
        <w:rPr>
          <w:rFonts w:ascii="幼圆" w:eastAsia="幼圆" w:hint="eastAsia"/>
          <w:sz w:val="36"/>
        </w:rPr>
        <w:t>神华集团发展煤直接液化的优势</w:t>
      </w:r>
    </w:p>
    <w:p>
      <w:pPr>
        <w:pStyle w:val="BodyText"/>
        <w:spacing w:before="147" w:line="316" w:lineRule="auto"/>
        <w:ind w:left="644" w:right="2295" w:firstLine="719"/>
        <w:jc w:val="both"/>
        <w:rPr>
          <w:rFonts w:ascii="Times New Roman" w:eastAsia="Times New Roman"/>
          <w:sz w:val="29"/>
        </w:rPr>
      </w:pPr>
      <w:r>
        <w:rPr>
          <w:spacing w:val="-1"/>
        </w:rPr>
        <w:t>神华集团是目前国内最大的煤炭生产企业，也是经济效益最好的企业之一，其重点开发矿区位于内蒙古和陕西的交界处，地缘条件良好，资源条件优越，且矿区位于我国缺油省区的中间地带，油品市场</w:t>
      </w:r>
      <w:r>
        <w:t>供需矛盾突出，发展煤直接液化项目具有特殊优势</w:t>
      </w:r>
      <w:r>
        <w:rPr>
          <w:rFonts w:ascii="Times New Roman" w:eastAsia="Times New Roman"/>
          <w:spacing w:val="-14"/>
          <w:position w:val="-2"/>
          <w:sz w:val="29"/>
        </w:rPr>
        <w:t>[23</w:t>
      </w:r>
      <w:r>
        <w:rPr>
          <w:spacing w:val="-319"/>
        </w:rPr>
        <w:t>。</w:t>
      </w:r>
      <w:r>
        <w:rPr>
          <w:rFonts w:ascii="Times New Roman" w:eastAsia="Times New Roman"/>
          <w:position w:val="-2"/>
          <w:sz w:val="29"/>
        </w:rPr>
        <w:t>]</w:t>
      </w:r>
    </w:p>
    <w:p>
      <w:pPr>
        <w:pStyle w:val="ListParagraph"/>
        <w:numPr>
          <w:ilvl w:val="0"/>
          <w:numId w:val="20"/>
        </w:numPr>
        <w:tabs>
          <w:tab w:val="left" w:pos="1695"/>
        </w:tabs>
        <w:spacing w:before="0" w:after="0" w:line="460" w:lineRule="exact"/>
        <w:ind w:left="1694" w:right="0" w:hanging="422"/>
        <w:jc w:val="left"/>
        <w:rPr>
          <w:rFonts w:ascii="Times New Roman" w:eastAsia="Times New Roman"/>
          <w:sz w:val="34"/>
        </w:rPr>
      </w:pPr>
      <w:r>
        <w:rPr>
          <w:sz w:val="36"/>
        </w:rPr>
        <w:t>经济实力雄厚</w:t>
      </w:r>
    </w:p>
    <w:p>
      <w:pPr>
        <w:pStyle w:val="BodyText"/>
        <w:spacing w:before="147" w:line="316" w:lineRule="auto"/>
        <w:ind w:left="644" w:right="2025" w:firstLine="629"/>
      </w:pPr>
      <w:r>
        <w:rPr>
          <w:rFonts w:ascii="Times New Roman" w:eastAsia="Times New Roman" w:hAnsi="Times New Roman"/>
        </w:rPr>
        <w:t xml:space="preserve">2002 </w:t>
      </w:r>
      <w:r>
        <w:rPr>
          <w:spacing w:val="-15"/>
        </w:rPr>
        <w:t xml:space="preserve">年末，公司资产总值达 </w:t>
      </w:r>
      <w:r>
        <w:rPr>
          <w:rFonts w:ascii="Times New Roman" w:eastAsia="Times New Roman" w:hAnsi="Times New Roman"/>
        </w:rPr>
        <w:t xml:space="preserve">1000 </w:t>
      </w:r>
      <w:r>
        <w:rPr>
          <w:spacing w:val="-15"/>
        </w:rPr>
        <w:t xml:space="preserve">多亿元，实现利润超过 </w:t>
      </w:r>
      <w:r>
        <w:rPr>
          <w:rFonts w:ascii="Times New Roman" w:eastAsia="Times New Roman" w:hAnsi="Times New Roman"/>
        </w:rPr>
        <w:t xml:space="preserve">30 </w:t>
      </w:r>
      <w:r>
        <w:rPr>
          <w:spacing w:val="-5"/>
        </w:rPr>
        <w:t>亿元。</w:t>
      </w:r>
      <w:r>
        <w:rPr>
          <w:spacing w:val="-55"/>
        </w:rPr>
        <w:t>此外，</w:t>
      </w:r>
      <w:r>
        <w:rPr>
          <w:rFonts w:ascii="Times New Roman" w:eastAsia="Times New Roman" w:hAnsi="Times New Roman"/>
        </w:rPr>
        <w:t xml:space="preserve">1998 </w:t>
      </w:r>
      <w:r>
        <w:rPr>
          <w:spacing w:val="-9"/>
        </w:rPr>
        <w:t>年中央政府根据神华集团公司的实际情况，决定将</w:t>
      </w:r>
      <w:r>
        <w:rPr>
          <w:rFonts w:ascii="Times New Roman" w:eastAsia="Times New Roman" w:hAnsi="Times New Roman"/>
          <w:spacing w:val="-2"/>
        </w:rPr>
        <w:t>“</w:t>
      </w:r>
      <w:r>
        <w:t>煤代油</w:t>
      </w:r>
      <w:r>
        <w:rPr>
          <w:rFonts w:ascii="Times New Roman" w:eastAsia="Times New Roman" w:hAnsi="Times New Roman"/>
        </w:rPr>
        <w:t>”</w:t>
      </w:r>
      <w:r>
        <w:t>贷款划给神华，回收贷款用作神华集团的资本金，神华集团根据企业</w:t>
      </w:r>
      <w:r>
        <w:rPr>
          <w:spacing w:val="-10"/>
        </w:rPr>
        <w:t xml:space="preserve">的实际，从中拿出 </w:t>
      </w:r>
      <w:r>
        <w:rPr>
          <w:rFonts w:ascii="Times New Roman" w:eastAsia="Times New Roman" w:hAnsi="Times New Roman"/>
        </w:rPr>
        <w:t xml:space="preserve">50 </w:t>
      </w:r>
      <w:r>
        <w:t>多亿元用于发展煤炭液化。</w:t>
      </w:r>
    </w:p>
    <w:p>
      <w:pPr>
        <w:pStyle w:val="ListParagraph"/>
        <w:numPr>
          <w:ilvl w:val="0"/>
          <w:numId w:val="20"/>
        </w:numPr>
        <w:tabs>
          <w:tab w:val="left" w:pos="1695"/>
        </w:tabs>
        <w:spacing w:before="0" w:after="0" w:line="459" w:lineRule="exact"/>
        <w:ind w:left="1694" w:right="0" w:hanging="422"/>
        <w:jc w:val="left"/>
        <w:rPr>
          <w:rFonts w:ascii="Times New Roman" w:eastAsia="Times New Roman"/>
          <w:sz w:val="34"/>
        </w:rPr>
      </w:pPr>
      <w:r>
        <w:rPr>
          <w:sz w:val="36"/>
        </w:rPr>
        <w:t>自然资源条件得天独厚</w:t>
      </w:r>
    </w:p>
    <w:p>
      <w:pPr>
        <w:pStyle w:val="BodyText"/>
        <w:spacing w:before="149" w:line="316" w:lineRule="auto"/>
        <w:ind w:left="644" w:right="2205" w:firstLine="629"/>
      </w:pPr>
      <w:r>
        <w:t>首先，神东矿区煤炭资源丰富，液化用煤来源有可靠保证。神府</w:t>
      </w:r>
      <w:r>
        <w:rPr>
          <w:spacing w:val="-3"/>
        </w:rPr>
        <w:t xml:space="preserve">东胜煤田属世界七大煤田之一，探明煤炭储量为 </w:t>
      </w:r>
      <w:r>
        <w:rPr>
          <w:rFonts w:ascii="Times New Roman" w:eastAsia="Times New Roman"/>
        </w:rPr>
        <w:t xml:space="preserve">2236 </w:t>
      </w:r>
      <w:r>
        <w:rPr>
          <w:spacing w:val="-33"/>
        </w:rPr>
        <w:t xml:space="preserve">亿 </w:t>
      </w:r>
      <w:r>
        <w:rPr>
          <w:rFonts w:ascii="Times New Roman" w:eastAsia="Times New Roman"/>
        </w:rPr>
        <w:t>t</w:t>
      </w:r>
      <w:r>
        <w:rPr>
          <w:spacing w:val="-4"/>
        </w:rPr>
        <w:t>，资源赋存</w:t>
      </w:r>
      <w:r>
        <w:t>条件好，埋藏浅，煤炭属低灰、特低硫、特低磷、中高发热量优质动力煤和化工用煤，大功率机械化开采生产成本低，将煤炭转化为液体燃料具有资源丰富、油品生产成本低的优越条件。根据煤炭科学研究</w:t>
      </w:r>
      <w:r>
        <w:rPr>
          <w:spacing w:val="-13"/>
        </w:rPr>
        <w:t xml:space="preserve">总院和美国 </w:t>
      </w:r>
      <w:r>
        <w:rPr>
          <w:rFonts w:ascii="Times New Roman" w:eastAsia="Times New Roman"/>
        </w:rPr>
        <w:t xml:space="preserve">HTI </w:t>
      </w:r>
      <w:r>
        <w:rPr>
          <w:spacing w:val="-1"/>
        </w:rPr>
        <w:t>公司对神华集团公司神东矿区几种煤进行的煤液化性</w:t>
      </w:r>
      <w:r>
        <w:t>能评价试验，神府东胜煤田上湾煤具有良好的液化特性，是直接液化</w:t>
      </w:r>
    </w:p>
    <w:p>
      <w:pPr>
        <w:spacing w:after="0" w:line="316" w:lineRule="auto"/>
        <w:sectPr>
          <w:pgSz w:w="15480" w:h="21860"/>
          <w:pgMar w:top="2000" w:right="0" w:bottom="280" w:left="1740" w:header="708" w:footer="708"/>
          <w:pgNumType w:start="24"/>
          <w:cols w:space="708"/>
        </w:sectPr>
      </w:pPr>
    </w:p>
    <w:p>
      <w:pPr>
        <w:pStyle w:val="BodyText"/>
        <w:spacing w:before="44" w:line="316" w:lineRule="auto"/>
        <w:ind w:left="644" w:right="2201"/>
        <w:jc w:val="both"/>
      </w:pPr>
      <w:r>
        <w:rPr>
          <w:spacing w:val="-17"/>
          <w:w w:val="95"/>
        </w:rPr>
        <w:t xml:space="preserve">的优选煤种。因此，选用上湾煤作为该项目的原料煤。上湾煤矿在 </w:t>
      </w:r>
      <w:r>
        <w:rPr>
          <w:rFonts w:ascii="Arial" w:eastAsia="Arial"/>
          <w:spacing w:val="-3"/>
          <w:w w:val="95"/>
        </w:rPr>
        <w:t xml:space="preserve">2000 </w:t>
      </w:r>
      <w:r>
        <w:rPr>
          <w:spacing w:val="-25"/>
        </w:rPr>
        <w:t xml:space="preserve">年就形成 </w:t>
      </w:r>
      <w:r>
        <w:rPr>
          <w:rFonts w:ascii="Arial" w:eastAsia="Arial"/>
        </w:rPr>
        <w:t>500</w:t>
      </w:r>
      <w:r>
        <w:rPr>
          <w:rFonts w:ascii="Arial" w:eastAsia="Arial"/>
          <w:spacing w:val="-41"/>
        </w:rPr>
        <w:t xml:space="preserve"> </w:t>
      </w:r>
      <w:r>
        <w:rPr>
          <w:spacing w:val="-60"/>
        </w:rPr>
        <w:t xml:space="preserve">万 </w:t>
      </w:r>
      <w:r>
        <w:rPr>
          <w:rFonts w:ascii="Arial" w:eastAsia="Arial"/>
        </w:rPr>
        <w:t>t/a</w:t>
      </w:r>
      <w:r>
        <w:rPr>
          <w:rFonts w:ascii="Arial" w:eastAsia="Arial"/>
          <w:spacing w:val="-42"/>
        </w:rPr>
        <w:t xml:space="preserve"> </w:t>
      </w:r>
      <w:r>
        <w:rPr>
          <w:spacing w:val="-10"/>
        </w:rPr>
        <w:t xml:space="preserve">生产能力，后期能力可达到 </w:t>
      </w:r>
      <w:r>
        <w:rPr>
          <w:rFonts w:ascii="Arial" w:eastAsia="Arial"/>
        </w:rPr>
        <w:t>1500</w:t>
      </w:r>
      <w:r>
        <w:rPr>
          <w:rFonts w:ascii="Arial" w:eastAsia="Arial"/>
          <w:spacing w:val="-41"/>
        </w:rPr>
        <w:t xml:space="preserve"> </w:t>
      </w:r>
      <w:r>
        <w:rPr>
          <w:spacing w:val="-61"/>
        </w:rPr>
        <w:t xml:space="preserve">万 </w:t>
      </w:r>
      <w:r>
        <w:rPr>
          <w:rFonts w:ascii="Arial" w:eastAsia="Arial"/>
        </w:rPr>
        <w:t>t/a</w:t>
      </w:r>
      <w:r>
        <w:rPr>
          <w:spacing w:val="-3"/>
        </w:rPr>
        <w:t>，煤液化工</w:t>
      </w:r>
      <w:r>
        <w:t>厂生产用原料煤、燃料煤来源有保障。</w:t>
      </w:r>
    </w:p>
    <w:p>
      <w:pPr>
        <w:pStyle w:val="ListParagraph"/>
        <w:numPr>
          <w:ilvl w:val="0"/>
          <w:numId w:val="36"/>
        </w:numPr>
        <w:tabs>
          <w:tab w:val="left" w:pos="1695"/>
        </w:tabs>
        <w:spacing w:before="0" w:after="0" w:line="460" w:lineRule="exact"/>
        <w:ind w:left="1694" w:right="0" w:hanging="422"/>
        <w:jc w:val="left"/>
        <w:rPr>
          <w:rFonts w:ascii="Arial" w:eastAsia="Arial"/>
          <w:sz w:val="34"/>
        </w:rPr>
      </w:pPr>
      <w:r>
        <w:rPr>
          <w:sz w:val="36"/>
        </w:rPr>
        <w:t>地缘环境好，油品市场广阔</w:t>
      </w:r>
      <w:r>
        <w:rPr>
          <w:rFonts w:ascii="Arial" w:eastAsia="Arial"/>
          <w:sz w:val="36"/>
          <w:vertAlign w:val="subscript"/>
        </w:rPr>
        <w:t>[24,25]</w:t>
      </w:r>
    </w:p>
    <w:p>
      <w:pPr>
        <w:pStyle w:val="BodyText"/>
        <w:spacing w:before="147" w:line="316" w:lineRule="auto"/>
        <w:ind w:left="644" w:right="2295" w:firstLine="629"/>
        <w:jc w:val="both"/>
      </w:pPr>
      <w:r>
        <w:t>首先，神东矿区经过多年的开发建设，与当地政府建设了良好的合作关系。对于神化煤液化项目，周边各级政府已承诺，将对该项目给予包括提供低价土地、保障水源供应在内的各项优惠政策，并为此专门成立了煤液化项目协调领导小组。其次，该项目位于内蒙古与陕西交界处，是国家西部大开发战略重要实施地区，也属边疆欠发达民族地区。神华煤液化项目的实施对于优化当地工业经济结构，推动地方经济发展，改变当地贫困落后面貌，落实西部大开发战略都具有重大现实意义。第三，本项目建在神华集团的神东矿区，处于石油资源贫乏的山西、陕西、内蒙古、宁夏和甘肃等省区的中间地带，石油供需矛盾突出，加之这几个省区又是我国西部开发的重要地区，其市场前景十分广阔。</w:t>
      </w:r>
    </w:p>
    <w:p>
      <w:pPr>
        <w:pStyle w:val="Heading2"/>
        <w:numPr>
          <w:ilvl w:val="1"/>
          <w:numId w:val="22"/>
        </w:numPr>
        <w:tabs>
          <w:tab w:val="left" w:pos="1274"/>
        </w:tabs>
        <w:spacing w:before="302" w:after="0" w:line="240" w:lineRule="auto"/>
        <w:ind w:left="1273" w:right="0" w:hanging="630"/>
        <w:jc w:val="left"/>
        <w:rPr>
          <w:rFonts w:ascii="Arial" w:eastAsia="Arial"/>
        </w:rPr>
      </w:pPr>
      <w:bookmarkStart w:id="7" w:name="_TOC_250024"/>
      <w:bookmarkEnd w:id="7"/>
      <w:r>
        <w:rPr>
          <w:rFonts w:ascii="幼圆" w:eastAsia="幼圆" w:hint="eastAsia"/>
        </w:rPr>
        <w:t>小结</w:t>
      </w:r>
    </w:p>
    <w:p>
      <w:pPr>
        <w:pStyle w:val="BodyText"/>
        <w:spacing w:before="327" w:line="316" w:lineRule="auto"/>
        <w:ind w:left="644" w:right="2294" w:firstLine="719"/>
      </w:pPr>
      <w:r>
        <w:t>本章介绍了直接液化技术，包括基本原理、工艺、以及最近的发展。同时详细介绍了神华煤制油项目，得到：</w:t>
      </w:r>
    </w:p>
    <w:p>
      <w:pPr>
        <w:pStyle w:val="BodyText"/>
        <w:spacing w:line="316" w:lineRule="auto"/>
        <w:ind w:left="644" w:right="2295" w:firstLine="719"/>
        <w:jc w:val="both"/>
      </w:pPr>
      <w:r>
        <w:t>利用煤直接液化技术制油在工艺技术上已经不存在难关，只是缺少大型的工业化试验，虽然美国，澳大利亚等国家进行了这方面的尝试，但都属于小试或者中试试验。所以在世界上缺乏工业化的煤直接液化的经验。</w:t>
      </w:r>
    </w:p>
    <w:p>
      <w:pPr>
        <w:pStyle w:val="BodyText"/>
        <w:spacing w:line="316" w:lineRule="auto"/>
        <w:ind w:left="644" w:right="2295" w:firstLine="719"/>
        <w:jc w:val="both"/>
      </w:pPr>
      <w:r>
        <w:t>神华是全球第一家工业化煤直接制油的企业。在先后完成了小试和中试之后，都达到了预想的结果。虽然正在建设的百万吨级的装置的不确定性有很大。但是实现煤制油的还是可以实现的。</w:t>
      </w:r>
    </w:p>
    <w:p>
      <w:pPr>
        <w:spacing w:after="0" w:line="316" w:lineRule="auto"/>
        <w:jc w:val="both"/>
        <w:sectPr>
          <w:pgSz w:w="15480" w:h="21860"/>
          <w:pgMar w:top="2000" w:right="0" w:bottom="280" w:left="1740" w:header="708" w:footer="708"/>
          <w:pgNumType w:start="25"/>
          <w:cols w:space="708"/>
        </w:sectPr>
      </w:pPr>
    </w:p>
    <w:p>
      <w:pPr>
        <w:pStyle w:val="BodyText"/>
        <w:rPr>
          <w:sz w:val="20"/>
        </w:rPr>
      </w:pPr>
    </w:p>
    <w:p>
      <w:pPr>
        <w:pStyle w:val="BodyText"/>
        <w:rPr>
          <w:sz w:val="20"/>
        </w:rPr>
      </w:pPr>
    </w:p>
    <w:p>
      <w:pPr>
        <w:pStyle w:val="Heading1"/>
        <w:ind w:left="2821"/>
      </w:pPr>
      <w:bookmarkStart w:id="8" w:name="_TOC_250023"/>
      <w:r>
        <w:rPr>
          <w:spacing w:val="-55"/>
        </w:rPr>
        <w:t xml:space="preserve">第 </w:t>
      </w:r>
      <w:r>
        <w:rPr>
          <w:rFonts w:ascii="Arial" w:eastAsia="Arial"/>
        </w:rPr>
        <w:t xml:space="preserve">3 </w:t>
      </w:r>
      <w:bookmarkEnd w:id="8"/>
      <w:r>
        <w:t>章 神华煤直接液化工艺流程</w:t>
      </w:r>
    </w:p>
    <w:p>
      <w:pPr>
        <w:pStyle w:val="BodyText"/>
        <w:rPr>
          <w:rFonts w:ascii="黑体"/>
          <w:sz w:val="46"/>
        </w:rPr>
      </w:pPr>
    </w:p>
    <w:p>
      <w:pPr>
        <w:pStyle w:val="BodyText"/>
        <w:spacing w:before="3"/>
        <w:rPr>
          <w:rFonts w:ascii="黑体"/>
          <w:sz w:val="40"/>
        </w:rPr>
      </w:pPr>
    </w:p>
    <w:p>
      <w:pPr>
        <w:pStyle w:val="Heading2"/>
        <w:numPr>
          <w:ilvl w:val="1"/>
          <w:numId w:val="19"/>
        </w:numPr>
        <w:tabs>
          <w:tab w:val="left" w:pos="1274"/>
        </w:tabs>
        <w:spacing w:before="0" w:after="0" w:line="240" w:lineRule="auto"/>
        <w:ind w:left="1273" w:right="0" w:hanging="630"/>
        <w:jc w:val="left"/>
      </w:pPr>
      <w:bookmarkStart w:id="9" w:name="_TOC_250022"/>
      <w:bookmarkEnd w:id="9"/>
      <w:r>
        <w:t>总加工流程</w:t>
      </w:r>
    </w:p>
    <w:p>
      <w:pPr>
        <w:pStyle w:val="BodyText"/>
        <w:spacing w:before="10"/>
        <w:rPr>
          <w:rFonts w:ascii="黑体"/>
          <w:sz w:val="52"/>
        </w:rPr>
      </w:pPr>
    </w:p>
    <w:p>
      <w:pPr>
        <w:pStyle w:val="ListParagraph"/>
        <w:numPr>
          <w:ilvl w:val="2"/>
          <w:numId w:val="19"/>
        </w:numPr>
        <w:tabs>
          <w:tab w:val="left" w:pos="1454"/>
        </w:tabs>
        <w:spacing w:before="0" w:after="0" w:line="240" w:lineRule="auto"/>
        <w:ind w:left="1453" w:right="0" w:hanging="810"/>
        <w:jc w:val="left"/>
        <w:rPr>
          <w:rFonts w:ascii="Arial" w:eastAsia="Arial"/>
          <w:sz w:val="36"/>
        </w:rPr>
      </w:pPr>
      <w:r>
        <w:rPr>
          <w:rFonts w:ascii="黑体" w:eastAsia="黑体" w:hint="eastAsia"/>
          <w:sz w:val="36"/>
        </w:rPr>
        <w:t>先期总加工流程简介</w:t>
      </w:r>
    </w:p>
    <w:p>
      <w:pPr>
        <w:pStyle w:val="BodyText"/>
        <w:spacing w:before="148" w:line="316" w:lineRule="auto"/>
        <w:ind w:left="644" w:right="2294" w:firstLine="719"/>
        <w:jc w:val="both"/>
      </w:pPr>
      <w:r>
        <w:t>先期工程先建成煤液化的一条生产线和相应的配套的生产装置、系统以及公用工程</w:t>
      </w:r>
      <w:r>
        <w:rPr>
          <w:rFonts w:ascii="Arial" w:eastAsia="Arial"/>
          <w:vertAlign w:val="subscript"/>
        </w:rPr>
        <w:t>[26]</w:t>
      </w:r>
      <w:r>
        <w:rPr>
          <w:vertAlign w:val="baseline"/>
        </w:rPr>
        <w:t xml:space="preserve">。全厂年开工为 </w:t>
      </w:r>
      <w:r>
        <w:rPr>
          <w:rFonts w:ascii="Arial" w:eastAsia="Arial"/>
          <w:vertAlign w:val="baseline"/>
        </w:rPr>
        <w:t xml:space="preserve">310 </w:t>
      </w:r>
      <w:r>
        <w:rPr>
          <w:vertAlign w:val="baseline"/>
        </w:rPr>
        <w:t>天，</w:t>
      </w:r>
      <w:r>
        <w:rPr>
          <w:rFonts w:ascii="Arial" w:eastAsia="Arial"/>
          <w:vertAlign w:val="baseline"/>
        </w:rPr>
        <w:t xml:space="preserve">7440 </w:t>
      </w:r>
      <w:r>
        <w:rPr>
          <w:vertAlign w:val="baseline"/>
        </w:rPr>
        <w:t>个小时。</w:t>
      </w:r>
    </w:p>
    <w:p>
      <w:pPr>
        <w:pStyle w:val="BodyText"/>
        <w:spacing w:line="316" w:lineRule="auto"/>
        <w:ind w:left="644" w:right="2206" w:firstLine="719"/>
        <w:jc w:val="both"/>
      </w:pPr>
      <w:r>
        <w:rPr>
          <w:spacing w:val="3"/>
        </w:rPr>
        <w:t>总流程说明</w:t>
      </w:r>
      <w:r>
        <w:rPr>
          <w:rFonts w:ascii="Arial" w:eastAsia="Arial"/>
          <w:vertAlign w:val="subscript"/>
        </w:rPr>
        <w:t>[23]</w:t>
      </w:r>
      <w:r>
        <w:rPr>
          <w:vertAlign w:val="baseline"/>
        </w:rPr>
        <w:t>：原煤经洗选后，精煤从厂外经皮带机输送进入备</w:t>
      </w:r>
      <w:r>
        <w:rPr>
          <w:spacing w:val="-5"/>
          <w:vertAlign w:val="baseline"/>
        </w:rPr>
        <w:t xml:space="preserve">煤装置加工成煤液化装置所需的油煤浆；约 </w:t>
      </w:r>
      <w:r>
        <w:rPr>
          <w:rFonts w:ascii="Arial" w:eastAsia="Arial"/>
          <w:vertAlign w:val="baseline"/>
        </w:rPr>
        <w:t>15%</w:t>
      </w:r>
      <w:r>
        <w:rPr>
          <w:spacing w:val="-2"/>
          <w:vertAlign w:val="baseline"/>
        </w:rPr>
        <w:t>的洗精煤在催化剂制</w:t>
      </w:r>
      <w:r>
        <w:rPr>
          <w:vertAlign w:val="baseline"/>
        </w:rPr>
        <w:t>备单元经与催化剂混合，制备成含有催化剂的油煤浆也送至煤液化装置；煤粉、催化剂以及供氢溶剂，在高温、高压、临氢条件和催化剂的作用下发生加氢反应生成煤液化油并送至加氢稳定装置，未反应煤质组分、灰分、催化剂和部分油质组成的油灰渣直接作为本项目自备电厂锅炉燃料送锅炉燃烧或经过成型后作为油渣产品出厂。</w:t>
      </w:r>
    </w:p>
    <w:p>
      <w:pPr>
        <w:pStyle w:val="BodyText"/>
        <w:spacing w:line="316" w:lineRule="auto"/>
        <w:ind w:left="644" w:right="2241" w:firstLine="719"/>
      </w:pPr>
      <w:r>
        <w:rPr>
          <w:spacing w:val="7"/>
        </w:rPr>
        <w:t>煤液化油</w:t>
      </w:r>
      <w:r>
        <w:rPr>
          <w:rFonts w:ascii="Arial" w:eastAsia="Arial" w:hAnsi="Arial"/>
          <w:vertAlign w:val="subscript"/>
        </w:rPr>
        <w:t>[27]</w:t>
      </w:r>
      <w:r>
        <w:rPr>
          <w:spacing w:val="7"/>
          <w:vertAlign w:val="baseline"/>
        </w:rPr>
        <w:t>在加氢稳定装置</w:t>
      </w:r>
      <w:r>
        <w:rPr>
          <w:rFonts w:ascii="Times New Roman" w:eastAsia="Times New Roman" w:hAnsi="Times New Roman"/>
          <w:vertAlign w:val="baseline"/>
        </w:rPr>
        <w:t>—</w:t>
      </w:r>
      <w:r>
        <w:rPr>
          <w:rFonts w:ascii="Arial" w:eastAsia="Arial" w:hAnsi="Arial"/>
          <w:vertAlign w:val="baseline"/>
        </w:rPr>
        <w:t>T-STAR</w:t>
      </w:r>
      <w:r>
        <w:rPr>
          <w:rFonts w:ascii="Arial" w:eastAsia="Arial" w:hAnsi="Arial"/>
          <w:spacing w:val="-37"/>
          <w:vertAlign w:val="baseline"/>
        </w:rPr>
        <w:t xml:space="preserve"> </w:t>
      </w:r>
      <w:r>
        <w:rPr>
          <w:spacing w:val="6"/>
          <w:vertAlign w:val="baseline"/>
        </w:rPr>
        <w:t>加氢装置</w:t>
      </w:r>
      <w:r>
        <w:rPr>
          <w:rFonts w:ascii="Times New Roman" w:eastAsia="Times New Roman" w:hAnsi="Times New Roman"/>
          <w:spacing w:val="8"/>
          <w:vertAlign w:val="baseline"/>
        </w:rPr>
        <w:t>—</w:t>
      </w:r>
      <w:r>
        <w:rPr>
          <w:spacing w:val="-2"/>
          <w:vertAlign w:val="baseline"/>
        </w:rPr>
        <w:t>主要目的是生</w:t>
      </w:r>
      <w:r>
        <w:rPr>
          <w:vertAlign w:val="baseline"/>
        </w:rPr>
        <w:t>产满足煤液化要求的供氢溶剂，同时脱除部分硫、氮、氧等杂物从而达到预精致的目的。煤柴油馏分至加氢改质装置进一步提高油品质 量；</w:t>
      </w:r>
      <w:r>
        <w:rPr>
          <w:rFonts w:ascii="Arial" w:eastAsia="Arial" w:hAnsi="Arial"/>
          <w:vertAlign w:val="baseline"/>
        </w:rPr>
        <w:t>&gt;260</w:t>
      </w:r>
      <w:r>
        <w:rPr>
          <w:vertAlign w:val="baseline"/>
        </w:rPr>
        <w:t>℃溶剂油返回煤液化和备煤装置循环作为供氢剂使用。</w:t>
      </w:r>
    </w:p>
    <w:p>
      <w:pPr>
        <w:pStyle w:val="BodyText"/>
        <w:spacing w:line="316" w:lineRule="auto"/>
        <w:ind w:left="644" w:right="2028" w:firstLine="719"/>
      </w:pPr>
      <w:r>
        <w:rPr>
          <w:spacing w:val="-9"/>
        </w:rPr>
        <w:t xml:space="preserve">各加氢装置产生的含硫气体、加氢稳定产物分馏切割出的石脑油， </w:t>
      </w:r>
      <w:r>
        <w:t>均经轻烃回收以回收气体中的液化气、轻烃、氢气，并经脱硫装置进行处理。同时，石脑油进一步到加氢改质装置处理。各装置生产的酸性水均需在含硫污水汽提装置中处理后回用。对于煤液化装置产生的</w:t>
      </w:r>
      <w:r>
        <w:rPr>
          <w:spacing w:val="-5"/>
        </w:rPr>
        <w:t>含酚酸性水还需经酚回收装置回收其中的酚后回用。煤液化、煤制氢、</w:t>
      </w:r>
      <w:r>
        <w:t>轻烃回收以及脱硫和含硫污水汽提等装置脱出的硫化氢经硫磺回收装置制取硫磺供煤液化装置使用，不足的硫磺部分外购。</w:t>
      </w:r>
    </w:p>
    <w:p>
      <w:pPr>
        <w:pStyle w:val="BodyText"/>
        <w:spacing w:line="459" w:lineRule="exact"/>
        <w:ind w:left="1363"/>
      </w:pPr>
      <w:r>
        <w:t>各加氢装置所需的氢气，由煤制氢装置生产并提供。空分装置制</w:t>
      </w:r>
    </w:p>
    <w:p>
      <w:pPr>
        <w:spacing w:after="0" w:line="459" w:lineRule="exact"/>
        <w:sectPr>
          <w:pgSz w:w="15480" w:h="21860"/>
          <w:pgMar w:top="2080" w:right="0" w:bottom="280" w:left="1740" w:header="708" w:footer="708"/>
          <w:pgNumType w:start="26"/>
          <w:cols w:space="708"/>
        </w:sectPr>
      </w:pPr>
    </w:p>
    <w:p>
      <w:pPr>
        <w:pStyle w:val="BodyText"/>
        <w:spacing w:before="24"/>
        <w:ind w:left="644"/>
        <w:rPr>
          <w:rFonts w:ascii="幼圆" w:eastAsia="幼圆" w:hint="eastAsia"/>
        </w:rPr>
      </w:pPr>
      <w:r>
        <w:drawing>
          <wp:anchor distT="0" distB="0" distL="0" distR="0" simplePos="0" relativeHeight="251661312" behindDoc="1" locked="0" layoutInCell="1" allowOverlap="1">
            <wp:simplePos x="0" y="0"/>
            <wp:positionH relativeFrom="page">
              <wp:posOffset>1409700</wp:posOffset>
            </wp:positionH>
            <wp:positionV relativeFrom="paragraph">
              <wp:posOffset>1117727</wp:posOffset>
            </wp:positionV>
            <wp:extent cx="7119556" cy="50673"/>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7119556" cy="50673"/>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1397000</wp:posOffset>
            </wp:positionH>
            <wp:positionV relativeFrom="page">
              <wp:posOffset>5702299</wp:posOffset>
            </wp:positionV>
            <wp:extent cx="7132224" cy="50673"/>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7132224" cy="50673"/>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1409700</wp:posOffset>
            </wp:positionH>
            <wp:positionV relativeFrom="paragraph">
              <wp:posOffset>800227</wp:posOffset>
            </wp:positionV>
            <wp:extent cx="7119556" cy="50673"/>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7119556" cy="50673"/>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1409700</wp:posOffset>
            </wp:positionH>
            <wp:positionV relativeFrom="page">
              <wp:posOffset>6172199</wp:posOffset>
            </wp:positionV>
            <wp:extent cx="7119556" cy="63341"/>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7119556" cy="63341"/>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1409700</wp:posOffset>
            </wp:positionH>
            <wp:positionV relativeFrom="page">
              <wp:posOffset>6502399</wp:posOffset>
            </wp:positionV>
            <wp:extent cx="7119556" cy="38004"/>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2" cstate="print"/>
                    <a:stretch>
                      <a:fillRect/>
                    </a:stretch>
                  </pic:blipFill>
                  <pic:spPr>
                    <a:xfrm>
                      <a:off x="0" y="0"/>
                      <a:ext cx="7119556" cy="38004"/>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1397000</wp:posOffset>
            </wp:positionH>
            <wp:positionV relativeFrom="page">
              <wp:posOffset>8000999</wp:posOffset>
            </wp:positionV>
            <wp:extent cx="7132224" cy="50673"/>
            <wp:effectExtent l="0" t="0" r="0" b="0"/>
            <wp:wrapNone/>
            <wp:docPr id="1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6.png"/>
                    <pic:cNvPicPr/>
                  </pic:nvPicPr>
                  <pic:blipFill>
                    <a:blip xmlns:r="http://schemas.openxmlformats.org/officeDocument/2006/relationships" r:embed="rId9" cstate="print"/>
                    <a:stretch>
                      <a:fillRect/>
                    </a:stretch>
                  </pic:blipFill>
                  <pic:spPr>
                    <a:xfrm>
                      <a:off x="0" y="0"/>
                      <a:ext cx="7132224" cy="50673"/>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1409700</wp:posOffset>
            </wp:positionH>
            <wp:positionV relativeFrom="page">
              <wp:posOffset>8483599</wp:posOffset>
            </wp:positionV>
            <wp:extent cx="7119556" cy="50673"/>
            <wp:effectExtent l="0" t="0" r="0" b="0"/>
            <wp:wrapNone/>
            <wp:docPr id="2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0.png"/>
                    <pic:cNvPicPr/>
                  </pic:nvPicPr>
                  <pic:blipFill>
                    <a:blip xmlns:r="http://schemas.openxmlformats.org/officeDocument/2006/relationships" r:embed="rId13" cstate="print"/>
                    <a:stretch>
                      <a:fillRect/>
                    </a:stretch>
                  </pic:blipFill>
                  <pic:spPr>
                    <a:xfrm>
                      <a:off x="0" y="0"/>
                      <a:ext cx="7119556" cy="50673"/>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1409700</wp:posOffset>
            </wp:positionH>
            <wp:positionV relativeFrom="page">
              <wp:posOffset>8801099</wp:posOffset>
            </wp:positionV>
            <wp:extent cx="7119556" cy="38004"/>
            <wp:effectExtent l="0" t="0" r="0" b="0"/>
            <wp:wrapNone/>
            <wp:docPr id="2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9.png"/>
                    <pic:cNvPicPr/>
                  </pic:nvPicPr>
                  <pic:blipFill>
                    <a:blip xmlns:r="http://schemas.openxmlformats.org/officeDocument/2006/relationships" r:embed="rId12" cstate="print"/>
                    <a:stretch>
                      <a:fillRect/>
                    </a:stretch>
                  </pic:blipFill>
                  <pic:spPr>
                    <a:xfrm>
                      <a:off x="0" y="0"/>
                      <a:ext cx="7119556" cy="38004"/>
                    </a:xfrm>
                    <a:prstGeom prst="rect">
                      <a:avLst/>
                    </a:prstGeom>
                  </pic:spPr>
                </pic:pic>
              </a:graphicData>
            </a:graphic>
          </wp:anchor>
        </w:drawing>
      </w:r>
      <w:r>
        <w:rPr>
          <w:rFonts w:ascii="幼圆" w:eastAsia="幼圆" w:hint="eastAsia"/>
        </w:rPr>
        <w:t>取氧气和氮气，供煤制氢、煤液化等装置使用。先期物料平衡见下表。</w:t>
      </w:r>
    </w:p>
    <w:p>
      <w:pPr>
        <w:pStyle w:val="BodyText"/>
        <w:spacing w:before="11"/>
        <w:rPr>
          <w:rFonts w:ascii="幼圆"/>
          <w:sz w:val="29"/>
        </w:rPr>
      </w:pPr>
    </w:p>
    <w:tbl>
      <w:tblPr>
        <w:tblStyle w:val="TableNormal0"/>
        <w:tblW w:w="0" w:type="auto"/>
        <w:jc w:val="left"/>
        <w:tblInd w:w="8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52"/>
        <w:gridCol w:w="6075"/>
        <w:gridCol w:w="3726"/>
      </w:tblGrid>
      <w:tr>
        <w:tblPrEx>
          <w:tblW w:w="0" w:type="auto"/>
          <w:jc w:val="left"/>
          <w:tblInd w:w="8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34"/>
          <w:jc w:val="left"/>
        </w:trPr>
        <w:tc>
          <w:tcPr>
            <w:tcW w:w="952" w:type="dxa"/>
          </w:tcPr>
          <w:p>
            <w:pPr>
              <w:pStyle w:val="TableParagraph"/>
              <w:spacing w:before="10"/>
              <w:rPr>
                <w:rFonts w:ascii="幼圆"/>
                <w:sz w:val="39"/>
              </w:rPr>
            </w:pPr>
          </w:p>
          <w:p>
            <w:pPr>
              <w:pStyle w:val="TableParagraph"/>
              <w:ind w:left="34" w:right="250"/>
              <w:jc w:val="center"/>
              <w:rPr>
                <w:rFonts w:ascii="黑体" w:eastAsia="黑体" w:hint="eastAsia"/>
                <w:sz w:val="31"/>
              </w:rPr>
            </w:pPr>
            <w:r>
              <w:rPr>
                <w:rFonts w:ascii="黑体" w:eastAsia="黑体" w:hint="eastAsia"/>
                <w:sz w:val="31"/>
              </w:rPr>
              <w:t>序号</w:t>
            </w:r>
          </w:p>
        </w:tc>
        <w:tc>
          <w:tcPr>
            <w:tcW w:w="6075" w:type="dxa"/>
          </w:tcPr>
          <w:p>
            <w:pPr>
              <w:pStyle w:val="TableParagraph"/>
              <w:spacing w:line="396" w:lineRule="exact"/>
              <w:ind w:left="1363"/>
              <w:rPr>
                <w:rFonts w:ascii="黑体" w:eastAsia="黑体" w:hint="eastAsia"/>
                <w:sz w:val="31"/>
              </w:rPr>
            </w:pPr>
            <w:r>
              <w:rPr>
                <w:rFonts w:ascii="黑体" w:eastAsia="黑体" w:hint="eastAsia"/>
                <w:spacing w:val="-36"/>
                <w:sz w:val="31"/>
              </w:rPr>
              <w:t xml:space="preserve">表 </w:t>
            </w:r>
            <w:r>
              <w:rPr>
                <w:sz w:val="31"/>
              </w:rPr>
              <w:t>3-1</w:t>
            </w:r>
            <w:r>
              <w:rPr>
                <w:spacing w:val="85"/>
                <w:sz w:val="31"/>
              </w:rPr>
              <w:t xml:space="preserve"> </w:t>
            </w:r>
            <w:r>
              <w:rPr>
                <w:rFonts w:ascii="黑体" w:eastAsia="黑体" w:hint="eastAsia"/>
                <w:sz w:val="31"/>
              </w:rPr>
              <w:t>先期总物料平衡（原料）</w:t>
            </w:r>
          </w:p>
          <w:p>
            <w:pPr>
              <w:pStyle w:val="TableParagraph"/>
              <w:spacing w:before="114"/>
              <w:ind w:left="264"/>
              <w:rPr>
                <w:rFonts w:ascii="黑体" w:eastAsia="黑体" w:hint="eastAsia"/>
                <w:sz w:val="31"/>
              </w:rPr>
            </w:pPr>
            <w:r>
              <w:rPr>
                <w:rFonts w:ascii="黑体" w:eastAsia="黑体" w:hint="eastAsia"/>
                <w:sz w:val="31"/>
              </w:rPr>
              <w:t>物料平衡</w:t>
            </w:r>
          </w:p>
        </w:tc>
        <w:tc>
          <w:tcPr>
            <w:tcW w:w="3726" w:type="dxa"/>
          </w:tcPr>
          <w:p>
            <w:pPr>
              <w:pStyle w:val="TableParagraph"/>
              <w:spacing w:line="396" w:lineRule="exact"/>
              <w:ind w:left="1614"/>
              <w:rPr>
                <w:rFonts w:ascii="黑体" w:eastAsia="黑体" w:hint="eastAsia"/>
                <w:sz w:val="31"/>
              </w:rPr>
            </w:pPr>
            <w:r>
              <w:rPr>
                <w:rFonts w:ascii="黑体" w:eastAsia="黑体" w:hint="eastAsia"/>
                <w:sz w:val="31"/>
              </w:rPr>
              <w:t>单位：万吨</w:t>
            </w:r>
            <w:r>
              <w:rPr>
                <w:sz w:val="31"/>
              </w:rPr>
              <w:t>/</w:t>
            </w:r>
            <w:r>
              <w:rPr>
                <w:rFonts w:ascii="黑体" w:eastAsia="黑体" w:hint="eastAsia"/>
                <w:sz w:val="31"/>
              </w:rPr>
              <w:t>年</w:t>
            </w:r>
          </w:p>
          <w:p>
            <w:pPr>
              <w:pStyle w:val="TableParagraph"/>
              <w:spacing w:before="114"/>
              <w:ind w:left="1092"/>
              <w:rPr>
                <w:rFonts w:ascii="黑体" w:eastAsia="黑体" w:hint="eastAsia"/>
                <w:sz w:val="31"/>
              </w:rPr>
            </w:pPr>
            <w:r>
              <w:rPr>
                <w:rFonts w:ascii="黑体" w:eastAsia="黑体" w:hint="eastAsia"/>
                <w:sz w:val="31"/>
              </w:rPr>
              <w:t>数量</w:t>
            </w:r>
          </w:p>
        </w:tc>
      </w:tr>
      <w:tr>
        <w:tblPrEx>
          <w:tblW w:w="0" w:type="auto"/>
          <w:jc w:val="left"/>
          <w:tblInd w:w="810" w:type="dxa"/>
          <w:tblLayout w:type="fixed"/>
          <w:tblCellMar>
            <w:top w:w="0" w:type="dxa"/>
            <w:left w:w="0" w:type="dxa"/>
            <w:bottom w:w="0" w:type="dxa"/>
            <w:right w:w="0" w:type="dxa"/>
          </w:tblCellMar>
          <w:tblLook w:val="01E0"/>
        </w:tblPrEx>
        <w:trPr>
          <w:trHeight w:val="480"/>
          <w:jc w:val="left"/>
        </w:trPr>
        <w:tc>
          <w:tcPr>
            <w:tcW w:w="952" w:type="dxa"/>
          </w:tcPr>
          <w:p>
            <w:pPr>
              <w:pStyle w:val="TableParagraph"/>
              <w:spacing w:before="88"/>
              <w:ind w:right="216"/>
              <w:jc w:val="center"/>
              <w:rPr>
                <w:sz w:val="31"/>
              </w:rPr>
            </w:pPr>
            <w:r>
              <w:rPr>
                <w:w w:val="91"/>
                <w:sz w:val="31"/>
              </w:rPr>
              <w:t>1</w:t>
            </w:r>
          </w:p>
        </w:tc>
        <w:tc>
          <w:tcPr>
            <w:tcW w:w="6075" w:type="dxa"/>
          </w:tcPr>
          <w:p>
            <w:pPr>
              <w:pStyle w:val="TableParagraph"/>
              <w:spacing w:before="69" w:line="392" w:lineRule="exact"/>
              <w:ind w:left="264"/>
              <w:rPr>
                <w:rFonts w:ascii="黑体" w:eastAsia="黑体" w:hint="eastAsia"/>
                <w:sz w:val="31"/>
              </w:rPr>
            </w:pPr>
            <w:r>
              <w:rPr>
                <w:rFonts w:ascii="黑体" w:eastAsia="黑体" w:hint="eastAsia"/>
                <w:sz w:val="31"/>
              </w:rPr>
              <w:t>进厂原煤</w:t>
            </w:r>
          </w:p>
        </w:tc>
        <w:tc>
          <w:tcPr>
            <w:tcW w:w="3726" w:type="dxa"/>
          </w:tcPr>
          <w:p>
            <w:pPr>
              <w:pStyle w:val="TableParagraph"/>
              <w:spacing w:before="88"/>
              <w:ind w:left="973"/>
              <w:rPr>
                <w:sz w:val="31"/>
              </w:rPr>
            </w:pPr>
            <w:r>
              <w:rPr>
                <w:sz w:val="31"/>
              </w:rPr>
              <w:t>410.37</w:t>
            </w:r>
          </w:p>
        </w:tc>
      </w:tr>
      <w:tr>
        <w:tblPrEx>
          <w:tblW w:w="0" w:type="auto"/>
          <w:jc w:val="left"/>
          <w:tblInd w:w="810" w:type="dxa"/>
          <w:tblLayout w:type="fixed"/>
          <w:tblCellMar>
            <w:top w:w="0" w:type="dxa"/>
            <w:left w:w="0" w:type="dxa"/>
            <w:bottom w:w="0" w:type="dxa"/>
            <w:right w:w="0" w:type="dxa"/>
          </w:tblCellMar>
          <w:tblLook w:val="01E0"/>
        </w:tblPrEx>
        <w:trPr>
          <w:trHeight w:val="467"/>
          <w:jc w:val="left"/>
        </w:trPr>
        <w:tc>
          <w:tcPr>
            <w:tcW w:w="952" w:type="dxa"/>
          </w:tcPr>
          <w:p>
            <w:pPr>
              <w:pStyle w:val="TableParagraph"/>
              <w:rPr>
                <w:rFonts w:ascii="Times New Roman"/>
                <w:sz w:val="32"/>
              </w:rPr>
            </w:pPr>
          </w:p>
        </w:tc>
        <w:tc>
          <w:tcPr>
            <w:tcW w:w="6075" w:type="dxa"/>
          </w:tcPr>
          <w:p>
            <w:pPr>
              <w:pStyle w:val="TableParagraph"/>
              <w:spacing w:before="56" w:line="392" w:lineRule="exact"/>
              <w:ind w:left="264"/>
              <w:rPr>
                <w:rFonts w:ascii="黑体" w:eastAsia="黑体" w:hint="eastAsia"/>
                <w:sz w:val="31"/>
              </w:rPr>
            </w:pPr>
            <w:r>
              <w:rPr>
                <w:rFonts w:ascii="黑体" w:eastAsia="黑体" w:hint="eastAsia"/>
                <w:sz w:val="31"/>
              </w:rPr>
              <w:t>其中：液化用精煤</w:t>
            </w:r>
          </w:p>
        </w:tc>
        <w:tc>
          <w:tcPr>
            <w:tcW w:w="3726" w:type="dxa"/>
          </w:tcPr>
          <w:p>
            <w:pPr>
              <w:pStyle w:val="TableParagraph"/>
              <w:spacing w:before="75"/>
              <w:ind w:left="973"/>
              <w:rPr>
                <w:sz w:val="31"/>
              </w:rPr>
            </w:pPr>
            <w:r>
              <w:rPr>
                <w:sz w:val="31"/>
              </w:rPr>
              <w:t>190.48</w:t>
            </w:r>
          </w:p>
        </w:tc>
      </w:tr>
      <w:tr>
        <w:tblPrEx>
          <w:tblW w:w="0" w:type="auto"/>
          <w:jc w:val="left"/>
          <w:tblInd w:w="810" w:type="dxa"/>
          <w:tblLayout w:type="fixed"/>
          <w:tblCellMar>
            <w:top w:w="0" w:type="dxa"/>
            <w:left w:w="0" w:type="dxa"/>
            <w:bottom w:w="0" w:type="dxa"/>
            <w:right w:w="0" w:type="dxa"/>
          </w:tblCellMar>
          <w:tblLook w:val="01E0"/>
        </w:tblPrEx>
        <w:trPr>
          <w:trHeight w:val="467"/>
          <w:jc w:val="left"/>
        </w:trPr>
        <w:tc>
          <w:tcPr>
            <w:tcW w:w="952" w:type="dxa"/>
          </w:tcPr>
          <w:p>
            <w:pPr>
              <w:pStyle w:val="TableParagraph"/>
              <w:rPr>
                <w:rFonts w:ascii="Times New Roman"/>
                <w:sz w:val="32"/>
              </w:rPr>
            </w:pPr>
          </w:p>
        </w:tc>
        <w:tc>
          <w:tcPr>
            <w:tcW w:w="6075" w:type="dxa"/>
          </w:tcPr>
          <w:p>
            <w:pPr>
              <w:pStyle w:val="TableParagraph"/>
              <w:spacing w:before="56" w:line="392" w:lineRule="exact"/>
              <w:ind w:left="264"/>
              <w:rPr>
                <w:rFonts w:ascii="黑体" w:eastAsia="黑体" w:hint="eastAsia"/>
                <w:sz w:val="31"/>
              </w:rPr>
            </w:pPr>
            <w:r>
              <w:rPr>
                <w:rFonts w:ascii="黑体" w:eastAsia="黑体" w:hint="eastAsia"/>
                <w:sz w:val="31"/>
              </w:rPr>
              <w:t>催化剂用精煤</w:t>
            </w:r>
          </w:p>
        </w:tc>
        <w:tc>
          <w:tcPr>
            <w:tcW w:w="3726" w:type="dxa"/>
          </w:tcPr>
          <w:p>
            <w:pPr>
              <w:pStyle w:val="TableParagraph"/>
              <w:spacing w:before="75"/>
              <w:ind w:left="1052"/>
              <w:rPr>
                <w:sz w:val="31"/>
              </w:rPr>
            </w:pPr>
            <w:r>
              <w:rPr>
                <w:sz w:val="31"/>
              </w:rPr>
              <w:t>33.55</w:t>
            </w:r>
          </w:p>
        </w:tc>
      </w:tr>
      <w:tr>
        <w:tblPrEx>
          <w:tblW w:w="0" w:type="auto"/>
          <w:jc w:val="left"/>
          <w:tblInd w:w="810" w:type="dxa"/>
          <w:tblLayout w:type="fixed"/>
          <w:tblCellMar>
            <w:top w:w="0" w:type="dxa"/>
            <w:left w:w="0" w:type="dxa"/>
            <w:bottom w:w="0" w:type="dxa"/>
            <w:right w:w="0" w:type="dxa"/>
          </w:tblCellMar>
          <w:tblLook w:val="01E0"/>
        </w:tblPrEx>
        <w:trPr>
          <w:trHeight w:val="468"/>
          <w:jc w:val="left"/>
        </w:trPr>
        <w:tc>
          <w:tcPr>
            <w:tcW w:w="952" w:type="dxa"/>
          </w:tcPr>
          <w:p>
            <w:pPr>
              <w:pStyle w:val="TableParagraph"/>
              <w:rPr>
                <w:rFonts w:ascii="Times New Roman"/>
                <w:sz w:val="32"/>
              </w:rPr>
            </w:pPr>
          </w:p>
        </w:tc>
        <w:tc>
          <w:tcPr>
            <w:tcW w:w="6075" w:type="dxa"/>
          </w:tcPr>
          <w:p>
            <w:pPr>
              <w:pStyle w:val="TableParagraph"/>
              <w:spacing w:before="56" w:line="392" w:lineRule="exact"/>
              <w:ind w:left="264"/>
              <w:rPr>
                <w:rFonts w:ascii="黑体" w:eastAsia="黑体" w:hint="eastAsia"/>
                <w:sz w:val="31"/>
              </w:rPr>
            </w:pPr>
            <w:r>
              <w:rPr>
                <w:rFonts w:ascii="黑体" w:eastAsia="黑体" w:hint="eastAsia"/>
                <w:sz w:val="31"/>
              </w:rPr>
              <w:t>制氢用原煤</w:t>
            </w:r>
          </w:p>
        </w:tc>
        <w:tc>
          <w:tcPr>
            <w:tcW w:w="3726" w:type="dxa"/>
          </w:tcPr>
          <w:p>
            <w:pPr>
              <w:pStyle w:val="TableParagraph"/>
              <w:spacing w:before="75"/>
              <w:ind w:left="973"/>
              <w:rPr>
                <w:sz w:val="31"/>
              </w:rPr>
            </w:pPr>
            <w:r>
              <w:rPr>
                <w:sz w:val="31"/>
              </w:rPr>
              <w:t>133.13</w:t>
            </w:r>
          </w:p>
        </w:tc>
      </w:tr>
      <w:tr>
        <w:tblPrEx>
          <w:tblW w:w="0" w:type="auto"/>
          <w:jc w:val="left"/>
          <w:tblInd w:w="810" w:type="dxa"/>
          <w:tblLayout w:type="fixed"/>
          <w:tblCellMar>
            <w:top w:w="0" w:type="dxa"/>
            <w:left w:w="0" w:type="dxa"/>
            <w:bottom w:w="0" w:type="dxa"/>
            <w:right w:w="0" w:type="dxa"/>
          </w:tblCellMar>
          <w:tblLook w:val="01E0"/>
        </w:tblPrEx>
        <w:trPr>
          <w:trHeight w:val="468"/>
          <w:jc w:val="left"/>
        </w:trPr>
        <w:tc>
          <w:tcPr>
            <w:tcW w:w="952" w:type="dxa"/>
          </w:tcPr>
          <w:p>
            <w:pPr>
              <w:pStyle w:val="TableParagraph"/>
              <w:rPr>
                <w:rFonts w:ascii="Times New Roman"/>
                <w:sz w:val="32"/>
              </w:rPr>
            </w:pPr>
          </w:p>
        </w:tc>
        <w:tc>
          <w:tcPr>
            <w:tcW w:w="6075" w:type="dxa"/>
          </w:tcPr>
          <w:p>
            <w:pPr>
              <w:pStyle w:val="TableParagraph"/>
              <w:spacing w:before="56" w:line="392" w:lineRule="exact"/>
              <w:ind w:left="264"/>
              <w:rPr>
                <w:rFonts w:ascii="黑体" w:eastAsia="黑体" w:hint="eastAsia"/>
                <w:sz w:val="31"/>
              </w:rPr>
            </w:pPr>
            <w:r>
              <w:rPr>
                <w:rFonts w:ascii="黑体" w:eastAsia="黑体" w:hint="eastAsia"/>
                <w:sz w:val="31"/>
              </w:rPr>
              <w:t>锅炉用洗中煤及煤泥</w:t>
            </w:r>
          </w:p>
        </w:tc>
        <w:tc>
          <w:tcPr>
            <w:tcW w:w="3726" w:type="dxa"/>
          </w:tcPr>
          <w:p>
            <w:pPr>
              <w:pStyle w:val="TableParagraph"/>
              <w:spacing w:before="75"/>
              <w:ind w:left="1131"/>
              <w:rPr>
                <w:sz w:val="31"/>
              </w:rPr>
            </w:pPr>
            <w:r>
              <w:rPr>
                <w:sz w:val="31"/>
              </w:rPr>
              <w:t>53.2</w:t>
            </w:r>
          </w:p>
        </w:tc>
      </w:tr>
      <w:tr>
        <w:tblPrEx>
          <w:tblW w:w="0" w:type="auto"/>
          <w:jc w:val="left"/>
          <w:tblInd w:w="810" w:type="dxa"/>
          <w:tblLayout w:type="fixed"/>
          <w:tblCellMar>
            <w:top w:w="0" w:type="dxa"/>
            <w:left w:w="0" w:type="dxa"/>
            <w:bottom w:w="0" w:type="dxa"/>
            <w:right w:w="0" w:type="dxa"/>
          </w:tblCellMar>
          <w:tblLook w:val="01E0"/>
        </w:tblPrEx>
        <w:trPr>
          <w:trHeight w:val="468"/>
          <w:jc w:val="left"/>
        </w:trPr>
        <w:tc>
          <w:tcPr>
            <w:tcW w:w="952" w:type="dxa"/>
          </w:tcPr>
          <w:p>
            <w:pPr>
              <w:pStyle w:val="TableParagraph"/>
              <w:spacing w:before="76"/>
              <w:ind w:right="216"/>
              <w:jc w:val="center"/>
              <w:rPr>
                <w:sz w:val="31"/>
              </w:rPr>
            </w:pPr>
            <w:r>
              <w:rPr>
                <w:w w:val="91"/>
                <w:sz w:val="31"/>
              </w:rPr>
              <w:t>2</w:t>
            </w:r>
          </w:p>
        </w:tc>
        <w:tc>
          <w:tcPr>
            <w:tcW w:w="6075" w:type="dxa"/>
          </w:tcPr>
          <w:p>
            <w:pPr>
              <w:pStyle w:val="TableParagraph"/>
              <w:spacing w:before="56" w:line="392" w:lineRule="exact"/>
              <w:ind w:left="264"/>
              <w:rPr>
                <w:rFonts w:ascii="黑体" w:eastAsia="黑体" w:hint="eastAsia"/>
                <w:sz w:val="31"/>
              </w:rPr>
            </w:pPr>
            <w:r>
              <w:rPr>
                <w:rFonts w:ascii="黑体" w:eastAsia="黑体" w:hint="eastAsia"/>
                <w:sz w:val="31"/>
              </w:rPr>
              <w:t>外购硫磺</w:t>
            </w:r>
          </w:p>
        </w:tc>
        <w:tc>
          <w:tcPr>
            <w:tcW w:w="3726" w:type="dxa"/>
          </w:tcPr>
          <w:p>
            <w:pPr>
              <w:pStyle w:val="TableParagraph"/>
              <w:spacing w:before="76"/>
              <w:ind w:left="1052"/>
              <w:rPr>
                <w:sz w:val="31"/>
              </w:rPr>
            </w:pPr>
            <w:r>
              <w:rPr>
                <w:sz w:val="31"/>
              </w:rPr>
              <w:t>0.077</w:t>
            </w:r>
          </w:p>
        </w:tc>
      </w:tr>
      <w:tr>
        <w:tblPrEx>
          <w:tblW w:w="0" w:type="auto"/>
          <w:jc w:val="left"/>
          <w:tblInd w:w="810" w:type="dxa"/>
          <w:tblLayout w:type="fixed"/>
          <w:tblCellMar>
            <w:top w:w="0" w:type="dxa"/>
            <w:left w:w="0" w:type="dxa"/>
            <w:bottom w:w="0" w:type="dxa"/>
            <w:right w:w="0" w:type="dxa"/>
          </w:tblCellMar>
          <w:tblLook w:val="01E0"/>
        </w:tblPrEx>
        <w:trPr>
          <w:trHeight w:val="468"/>
          <w:jc w:val="left"/>
        </w:trPr>
        <w:tc>
          <w:tcPr>
            <w:tcW w:w="952" w:type="dxa"/>
          </w:tcPr>
          <w:p>
            <w:pPr>
              <w:pStyle w:val="TableParagraph"/>
              <w:spacing w:before="75"/>
              <w:ind w:right="216"/>
              <w:jc w:val="center"/>
              <w:rPr>
                <w:sz w:val="31"/>
              </w:rPr>
            </w:pPr>
            <w:r>
              <w:rPr>
                <w:w w:val="91"/>
                <w:sz w:val="31"/>
              </w:rPr>
              <w:t>3</w:t>
            </w:r>
          </w:p>
        </w:tc>
        <w:tc>
          <w:tcPr>
            <w:tcW w:w="6075" w:type="dxa"/>
          </w:tcPr>
          <w:p>
            <w:pPr>
              <w:pStyle w:val="TableParagraph"/>
              <w:spacing w:before="56" w:line="392" w:lineRule="exact"/>
              <w:ind w:left="264"/>
              <w:rPr>
                <w:rFonts w:ascii="黑体" w:eastAsia="黑体" w:hint="eastAsia"/>
                <w:sz w:val="31"/>
              </w:rPr>
            </w:pPr>
            <w:r>
              <w:rPr>
                <w:rFonts w:ascii="黑体" w:eastAsia="黑体" w:hint="eastAsia"/>
                <w:sz w:val="31"/>
              </w:rPr>
              <w:t>外购硫化物</w:t>
            </w:r>
          </w:p>
        </w:tc>
        <w:tc>
          <w:tcPr>
            <w:tcW w:w="3726" w:type="dxa"/>
          </w:tcPr>
          <w:p>
            <w:pPr>
              <w:pStyle w:val="TableParagraph"/>
              <w:spacing w:before="75"/>
              <w:ind w:left="1055"/>
              <w:rPr>
                <w:sz w:val="31"/>
              </w:rPr>
            </w:pPr>
            <w:r>
              <w:rPr>
                <w:sz w:val="31"/>
              </w:rPr>
              <w:t>0.114</w:t>
            </w:r>
          </w:p>
        </w:tc>
      </w:tr>
      <w:tr>
        <w:tblPrEx>
          <w:tblW w:w="0" w:type="auto"/>
          <w:jc w:val="left"/>
          <w:tblInd w:w="810" w:type="dxa"/>
          <w:tblLayout w:type="fixed"/>
          <w:tblCellMar>
            <w:top w:w="0" w:type="dxa"/>
            <w:left w:w="0" w:type="dxa"/>
            <w:bottom w:w="0" w:type="dxa"/>
            <w:right w:w="0" w:type="dxa"/>
          </w:tblCellMar>
          <w:tblLook w:val="01E0"/>
        </w:tblPrEx>
        <w:trPr>
          <w:trHeight w:val="467"/>
          <w:jc w:val="left"/>
        </w:trPr>
        <w:tc>
          <w:tcPr>
            <w:tcW w:w="952" w:type="dxa"/>
          </w:tcPr>
          <w:p>
            <w:pPr>
              <w:pStyle w:val="TableParagraph"/>
              <w:spacing w:before="75"/>
              <w:ind w:right="216"/>
              <w:jc w:val="center"/>
              <w:rPr>
                <w:sz w:val="31"/>
              </w:rPr>
            </w:pPr>
            <w:r>
              <w:rPr>
                <w:w w:val="91"/>
                <w:sz w:val="31"/>
              </w:rPr>
              <w:t>4</w:t>
            </w:r>
          </w:p>
        </w:tc>
        <w:tc>
          <w:tcPr>
            <w:tcW w:w="6075" w:type="dxa"/>
          </w:tcPr>
          <w:p>
            <w:pPr>
              <w:pStyle w:val="TableParagraph"/>
              <w:spacing w:before="56" w:line="392" w:lineRule="exact"/>
              <w:ind w:left="264"/>
              <w:rPr>
                <w:rFonts w:ascii="黑体" w:eastAsia="黑体" w:hint="eastAsia"/>
                <w:sz w:val="31"/>
              </w:rPr>
            </w:pPr>
            <w:r>
              <w:rPr>
                <w:rFonts w:ascii="黑体" w:eastAsia="黑体" w:hint="eastAsia"/>
                <w:sz w:val="31"/>
              </w:rPr>
              <w:t>外购液氨</w:t>
            </w:r>
          </w:p>
        </w:tc>
        <w:tc>
          <w:tcPr>
            <w:tcW w:w="3726" w:type="dxa"/>
          </w:tcPr>
          <w:p>
            <w:pPr>
              <w:pStyle w:val="TableParagraph"/>
              <w:spacing w:before="75"/>
              <w:ind w:left="1131"/>
              <w:rPr>
                <w:sz w:val="31"/>
              </w:rPr>
            </w:pPr>
            <w:r>
              <w:rPr>
                <w:sz w:val="31"/>
              </w:rPr>
              <w:t>0.04</w:t>
            </w:r>
          </w:p>
        </w:tc>
      </w:tr>
      <w:tr>
        <w:tblPrEx>
          <w:tblW w:w="0" w:type="auto"/>
          <w:jc w:val="left"/>
          <w:tblInd w:w="810" w:type="dxa"/>
          <w:tblLayout w:type="fixed"/>
          <w:tblCellMar>
            <w:top w:w="0" w:type="dxa"/>
            <w:left w:w="0" w:type="dxa"/>
            <w:bottom w:w="0" w:type="dxa"/>
            <w:right w:w="0" w:type="dxa"/>
          </w:tblCellMar>
          <w:tblLook w:val="01E0"/>
        </w:tblPrEx>
        <w:trPr>
          <w:trHeight w:val="467"/>
          <w:jc w:val="left"/>
        </w:trPr>
        <w:tc>
          <w:tcPr>
            <w:tcW w:w="952" w:type="dxa"/>
          </w:tcPr>
          <w:p>
            <w:pPr>
              <w:pStyle w:val="TableParagraph"/>
              <w:spacing w:before="75"/>
              <w:ind w:right="216"/>
              <w:jc w:val="center"/>
              <w:rPr>
                <w:sz w:val="31"/>
              </w:rPr>
            </w:pPr>
            <w:r>
              <w:rPr>
                <w:w w:val="91"/>
                <w:sz w:val="31"/>
              </w:rPr>
              <w:t>5</w:t>
            </w:r>
          </w:p>
        </w:tc>
        <w:tc>
          <w:tcPr>
            <w:tcW w:w="6075" w:type="dxa"/>
          </w:tcPr>
          <w:p>
            <w:pPr>
              <w:pStyle w:val="TableParagraph"/>
              <w:spacing w:before="56" w:line="392" w:lineRule="exact"/>
              <w:ind w:left="264"/>
              <w:rPr>
                <w:rFonts w:ascii="黑体" w:eastAsia="黑体" w:hint="eastAsia"/>
                <w:sz w:val="31"/>
              </w:rPr>
            </w:pPr>
            <w:r>
              <w:rPr>
                <w:rFonts w:ascii="黑体" w:eastAsia="黑体" w:hint="eastAsia"/>
                <w:sz w:val="31"/>
              </w:rPr>
              <w:t>催化剂（硫酸铁）</w:t>
            </w:r>
          </w:p>
        </w:tc>
        <w:tc>
          <w:tcPr>
            <w:tcW w:w="3726" w:type="dxa"/>
          </w:tcPr>
          <w:p>
            <w:pPr>
              <w:pStyle w:val="TableParagraph"/>
              <w:spacing w:before="75"/>
              <w:ind w:left="1052"/>
              <w:rPr>
                <w:sz w:val="31"/>
              </w:rPr>
            </w:pPr>
            <w:r>
              <w:rPr>
                <w:sz w:val="31"/>
              </w:rPr>
              <w:t>10.30</w:t>
            </w:r>
          </w:p>
        </w:tc>
      </w:tr>
      <w:tr>
        <w:tblPrEx>
          <w:tblW w:w="0" w:type="auto"/>
          <w:jc w:val="left"/>
          <w:tblInd w:w="810" w:type="dxa"/>
          <w:tblLayout w:type="fixed"/>
          <w:tblCellMar>
            <w:top w:w="0" w:type="dxa"/>
            <w:left w:w="0" w:type="dxa"/>
            <w:bottom w:w="0" w:type="dxa"/>
            <w:right w:w="0" w:type="dxa"/>
          </w:tblCellMar>
          <w:tblLook w:val="01E0"/>
        </w:tblPrEx>
        <w:trPr>
          <w:trHeight w:val="467"/>
          <w:jc w:val="left"/>
        </w:trPr>
        <w:tc>
          <w:tcPr>
            <w:tcW w:w="952" w:type="dxa"/>
          </w:tcPr>
          <w:p>
            <w:pPr>
              <w:pStyle w:val="TableParagraph"/>
              <w:spacing w:before="75"/>
              <w:ind w:right="216"/>
              <w:jc w:val="center"/>
              <w:rPr>
                <w:sz w:val="31"/>
              </w:rPr>
            </w:pPr>
            <w:r>
              <w:rPr>
                <w:w w:val="91"/>
                <w:sz w:val="31"/>
              </w:rPr>
              <w:t>6</w:t>
            </w:r>
          </w:p>
        </w:tc>
        <w:tc>
          <w:tcPr>
            <w:tcW w:w="6075" w:type="dxa"/>
          </w:tcPr>
          <w:p>
            <w:pPr>
              <w:pStyle w:val="TableParagraph"/>
              <w:spacing w:before="56" w:line="392" w:lineRule="exact"/>
              <w:ind w:left="264"/>
              <w:rPr>
                <w:rFonts w:ascii="黑体" w:eastAsia="黑体" w:hint="eastAsia"/>
                <w:sz w:val="31"/>
              </w:rPr>
            </w:pPr>
            <w:r>
              <w:rPr>
                <w:rFonts w:ascii="黑体" w:eastAsia="黑体" w:hint="eastAsia"/>
                <w:sz w:val="31"/>
              </w:rPr>
              <w:t>装置用汽、水、空气</w:t>
            </w:r>
          </w:p>
        </w:tc>
        <w:tc>
          <w:tcPr>
            <w:tcW w:w="3726" w:type="dxa"/>
          </w:tcPr>
          <w:p>
            <w:pPr>
              <w:pStyle w:val="TableParagraph"/>
              <w:spacing w:before="75"/>
              <w:ind w:left="973"/>
              <w:rPr>
                <w:sz w:val="31"/>
              </w:rPr>
            </w:pPr>
            <w:r>
              <w:rPr>
                <w:sz w:val="31"/>
              </w:rPr>
              <w:t>159.93</w:t>
            </w:r>
          </w:p>
        </w:tc>
      </w:tr>
      <w:tr>
        <w:tblPrEx>
          <w:tblW w:w="0" w:type="auto"/>
          <w:jc w:val="left"/>
          <w:tblInd w:w="810" w:type="dxa"/>
          <w:tblLayout w:type="fixed"/>
          <w:tblCellMar>
            <w:top w:w="0" w:type="dxa"/>
            <w:left w:w="0" w:type="dxa"/>
            <w:bottom w:w="0" w:type="dxa"/>
            <w:right w:w="0" w:type="dxa"/>
          </w:tblCellMar>
          <w:tblLook w:val="01E0"/>
        </w:tblPrEx>
        <w:trPr>
          <w:trHeight w:val="606"/>
          <w:jc w:val="left"/>
        </w:trPr>
        <w:tc>
          <w:tcPr>
            <w:tcW w:w="952" w:type="dxa"/>
          </w:tcPr>
          <w:p>
            <w:pPr>
              <w:pStyle w:val="TableParagraph"/>
              <w:rPr>
                <w:rFonts w:ascii="Times New Roman"/>
                <w:sz w:val="32"/>
              </w:rPr>
            </w:pPr>
          </w:p>
        </w:tc>
        <w:tc>
          <w:tcPr>
            <w:tcW w:w="6075" w:type="dxa"/>
          </w:tcPr>
          <w:p>
            <w:pPr>
              <w:pStyle w:val="TableParagraph"/>
              <w:spacing w:before="56"/>
              <w:ind w:left="264"/>
              <w:rPr>
                <w:rFonts w:ascii="黑体" w:eastAsia="黑体" w:hint="eastAsia"/>
                <w:sz w:val="31"/>
              </w:rPr>
            </w:pPr>
            <w:r>
              <w:rPr>
                <w:rFonts w:ascii="黑体" w:eastAsia="黑体" w:hint="eastAsia"/>
                <w:sz w:val="31"/>
              </w:rPr>
              <w:t>入方总计</w:t>
            </w:r>
          </w:p>
        </w:tc>
        <w:tc>
          <w:tcPr>
            <w:tcW w:w="3726" w:type="dxa"/>
          </w:tcPr>
          <w:p>
            <w:pPr>
              <w:pStyle w:val="TableParagraph"/>
              <w:spacing w:before="75"/>
              <w:ind w:left="973"/>
              <w:rPr>
                <w:sz w:val="31"/>
              </w:rPr>
            </w:pPr>
            <w:r>
              <w:rPr>
                <w:sz w:val="31"/>
              </w:rPr>
              <w:t>580.83</w:t>
            </w:r>
          </w:p>
        </w:tc>
      </w:tr>
      <w:tr>
        <w:tblPrEx>
          <w:tblW w:w="0" w:type="auto"/>
          <w:jc w:val="left"/>
          <w:tblInd w:w="810" w:type="dxa"/>
          <w:tblLayout w:type="fixed"/>
          <w:tblCellMar>
            <w:top w:w="0" w:type="dxa"/>
            <w:left w:w="0" w:type="dxa"/>
            <w:bottom w:w="0" w:type="dxa"/>
            <w:right w:w="0" w:type="dxa"/>
          </w:tblCellMar>
          <w:tblLook w:val="01E0"/>
        </w:tblPrEx>
        <w:trPr>
          <w:trHeight w:val="648"/>
          <w:jc w:val="left"/>
        </w:trPr>
        <w:tc>
          <w:tcPr>
            <w:tcW w:w="952" w:type="dxa"/>
          </w:tcPr>
          <w:p>
            <w:pPr>
              <w:pStyle w:val="TableParagraph"/>
              <w:rPr>
                <w:rFonts w:ascii="Times New Roman"/>
                <w:sz w:val="32"/>
              </w:rPr>
            </w:pPr>
          </w:p>
        </w:tc>
        <w:tc>
          <w:tcPr>
            <w:tcW w:w="6075" w:type="dxa"/>
          </w:tcPr>
          <w:p>
            <w:pPr>
              <w:pStyle w:val="TableParagraph"/>
              <w:spacing w:before="195"/>
              <w:ind w:left="653"/>
              <w:rPr>
                <w:rFonts w:ascii="黑体" w:eastAsia="黑体" w:hint="eastAsia"/>
                <w:sz w:val="31"/>
              </w:rPr>
            </w:pPr>
            <w:r>
              <w:rPr>
                <w:rFonts w:ascii="黑体" w:eastAsia="黑体" w:hint="eastAsia"/>
                <w:spacing w:val="-39"/>
                <w:sz w:val="31"/>
              </w:rPr>
              <w:t xml:space="preserve">表 </w:t>
            </w:r>
            <w:r>
              <w:rPr>
                <w:sz w:val="31"/>
              </w:rPr>
              <w:t>3-2</w:t>
            </w:r>
            <w:r>
              <w:rPr>
                <w:spacing w:val="75"/>
                <w:sz w:val="31"/>
              </w:rPr>
              <w:t xml:space="preserve"> </w:t>
            </w:r>
            <w:r>
              <w:rPr>
                <w:rFonts w:ascii="黑体" w:eastAsia="黑体" w:hint="eastAsia"/>
                <w:sz w:val="31"/>
              </w:rPr>
              <w:t>先期总物料平衡（产品）</w:t>
            </w:r>
          </w:p>
        </w:tc>
        <w:tc>
          <w:tcPr>
            <w:tcW w:w="3726" w:type="dxa"/>
          </w:tcPr>
          <w:p>
            <w:pPr>
              <w:pStyle w:val="TableParagraph"/>
              <w:spacing w:before="195"/>
              <w:ind w:right="51"/>
              <w:jc w:val="right"/>
              <w:rPr>
                <w:rFonts w:ascii="黑体" w:eastAsia="黑体" w:hint="eastAsia"/>
                <w:sz w:val="31"/>
              </w:rPr>
            </w:pPr>
            <w:r>
              <w:rPr>
                <w:rFonts w:ascii="黑体" w:eastAsia="黑体" w:hint="eastAsia"/>
                <w:sz w:val="31"/>
              </w:rPr>
              <w:t>单位：万吨</w:t>
            </w:r>
            <w:r>
              <w:rPr>
                <w:sz w:val="31"/>
              </w:rPr>
              <w:t>/</w:t>
            </w:r>
            <w:r>
              <w:rPr>
                <w:rFonts w:ascii="黑体" w:eastAsia="黑体" w:hint="eastAsia"/>
                <w:sz w:val="31"/>
              </w:rPr>
              <w:t>年</w:t>
            </w:r>
          </w:p>
        </w:tc>
      </w:tr>
      <w:tr>
        <w:tblPrEx>
          <w:tblW w:w="0" w:type="auto"/>
          <w:jc w:val="left"/>
          <w:tblInd w:w="810" w:type="dxa"/>
          <w:tblLayout w:type="fixed"/>
          <w:tblCellMar>
            <w:top w:w="0" w:type="dxa"/>
            <w:left w:w="0" w:type="dxa"/>
            <w:bottom w:w="0" w:type="dxa"/>
            <w:right w:w="0" w:type="dxa"/>
          </w:tblCellMar>
          <w:tblLook w:val="01E0"/>
        </w:tblPrEx>
        <w:trPr>
          <w:trHeight w:val="483"/>
          <w:jc w:val="left"/>
        </w:trPr>
        <w:tc>
          <w:tcPr>
            <w:tcW w:w="952" w:type="dxa"/>
          </w:tcPr>
          <w:p>
            <w:pPr>
              <w:pStyle w:val="TableParagraph"/>
              <w:spacing w:before="61"/>
              <w:ind w:left="34" w:right="250"/>
              <w:jc w:val="center"/>
              <w:rPr>
                <w:rFonts w:ascii="黑体" w:eastAsia="黑体" w:hint="eastAsia"/>
                <w:sz w:val="31"/>
              </w:rPr>
            </w:pPr>
            <w:r>
              <w:rPr>
                <w:rFonts w:ascii="黑体" w:eastAsia="黑体" w:hint="eastAsia"/>
                <w:sz w:val="31"/>
              </w:rPr>
              <w:t>序号</w:t>
            </w:r>
          </w:p>
        </w:tc>
        <w:tc>
          <w:tcPr>
            <w:tcW w:w="6075" w:type="dxa"/>
          </w:tcPr>
          <w:p>
            <w:pPr>
              <w:pStyle w:val="TableParagraph"/>
              <w:spacing w:before="61"/>
              <w:ind w:left="264"/>
              <w:rPr>
                <w:rFonts w:ascii="黑体" w:eastAsia="黑体" w:hint="eastAsia"/>
                <w:sz w:val="31"/>
              </w:rPr>
            </w:pPr>
            <w:r>
              <w:rPr>
                <w:rFonts w:ascii="黑体" w:eastAsia="黑体" w:hint="eastAsia"/>
                <w:sz w:val="31"/>
              </w:rPr>
              <w:t>物料平衡</w:t>
            </w:r>
          </w:p>
        </w:tc>
        <w:tc>
          <w:tcPr>
            <w:tcW w:w="3726" w:type="dxa"/>
          </w:tcPr>
          <w:p>
            <w:pPr>
              <w:pStyle w:val="TableParagraph"/>
              <w:spacing w:before="61"/>
              <w:ind w:left="1092"/>
              <w:rPr>
                <w:rFonts w:ascii="黑体" w:eastAsia="黑体" w:hint="eastAsia"/>
                <w:sz w:val="31"/>
              </w:rPr>
            </w:pPr>
            <w:r>
              <w:rPr>
                <w:rFonts w:ascii="黑体" w:eastAsia="黑体" w:hint="eastAsia"/>
                <w:sz w:val="31"/>
              </w:rPr>
              <w:t>数量</w:t>
            </w:r>
          </w:p>
        </w:tc>
      </w:tr>
      <w:tr>
        <w:tblPrEx>
          <w:tblW w:w="0" w:type="auto"/>
          <w:jc w:val="left"/>
          <w:tblInd w:w="810" w:type="dxa"/>
          <w:tblLayout w:type="fixed"/>
          <w:tblCellMar>
            <w:top w:w="0" w:type="dxa"/>
            <w:left w:w="0" w:type="dxa"/>
            <w:bottom w:w="0" w:type="dxa"/>
            <w:right w:w="0" w:type="dxa"/>
          </w:tblCellMar>
          <w:tblLook w:val="01E0"/>
        </w:tblPrEx>
        <w:trPr>
          <w:trHeight w:val="460"/>
          <w:jc w:val="left"/>
        </w:trPr>
        <w:tc>
          <w:tcPr>
            <w:tcW w:w="952" w:type="dxa"/>
          </w:tcPr>
          <w:p>
            <w:pPr>
              <w:pStyle w:val="TableParagraph"/>
              <w:spacing w:before="86" w:line="354" w:lineRule="exact"/>
              <w:ind w:right="216"/>
              <w:jc w:val="center"/>
              <w:rPr>
                <w:sz w:val="31"/>
              </w:rPr>
            </w:pPr>
            <w:r>
              <w:rPr>
                <w:w w:val="91"/>
                <w:sz w:val="31"/>
              </w:rPr>
              <w:t>1</w:t>
            </w:r>
          </w:p>
        </w:tc>
        <w:tc>
          <w:tcPr>
            <w:tcW w:w="6075" w:type="dxa"/>
          </w:tcPr>
          <w:p>
            <w:pPr>
              <w:pStyle w:val="TableParagraph"/>
              <w:spacing w:before="86" w:line="354" w:lineRule="exact"/>
              <w:ind w:left="264"/>
              <w:rPr>
                <w:sz w:val="31"/>
              </w:rPr>
            </w:pPr>
            <w:r>
              <w:rPr>
                <w:sz w:val="31"/>
              </w:rPr>
              <w:t>LPG</w:t>
            </w:r>
          </w:p>
        </w:tc>
        <w:tc>
          <w:tcPr>
            <w:tcW w:w="3726" w:type="dxa"/>
          </w:tcPr>
          <w:p>
            <w:pPr>
              <w:pStyle w:val="TableParagraph"/>
              <w:spacing w:before="86" w:line="354" w:lineRule="exact"/>
              <w:ind w:left="1052"/>
              <w:rPr>
                <w:sz w:val="31"/>
              </w:rPr>
            </w:pPr>
            <w:r>
              <w:rPr>
                <w:sz w:val="31"/>
              </w:rPr>
              <w:t>10.21</w:t>
            </w:r>
          </w:p>
        </w:tc>
      </w:tr>
      <w:tr>
        <w:tblPrEx>
          <w:tblW w:w="0" w:type="auto"/>
          <w:jc w:val="left"/>
          <w:tblInd w:w="810" w:type="dxa"/>
          <w:tblLayout w:type="fixed"/>
          <w:tblCellMar>
            <w:top w:w="0" w:type="dxa"/>
            <w:left w:w="0" w:type="dxa"/>
            <w:bottom w:w="0" w:type="dxa"/>
            <w:right w:w="0" w:type="dxa"/>
          </w:tblCellMar>
          <w:tblLook w:val="01E0"/>
        </w:tblPrEx>
        <w:trPr>
          <w:trHeight w:val="486"/>
          <w:jc w:val="left"/>
        </w:trPr>
        <w:tc>
          <w:tcPr>
            <w:tcW w:w="952" w:type="dxa"/>
          </w:tcPr>
          <w:p>
            <w:pPr>
              <w:pStyle w:val="TableParagraph"/>
              <w:spacing w:before="94"/>
              <w:ind w:right="216"/>
              <w:jc w:val="center"/>
              <w:rPr>
                <w:sz w:val="31"/>
              </w:rPr>
            </w:pPr>
            <w:r>
              <w:rPr>
                <w:w w:val="91"/>
                <w:sz w:val="31"/>
              </w:rPr>
              <w:t>2</w:t>
            </w:r>
          </w:p>
        </w:tc>
        <w:tc>
          <w:tcPr>
            <w:tcW w:w="6075" w:type="dxa"/>
          </w:tcPr>
          <w:p>
            <w:pPr>
              <w:pStyle w:val="TableParagraph"/>
              <w:spacing w:before="75" w:line="392" w:lineRule="exact"/>
              <w:ind w:left="264"/>
              <w:rPr>
                <w:rFonts w:ascii="黑体" w:eastAsia="黑体" w:hint="eastAsia"/>
                <w:sz w:val="31"/>
              </w:rPr>
            </w:pPr>
            <w:r>
              <w:rPr>
                <w:rFonts w:ascii="黑体" w:eastAsia="黑体" w:hint="eastAsia"/>
                <w:sz w:val="31"/>
              </w:rPr>
              <w:t>石脑油</w:t>
            </w:r>
          </w:p>
        </w:tc>
        <w:tc>
          <w:tcPr>
            <w:tcW w:w="3726" w:type="dxa"/>
          </w:tcPr>
          <w:p>
            <w:pPr>
              <w:pStyle w:val="TableParagraph"/>
              <w:spacing w:before="94"/>
              <w:ind w:left="1052"/>
              <w:rPr>
                <w:sz w:val="31"/>
              </w:rPr>
            </w:pPr>
            <w:r>
              <w:rPr>
                <w:sz w:val="31"/>
              </w:rPr>
              <w:t>24.99</w:t>
            </w:r>
          </w:p>
        </w:tc>
      </w:tr>
      <w:tr>
        <w:tblPrEx>
          <w:tblW w:w="0" w:type="auto"/>
          <w:jc w:val="left"/>
          <w:tblInd w:w="810" w:type="dxa"/>
          <w:tblLayout w:type="fixed"/>
          <w:tblCellMar>
            <w:top w:w="0" w:type="dxa"/>
            <w:left w:w="0" w:type="dxa"/>
            <w:bottom w:w="0" w:type="dxa"/>
            <w:right w:w="0" w:type="dxa"/>
          </w:tblCellMar>
          <w:tblLook w:val="01E0"/>
        </w:tblPrEx>
        <w:trPr>
          <w:trHeight w:val="467"/>
          <w:jc w:val="left"/>
        </w:trPr>
        <w:tc>
          <w:tcPr>
            <w:tcW w:w="952" w:type="dxa"/>
          </w:tcPr>
          <w:p>
            <w:pPr>
              <w:pStyle w:val="TableParagraph"/>
              <w:spacing w:before="75"/>
              <w:ind w:right="216"/>
              <w:jc w:val="center"/>
              <w:rPr>
                <w:sz w:val="31"/>
              </w:rPr>
            </w:pPr>
            <w:r>
              <w:rPr>
                <w:w w:val="91"/>
                <w:sz w:val="31"/>
              </w:rPr>
              <w:t>3</w:t>
            </w:r>
          </w:p>
        </w:tc>
        <w:tc>
          <w:tcPr>
            <w:tcW w:w="6075" w:type="dxa"/>
          </w:tcPr>
          <w:p>
            <w:pPr>
              <w:pStyle w:val="TableParagraph"/>
              <w:spacing w:before="56" w:line="392" w:lineRule="exact"/>
              <w:ind w:left="264"/>
              <w:rPr>
                <w:rFonts w:ascii="黑体" w:eastAsia="黑体" w:hint="eastAsia"/>
                <w:sz w:val="31"/>
              </w:rPr>
            </w:pPr>
            <w:r>
              <w:rPr>
                <w:rFonts w:ascii="黑体" w:eastAsia="黑体" w:hint="eastAsia"/>
                <w:sz w:val="31"/>
              </w:rPr>
              <w:t>柴油馏分</w:t>
            </w:r>
          </w:p>
        </w:tc>
        <w:tc>
          <w:tcPr>
            <w:tcW w:w="3726" w:type="dxa"/>
          </w:tcPr>
          <w:p>
            <w:pPr>
              <w:pStyle w:val="TableParagraph"/>
              <w:spacing w:before="75"/>
              <w:ind w:left="1052"/>
              <w:rPr>
                <w:sz w:val="31"/>
              </w:rPr>
            </w:pPr>
            <w:r>
              <w:rPr>
                <w:sz w:val="31"/>
              </w:rPr>
              <w:t>71.46</w:t>
            </w:r>
          </w:p>
        </w:tc>
      </w:tr>
      <w:tr>
        <w:tblPrEx>
          <w:tblW w:w="0" w:type="auto"/>
          <w:jc w:val="left"/>
          <w:tblInd w:w="810" w:type="dxa"/>
          <w:tblLayout w:type="fixed"/>
          <w:tblCellMar>
            <w:top w:w="0" w:type="dxa"/>
            <w:left w:w="0" w:type="dxa"/>
            <w:bottom w:w="0" w:type="dxa"/>
            <w:right w:w="0" w:type="dxa"/>
          </w:tblCellMar>
          <w:tblLook w:val="01E0"/>
        </w:tblPrEx>
        <w:trPr>
          <w:trHeight w:val="467"/>
          <w:jc w:val="left"/>
        </w:trPr>
        <w:tc>
          <w:tcPr>
            <w:tcW w:w="952" w:type="dxa"/>
          </w:tcPr>
          <w:p>
            <w:pPr>
              <w:pStyle w:val="TableParagraph"/>
              <w:spacing w:before="75"/>
              <w:ind w:right="216"/>
              <w:jc w:val="center"/>
              <w:rPr>
                <w:sz w:val="31"/>
              </w:rPr>
            </w:pPr>
            <w:r>
              <w:rPr>
                <w:w w:val="91"/>
                <w:sz w:val="31"/>
              </w:rPr>
              <w:t>4</w:t>
            </w:r>
          </w:p>
        </w:tc>
        <w:tc>
          <w:tcPr>
            <w:tcW w:w="6075" w:type="dxa"/>
          </w:tcPr>
          <w:p>
            <w:pPr>
              <w:pStyle w:val="TableParagraph"/>
              <w:spacing w:before="56" w:line="392" w:lineRule="exact"/>
              <w:ind w:left="264"/>
              <w:rPr>
                <w:rFonts w:ascii="黑体" w:eastAsia="黑体" w:hint="eastAsia"/>
                <w:sz w:val="31"/>
              </w:rPr>
            </w:pPr>
            <w:r>
              <w:rPr>
                <w:rFonts w:ascii="黑体" w:eastAsia="黑体" w:hint="eastAsia"/>
                <w:w w:val="102"/>
                <w:sz w:val="31"/>
              </w:rPr>
              <w:t>酚</w:t>
            </w:r>
          </w:p>
        </w:tc>
        <w:tc>
          <w:tcPr>
            <w:tcW w:w="3726" w:type="dxa"/>
          </w:tcPr>
          <w:p>
            <w:pPr>
              <w:pStyle w:val="TableParagraph"/>
              <w:spacing w:before="75"/>
              <w:ind w:left="1131"/>
              <w:rPr>
                <w:sz w:val="31"/>
              </w:rPr>
            </w:pPr>
            <w:r>
              <w:rPr>
                <w:sz w:val="31"/>
              </w:rPr>
              <w:t>0.36</w:t>
            </w:r>
          </w:p>
        </w:tc>
      </w:tr>
      <w:tr>
        <w:tblPrEx>
          <w:tblW w:w="0" w:type="auto"/>
          <w:jc w:val="left"/>
          <w:tblInd w:w="810" w:type="dxa"/>
          <w:tblLayout w:type="fixed"/>
          <w:tblCellMar>
            <w:top w:w="0" w:type="dxa"/>
            <w:left w:w="0" w:type="dxa"/>
            <w:bottom w:w="0" w:type="dxa"/>
            <w:right w:w="0" w:type="dxa"/>
          </w:tblCellMar>
          <w:tblLook w:val="01E0"/>
        </w:tblPrEx>
        <w:trPr>
          <w:trHeight w:val="606"/>
          <w:jc w:val="left"/>
        </w:trPr>
        <w:tc>
          <w:tcPr>
            <w:tcW w:w="952" w:type="dxa"/>
          </w:tcPr>
          <w:p>
            <w:pPr>
              <w:pStyle w:val="TableParagraph"/>
              <w:spacing w:before="75"/>
              <w:ind w:right="216"/>
              <w:jc w:val="center"/>
              <w:rPr>
                <w:sz w:val="31"/>
              </w:rPr>
            </w:pPr>
            <w:r>
              <w:rPr>
                <w:w w:val="91"/>
                <w:sz w:val="31"/>
              </w:rPr>
              <w:t>5</w:t>
            </w:r>
          </w:p>
        </w:tc>
        <w:tc>
          <w:tcPr>
            <w:tcW w:w="6075" w:type="dxa"/>
          </w:tcPr>
          <w:p>
            <w:pPr>
              <w:pStyle w:val="TableParagraph"/>
              <w:spacing w:before="56"/>
              <w:ind w:left="264"/>
              <w:rPr>
                <w:rFonts w:ascii="黑体" w:eastAsia="黑体" w:hint="eastAsia"/>
                <w:sz w:val="31"/>
              </w:rPr>
            </w:pPr>
            <w:r>
              <w:rPr>
                <w:rFonts w:ascii="黑体" w:eastAsia="黑体" w:hint="eastAsia"/>
                <w:sz w:val="31"/>
              </w:rPr>
              <w:t>产品小计</w:t>
            </w:r>
          </w:p>
        </w:tc>
        <w:tc>
          <w:tcPr>
            <w:tcW w:w="3726" w:type="dxa"/>
          </w:tcPr>
          <w:p>
            <w:pPr>
              <w:pStyle w:val="TableParagraph"/>
              <w:spacing w:before="75"/>
              <w:ind w:left="973"/>
              <w:rPr>
                <w:sz w:val="31"/>
              </w:rPr>
            </w:pPr>
            <w:r>
              <w:rPr>
                <w:sz w:val="31"/>
              </w:rPr>
              <w:t>107.02</w:t>
            </w:r>
          </w:p>
        </w:tc>
      </w:tr>
      <w:tr>
        <w:tblPrEx>
          <w:tblW w:w="0" w:type="auto"/>
          <w:jc w:val="left"/>
          <w:tblInd w:w="810" w:type="dxa"/>
          <w:tblLayout w:type="fixed"/>
          <w:tblCellMar>
            <w:top w:w="0" w:type="dxa"/>
            <w:left w:w="0" w:type="dxa"/>
            <w:bottom w:w="0" w:type="dxa"/>
            <w:right w:w="0" w:type="dxa"/>
          </w:tblCellMar>
          <w:tblLook w:val="01E0"/>
        </w:tblPrEx>
        <w:trPr>
          <w:trHeight w:val="648"/>
          <w:jc w:val="left"/>
        </w:trPr>
        <w:tc>
          <w:tcPr>
            <w:tcW w:w="952" w:type="dxa"/>
          </w:tcPr>
          <w:p>
            <w:pPr>
              <w:pStyle w:val="TableParagraph"/>
              <w:rPr>
                <w:rFonts w:ascii="Times New Roman"/>
                <w:sz w:val="32"/>
              </w:rPr>
            </w:pPr>
          </w:p>
        </w:tc>
        <w:tc>
          <w:tcPr>
            <w:tcW w:w="6075" w:type="dxa"/>
          </w:tcPr>
          <w:p>
            <w:pPr>
              <w:pStyle w:val="TableParagraph"/>
              <w:spacing w:before="195"/>
              <w:ind w:left="573"/>
              <w:rPr>
                <w:rFonts w:ascii="黑体" w:eastAsia="黑体" w:hint="eastAsia"/>
                <w:sz w:val="31"/>
              </w:rPr>
            </w:pPr>
            <w:r>
              <w:rPr>
                <w:rFonts w:ascii="黑体" w:eastAsia="黑体" w:hint="eastAsia"/>
                <w:spacing w:val="-37"/>
                <w:sz w:val="31"/>
              </w:rPr>
              <w:t xml:space="preserve">表 </w:t>
            </w:r>
            <w:r>
              <w:rPr>
                <w:sz w:val="31"/>
              </w:rPr>
              <w:t>3-3</w:t>
            </w:r>
            <w:r>
              <w:rPr>
                <w:spacing w:val="75"/>
                <w:sz w:val="31"/>
              </w:rPr>
              <w:t xml:space="preserve"> </w:t>
            </w:r>
            <w:r>
              <w:rPr>
                <w:rFonts w:ascii="黑体" w:eastAsia="黑体" w:hint="eastAsia"/>
                <w:sz w:val="31"/>
              </w:rPr>
              <w:t>先期总物料平衡（自用）</w:t>
            </w:r>
          </w:p>
        </w:tc>
        <w:tc>
          <w:tcPr>
            <w:tcW w:w="3726" w:type="dxa"/>
          </w:tcPr>
          <w:p>
            <w:pPr>
              <w:pStyle w:val="TableParagraph"/>
              <w:spacing w:before="195"/>
              <w:ind w:right="129"/>
              <w:jc w:val="right"/>
              <w:rPr>
                <w:rFonts w:ascii="黑体" w:eastAsia="黑体" w:hint="eastAsia"/>
                <w:sz w:val="31"/>
              </w:rPr>
            </w:pPr>
            <w:r>
              <w:rPr>
                <w:rFonts w:ascii="黑体" w:eastAsia="黑体" w:hint="eastAsia"/>
                <w:sz w:val="31"/>
              </w:rPr>
              <w:t>单位：万吨</w:t>
            </w:r>
            <w:r>
              <w:rPr>
                <w:sz w:val="31"/>
              </w:rPr>
              <w:t>/</w:t>
            </w:r>
            <w:r>
              <w:rPr>
                <w:rFonts w:ascii="黑体" w:eastAsia="黑体" w:hint="eastAsia"/>
                <w:sz w:val="31"/>
              </w:rPr>
              <w:t>年</w:t>
            </w:r>
          </w:p>
        </w:tc>
      </w:tr>
      <w:tr>
        <w:tblPrEx>
          <w:tblW w:w="0" w:type="auto"/>
          <w:jc w:val="left"/>
          <w:tblInd w:w="810" w:type="dxa"/>
          <w:tblLayout w:type="fixed"/>
          <w:tblCellMar>
            <w:top w:w="0" w:type="dxa"/>
            <w:left w:w="0" w:type="dxa"/>
            <w:bottom w:w="0" w:type="dxa"/>
            <w:right w:w="0" w:type="dxa"/>
          </w:tblCellMar>
          <w:tblLook w:val="01E0"/>
        </w:tblPrEx>
        <w:trPr>
          <w:trHeight w:val="483"/>
          <w:jc w:val="left"/>
        </w:trPr>
        <w:tc>
          <w:tcPr>
            <w:tcW w:w="952" w:type="dxa"/>
          </w:tcPr>
          <w:p>
            <w:pPr>
              <w:pStyle w:val="TableParagraph"/>
              <w:spacing w:before="61"/>
              <w:ind w:left="38" w:right="247"/>
              <w:jc w:val="center"/>
              <w:rPr>
                <w:rFonts w:ascii="黑体" w:eastAsia="黑体" w:hint="eastAsia"/>
                <w:sz w:val="31"/>
              </w:rPr>
            </w:pPr>
            <w:r>
              <w:rPr>
                <w:rFonts w:ascii="黑体" w:eastAsia="黑体" w:hint="eastAsia"/>
                <w:sz w:val="31"/>
              </w:rPr>
              <w:t>序号</w:t>
            </w:r>
          </w:p>
        </w:tc>
        <w:tc>
          <w:tcPr>
            <w:tcW w:w="6075" w:type="dxa"/>
          </w:tcPr>
          <w:p>
            <w:pPr>
              <w:pStyle w:val="TableParagraph"/>
              <w:spacing w:before="61"/>
              <w:ind w:left="267"/>
              <w:rPr>
                <w:rFonts w:ascii="黑体" w:eastAsia="黑体" w:hint="eastAsia"/>
                <w:sz w:val="31"/>
              </w:rPr>
            </w:pPr>
            <w:r>
              <w:rPr>
                <w:rFonts w:ascii="黑体" w:eastAsia="黑体" w:hint="eastAsia"/>
                <w:sz w:val="31"/>
              </w:rPr>
              <w:t>物料平衡</w:t>
            </w:r>
          </w:p>
        </w:tc>
        <w:tc>
          <w:tcPr>
            <w:tcW w:w="3726" w:type="dxa"/>
          </w:tcPr>
          <w:p>
            <w:pPr>
              <w:pStyle w:val="TableParagraph"/>
              <w:spacing w:before="61"/>
              <w:ind w:left="1084"/>
              <w:rPr>
                <w:rFonts w:ascii="黑体" w:eastAsia="黑体" w:hint="eastAsia"/>
                <w:sz w:val="31"/>
              </w:rPr>
            </w:pPr>
            <w:r>
              <w:rPr>
                <w:rFonts w:ascii="黑体" w:eastAsia="黑体" w:hint="eastAsia"/>
                <w:sz w:val="31"/>
              </w:rPr>
              <w:t>数量</w:t>
            </w:r>
          </w:p>
        </w:tc>
      </w:tr>
      <w:tr>
        <w:tblPrEx>
          <w:tblW w:w="0" w:type="auto"/>
          <w:jc w:val="left"/>
          <w:tblInd w:w="810" w:type="dxa"/>
          <w:tblLayout w:type="fixed"/>
          <w:tblCellMar>
            <w:top w:w="0" w:type="dxa"/>
            <w:left w:w="0" w:type="dxa"/>
            <w:bottom w:w="0" w:type="dxa"/>
            <w:right w:w="0" w:type="dxa"/>
          </w:tblCellMar>
          <w:tblLook w:val="01E0"/>
        </w:tblPrEx>
        <w:trPr>
          <w:trHeight w:val="478"/>
          <w:jc w:val="left"/>
        </w:trPr>
        <w:tc>
          <w:tcPr>
            <w:tcW w:w="952" w:type="dxa"/>
          </w:tcPr>
          <w:p>
            <w:pPr>
              <w:pStyle w:val="TableParagraph"/>
              <w:spacing w:before="86"/>
              <w:ind w:right="216"/>
              <w:jc w:val="center"/>
              <w:rPr>
                <w:sz w:val="31"/>
              </w:rPr>
            </w:pPr>
            <w:r>
              <w:rPr>
                <w:w w:val="91"/>
                <w:sz w:val="31"/>
              </w:rPr>
              <w:t>1</w:t>
            </w:r>
          </w:p>
        </w:tc>
        <w:tc>
          <w:tcPr>
            <w:tcW w:w="6075" w:type="dxa"/>
          </w:tcPr>
          <w:p>
            <w:pPr>
              <w:pStyle w:val="TableParagraph"/>
              <w:spacing w:before="67" w:line="392" w:lineRule="exact"/>
              <w:ind w:left="267"/>
              <w:rPr>
                <w:rFonts w:ascii="黑体" w:eastAsia="黑体" w:hint="eastAsia"/>
                <w:sz w:val="31"/>
              </w:rPr>
            </w:pPr>
            <w:r>
              <w:rPr>
                <w:rFonts w:ascii="黑体" w:eastAsia="黑体" w:hint="eastAsia"/>
                <w:sz w:val="31"/>
              </w:rPr>
              <w:t>锅炉用煤中煤及煤泥</w:t>
            </w:r>
          </w:p>
        </w:tc>
        <w:tc>
          <w:tcPr>
            <w:tcW w:w="3726" w:type="dxa"/>
          </w:tcPr>
          <w:p>
            <w:pPr>
              <w:pStyle w:val="TableParagraph"/>
              <w:spacing w:before="86"/>
              <w:ind w:left="1124"/>
              <w:rPr>
                <w:sz w:val="31"/>
              </w:rPr>
            </w:pPr>
            <w:r>
              <w:rPr>
                <w:sz w:val="31"/>
              </w:rPr>
              <w:t>53.2</w:t>
            </w:r>
          </w:p>
        </w:tc>
      </w:tr>
      <w:tr>
        <w:tblPrEx>
          <w:tblW w:w="0" w:type="auto"/>
          <w:jc w:val="left"/>
          <w:tblInd w:w="810" w:type="dxa"/>
          <w:tblLayout w:type="fixed"/>
          <w:tblCellMar>
            <w:top w:w="0" w:type="dxa"/>
            <w:left w:w="0" w:type="dxa"/>
            <w:bottom w:w="0" w:type="dxa"/>
            <w:right w:w="0" w:type="dxa"/>
          </w:tblCellMar>
          <w:tblLook w:val="01E0"/>
        </w:tblPrEx>
        <w:trPr>
          <w:trHeight w:val="468"/>
          <w:jc w:val="left"/>
        </w:trPr>
        <w:tc>
          <w:tcPr>
            <w:tcW w:w="952" w:type="dxa"/>
          </w:tcPr>
          <w:p>
            <w:pPr>
              <w:pStyle w:val="TableParagraph"/>
              <w:spacing w:before="75"/>
              <w:ind w:right="216"/>
              <w:jc w:val="center"/>
              <w:rPr>
                <w:sz w:val="31"/>
              </w:rPr>
            </w:pPr>
            <w:r>
              <w:rPr>
                <w:w w:val="91"/>
                <w:sz w:val="31"/>
              </w:rPr>
              <w:t>2</w:t>
            </w:r>
          </w:p>
        </w:tc>
        <w:tc>
          <w:tcPr>
            <w:tcW w:w="6075" w:type="dxa"/>
          </w:tcPr>
          <w:p>
            <w:pPr>
              <w:pStyle w:val="TableParagraph"/>
              <w:spacing w:before="56" w:line="392" w:lineRule="exact"/>
              <w:ind w:left="267"/>
              <w:rPr>
                <w:rFonts w:ascii="黑体" w:eastAsia="黑体" w:hint="eastAsia"/>
                <w:sz w:val="31"/>
              </w:rPr>
            </w:pPr>
            <w:r>
              <w:rPr>
                <w:rFonts w:ascii="黑体" w:eastAsia="黑体" w:hint="eastAsia"/>
                <w:sz w:val="31"/>
              </w:rPr>
              <w:t>油渣</w:t>
            </w:r>
          </w:p>
        </w:tc>
        <w:tc>
          <w:tcPr>
            <w:tcW w:w="3726" w:type="dxa"/>
          </w:tcPr>
          <w:p>
            <w:pPr>
              <w:pStyle w:val="TableParagraph"/>
              <w:spacing w:before="75"/>
              <w:ind w:left="1045"/>
              <w:rPr>
                <w:sz w:val="31"/>
              </w:rPr>
            </w:pPr>
            <w:r>
              <w:rPr>
                <w:sz w:val="31"/>
              </w:rPr>
              <w:t>61.04</w:t>
            </w:r>
          </w:p>
        </w:tc>
      </w:tr>
      <w:tr>
        <w:tblPrEx>
          <w:tblW w:w="0" w:type="auto"/>
          <w:jc w:val="left"/>
          <w:tblInd w:w="810" w:type="dxa"/>
          <w:tblLayout w:type="fixed"/>
          <w:tblCellMar>
            <w:top w:w="0" w:type="dxa"/>
            <w:left w:w="0" w:type="dxa"/>
            <w:bottom w:w="0" w:type="dxa"/>
            <w:right w:w="0" w:type="dxa"/>
          </w:tblCellMar>
          <w:tblLook w:val="01E0"/>
        </w:tblPrEx>
        <w:trPr>
          <w:trHeight w:val="468"/>
          <w:jc w:val="left"/>
        </w:trPr>
        <w:tc>
          <w:tcPr>
            <w:tcW w:w="952" w:type="dxa"/>
          </w:tcPr>
          <w:p>
            <w:pPr>
              <w:pStyle w:val="TableParagraph"/>
              <w:spacing w:before="76"/>
              <w:ind w:right="216"/>
              <w:jc w:val="center"/>
              <w:rPr>
                <w:sz w:val="31"/>
              </w:rPr>
            </w:pPr>
            <w:r>
              <w:rPr>
                <w:w w:val="91"/>
                <w:sz w:val="31"/>
              </w:rPr>
              <w:t>3</w:t>
            </w:r>
          </w:p>
        </w:tc>
        <w:tc>
          <w:tcPr>
            <w:tcW w:w="6075" w:type="dxa"/>
          </w:tcPr>
          <w:p>
            <w:pPr>
              <w:pStyle w:val="TableParagraph"/>
              <w:spacing w:before="56" w:line="392" w:lineRule="exact"/>
              <w:ind w:left="267"/>
              <w:rPr>
                <w:rFonts w:ascii="黑体" w:eastAsia="黑体" w:hint="eastAsia"/>
                <w:sz w:val="31"/>
              </w:rPr>
            </w:pPr>
            <w:r>
              <w:rPr>
                <w:rFonts w:ascii="黑体" w:eastAsia="黑体" w:hint="eastAsia"/>
                <w:sz w:val="31"/>
              </w:rPr>
              <w:t>燃料气</w:t>
            </w:r>
          </w:p>
        </w:tc>
        <w:tc>
          <w:tcPr>
            <w:tcW w:w="3726" w:type="dxa"/>
          </w:tcPr>
          <w:p>
            <w:pPr>
              <w:pStyle w:val="TableParagraph"/>
              <w:spacing w:before="76"/>
              <w:ind w:left="1048"/>
              <w:rPr>
                <w:sz w:val="31"/>
              </w:rPr>
            </w:pPr>
            <w:r>
              <w:rPr>
                <w:sz w:val="31"/>
              </w:rPr>
              <w:t>17.11</w:t>
            </w:r>
          </w:p>
        </w:tc>
      </w:tr>
      <w:tr>
        <w:tblPrEx>
          <w:tblW w:w="0" w:type="auto"/>
          <w:jc w:val="left"/>
          <w:tblInd w:w="810" w:type="dxa"/>
          <w:tblLayout w:type="fixed"/>
          <w:tblCellMar>
            <w:top w:w="0" w:type="dxa"/>
            <w:left w:w="0" w:type="dxa"/>
            <w:bottom w:w="0" w:type="dxa"/>
            <w:right w:w="0" w:type="dxa"/>
          </w:tblCellMar>
          <w:tblLook w:val="01E0"/>
        </w:tblPrEx>
        <w:trPr>
          <w:trHeight w:val="467"/>
          <w:jc w:val="left"/>
        </w:trPr>
        <w:tc>
          <w:tcPr>
            <w:tcW w:w="952" w:type="dxa"/>
          </w:tcPr>
          <w:p>
            <w:pPr>
              <w:pStyle w:val="TableParagraph"/>
              <w:spacing w:before="75"/>
              <w:ind w:right="216"/>
              <w:jc w:val="center"/>
              <w:rPr>
                <w:sz w:val="31"/>
              </w:rPr>
            </w:pPr>
            <w:r>
              <w:rPr>
                <w:w w:val="91"/>
                <w:sz w:val="31"/>
              </w:rPr>
              <w:t>4</w:t>
            </w:r>
          </w:p>
        </w:tc>
        <w:tc>
          <w:tcPr>
            <w:tcW w:w="6075" w:type="dxa"/>
          </w:tcPr>
          <w:p>
            <w:pPr>
              <w:pStyle w:val="TableParagraph"/>
              <w:spacing w:before="56" w:line="392" w:lineRule="exact"/>
              <w:ind w:left="267"/>
              <w:rPr>
                <w:rFonts w:ascii="黑体" w:eastAsia="黑体" w:hint="eastAsia"/>
                <w:sz w:val="31"/>
              </w:rPr>
            </w:pPr>
            <w:r>
              <w:rPr>
                <w:rFonts w:ascii="黑体" w:eastAsia="黑体" w:hint="eastAsia"/>
                <w:sz w:val="31"/>
              </w:rPr>
              <w:t>天然气燃料</w:t>
            </w:r>
          </w:p>
        </w:tc>
        <w:tc>
          <w:tcPr>
            <w:tcW w:w="3726" w:type="dxa"/>
          </w:tcPr>
          <w:p>
            <w:pPr>
              <w:pStyle w:val="TableParagraph"/>
              <w:spacing w:before="75"/>
              <w:ind w:left="1124"/>
              <w:rPr>
                <w:sz w:val="31"/>
              </w:rPr>
            </w:pPr>
            <w:r>
              <w:rPr>
                <w:sz w:val="31"/>
              </w:rPr>
              <w:t>0.00</w:t>
            </w:r>
          </w:p>
        </w:tc>
      </w:tr>
      <w:tr>
        <w:tblPrEx>
          <w:tblW w:w="0" w:type="auto"/>
          <w:jc w:val="left"/>
          <w:tblInd w:w="810" w:type="dxa"/>
          <w:tblLayout w:type="fixed"/>
          <w:tblCellMar>
            <w:top w:w="0" w:type="dxa"/>
            <w:left w:w="0" w:type="dxa"/>
            <w:bottom w:w="0" w:type="dxa"/>
            <w:right w:w="0" w:type="dxa"/>
          </w:tblCellMar>
          <w:tblLook w:val="01E0"/>
        </w:tblPrEx>
        <w:trPr>
          <w:trHeight w:val="467"/>
          <w:jc w:val="left"/>
        </w:trPr>
        <w:tc>
          <w:tcPr>
            <w:tcW w:w="952" w:type="dxa"/>
          </w:tcPr>
          <w:p>
            <w:pPr>
              <w:pStyle w:val="TableParagraph"/>
              <w:spacing w:before="75"/>
              <w:ind w:right="216"/>
              <w:jc w:val="center"/>
              <w:rPr>
                <w:sz w:val="31"/>
              </w:rPr>
            </w:pPr>
            <w:r>
              <w:rPr>
                <w:w w:val="91"/>
                <w:sz w:val="31"/>
              </w:rPr>
              <w:t>5</w:t>
            </w:r>
          </w:p>
        </w:tc>
        <w:tc>
          <w:tcPr>
            <w:tcW w:w="6075" w:type="dxa"/>
          </w:tcPr>
          <w:p>
            <w:pPr>
              <w:pStyle w:val="TableParagraph"/>
              <w:spacing w:before="56" w:line="392" w:lineRule="exact"/>
              <w:ind w:left="267"/>
              <w:rPr>
                <w:rFonts w:ascii="黑体" w:eastAsia="黑体" w:hint="eastAsia"/>
                <w:sz w:val="31"/>
              </w:rPr>
            </w:pPr>
            <w:r>
              <w:rPr>
                <w:rFonts w:ascii="黑体" w:eastAsia="黑体" w:hint="eastAsia"/>
                <w:sz w:val="31"/>
              </w:rPr>
              <w:t>废水</w:t>
            </w:r>
          </w:p>
        </w:tc>
        <w:tc>
          <w:tcPr>
            <w:tcW w:w="3726" w:type="dxa"/>
          </w:tcPr>
          <w:p>
            <w:pPr>
              <w:pStyle w:val="TableParagraph"/>
              <w:spacing w:before="75"/>
              <w:ind w:left="965"/>
              <w:rPr>
                <w:sz w:val="31"/>
              </w:rPr>
            </w:pPr>
            <w:r>
              <w:rPr>
                <w:sz w:val="31"/>
              </w:rPr>
              <w:t>145.43</w:t>
            </w:r>
          </w:p>
        </w:tc>
      </w:tr>
      <w:tr>
        <w:tblPrEx>
          <w:tblW w:w="0" w:type="auto"/>
          <w:jc w:val="left"/>
          <w:tblInd w:w="810" w:type="dxa"/>
          <w:tblLayout w:type="fixed"/>
          <w:tblCellMar>
            <w:top w:w="0" w:type="dxa"/>
            <w:left w:w="0" w:type="dxa"/>
            <w:bottom w:w="0" w:type="dxa"/>
            <w:right w:w="0" w:type="dxa"/>
          </w:tblCellMar>
          <w:tblLook w:val="01E0"/>
        </w:tblPrEx>
        <w:trPr>
          <w:trHeight w:val="410"/>
          <w:jc w:val="left"/>
        </w:trPr>
        <w:tc>
          <w:tcPr>
            <w:tcW w:w="952" w:type="dxa"/>
          </w:tcPr>
          <w:p>
            <w:pPr>
              <w:pStyle w:val="TableParagraph"/>
              <w:spacing w:before="75" w:line="315" w:lineRule="exact"/>
              <w:ind w:right="216"/>
              <w:jc w:val="center"/>
              <w:rPr>
                <w:sz w:val="31"/>
              </w:rPr>
            </w:pPr>
            <w:r>
              <w:rPr>
                <w:w w:val="91"/>
                <w:sz w:val="31"/>
              </w:rPr>
              <w:t>6</w:t>
            </w:r>
          </w:p>
        </w:tc>
        <w:tc>
          <w:tcPr>
            <w:tcW w:w="6075" w:type="dxa"/>
          </w:tcPr>
          <w:p>
            <w:pPr>
              <w:pStyle w:val="TableParagraph"/>
              <w:spacing w:before="56" w:line="335" w:lineRule="exact"/>
              <w:ind w:left="267"/>
              <w:rPr>
                <w:rFonts w:ascii="黑体" w:eastAsia="黑体" w:hint="eastAsia"/>
                <w:sz w:val="31"/>
              </w:rPr>
            </w:pPr>
            <w:r>
              <w:rPr>
                <w:rFonts w:ascii="黑体" w:eastAsia="黑体" w:hint="eastAsia"/>
                <w:sz w:val="31"/>
              </w:rPr>
              <w:t>小计</w:t>
            </w:r>
          </w:p>
        </w:tc>
        <w:tc>
          <w:tcPr>
            <w:tcW w:w="3726" w:type="dxa"/>
          </w:tcPr>
          <w:p>
            <w:pPr>
              <w:pStyle w:val="TableParagraph"/>
              <w:spacing w:before="75" w:line="315" w:lineRule="exact"/>
              <w:ind w:left="965"/>
              <w:rPr>
                <w:sz w:val="31"/>
              </w:rPr>
            </w:pPr>
            <w:r>
              <w:rPr>
                <w:sz w:val="31"/>
              </w:rPr>
              <w:t>276.78</w:t>
            </w:r>
          </w:p>
        </w:tc>
      </w:tr>
    </w:tbl>
    <w:p>
      <w:pPr>
        <w:pStyle w:val="BodyText"/>
        <w:spacing w:before="2"/>
        <w:rPr>
          <w:rFonts w:ascii="幼圆"/>
          <w:sz w:val="3"/>
        </w:rPr>
      </w:pPr>
    </w:p>
    <w:p>
      <w:pPr>
        <w:pStyle w:val="BodyText"/>
        <w:spacing w:line="79" w:lineRule="exact"/>
        <w:ind w:left="460"/>
        <w:rPr>
          <w:rFonts w:ascii="幼圆"/>
          <w:sz w:val="7"/>
        </w:rPr>
      </w:pPr>
      <w:r>
        <w:rPr>
          <w:rFonts w:ascii="幼圆"/>
          <w:position w:val="-1"/>
          <w:sz w:val="7"/>
        </w:rPr>
        <w:drawing>
          <wp:inline distT="0" distB="0" distL="0" distR="0">
            <wp:extent cx="7132224" cy="50673"/>
            <wp:effectExtent l="0" t="0" r="0" b="0"/>
            <wp:docPr id="2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1.png"/>
                    <pic:cNvPicPr/>
                  </pic:nvPicPr>
                  <pic:blipFill>
                    <a:blip xmlns:r="http://schemas.openxmlformats.org/officeDocument/2006/relationships" r:embed="rId14" cstate="print"/>
                    <a:stretch>
                      <a:fillRect/>
                    </a:stretch>
                  </pic:blipFill>
                  <pic:spPr>
                    <a:xfrm>
                      <a:off x="0" y="0"/>
                      <a:ext cx="7132224" cy="50673"/>
                    </a:xfrm>
                    <a:prstGeom prst="rect">
                      <a:avLst/>
                    </a:prstGeom>
                  </pic:spPr>
                </pic:pic>
              </a:graphicData>
            </a:graphic>
          </wp:inline>
        </w:drawing>
      </w:r>
    </w:p>
    <w:p>
      <w:pPr>
        <w:spacing w:after="0" w:line="79" w:lineRule="exact"/>
        <w:rPr>
          <w:rFonts w:ascii="幼圆"/>
          <w:sz w:val="7"/>
        </w:rPr>
        <w:sectPr>
          <w:pgSz w:w="15480" w:h="21860"/>
          <w:pgMar w:top="2020" w:right="0" w:bottom="280" w:left="1740" w:header="708" w:footer="708"/>
          <w:pgNumType w:start="27"/>
          <w:cols w:space="708"/>
        </w:sectPr>
      </w:pPr>
    </w:p>
    <w:tbl>
      <w:tblPr>
        <w:tblStyle w:val="TableNormal1"/>
        <w:tblW w:w="0" w:type="auto"/>
        <w:jc w:val="left"/>
        <w:tblInd w:w="8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50"/>
        <w:gridCol w:w="1959"/>
        <w:gridCol w:w="1320"/>
        <w:gridCol w:w="3661"/>
        <w:gridCol w:w="2858"/>
      </w:tblGrid>
      <w:tr>
        <w:tblPrEx>
          <w:tblW w:w="0" w:type="auto"/>
          <w:jc w:val="left"/>
          <w:tblInd w:w="8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20"/>
          <w:jc w:val="left"/>
        </w:trPr>
        <w:tc>
          <w:tcPr>
            <w:tcW w:w="950" w:type="dxa"/>
          </w:tcPr>
          <w:p>
            <w:pPr>
              <w:pStyle w:val="TableParagraph"/>
              <w:spacing w:before="2"/>
              <w:rPr>
                <w:rFonts w:ascii="幼圆"/>
                <w:sz w:val="37"/>
              </w:rPr>
            </w:pPr>
          </w:p>
          <w:p>
            <w:pPr>
              <w:pStyle w:val="TableParagraph"/>
              <w:ind w:left="38" w:right="252"/>
              <w:jc w:val="center"/>
              <w:rPr>
                <w:rFonts w:ascii="黑体" w:eastAsia="黑体" w:hint="eastAsia"/>
                <w:sz w:val="31"/>
              </w:rPr>
            </w:pPr>
            <w:r>
              <w:rPr>
                <w:rFonts w:ascii="黑体" w:eastAsia="黑体" w:hint="eastAsia"/>
                <w:sz w:val="31"/>
              </w:rPr>
              <w:t>序号</w:t>
            </w:r>
          </w:p>
        </w:tc>
        <w:tc>
          <w:tcPr>
            <w:tcW w:w="1959" w:type="dxa"/>
          </w:tcPr>
          <w:p>
            <w:pPr>
              <w:pStyle w:val="TableParagraph"/>
              <w:spacing w:before="2"/>
              <w:rPr>
                <w:rFonts w:ascii="幼圆"/>
                <w:sz w:val="37"/>
              </w:rPr>
            </w:pPr>
          </w:p>
          <w:p>
            <w:pPr>
              <w:pStyle w:val="TableParagraph"/>
              <w:ind w:left="266"/>
              <w:rPr>
                <w:rFonts w:ascii="黑体" w:eastAsia="黑体" w:hint="eastAsia"/>
                <w:sz w:val="31"/>
              </w:rPr>
            </w:pPr>
            <w:r>
              <w:rPr>
                <w:rFonts w:ascii="黑体" w:eastAsia="黑体" w:hint="eastAsia"/>
                <w:sz w:val="31"/>
              </w:rPr>
              <w:t>物料平衡</w:t>
            </w:r>
          </w:p>
        </w:tc>
        <w:tc>
          <w:tcPr>
            <w:tcW w:w="1320" w:type="dxa"/>
          </w:tcPr>
          <w:p>
            <w:pPr>
              <w:pStyle w:val="TableParagraph"/>
              <w:spacing w:line="362" w:lineRule="exact"/>
              <w:ind w:left="425"/>
              <w:rPr>
                <w:rFonts w:ascii="Times New Roman" w:eastAsia="Times New Roman"/>
                <w:sz w:val="31"/>
              </w:rPr>
            </w:pPr>
            <w:r>
              <w:rPr>
                <w:rFonts w:ascii="黑体" w:eastAsia="黑体" w:hint="eastAsia"/>
                <w:sz w:val="31"/>
              </w:rPr>
              <w:t xml:space="preserve">表 </w:t>
            </w:r>
            <w:r>
              <w:rPr>
                <w:rFonts w:ascii="Times New Roman" w:eastAsia="Times New Roman"/>
                <w:sz w:val="31"/>
              </w:rPr>
              <w:t>3-4</w:t>
            </w:r>
          </w:p>
        </w:tc>
        <w:tc>
          <w:tcPr>
            <w:tcW w:w="3661" w:type="dxa"/>
          </w:tcPr>
          <w:p>
            <w:pPr>
              <w:pStyle w:val="TableParagraph"/>
              <w:spacing w:line="362" w:lineRule="exact"/>
              <w:ind w:left="76"/>
              <w:rPr>
                <w:rFonts w:ascii="黑体" w:eastAsia="黑体" w:hint="eastAsia"/>
                <w:sz w:val="31"/>
              </w:rPr>
            </w:pPr>
            <w:r>
              <w:rPr>
                <w:rFonts w:ascii="黑体" w:eastAsia="黑体" w:hint="eastAsia"/>
                <w:sz w:val="31"/>
              </w:rPr>
              <w:t>先期总物料平衡（损耗）</w:t>
            </w:r>
          </w:p>
        </w:tc>
        <w:tc>
          <w:tcPr>
            <w:tcW w:w="2858" w:type="dxa"/>
          </w:tcPr>
          <w:p>
            <w:pPr>
              <w:pStyle w:val="TableParagraph"/>
              <w:spacing w:line="362" w:lineRule="exact"/>
              <w:ind w:left="831"/>
              <w:rPr>
                <w:rFonts w:ascii="黑体" w:eastAsia="黑体" w:hint="eastAsia"/>
                <w:sz w:val="31"/>
              </w:rPr>
            </w:pPr>
            <w:r>
              <w:rPr>
                <w:rFonts w:ascii="黑体" w:eastAsia="黑体" w:hint="eastAsia"/>
                <w:sz w:val="31"/>
              </w:rPr>
              <w:t>单位：万吨</w:t>
            </w:r>
            <w:r>
              <w:rPr>
                <w:rFonts w:ascii="Times New Roman" w:eastAsia="Times New Roman"/>
                <w:sz w:val="31"/>
              </w:rPr>
              <w:t>/</w:t>
            </w:r>
            <w:r>
              <w:rPr>
                <w:rFonts w:ascii="黑体" w:eastAsia="黑体" w:hint="eastAsia"/>
                <w:sz w:val="31"/>
              </w:rPr>
              <w:t>年</w:t>
            </w:r>
          </w:p>
          <w:p>
            <w:pPr>
              <w:pStyle w:val="TableParagraph"/>
              <w:spacing w:before="114"/>
              <w:ind w:left="218"/>
              <w:rPr>
                <w:rFonts w:ascii="黑体" w:eastAsia="黑体" w:hint="eastAsia"/>
                <w:sz w:val="31"/>
              </w:rPr>
            </w:pPr>
            <w:r>
              <w:rPr>
                <w:rFonts w:ascii="黑体" w:eastAsia="黑体" w:hint="eastAsia"/>
                <w:sz w:val="31"/>
              </w:rPr>
              <w:t>数量</w:t>
            </w:r>
          </w:p>
        </w:tc>
      </w:tr>
      <w:tr>
        <w:tblPrEx>
          <w:tblW w:w="0" w:type="auto"/>
          <w:jc w:val="left"/>
          <w:tblInd w:w="813" w:type="dxa"/>
          <w:tblLayout w:type="fixed"/>
          <w:tblCellMar>
            <w:top w:w="0" w:type="dxa"/>
            <w:left w:w="0" w:type="dxa"/>
            <w:bottom w:w="0" w:type="dxa"/>
            <w:right w:w="0" w:type="dxa"/>
          </w:tblCellMar>
          <w:tblLook w:val="01E0"/>
        </w:tblPrEx>
        <w:trPr>
          <w:trHeight w:val="486"/>
          <w:jc w:val="left"/>
        </w:trPr>
        <w:tc>
          <w:tcPr>
            <w:tcW w:w="950" w:type="dxa"/>
          </w:tcPr>
          <w:p>
            <w:pPr>
              <w:pStyle w:val="TableParagraph"/>
              <w:spacing w:before="69"/>
              <w:ind w:right="221"/>
              <w:jc w:val="center"/>
              <w:rPr>
                <w:rFonts w:ascii="Times New Roman"/>
                <w:sz w:val="31"/>
              </w:rPr>
            </w:pPr>
            <w:r>
              <w:rPr>
                <w:rFonts w:ascii="Times New Roman"/>
                <w:w w:val="102"/>
                <w:sz w:val="31"/>
              </w:rPr>
              <w:t>1</w:t>
            </w:r>
          </w:p>
        </w:tc>
        <w:tc>
          <w:tcPr>
            <w:tcW w:w="1959" w:type="dxa"/>
          </w:tcPr>
          <w:p>
            <w:pPr>
              <w:pStyle w:val="TableParagraph"/>
              <w:spacing w:before="49"/>
              <w:ind w:left="266"/>
              <w:rPr>
                <w:rFonts w:ascii="黑体" w:eastAsia="黑体" w:hint="eastAsia"/>
                <w:sz w:val="31"/>
              </w:rPr>
            </w:pPr>
            <w:r>
              <w:rPr>
                <w:rFonts w:ascii="黑体" w:eastAsia="黑体" w:hint="eastAsia"/>
                <w:sz w:val="31"/>
              </w:rPr>
              <w:t>灰渣</w:t>
            </w:r>
          </w:p>
        </w:tc>
        <w:tc>
          <w:tcPr>
            <w:tcW w:w="1320" w:type="dxa"/>
          </w:tcPr>
          <w:p>
            <w:pPr>
              <w:pStyle w:val="TableParagraph"/>
              <w:rPr>
                <w:rFonts w:ascii="Times New Roman"/>
                <w:sz w:val="34"/>
              </w:rPr>
            </w:pPr>
          </w:p>
        </w:tc>
        <w:tc>
          <w:tcPr>
            <w:tcW w:w="3661" w:type="dxa"/>
          </w:tcPr>
          <w:p>
            <w:pPr>
              <w:pStyle w:val="TableParagraph"/>
              <w:rPr>
                <w:rFonts w:ascii="Times New Roman"/>
                <w:sz w:val="34"/>
              </w:rPr>
            </w:pPr>
          </w:p>
        </w:tc>
        <w:tc>
          <w:tcPr>
            <w:tcW w:w="2858" w:type="dxa"/>
          </w:tcPr>
          <w:p>
            <w:pPr>
              <w:pStyle w:val="TableParagraph"/>
              <w:spacing w:before="69"/>
              <w:ind w:left="257"/>
              <w:rPr>
                <w:rFonts w:ascii="Times New Roman"/>
                <w:sz w:val="31"/>
              </w:rPr>
            </w:pPr>
            <w:r>
              <w:rPr>
                <w:rFonts w:ascii="Times New Roman"/>
                <w:sz w:val="31"/>
              </w:rPr>
              <w:t>7.25</w:t>
            </w:r>
          </w:p>
        </w:tc>
      </w:tr>
      <w:tr>
        <w:tblPrEx>
          <w:tblW w:w="0" w:type="auto"/>
          <w:jc w:val="left"/>
          <w:tblInd w:w="813" w:type="dxa"/>
          <w:tblLayout w:type="fixed"/>
          <w:tblCellMar>
            <w:top w:w="0" w:type="dxa"/>
            <w:left w:w="0" w:type="dxa"/>
            <w:bottom w:w="0" w:type="dxa"/>
            <w:right w:w="0" w:type="dxa"/>
          </w:tblCellMar>
          <w:tblLook w:val="01E0"/>
        </w:tblPrEx>
        <w:trPr>
          <w:trHeight w:val="467"/>
          <w:jc w:val="left"/>
        </w:trPr>
        <w:tc>
          <w:tcPr>
            <w:tcW w:w="950" w:type="dxa"/>
          </w:tcPr>
          <w:p>
            <w:pPr>
              <w:pStyle w:val="TableParagraph"/>
              <w:spacing w:before="51"/>
              <w:ind w:right="221"/>
              <w:jc w:val="center"/>
              <w:rPr>
                <w:rFonts w:ascii="Times New Roman"/>
                <w:sz w:val="31"/>
              </w:rPr>
            </w:pPr>
            <w:r>
              <w:rPr>
                <w:rFonts w:ascii="Times New Roman"/>
                <w:w w:val="102"/>
                <w:sz w:val="31"/>
              </w:rPr>
              <w:t>2</w:t>
            </w:r>
          </w:p>
        </w:tc>
        <w:tc>
          <w:tcPr>
            <w:tcW w:w="1959" w:type="dxa"/>
          </w:tcPr>
          <w:p>
            <w:pPr>
              <w:pStyle w:val="TableParagraph"/>
              <w:spacing w:before="31"/>
              <w:ind w:left="266"/>
              <w:rPr>
                <w:rFonts w:ascii="黑体" w:eastAsia="黑体" w:hint="eastAsia"/>
                <w:sz w:val="31"/>
              </w:rPr>
            </w:pPr>
            <w:r>
              <w:rPr>
                <w:rFonts w:ascii="黑体" w:eastAsia="黑体" w:hint="eastAsia"/>
                <w:sz w:val="31"/>
              </w:rPr>
              <w:t>废气</w:t>
            </w:r>
          </w:p>
        </w:tc>
        <w:tc>
          <w:tcPr>
            <w:tcW w:w="1320" w:type="dxa"/>
          </w:tcPr>
          <w:p>
            <w:pPr>
              <w:pStyle w:val="TableParagraph"/>
              <w:rPr>
                <w:rFonts w:ascii="Times New Roman"/>
                <w:sz w:val="34"/>
              </w:rPr>
            </w:pPr>
          </w:p>
        </w:tc>
        <w:tc>
          <w:tcPr>
            <w:tcW w:w="3661" w:type="dxa"/>
          </w:tcPr>
          <w:p>
            <w:pPr>
              <w:pStyle w:val="TableParagraph"/>
              <w:rPr>
                <w:rFonts w:ascii="Times New Roman"/>
                <w:sz w:val="34"/>
              </w:rPr>
            </w:pPr>
          </w:p>
        </w:tc>
        <w:tc>
          <w:tcPr>
            <w:tcW w:w="2858" w:type="dxa"/>
          </w:tcPr>
          <w:p>
            <w:pPr>
              <w:pStyle w:val="TableParagraph"/>
              <w:spacing w:before="51"/>
              <w:ind w:left="178"/>
              <w:rPr>
                <w:rFonts w:ascii="Times New Roman"/>
                <w:sz w:val="31"/>
              </w:rPr>
            </w:pPr>
            <w:r>
              <w:rPr>
                <w:rFonts w:ascii="Times New Roman"/>
                <w:sz w:val="31"/>
              </w:rPr>
              <w:t>87.04</w:t>
            </w:r>
          </w:p>
        </w:tc>
      </w:tr>
      <w:tr>
        <w:tblPrEx>
          <w:tblW w:w="0" w:type="auto"/>
          <w:jc w:val="left"/>
          <w:tblInd w:w="813" w:type="dxa"/>
          <w:tblLayout w:type="fixed"/>
          <w:tblCellMar>
            <w:top w:w="0" w:type="dxa"/>
            <w:left w:w="0" w:type="dxa"/>
            <w:bottom w:w="0" w:type="dxa"/>
            <w:right w:w="0" w:type="dxa"/>
          </w:tblCellMar>
          <w:tblLook w:val="01E0"/>
        </w:tblPrEx>
        <w:trPr>
          <w:trHeight w:val="468"/>
          <w:jc w:val="left"/>
        </w:trPr>
        <w:tc>
          <w:tcPr>
            <w:tcW w:w="950" w:type="dxa"/>
          </w:tcPr>
          <w:p>
            <w:pPr>
              <w:pStyle w:val="TableParagraph"/>
              <w:spacing w:before="51"/>
              <w:ind w:right="221"/>
              <w:jc w:val="center"/>
              <w:rPr>
                <w:rFonts w:ascii="Times New Roman"/>
                <w:sz w:val="31"/>
              </w:rPr>
            </w:pPr>
            <w:r>
              <w:rPr>
                <w:rFonts w:ascii="Times New Roman"/>
                <w:w w:val="102"/>
                <w:sz w:val="31"/>
              </w:rPr>
              <w:t>3</w:t>
            </w:r>
          </w:p>
        </w:tc>
        <w:tc>
          <w:tcPr>
            <w:tcW w:w="1959" w:type="dxa"/>
          </w:tcPr>
          <w:p>
            <w:pPr>
              <w:pStyle w:val="TableParagraph"/>
              <w:spacing w:before="31"/>
              <w:ind w:left="266"/>
              <w:rPr>
                <w:rFonts w:ascii="黑体" w:eastAsia="黑体" w:hint="eastAsia"/>
                <w:sz w:val="31"/>
              </w:rPr>
            </w:pPr>
            <w:r>
              <w:rPr>
                <w:rFonts w:ascii="黑体" w:eastAsia="黑体" w:hint="eastAsia"/>
                <w:sz w:val="31"/>
              </w:rPr>
              <w:t>损失</w:t>
            </w:r>
          </w:p>
        </w:tc>
        <w:tc>
          <w:tcPr>
            <w:tcW w:w="1320" w:type="dxa"/>
          </w:tcPr>
          <w:p>
            <w:pPr>
              <w:pStyle w:val="TableParagraph"/>
              <w:rPr>
                <w:rFonts w:ascii="Times New Roman"/>
                <w:sz w:val="34"/>
              </w:rPr>
            </w:pPr>
          </w:p>
        </w:tc>
        <w:tc>
          <w:tcPr>
            <w:tcW w:w="3661" w:type="dxa"/>
          </w:tcPr>
          <w:p>
            <w:pPr>
              <w:pStyle w:val="TableParagraph"/>
              <w:rPr>
                <w:rFonts w:ascii="Times New Roman"/>
                <w:sz w:val="34"/>
              </w:rPr>
            </w:pPr>
          </w:p>
        </w:tc>
        <w:tc>
          <w:tcPr>
            <w:tcW w:w="2858" w:type="dxa"/>
          </w:tcPr>
          <w:p>
            <w:pPr>
              <w:pStyle w:val="TableParagraph"/>
              <w:spacing w:before="51"/>
              <w:ind w:left="99"/>
              <w:rPr>
                <w:rFonts w:ascii="Times New Roman"/>
                <w:sz w:val="31"/>
              </w:rPr>
            </w:pPr>
            <w:r>
              <w:rPr>
                <w:rFonts w:ascii="Times New Roman"/>
                <w:sz w:val="31"/>
              </w:rPr>
              <w:t>102.73</w:t>
            </w:r>
          </w:p>
        </w:tc>
      </w:tr>
      <w:tr>
        <w:tblPrEx>
          <w:tblW w:w="0" w:type="auto"/>
          <w:jc w:val="left"/>
          <w:tblInd w:w="813" w:type="dxa"/>
          <w:tblLayout w:type="fixed"/>
          <w:tblCellMar>
            <w:top w:w="0" w:type="dxa"/>
            <w:left w:w="0" w:type="dxa"/>
            <w:bottom w:w="0" w:type="dxa"/>
            <w:right w:w="0" w:type="dxa"/>
          </w:tblCellMar>
          <w:tblLook w:val="01E0"/>
        </w:tblPrEx>
        <w:trPr>
          <w:trHeight w:val="402"/>
          <w:jc w:val="left"/>
        </w:trPr>
        <w:tc>
          <w:tcPr>
            <w:tcW w:w="950" w:type="dxa"/>
          </w:tcPr>
          <w:p>
            <w:pPr>
              <w:pStyle w:val="TableParagraph"/>
              <w:spacing w:before="51" w:line="331" w:lineRule="exact"/>
              <w:ind w:right="221"/>
              <w:jc w:val="center"/>
              <w:rPr>
                <w:rFonts w:ascii="Times New Roman"/>
                <w:sz w:val="31"/>
              </w:rPr>
            </w:pPr>
            <w:r>
              <w:rPr>
                <w:rFonts w:ascii="Times New Roman"/>
                <w:w w:val="102"/>
                <w:sz w:val="31"/>
              </w:rPr>
              <w:t>4</w:t>
            </w:r>
          </w:p>
        </w:tc>
        <w:tc>
          <w:tcPr>
            <w:tcW w:w="1959" w:type="dxa"/>
          </w:tcPr>
          <w:p>
            <w:pPr>
              <w:pStyle w:val="TableParagraph"/>
              <w:spacing w:before="31" w:line="352" w:lineRule="exact"/>
              <w:ind w:left="266"/>
              <w:rPr>
                <w:rFonts w:ascii="黑体" w:eastAsia="黑体" w:hint="eastAsia"/>
                <w:sz w:val="31"/>
              </w:rPr>
            </w:pPr>
            <w:r>
              <w:rPr>
                <w:rFonts w:ascii="黑体" w:eastAsia="黑体" w:hint="eastAsia"/>
                <w:sz w:val="31"/>
              </w:rPr>
              <w:t>损耗小计</w:t>
            </w:r>
          </w:p>
        </w:tc>
        <w:tc>
          <w:tcPr>
            <w:tcW w:w="1320" w:type="dxa"/>
          </w:tcPr>
          <w:p>
            <w:pPr>
              <w:pStyle w:val="TableParagraph"/>
              <w:rPr>
                <w:rFonts w:ascii="Times New Roman"/>
                <w:sz w:val="30"/>
              </w:rPr>
            </w:pPr>
          </w:p>
        </w:tc>
        <w:tc>
          <w:tcPr>
            <w:tcW w:w="3661" w:type="dxa"/>
          </w:tcPr>
          <w:p>
            <w:pPr>
              <w:pStyle w:val="TableParagraph"/>
              <w:rPr>
                <w:rFonts w:ascii="Times New Roman"/>
                <w:sz w:val="30"/>
              </w:rPr>
            </w:pPr>
          </w:p>
        </w:tc>
        <w:tc>
          <w:tcPr>
            <w:tcW w:w="2858" w:type="dxa"/>
          </w:tcPr>
          <w:p>
            <w:pPr>
              <w:pStyle w:val="TableParagraph"/>
              <w:spacing w:before="51" w:line="331" w:lineRule="exact"/>
              <w:ind w:left="99"/>
              <w:rPr>
                <w:rFonts w:ascii="Times New Roman"/>
                <w:sz w:val="31"/>
              </w:rPr>
            </w:pPr>
            <w:r>
              <w:rPr>
                <w:rFonts w:ascii="Times New Roman"/>
                <w:sz w:val="31"/>
              </w:rPr>
              <w:t>197.02</w:t>
            </w:r>
          </w:p>
        </w:tc>
      </w:tr>
    </w:tbl>
    <w:p>
      <w:pPr>
        <w:pStyle w:val="BodyText"/>
        <w:spacing w:line="79" w:lineRule="exact"/>
        <w:ind w:left="460"/>
        <w:rPr>
          <w:rFonts w:ascii="幼圆"/>
          <w:sz w:val="7"/>
        </w:rPr>
      </w:pPr>
      <w:r>
        <w:drawing>
          <wp:anchor distT="0" distB="0" distL="0" distR="0" simplePos="0" relativeHeight="251669504" behindDoc="0" locked="0" layoutInCell="1" allowOverlap="1">
            <wp:simplePos x="0" y="0"/>
            <wp:positionH relativeFrom="page">
              <wp:posOffset>1409700</wp:posOffset>
            </wp:positionH>
            <wp:positionV relativeFrom="page">
              <wp:posOffset>1879599</wp:posOffset>
            </wp:positionV>
            <wp:extent cx="7137400" cy="38100"/>
            <wp:effectExtent l="0" t="0" r="0" b="0"/>
            <wp:wrapNone/>
            <wp:docPr id="2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9.png"/>
                    <pic:cNvPicPr/>
                  </pic:nvPicPr>
                  <pic:blipFill>
                    <a:blip xmlns:r="http://schemas.openxmlformats.org/officeDocument/2006/relationships" r:embed="rId12" cstate="print"/>
                    <a:stretch>
                      <a:fillRect/>
                    </a:stretch>
                  </pic:blipFill>
                  <pic:spPr>
                    <a:xfrm>
                      <a:off x="0" y="0"/>
                      <a:ext cx="7137400" cy="38100"/>
                    </a:xfrm>
                    <a:prstGeom prst="rect">
                      <a:avLst/>
                    </a:prstGeom>
                  </pic:spPr>
                </pic:pic>
              </a:graphicData>
            </a:graphic>
          </wp:anchor>
        </w:drawing>
      </w:r>
      <w:r>
        <w:drawing>
          <wp:anchor distT="0" distB="0" distL="0" distR="0" simplePos="0" relativeHeight="251670528" behindDoc="0" locked="0" layoutInCell="1" allowOverlap="1">
            <wp:simplePos x="0" y="0"/>
            <wp:positionH relativeFrom="page">
              <wp:posOffset>1409700</wp:posOffset>
            </wp:positionH>
            <wp:positionV relativeFrom="page">
              <wp:posOffset>1562099</wp:posOffset>
            </wp:positionV>
            <wp:extent cx="7137400" cy="50800"/>
            <wp:effectExtent l="0" t="0" r="0" b="0"/>
            <wp:wrapNone/>
            <wp:docPr id="2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0.png"/>
                    <pic:cNvPicPr/>
                  </pic:nvPicPr>
                  <pic:blipFill>
                    <a:blip xmlns:r="http://schemas.openxmlformats.org/officeDocument/2006/relationships" r:embed="rId13" cstate="print"/>
                    <a:stretch>
                      <a:fillRect/>
                    </a:stretch>
                  </pic:blipFill>
                  <pic:spPr>
                    <a:xfrm>
                      <a:off x="0" y="0"/>
                      <a:ext cx="7137400" cy="50800"/>
                    </a:xfrm>
                    <a:prstGeom prst="rect">
                      <a:avLst/>
                    </a:prstGeom>
                  </pic:spPr>
                </pic:pic>
              </a:graphicData>
            </a:graphic>
          </wp:anchor>
        </w:drawing>
      </w:r>
      <w:r>
        <w:rPr>
          <w:rFonts w:ascii="幼圆"/>
          <w:position w:val="-1"/>
          <w:sz w:val="7"/>
        </w:rPr>
        <w:drawing>
          <wp:inline distT="0" distB="0" distL="0" distR="0">
            <wp:extent cx="7132224" cy="50673"/>
            <wp:effectExtent l="0" t="0" r="0" b="0"/>
            <wp:docPr id="3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2.png"/>
                    <pic:cNvPicPr/>
                  </pic:nvPicPr>
                  <pic:blipFill>
                    <a:blip xmlns:r="http://schemas.openxmlformats.org/officeDocument/2006/relationships" r:embed="rId9" cstate="print"/>
                    <a:stretch>
                      <a:fillRect/>
                    </a:stretch>
                  </pic:blipFill>
                  <pic:spPr>
                    <a:xfrm>
                      <a:off x="0" y="0"/>
                      <a:ext cx="7132224" cy="50673"/>
                    </a:xfrm>
                    <a:prstGeom prst="rect">
                      <a:avLst/>
                    </a:prstGeom>
                  </pic:spPr>
                </pic:pic>
              </a:graphicData>
            </a:graphic>
          </wp:inline>
        </w:drawing>
      </w:r>
    </w:p>
    <w:p>
      <w:pPr>
        <w:pStyle w:val="BodyText"/>
        <w:spacing w:before="4"/>
        <w:rPr>
          <w:rFonts w:ascii="幼圆"/>
          <w:sz w:val="27"/>
        </w:rPr>
      </w:pPr>
    </w:p>
    <w:p>
      <w:pPr>
        <w:pStyle w:val="ListParagraph"/>
        <w:numPr>
          <w:ilvl w:val="2"/>
          <w:numId w:val="37"/>
        </w:numPr>
        <w:tabs>
          <w:tab w:val="left" w:pos="1454"/>
        </w:tabs>
        <w:spacing w:before="59" w:after="0" w:line="240" w:lineRule="auto"/>
        <w:ind w:left="1453" w:right="0" w:hanging="810"/>
        <w:jc w:val="left"/>
        <w:rPr>
          <w:rFonts w:ascii="Times New Roman" w:eastAsia="Times New Roman"/>
          <w:sz w:val="36"/>
        </w:rPr>
      </w:pPr>
      <w:r>
        <w:rPr>
          <w:rFonts w:ascii="黑体" w:eastAsia="黑体" w:hint="eastAsia"/>
          <w:sz w:val="36"/>
        </w:rPr>
        <w:t>一期总加工流程简介</w:t>
      </w:r>
    </w:p>
    <w:p>
      <w:pPr>
        <w:pStyle w:val="BodyText"/>
        <w:spacing w:before="152" w:line="316" w:lineRule="auto"/>
        <w:ind w:left="644" w:right="2117" w:firstLine="719"/>
      </w:pPr>
      <w:r>
        <w:t>一期工程流程以先期工程煤液化总流程为基础，加工路线仍为煤液化</w:t>
      </w:r>
      <w:r>
        <w:rPr>
          <w:rFonts w:ascii="Times New Roman" w:eastAsia="Times New Roman" w:hAnsi="Times New Roman"/>
        </w:rPr>
        <w:t xml:space="preserve">—TSTAR </w:t>
      </w:r>
      <w:r>
        <w:t>加氢装置</w:t>
      </w:r>
      <w:r>
        <w:rPr>
          <w:rFonts w:ascii="Times New Roman" w:eastAsia="Times New Roman" w:hAnsi="Times New Roman"/>
        </w:rPr>
        <w:t>—</w:t>
      </w:r>
      <w:r>
        <w:t>加氢改制，围绕该加工路线仍配有催化剂制备、备煤、煤制氢、轻烃回收、脱硫等装置，以及空分等配套的公用工程系统</w:t>
      </w:r>
      <w:r>
        <w:rPr>
          <w:rFonts w:ascii="Times New Roman" w:eastAsia="Times New Roman" w:hAnsi="Times New Roman"/>
        </w:rPr>
        <w:t>(</w:t>
      </w:r>
      <w:r>
        <w:t>见附图</w:t>
      </w:r>
      <w:r>
        <w:rPr>
          <w:rFonts w:ascii="Times New Roman" w:eastAsia="Times New Roman" w:hAnsi="Times New Roman"/>
        </w:rPr>
        <w:t>)</w:t>
      </w:r>
      <w:r>
        <w:t>。</w:t>
      </w:r>
    </w:p>
    <w:p>
      <w:pPr>
        <w:pStyle w:val="BodyText"/>
        <w:spacing w:line="316" w:lineRule="auto"/>
        <w:ind w:left="644" w:right="2053" w:firstLine="719"/>
      </w:pPr>
      <w:r>
        <w:t>一期工程后两条线在先期投产成功后建设，最终产品总生产能力</w:t>
      </w:r>
      <w:r>
        <w:rPr>
          <w:spacing w:val="-45"/>
        </w:rPr>
        <w:t xml:space="preserve">为 </w:t>
      </w:r>
      <w:r>
        <w:rPr>
          <w:rFonts w:ascii="Times New Roman" w:eastAsia="Times New Roman"/>
        </w:rPr>
        <w:t xml:space="preserve">300 </w:t>
      </w:r>
      <w:r>
        <w:t>万吨</w:t>
      </w:r>
      <w:r>
        <w:rPr>
          <w:rFonts w:ascii="Times New Roman" w:eastAsia="Times New Roman"/>
        </w:rPr>
        <w:t>/</w:t>
      </w:r>
      <w:r>
        <w:t>年。一期工程除了对先期工程的装置进行扩建外，在先期</w:t>
      </w:r>
      <w:r>
        <w:rPr>
          <w:spacing w:val="-17"/>
        </w:rPr>
        <w:t xml:space="preserve">工程的基础上，一期工程增设 </w:t>
      </w:r>
      <w:r>
        <w:rPr>
          <w:rFonts w:ascii="Times New Roman" w:eastAsia="Times New Roman"/>
        </w:rPr>
        <w:t xml:space="preserve">60 </w:t>
      </w:r>
      <w:r>
        <w:t>万吨</w:t>
      </w:r>
      <w:r>
        <w:rPr>
          <w:rFonts w:ascii="Times New Roman" w:eastAsia="Times New Roman"/>
        </w:rPr>
        <w:t>/</w:t>
      </w:r>
      <w:r>
        <w:rPr>
          <w:spacing w:val="-13"/>
        </w:rPr>
        <w:t xml:space="preserve">年重整装置和 </w:t>
      </w:r>
      <w:r>
        <w:rPr>
          <w:rFonts w:ascii="Times New Roman" w:eastAsia="Times New Roman"/>
        </w:rPr>
        <w:t xml:space="preserve">25 </w:t>
      </w:r>
      <w:r>
        <w:t>万吨</w:t>
      </w:r>
      <w:r>
        <w:rPr>
          <w:rFonts w:ascii="Times New Roman" w:eastAsia="Times New Roman"/>
        </w:rPr>
        <w:t>/</w:t>
      </w:r>
      <w:r>
        <w:t>年异构化装置，由加氢改质装置生产的重石脑油供给重整装置生产高标号汽油</w:t>
      </w:r>
      <w:r>
        <w:rPr>
          <w:spacing w:val="-10"/>
        </w:rPr>
        <w:t xml:space="preserve">并富产氢气、苯和 </w:t>
      </w:r>
      <w:r>
        <w:rPr>
          <w:rFonts w:ascii="Times New Roman" w:eastAsia="Times New Roman"/>
        </w:rPr>
        <w:t xml:space="preserve">C8 </w:t>
      </w:r>
      <w:r>
        <w:rPr>
          <w:spacing w:val="-1"/>
        </w:rPr>
        <w:t xml:space="preserve">馏分、轻石脑油供给异构化装置生产异构化油， </w:t>
      </w:r>
      <w:r>
        <w:t>以提高汽油的产量；另外，为保证氢气供应并利用多余的燃料气，建</w:t>
      </w:r>
      <w:r>
        <w:rPr>
          <w:spacing w:val="-45"/>
        </w:rPr>
        <w:t xml:space="preserve">设 </w:t>
      </w:r>
      <w:r>
        <w:rPr>
          <w:rFonts w:ascii="Times New Roman" w:eastAsia="Times New Roman"/>
        </w:rPr>
        <w:t>30000Nm</w:t>
      </w:r>
      <w:r>
        <w:rPr>
          <w:rFonts w:ascii="Times New Roman" w:eastAsia="Times New Roman"/>
          <w:position w:val="3"/>
          <w:sz w:val="24"/>
        </w:rPr>
        <w:t>3</w:t>
      </w:r>
      <w:r>
        <w:rPr>
          <w:rFonts w:ascii="Times New Roman" w:eastAsia="Times New Roman"/>
        </w:rPr>
        <w:t xml:space="preserve">/h </w:t>
      </w:r>
      <w:r>
        <w:t>燃料气制氢装置。</w:t>
      </w:r>
    </w:p>
    <w:p>
      <w:pPr>
        <w:pStyle w:val="BodyText"/>
        <w:spacing w:line="459" w:lineRule="exact"/>
        <w:ind w:left="1363"/>
      </w:pPr>
      <w:r>
        <w:t>一期工程主要内容包括：</w:t>
      </w:r>
    </w:p>
    <w:p>
      <w:pPr>
        <w:pStyle w:val="ListParagraph"/>
        <w:numPr>
          <w:ilvl w:val="0"/>
          <w:numId w:val="18"/>
        </w:numPr>
        <w:tabs>
          <w:tab w:val="left" w:pos="1185"/>
        </w:tabs>
        <w:spacing w:before="145" w:after="0" w:line="240" w:lineRule="auto"/>
        <w:ind w:left="1185" w:right="0" w:hanging="541"/>
        <w:jc w:val="left"/>
        <w:rPr>
          <w:rFonts w:ascii="Times New Roman" w:eastAsia="Times New Roman"/>
          <w:sz w:val="34"/>
        </w:rPr>
      </w:pPr>
      <w:r>
        <w:rPr>
          <w:sz w:val="36"/>
        </w:rPr>
        <w:t>备煤装置新建一条大的生产线，供二、三条线煤液化装置配套；</w:t>
      </w:r>
    </w:p>
    <w:p>
      <w:pPr>
        <w:pStyle w:val="ListParagraph"/>
        <w:numPr>
          <w:ilvl w:val="0"/>
          <w:numId w:val="18"/>
        </w:numPr>
        <w:tabs>
          <w:tab w:val="left" w:pos="1185"/>
        </w:tabs>
        <w:spacing w:before="147" w:after="0" w:line="240" w:lineRule="auto"/>
        <w:ind w:left="1185" w:right="0" w:hanging="541"/>
        <w:jc w:val="left"/>
        <w:rPr>
          <w:rFonts w:ascii="Times New Roman" w:eastAsia="Times New Roman"/>
          <w:sz w:val="34"/>
        </w:rPr>
      </w:pPr>
      <w:r>
        <w:rPr>
          <w:sz w:val="36"/>
        </w:rPr>
        <w:t>催化剂制备新建一条大的生产线，供二、三条线煤液化装置配套；</w:t>
      </w:r>
    </w:p>
    <w:p>
      <w:pPr>
        <w:pStyle w:val="ListParagraph"/>
        <w:numPr>
          <w:ilvl w:val="0"/>
          <w:numId w:val="18"/>
        </w:numPr>
        <w:tabs>
          <w:tab w:val="left" w:pos="1185"/>
        </w:tabs>
        <w:spacing w:before="147" w:after="0" w:line="240" w:lineRule="auto"/>
        <w:ind w:left="1185" w:right="0" w:hanging="541"/>
        <w:jc w:val="left"/>
        <w:rPr>
          <w:rFonts w:ascii="Times New Roman" w:eastAsia="Times New Roman"/>
          <w:sz w:val="34"/>
        </w:rPr>
      </w:pPr>
      <w:r>
        <w:rPr>
          <w:sz w:val="36"/>
        </w:rPr>
        <w:t>煤液化装置配套新建两条线；</w:t>
      </w:r>
    </w:p>
    <w:p>
      <w:pPr>
        <w:pStyle w:val="ListParagraph"/>
        <w:numPr>
          <w:ilvl w:val="0"/>
          <w:numId w:val="18"/>
        </w:numPr>
        <w:tabs>
          <w:tab w:val="left" w:pos="1185"/>
        </w:tabs>
        <w:spacing w:before="148" w:after="0" w:line="240" w:lineRule="auto"/>
        <w:ind w:left="1185" w:right="0" w:hanging="541"/>
        <w:jc w:val="left"/>
        <w:rPr>
          <w:rFonts w:ascii="Times New Roman" w:eastAsia="Times New Roman"/>
          <w:sz w:val="34"/>
        </w:rPr>
      </w:pPr>
      <w:r>
        <w:rPr>
          <w:sz w:val="36"/>
        </w:rPr>
        <w:t>加氢稳定装置配套新建两条线；</w:t>
      </w:r>
    </w:p>
    <w:p>
      <w:pPr>
        <w:pStyle w:val="ListParagraph"/>
        <w:numPr>
          <w:ilvl w:val="0"/>
          <w:numId w:val="18"/>
        </w:numPr>
        <w:tabs>
          <w:tab w:val="left" w:pos="1185"/>
        </w:tabs>
        <w:spacing w:before="148" w:after="0" w:line="240" w:lineRule="auto"/>
        <w:ind w:left="1185" w:right="0" w:hanging="541"/>
        <w:jc w:val="left"/>
        <w:rPr>
          <w:rFonts w:ascii="Times New Roman" w:eastAsia="Times New Roman"/>
          <w:sz w:val="34"/>
        </w:rPr>
      </w:pPr>
      <w:r>
        <w:rPr>
          <w:sz w:val="36"/>
        </w:rPr>
        <w:t>加氢改质装置新建一条大的生产线，供煤液化装置配套；</w:t>
      </w:r>
    </w:p>
    <w:p>
      <w:pPr>
        <w:pStyle w:val="ListParagraph"/>
        <w:numPr>
          <w:ilvl w:val="0"/>
          <w:numId w:val="18"/>
        </w:numPr>
        <w:tabs>
          <w:tab w:val="left" w:pos="1185"/>
        </w:tabs>
        <w:spacing w:before="147" w:after="0" w:line="316" w:lineRule="auto"/>
        <w:ind w:left="1183" w:right="2115" w:hanging="540"/>
        <w:jc w:val="left"/>
        <w:rPr>
          <w:rFonts w:ascii="Times New Roman" w:eastAsia="Times New Roman"/>
          <w:sz w:val="34"/>
        </w:rPr>
      </w:pPr>
      <w:r>
        <w:rPr>
          <w:spacing w:val="-1"/>
          <w:sz w:val="36"/>
        </w:rPr>
        <w:t>轻烃回收、硫磺、脱硫、酸水汽提、酚回收、油渣成型均新建一条</w:t>
      </w:r>
      <w:r>
        <w:rPr>
          <w:sz w:val="36"/>
        </w:rPr>
        <w:t>大装置与煤液化后两条线配套；</w:t>
      </w:r>
    </w:p>
    <w:p>
      <w:pPr>
        <w:pStyle w:val="ListParagraph"/>
        <w:numPr>
          <w:ilvl w:val="0"/>
          <w:numId w:val="18"/>
        </w:numPr>
        <w:tabs>
          <w:tab w:val="left" w:pos="1185"/>
        </w:tabs>
        <w:spacing w:before="0" w:after="0" w:line="316" w:lineRule="auto"/>
        <w:ind w:left="1183" w:right="2205" w:hanging="540"/>
        <w:jc w:val="both"/>
        <w:rPr>
          <w:rFonts w:ascii="Times New Roman" w:eastAsia="Times New Roman"/>
          <w:sz w:val="34"/>
        </w:rPr>
      </w:pPr>
      <w:r>
        <w:rPr>
          <w:spacing w:val="-9"/>
          <w:sz w:val="36"/>
        </w:rPr>
        <w:t>煤制氢现有两条线，按原设计增加二段变压吸附和加压设备，以增</w:t>
      </w:r>
      <w:r>
        <w:rPr>
          <w:spacing w:val="-4"/>
          <w:sz w:val="36"/>
        </w:rPr>
        <w:t xml:space="preserve">加产氢率。按现有的煤制氢技术及单套规模进行平衡计算。需要 </w:t>
      </w:r>
      <w:r>
        <w:rPr>
          <w:rFonts w:ascii="Times New Roman" w:eastAsia="Times New Roman"/>
          <w:spacing w:val="-13"/>
          <w:sz w:val="36"/>
        </w:rPr>
        <w:t xml:space="preserve">5 </w:t>
      </w:r>
      <w:r>
        <w:rPr>
          <w:spacing w:val="2"/>
          <w:sz w:val="36"/>
        </w:rPr>
        <w:t xml:space="preserve">条生产线供氢。加上重整产氢，全厂还需氢约 </w:t>
      </w:r>
      <w:r>
        <w:rPr>
          <w:rFonts w:ascii="Times New Roman" w:eastAsia="Times New Roman"/>
          <w:sz w:val="36"/>
        </w:rPr>
        <w:t>30000Nm</w:t>
      </w:r>
      <w:r>
        <w:rPr>
          <w:rFonts w:ascii="Times New Roman" w:eastAsia="Times New Roman"/>
          <w:position w:val="3"/>
          <w:sz w:val="24"/>
        </w:rPr>
        <w:t>3</w:t>
      </w:r>
      <w:r>
        <w:rPr>
          <w:rFonts w:ascii="Times New Roman" w:eastAsia="Times New Roman"/>
          <w:sz w:val="36"/>
        </w:rPr>
        <w:t>/h</w:t>
      </w:r>
      <w:r>
        <w:rPr>
          <w:spacing w:val="-5"/>
          <w:sz w:val="36"/>
        </w:rPr>
        <w:t>，根据</w:t>
      </w:r>
    </w:p>
    <w:p>
      <w:pPr>
        <w:spacing w:after="0" w:line="316" w:lineRule="auto"/>
        <w:jc w:val="both"/>
        <w:rPr>
          <w:rFonts w:ascii="Times New Roman" w:eastAsia="Times New Roman"/>
          <w:sz w:val="34"/>
        </w:rPr>
        <w:sectPr>
          <w:pgSz w:w="15480" w:h="21860"/>
          <w:pgMar w:top="2080" w:right="0" w:bottom="280" w:left="1740" w:header="708" w:footer="708"/>
          <w:pgNumType w:start="28"/>
          <w:cols w:space="708"/>
        </w:sectPr>
      </w:pPr>
    </w:p>
    <w:p>
      <w:pPr>
        <w:pStyle w:val="BodyText"/>
        <w:spacing w:before="24" w:line="316" w:lineRule="auto"/>
        <w:ind w:left="1183" w:right="2115"/>
        <w:jc w:val="both"/>
      </w:pPr>
      <w:r>
        <w:drawing>
          <wp:anchor distT="0" distB="0" distL="0" distR="0" simplePos="0" relativeHeight="251672576" behindDoc="1" locked="0" layoutInCell="1" allowOverlap="1">
            <wp:simplePos x="0" y="0"/>
            <wp:positionH relativeFrom="page">
              <wp:posOffset>1397000</wp:posOffset>
            </wp:positionH>
            <wp:positionV relativeFrom="page">
              <wp:posOffset>7632699</wp:posOffset>
            </wp:positionV>
            <wp:extent cx="7132224" cy="50673"/>
            <wp:effectExtent l="0" t="0" r="0" b="0"/>
            <wp:wrapNone/>
            <wp:docPr id="3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2.png"/>
                    <pic:cNvPicPr/>
                  </pic:nvPicPr>
                  <pic:blipFill>
                    <a:blip xmlns:r="http://schemas.openxmlformats.org/officeDocument/2006/relationships" r:embed="rId9" cstate="print"/>
                    <a:stretch>
                      <a:fillRect/>
                    </a:stretch>
                  </pic:blipFill>
                  <pic:spPr>
                    <a:xfrm>
                      <a:off x="0" y="0"/>
                      <a:ext cx="7132224" cy="50673"/>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1409700</wp:posOffset>
            </wp:positionH>
            <wp:positionV relativeFrom="page">
              <wp:posOffset>8432799</wp:posOffset>
            </wp:positionV>
            <wp:extent cx="7119556" cy="38004"/>
            <wp:effectExtent l="0" t="0" r="0" b="0"/>
            <wp:wrapNone/>
            <wp:docPr id="3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9.png"/>
                    <pic:cNvPicPr/>
                  </pic:nvPicPr>
                  <pic:blipFill>
                    <a:blip xmlns:r="http://schemas.openxmlformats.org/officeDocument/2006/relationships" r:embed="rId12" cstate="print"/>
                    <a:stretch>
                      <a:fillRect/>
                    </a:stretch>
                  </pic:blipFill>
                  <pic:spPr>
                    <a:xfrm>
                      <a:off x="0" y="0"/>
                      <a:ext cx="7119556" cy="38004"/>
                    </a:xfrm>
                    <a:prstGeom prst="rect">
                      <a:avLst/>
                    </a:prstGeom>
                  </pic:spPr>
                </pic:pic>
              </a:graphicData>
            </a:graphic>
          </wp:anchor>
        </w:drawing>
      </w:r>
      <w:r>
        <w:drawing>
          <wp:anchor distT="0" distB="0" distL="0" distR="0" simplePos="0" relativeHeight="251675648" behindDoc="1" locked="0" layoutInCell="1" allowOverlap="1">
            <wp:simplePos x="0" y="0"/>
            <wp:positionH relativeFrom="page">
              <wp:posOffset>1409700</wp:posOffset>
            </wp:positionH>
            <wp:positionV relativeFrom="page">
              <wp:posOffset>8115299</wp:posOffset>
            </wp:positionV>
            <wp:extent cx="7119556" cy="50673"/>
            <wp:effectExtent l="0" t="0" r="0" b="0"/>
            <wp:wrapNone/>
            <wp:docPr id="3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0.png"/>
                    <pic:cNvPicPr/>
                  </pic:nvPicPr>
                  <pic:blipFill>
                    <a:blip xmlns:r="http://schemas.openxmlformats.org/officeDocument/2006/relationships" r:embed="rId13" cstate="print"/>
                    <a:stretch>
                      <a:fillRect/>
                    </a:stretch>
                  </pic:blipFill>
                  <pic:spPr>
                    <a:xfrm>
                      <a:off x="0" y="0"/>
                      <a:ext cx="7119556" cy="50673"/>
                    </a:xfrm>
                    <a:prstGeom prst="rect">
                      <a:avLst/>
                    </a:prstGeom>
                  </pic:spPr>
                </pic:pic>
              </a:graphicData>
            </a:graphic>
          </wp:anchor>
        </w:drawing>
      </w:r>
      <w:r>
        <w:t>全厂自产燃料气平衡，还多余相当数量的气体，鉴于现有，煤气化技术在应用中还存在较多的问题，因此在后三条线气化技术的选择上需在实施前认真的选择。</w:t>
      </w:r>
    </w:p>
    <w:p>
      <w:pPr>
        <w:pStyle w:val="ListParagraph"/>
        <w:numPr>
          <w:ilvl w:val="0"/>
          <w:numId w:val="18"/>
        </w:numPr>
        <w:tabs>
          <w:tab w:val="left" w:pos="1185"/>
        </w:tabs>
        <w:spacing w:before="0" w:after="0" w:line="316" w:lineRule="auto"/>
        <w:ind w:left="1183" w:right="2205" w:hanging="540"/>
        <w:jc w:val="left"/>
        <w:rPr>
          <w:rFonts w:ascii="Arial" w:eastAsia="Arial"/>
          <w:sz w:val="34"/>
        </w:rPr>
      </w:pPr>
      <w:r>
        <w:rPr>
          <w:spacing w:val="-37"/>
          <w:sz w:val="36"/>
        </w:rPr>
        <w:t xml:space="preserve">增加 </w:t>
      </w:r>
      <w:r>
        <w:rPr>
          <w:rFonts w:ascii="Arial" w:eastAsia="Arial"/>
          <w:sz w:val="36"/>
        </w:rPr>
        <w:t>60</w:t>
      </w:r>
      <w:r>
        <w:rPr>
          <w:rFonts w:ascii="Arial" w:eastAsia="Arial"/>
          <w:spacing w:val="-30"/>
          <w:sz w:val="36"/>
        </w:rPr>
        <w:t xml:space="preserve"> </w:t>
      </w:r>
      <w:r>
        <w:rPr>
          <w:sz w:val="36"/>
        </w:rPr>
        <w:t>万吨</w:t>
      </w:r>
      <w:r>
        <w:rPr>
          <w:rFonts w:ascii="Arial" w:eastAsia="Arial"/>
          <w:sz w:val="36"/>
        </w:rPr>
        <w:t>/</w:t>
      </w:r>
      <w:r>
        <w:rPr>
          <w:spacing w:val="-16"/>
          <w:sz w:val="36"/>
        </w:rPr>
        <w:t xml:space="preserve">年连续重整和 </w:t>
      </w:r>
      <w:r>
        <w:rPr>
          <w:rFonts w:ascii="Arial" w:eastAsia="Arial"/>
          <w:sz w:val="36"/>
        </w:rPr>
        <w:t>20</w:t>
      </w:r>
      <w:r>
        <w:rPr>
          <w:rFonts w:ascii="Arial" w:eastAsia="Arial"/>
          <w:spacing w:val="-30"/>
          <w:sz w:val="36"/>
        </w:rPr>
        <w:t xml:space="preserve"> </w:t>
      </w:r>
      <w:r>
        <w:rPr>
          <w:sz w:val="36"/>
        </w:rPr>
        <w:t>万吨</w:t>
      </w:r>
      <w:r>
        <w:rPr>
          <w:rFonts w:ascii="Arial" w:eastAsia="Arial"/>
          <w:sz w:val="36"/>
        </w:rPr>
        <w:t>/</w:t>
      </w:r>
      <w:r>
        <w:rPr>
          <w:spacing w:val="-21"/>
          <w:sz w:val="36"/>
        </w:rPr>
        <w:t xml:space="preserve">年异构化装置，可供生产 </w:t>
      </w:r>
      <w:r>
        <w:rPr>
          <w:rFonts w:ascii="Arial" w:eastAsia="Arial"/>
          <w:sz w:val="36"/>
        </w:rPr>
        <w:t>93</w:t>
      </w:r>
      <w:r>
        <w:rPr>
          <w:rFonts w:ascii="Arial" w:eastAsia="Arial"/>
          <w:spacing w:val="-30"/>
          <w:sz w:val="36"/>
        </w:rPr>
        <w:t xml:space="preserve"> </w:t>
      </w:r>
      <w:r>
        <w:rPr>
          <w:spacing w:val="-11"/>
          <w:sz w:val="36"/>
        </w:rPr>
        <w:t>号</w:t>
      </w:r>
      <w:r>
        <w:rPr>
          <w:spacing w:val="-9"/>
          <w:sz w:val="36"/>
        </w:rPr>
        <w:t xml:space="preserve">清洁汽油，还可生产约 </w:t>
      </w:r>
      <w:r>
        <w:rPr>
          <w:rFonts w:ascii="Arial" w:eastAsia="Arial"/>
          <w:sz w:val="36"/>
        </w:rPr>
        <w:t>17</w:t>
      </w:r>
      <w:r>
        <w:rPr>
          <w:rFonts w:ascii="Arial" w:eastAsia="Arial"/>
          <w:spacing w:val="-12"/>
          <w:sz w:val="36"/>
        </w:rPr>
        <w:t xml:space="preserve"> </w:t>
      </w:r>
      <w:r>
        <w:rPr>
          <w:sz w:val="36"/>
        </w:rPr>
        <w:t>万吨</w:t>
      </w:r>
      <w:r>
        <w:rPr>
          <w:rFonts w:ascii="Arial" w:eastAsia="Arial"/>
          <w:sz w:val="36"/>
        </w:rPr>
        <w:t>/</w:t>
      </w:r>
      <w:r>
        <w:rPr>
          <w:sz w:val="36"/>
        </w:rPr>
        <w:t>年的芳烃。</w:t>
      </w:r>
    </w:p>
    <w:p>
      <w:pPr>
        <w:pStyle w:val="BodyText"/>
        <w:spacing w:line="460" w:lineRule="exact"/>
        <w:ind w:left="644"/>
      </w:pPr>
      <w:r>
        <w:drawing>
          <wp:anchor distT="0" distB="0" distL="0" distR="0" simplePos="0" relativeHeight="251671552" behindDoc="1" locked="0" layoutInCell="1" allowOverlap="1">
            <wp:simplePos x="0" y="0"/>
            <wp:positionH relativeFrom="page">
              <wp:posOffset>1409700</wp:posOffset>
            </wp:positionH>
            <wp:positionV relativeFrom="paragraph">
              <wp:posOffset>1113345</wp:posOffset>
            </wp:positionV>
            <wp:extent cx="7119556" cy="38004"/>
            <wp:effectExtent l="0" t="0" r="0" b="0"/>
            <wp:wrapNone/>
            <wp:docPr id="3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3.png"/>
                    <pic:cNvPicPr/>
                  </pic:nvPicPr>
                  <pic:blipFill>
                    <a:blip xmlns:r="http://schemas.openxmlformats.org/officeDocument/2006/relationships" r:embed="rId15" cstate="print"/>
                    <a:stretch>
                      <a:fillRect/>
                    </a:stretch>
                  </pic:blipFill>
                  <pic:spPr>
                    <a:xfrm>
                      <a:off x="0" y="0"/>
                      <a:ext cx="7119556" cy="38004"/>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1409700</wp:posOffset>
            </wp:positionH>
            <wp:positionV relativeFrom="paragraph">
              <wp:posOffset>783145</wp:posOffset>
            </wp:positionV>
            <wp:extent cx="7119556" cy="50673"/>
            <wp:effectExtent l="0" t="0" r="0" b="0"/>
            <wp:wrapNone/>
            <wp:docPr id="4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4.png"/>
                    <pic:cNvPicPr/>
                  </pic:nvPicPr>
                  <pic:blipFill>
                    <a:blip xmlns:r="http://schemas.openxmlformats.org/officeDocument/2006/relationships" r:embed="rId16" cstate="print"/>
                    <a:stretch>
                      <a:fillRect/>
                    </a:stretch>
                  </pic:blipFill>
                  <pic:spPr>
                    <a:xfrm>
                      <a:off x="0" y="0"/>
                      <a:ext cx="7119556" cy="50673"/>
                    </a:xfrm>
                    <a:prstGeom prst="rect">
                      <a:avLst/>
                    </a:prstGeom>
                  </pic:spPr>
                </pic:pic>
              </a:graphicData>
            </a:graphic>
          </wp:anchor>
        </w:drawing>
      </w:r>
      <w:r>
        <w:t>一期工程物料平衡见下表。</w:t>
      </w:r>
    </w:p>
    <w:p>
      <w:pPr>
        <w:pStyle w:val="BodyText"/>
        <w:spacing w:before="10"/>
        <w:rPr>
          <w:sz w:val="29"/>
        </w:rPr>
      </w:pPr>
    </w:p>
    <w:tbl>
      <w:tblPr>
        <w:tblStyle w:val="TableNormal2"/>
        <w:tblW w:w="0" w:type="auto"/>
        <w:jc w:val="left"/>
        <w:tblInd w:w="8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48"/>
        <w:gridCol w:w="5042"/>
        <w:gridCol w:w="4760"/>
      </w:tblGrid>
      <w:tr>
        <w:tblPrEx>
          <w:tblW w:w="0" w:type="auto"/>
          <w:jc w:val="left"/>
          <w:tblInd w:w="8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35"/>
          <w:jc w:val="left"/>
        </w:trPr>
        <w:tc>
          <w:tcPr>
            <w:tcW w:w="948" w:type="dxa"/>
          </w:tcPr>
          <w:p>
            <w:pPr>
              <w:pStyle w:val="TableParagraph"/>
              <w:spacing w:before="11"/>
              <w:rPr>
                <w:rFonts w:ascii="宋体"/>
                <w:sz w:val="39"/>
              </w:rPr>
            </w:pPr>
          </w:p>
          <w:p>
            <w:pPr>
              <w:pStyle w:val="TableParagraph"/>
              <w:ind w:left="38" w:right="250"/>
              <w:jc w:val="center"/>
              <w:rPr>
                <w:rFonts w:ascii="黑体" w:eastAsia="黑体" w:hint="eastAsia"/>
                <w:sz w:val="31"/>
              </w:rPr>
            </w:pPr>
            <w:r>
              <w:rPr>
                <w:rFonts w:ascii="黑体" w:eastAsia="黑体" w:hint="eastAsia"/>
                <w:sz w:val="31"/>
              </w:rPr>
              <w:t>序号</w:t>
            </w:r>
          </w:p>
        </w:tc>
        <w:tc>
          <w:tcPr>
            <w:tcW w:w="9802" w:type="dxa"/>
            <w:gridSpan w:val="2"/>
          </w:tcPr>
          <w:p>
            <w:pPr>
              <w:pStyle w:val="TableParagraph"/>
              <w:tabs>
                <w:tab w:val="left" w:pos="7772"/>
              </w:tabs>
              <w:spacing w:line="396" w:lineRule="exact"/>
              <w:ind w:left="1287"/>
              <w:rPr>
                <w:rFonts w:ascii="黑体" w:eastAsia="黑体" w:hint="eastAsia"/>
                <w:sz w:val="31"/>
              </w:rPr>
            </w:pPr>
            <w:r>
              <w:rPr>
                <w:rFonts w:ascii="黑体" w:eastAsia="黑体" w:hint="eastAsia"/>
                <w:sz w:val="31"/>
              </w:rPr>
              <w:t>表</w:t>
            </w:r>
            <w:r>
              <w:rPr>
                <w:rFonts w:ascii="黑体" w:eastAsia="黑体" w:hint="eastAsia"/>
                <w:spacing w:val="-71"/>
                <w:sz w:val="31"/>
              </w:rPr>
              <w:t xml:space="preserve"> </w:t>
            </w:r>
            <w:r>
              <w:rPr>
                <w:sz w:val="31"/>
              </w:rPr>
              <w:t xml:space="preserve">3-5 </w:t>
            </w:r>
            <w:r>
              <w:rPr>
                <w:spacing w:val="1"/>
                <w:sz w:val="31"/>
              </w:rPr>
              <w:t xml:space="preserve"> </w:t>
            </w:r>
            <w:r>
              <w:rPr>
                <w:rFonts w:ascii="黑体" w:eastAsia="黑体" w:hint="eastAsia"/>
                <w:sz w:val="31"/>
              </w:rPr>
              <w:t>一期总物料平衡（原料）</w:t>
              <w:tab/>
              <w:t>单位：万</w:t>
            </w:r>
            <w:r>
              <w:rPr>
                <w:rFonts w:ascii="黑体" w:eastAsia="黑体" w:hint="eastAsia"/>
                <w:spacing w:val="-8"/>
                <w:sz w:val="31"/>
              </w:rPr>
              <w:t>吨</w:t>
            </w:r>
            <w:r>
              <w:rPr>
                <w:sz w:val="31"/>
              </w:rPr>
              <w:t>/</w:t>
            </w:r>
            <w:r>
              <w:rPr>
                <w:rFonts w:ascii="黑体" w:eastAsia="黑体" w:hint="eastAsia"/>
                <w:sz w:val="31"/>
              </w:rPr>
              <w:t>年</w:t>
            </w:r>
          </w:p>
          <w:p>
            <w:pPr>
              <w:pStyle w:val="TableParagraph"/>
              <w:tabs>
                <w:tab w:val="left" w:pos="7163"/>
              </w:tabs>
              <w:spacing w:before="115"/>
              <w:ind w:left="264"/>
              <w:rPr>
                <w:rFonts w:ascii="黑体" w:eastAsia="黑体" w:hint="eastAsia"/>
                <w:sz w:val="31"/>
              </w:rPr>
            </w:pPr>
            <w:r>
              <w:rPr>
                <w:rFonts w:ascii="黑体" w:eastAsia="黑体" w:hint="eastAsia"/>
                <w:sz w:val="31"/>
              </w:rPr>
              <w:t>物料平衡</w:t>
              <w:tab/>
              <w:t>数量</w:t>
            </w:r>
          </w:p>
        </w:tc>
      </w:tr>
      <w:tr>
        <w:tblPrEx>
          <w:tblW w:w="0" w:type="auto"/>
          <w:jc w:val="left"/>
          <w:tblInd w:w="810" w:type="dxa"/>
          <w:tblLayout w:type="fixed"/>
          <w:tblCellMar>
            <w:top w:w="0" w:type="dxa"/>
            <w:left w:w="0" w:type="dxa"/>
            <w:bottom w:w="0" w:type="dxa"/>
            <w:right w:w="0" w:type="dxa"/>
          </w:tblCellMar>
          <w:tblLook w:val="01E0"/>
        </w:tblPrEx>
        <w:trPr>
          <w:trHeight w:val="480"/>
          <w:jc w:val="left"/>
        </w:trPr>
        <w:tc>
          <w:tcPr>
            <w:tcW w:w="948" w:type="dxa"/>
          </w:tcPr>
          <w:p>
            <w:pPr>
              <w:pStyle w:val="TableParagraph"/>
              <w:spacing w:before="88"/>
              <w:ind w:right="219"/>
              <w:jc w:val="center"/>
              <w:rPr>
                <w:sz w:val="31"/>
              </w:rPr>
            </w:pPr>
            <w:r>
              <w:rPr>
                <w:w w:val="91"/>
                <w:sz w:val="31"/>
              </w:rPr>
              <w:t>1</w:t>
            </w:r>
          </w:p>
        </w:tc>
        <w:tc>
          <w:tcPr>
            <w:tcW w:w="5042" w:type="dxa"/>
          </w:tcPr>
          <w:p>
            <w:pPr>
              <w:pStyle w:val="TableParagraph"/>
              <w:spacing w:before="69" w:line="392" w:lineRule="exact"/>
              <w:ind w:left="264"/>
              <w:rPr>
                <w:rFonts w:ascii="黑体" w:eastAsia="黑体" w:hint="eastAsia"/>
                <w:sz w:val="31"/>
              </w:rPr>
            </w:pPr>
            <w:r>
              <w:rPr>
                <w:rFonts w:ascii="黑体" w:eastAsia="黑体" w:hint="eastAsia"/>
                <w:sz w:val="31"/>
              </w:rPr>
              <w:t>进厂原煤</w:t>
            </w:r>
          </w:p>
        </w:tc>
        <w:tc>
          <w:tcPr>
            <w:tcW w:w="4760" w:type="dxa"/>
          </w:tcPr>
          <w:p>
            <w:pPr>
              <w:pStyle w:val="TableParagraph"/>
              <w:spacing w:before="88"/>
              <w:ind w:left="1865" w:right="1734"/>
              <w:jc w:val="center"/>
              <w:rPr>
                <w:sz w:val="31"/>
              </w:rPr>
            </w:pPr>
            <w:r>
              <w:rPr>
                <w:sz w:val="31"/>
              </w:rPr>
              <w:t>1180.69</w:t>
            </w:r>
          </w:p>
        </w:tc>
      </w:tr>
      <w:tr>
        <w:tblPrEx>
          <w:tblW w:w="0" w:type="auto"/>
          <w:jc w:val="left"/>
          <w:tblInd w:w="810" w:type="dxa"/>
          <w:tblLayout w:type="fixed"/>
          <w:tblCellMar>
            <w:top w:w="0" w:type="dxa"/>
            <w:left w:w="0" w:type="dxa"/>
            <w:bottom w:w="0" w:type="dxa"/>
            <w:right w:w="0" w:type="dxa"/>
          </w:tblCellMar>
          <w:tblLook w:val="01E0"/>
        </w:tblPrEx>
        <w:trPr>
          <w:trHeight w:val="467"/>
          <w:jc w:val="left"/>
        </w:trPr>
        <w:tc>
          <w:tcPr>
            <w:tcW w:w="948" w:type="dxa"/>
          </w:tcPr>
          <w:p>
            <w:pPr>
              <w:pStyle w:val="TableParagraph"/>
              <w:rPr>
                <w:rFonts w:ascii="Times New Roman"/>
                <w:sz w:val="32"/>
              </w:rPr>
            </w:pPr>
          </w:p>
        </w:tc>
        <w:tc>
          <w:tcPr>
            <w:tcW w:w="5042" w:type="dxa"/>
          </w:tcPr>
          <w:p>
            <w:pPr>
              <w:pStyle w:val="TableParagraph"/>
              <w:spacing w:before="56" w:line="392" w:lineRule="exact"/>
              <w:ind w:left="264"/>
              <w:rPr>
                <w:rFonts w:ascii="黑体" w:eastAsia="黑体" w:hint="eastAsia"/>
                <w:sz w:val="31"/>
              </w:rPr>
            </w:pPr>
            <w:r>
              <w:rPr>
                <w:rFonts w:ascii="黑体" w:eastAsia="黑体" w:hint="eastAsia"/>
                <w:sz w:val="31"/>
              </w:rPr>
              <w:t>其中：配液化用精煤</w:t>
            </w:r>
          </w:p>
        </w:tc>
        <w:tc>
          <w:tcPr>
            <w:tcW w:w="4760" w:type="dxa"/>
          </w:tcPr>
          <w:p>
            <w:pPr>
              <w:pStyle w:val="TableParagraph"/>
              <w:spacing w:before="75"/>
              <w:ind w:left="1850" w:right="1734"/>
              <w:jc w:val="center"/>
              <w:rPr>
                <w:sz w:val="31"/>
              </w:rPr>
            </w:pPr>
            <w:r>
              <w:rPr>
                <w:sz w:val="31"/>
              </w:rPr>
              <w:t>571.45</w:t>
            </w:r>
          </w:p>
        </w:tc>
      </w:tr>
      <w:tr>
        <w:tblPrEx>
          <w:tblW w:w="0" w:type="auto"/>
          <w:jc w:val="left"/>
          <w:tblInd w:w="810" w:type="dxa"/>
          <w:tblLayout w:type="fixed"/>
          <w:tblCellMar>
            <w:top w:w="0" w:type="dxa"/>
            <w:left w:w="0" w:type="dxa"/>
            <w:bottom w:w="0" w:type="dxa"/>
            <w:right w:w="0" w:type="dxa"/>
          </w:tblCellMar>
          <w:tblLook w:val="01E0"/>
        </w:tblPrEx>
        <w:trPr>
          <w:trHeight w:val="468"/>
          <w:jc w:val="left"/>
        </w:trPr>
        <w:tc>
          <w:tcPr>
            <w:tcW w:w="948" w:type="dxa"/>
          </w:tcPr>
          <w:p>
            <w:pPr>
              <w:pStyle w:val="TableParagraph"/>
              <w:rPr>
                <w:rFonts w:ascii="Times New Roman"/>
                <w:sz w:val="32"/>
              </w:rPr>
            </w:pPr>
          </w:p>
        </w:tc>
        <w:tc>
          <w:tcPr>
            <w:tcW w:w="5042" w:type="dxa"/>
          </w:tcPr>
          <w:p>
            <w:pPr>
              <w:pStyle w:val="TableParagraph"/>
              <w:spacing w:before="56" w:line="392" w:lineRule="exact"/>
              <w:ind w:left="264"/>
              <w:rPr>
                <w:rFonts w:ascii="黑体" w:eastAsia="黑体" w:hint="eastAsia"/>
                <w:sz w:val="31"/>
              </w:rPr>
            </w:pPr>
            <w:r>
              <w:rPr>
                <w:rFonts w:ascii="黑体" w:eastAsia="黑体" w:hint="eastAsia"/>
                <w:sz w:val="31"/>
              </w:rPr>
              <w:t>配催化剂用精煤</w:t>
            </w:r>
          </w:p>
        </w:tc>
        <w:tc>
          <w:tcPr>
            <w:tcW w:w="4760" w:type="dxa"/>
          </w:tcPr>
          <w:p>
            <w:pPr>
              <w:pStyle w:val="TableParagraph"/>
              <w:spacing w:before="75"/>
              <w:ind w:left="1850" w:right="1734"/>
              <w:jc w:val="center"/>
              <w:rPr>
                <w:sz w:val="31"/>
              </w:rPr>
            </w:pPr>
            <w:r>
              <w:rPr>
                <w:sz w:val="31"/>
              </w:rPr>
              <w:t>100.34</w:t>
            </w:r>
          </w:p>
        </w:tc>
      </w:tr>
      <w:tr>
        <w:tblPrEx>
          <w:tblW w:w="0" w:type="auto"/>
          <w:jc w:val="left"/>
          <w:tblInd w:w="810" w:type="dxa"/>
          <w:tblLayout w:type="fixed"/>
          <w:tblCellMar>
            <w:top w:w="0" w:type="dxa"/>
            <w:left w:w="0" w:type="dxa"/>
            <w:bottom w:w="0" w:type="dxa"/>
            <w:right w:w="0" w:type="dxa"/>
          </w:tblCellMar>
          <w:tblLook w:val="01E0"/>
        </w:tblPrEx>
        <w:trPr>
          <w:trHeight w:val="467"/>
          <w:jc w:val="left"/>
        </w:trPr>
        <w:tc>
          <w:tcPr>
            <w:tcW w:w="948" w:type="dxa"/>
          </w:tcPr>
          <w:p>
            <w:pPr>
              <w:pStyle w:val="TableParagraph"/>
              <w:rPr>
                <w:rFonts w:ascii="Times New Roman"/>
                <w:sz w:val="32"/>
              </w:rPr>
            </w:pPr>
          </w:p>
        </w:tc>
        <w:tc>
          <w:tcPr>
            <w:tcW w:w="5042" w:type="dxa"/>
          </w:tcPr>
          <w:p>
            <w:pPr>
              <w:pStyle w:val="TableParagraph"/>
              <w:spacing w:before="56" w:line="392" w:lineRule="exact"/>
              <w:ind w:left="264"/>
              <w:rPr>
                <w:rFonts w:ascii="黑体" w:eastAsia="黑体" w:hint="eastAsia"/>
                <w:sz w:val="31"/>
              </w:rPr>
            </w:pPr>
            <w:r>
              <w:rPr>
                <w:rFonts w:ascii="黑体" w:eastAsia="黑体" w:hint="eastAsia"/>
                <w:sz w:val="31"/>
              </w:rPr>
              <w:t>制氢用原煤</w:t>
            </w:r>
          </w:p>
        </w:tc>
        <w:tc>
          <w:tcPr>
            <w:tcW w:w="4760" w:type="dxa"/>
          </w:tcPr>
          <w:p>
            <w:pPr>
              <w:pStyle w:val="TableParagraph"/>
              <w:spacing w:before="75"/>
              <w:ind w:left="1850" w:right="1734"/>
              <w:jc w:val="center"/>
              <w:rPr>
                <w:sz w:val="31"/>
              </w:rPr>
            </w:pPr>
            <w:r>
              <w:rPr>
                <w:sz w:val="31"/>
              </w:rPr>
              <w:t>386.83</w:t>
            </w:r>
          </w:p>
        </w:tc>
      </w:tr>
      <w:tr>
        <w:tblPrEx>
          <w:tblW w:w="0" w:type="auto"/>
          <w:jc w:val="left"/>
          <w:tblInd w:w="810" w:type="dxa"/>
          <w:tblLayout w:type="fixed"/>
          <w:tblCellMar>
            <w:top w:w="0" w:type="dxa"/>
            <w:left w:w="0" w:type="dxa"/>
            <w:bottom w:w="0" w:type="dxa"/>
            <w:right w:w="0" w:type="dxa"/>
          </w:tblCellMar>
          <w:tblLook w:val="01E0"/>
        </w:tblPrEx>
        <w:trPr>
          <w:trHeight w:val="467"/>
          <w:jc w:val="left"/>
        </w:trPr>
        <w:tc>
          <w:tcPr>
            <w:tcW w:w="948" w:type="dxa"/>
          </w:tcPr>
          <w:p>
            <w:pPr>
              <w:pStyle w:val="TableParagraph"/>
              <w:rPr>
                <w:rFonts w:ascii="Times New Roman"/>
                <w:sz w:val="32"/>
              </w:rPr>
            </w:pPr>
          </w:p>
        </w:tc>
        <w:tc>
          <w:tcPr>
            <w:tcW w:w="5042" w:type="dxa"/>
          </w:tcPr>
          <w:p>
            <w:pPr>
              <w:pStyle w:val="TableParagraph"/>
              <w:spacing w:before="56" w:line="392" w:lineRule="exact"/>
              <w:ind w:left="264"/>
              <w:rPr>
                <w:rFonts w:ascii="黑体" w:eastAsia="黑体" w:hint="eastAsia"/>
                <w:sz w:val="31"/>
              </w:rPr>
            </w:pPr>
            <w:r>
              <w:rPr>
                <w:rFonts w:ascii="黑体" w:eastAsia="黑体" w:hint="eastAsia"/>
                <w:sz w:val="31"/>
              </w:rPr>
              <w:t>锅炉用洗中煤及煤泥</w:t>
            </w:r>
          </w:p>
        </w:tc>
        <w:tc>
          <w:tcPr>
            <w:tcW w:w="4760" w:type="dxa"/>
          </w:tcPr>
          <w:p>
            <w:pPr>
              <w:pStyle w:val="TableParagraph"/>
              <w:spacing w:before="75"/>
              <w:ind w:left="1850" w:right="1734"/>
              <w:jc w:val="center"/>
              <w:rPr>
                <w:sz w:val="31"/>
              </w:rPr>
            </w:pPr>
            <w:r>
              <w:rPr>
                <w:sz w:val="31"/>
              </w:rPr>
              <w:t>122.07</w:t>
            </w:r>
          </w:p>
        </w:tc>
      </w:tr>
      <w:tr>
        <w:tblPrEx>
          <w:tblW w:w="0" w:type="auto"/>
          <w:jc w:val="left"/>
          <w:tblInd w:w="810" w:type="dxa"/>
          <w:tblLayout w:type="fixed"/>
          <w:tblCellMar>
            <w:top w:w="0" w:type="dxa"/>
            <w:left w:w="0" w:type="dxa"/>
            <w:bottom w:w="0" w:type="dxa"/>
            <w:right w:w="0" w:type="dxa"/>
          </w:tblCellMar>
          <w:tblLook w:val="01E0"/>
        </w:tblPrEx>
        <w:trPr>
          <w:trHeight w:val="467"/>
          <w:jc w:val="left"/>
        </w:trPr>
        <w:tc>
          <w:tcPr>
            <w:tcW w:w="948" w:type="dxa"/>
          </w:tcPr>
          <w:p>
            <w:pPr>
              <w:pStyle w:val="TableParagraph"/>
              <w:spacing w:before="75"/>
              <w:ind w:right="219"/>
              <w:jc w:val="center"/>
              <w:rPr>
                <w:sz w:val="31"/>
              </w:rPr>
            </w:pPr>
            <w:r>
              <w:rPr>
                <w:w w:val="91"/>
                <w:sz w:val="31"/>
              </w:rPr>
              <w:t>2</w:t>
            </w:r>
          </w:p>
        </w:tc>
        <w:tc>
          <w:tcPr>
            <w:tcW w:w="5042" w:type="dxa"/>
          </w:tcPr>
          <w:p>
            <w:pPr>
              <w:pStyle w:val="TableParagraph"/>
              <w:spacing w:before="56" w:line="392" w:lineRule="exact"/>
              <w:ind w:left="264"/>
              <w:rPr>
                <w:rFonts w:ascii="黑体" w:eastAsia="黑体" w:hint="eastAsia"/>
                <w:sz w:val="31"/>
              </w:rPr>
            </w:pPr>
            <w:r>
              <w:rPr>
                <w:rFonts w:ascii="黑体" w:eastAsia="黑体" w:hint="eastAsia"/>
                <w:sz w:val="31"/>
              </w:rPr>
              <w:t>外购硫磺</w:t>
            </w:r>
          </w:p>
        </w:tc>
        <w:tc>
          <w:tcPr>
            <w:tcW w:w="4760" w:type="dxa"/>
          </w:tcPr>
          <w:p>
            <w:pPr>
              <w:pStyle w:val="TableParagraph"/>
              <w:spacing w:before="75"/>
              <w:ind w:left="1850" w:right="1734"/>
              <w:jc w:val="center"/>
              <w:rPr>
                <w:sz w:val="31"/>
              </w:rPr>
            </w:pPr>
            <w:r>
              <w:rPr>
                <w:sz w:val="31"/>
              </w:rPr>
              <w:t>0.51</w:t>
            </w:r>
          </w:p>
        </w:tc>
      </w:tr>
      <w:tr>
        <w:tblPrEx>
          <w:tblW w:w="0" w:type="auto"/>
          <w:jc w:val="left"/>
          <w:tblInd w:w="810" w:type="dxa"/>
          <w:tblLayout w:type="fixed"/>
          <w:tblCellMar>
            <w:top w:w="0" w:type="dxa"/>
            <w:left w:w="0" w:type="dxa"/>
            <w:bottom w:w="0" w:type="dxa"/>
            <w:right w:w="0" w:type="dxa"/>
          </w:tblCellMar>
          <w:tblLook w:val="01E0"/>
        </w:tblPrEx>
        <w:trPr>
          <w:trHeight w:val="467"/>
          <w:jc w:val="left"/>
        </w:trPr>
        <w:tc>
          <w:tcPr>
            <w:tcW w:w="948" w:type="dxa"/>
          </w:tcPr>
          <w:p>
            <w:pPr>
              <w:pStyle w:val="TableParagraph"/>
              <w:spacing w:before="75"/>
              <w:ind w:right="219"/>
              <w:jc w:val="center"/>
              <w:rPr>
                <w:sz w:val="31"/>
              </w:rPr>
            </w:pPr>
            <w:r>
              <w:rPr>
                <w:w w:val="91"/>
                <w:sz w:val="31"/>
              </w:rPr>
              <w:t>3</w:t>
            </w:r>
          </w:p>
        </w:tc>
        <w:tc>
          <w:tcPr>
            <w:tcW w:w="5042" w:type="dxa"/>
          </w:tcPr>
          <w:p>
            <w:pPr>
              <w:pStyle w:val="TableParagraph"/>
              <w:spacing w:before="56" w:line="392" w:lineRule="exact"/>
              <w:ind w:left="264"/>
              <w:rPr>
                <w:rFonts w:ascii="黑体" w:eastAsia="黑体" w:hint="eastAsia"/>
                <w:sz w:val="31"/>
              </w:rPr>
            </w:pPr>
            <w:r>
              <w:rPr>
                <w:rFonts w:ascii="黑体" w:eastAsia="黑体" w:hint="eastAsia"/>
                <w:sz w:val="31"/>
              </w:rPr>
              <w:t>外购硫化物</w:t>
            </w:r>
          </w:p>
        </w:tc>
        <w:tc>
          <w:tcPr>
            <w:tcW w:w="4760" w:type="dxa"/>
          </w:tcPr>
          <w:p>
            <w:pPr>
              <w:pStyle w:val="TableParagraph"/>
              <w:spacing w:before="75"/>
              <w:ind w:left="1850" w:right="1734"/>
              <w:jc w:val="center"/>
              <w:rPr>
                <w:sz w:val="31"/>
              </w:rPr>
            </w:pPr>
            <w:r>
              <w:rPr>
                <w:sz w:val="31"/>
              </w:rPr>
              <w:t>0.345</w:t>
            </w:r>
          </w:p>
        </w:tc>
      </w:tr>
      <w:tr>
        <w:tblPrEx>
          <w:tblW w:w="0" w:type="auto"/>
          <w:jc w:val="left"/>
          <w:tblInd w:w="810" w:type="dxa"/>
          <w:tblLayout w:type="fixed"/>
          <w:tblCellMar>
            <w:top w:w="0" w:type="dxa"/>
            <w:left w:w="0" w:type="dxa"/>
            <w:bottom w:w="0" w:type="dxa"/>
            <w:right w:w="0" w:type="dxa"/>
          </w:tblCellMar>
          <w:tblLook w:val="01E0"/>
        </w:tblPrEx>
        <w:trPr>
          <w:trHeight w:val="468"/>
          <w:jc w:val="left"/>
        </w:trPr>
        <w:tc>
          <w:tcPr>
            <w:tcW w:w="948" w:type="dxa"/>
          </w:tcPr>
          <w:p>
            <w:pPr>
              <w:pStyle w:val="TableParagraph"/>
              <w:spacing w:before="75"/>
              <w:ind w:right="219"/>
              <w:jc w:val="center"/>
              <w:rPr>
                <w:sz w:val="31"/>
              </w:rPr>
            </w:pPr>
            <w:r>
              <w:rPr>
                <w:w w:val="91"/>
                <w:sz w:val="31"/>
              </w:rPr>
              <w:t>4</w:t>
            </w:r>
          </w:p>
        </w:tc>
        <w:tc>
          <w:tcPr>
            <w:tcW w:w="5042" w:type="dxa"/>
          </w:tcPr>
          <w:p>
            <w:pPr>
              <w:pStyle w:val="TableParagraph"/>
              <w:spacing w:before="56" w:line="392" w:lineRule="exact"/>
              <w:ind w:left="264"/>
              <w:rPr>
                <w:rFonts w:ascii="黑体" w:eastAsia="黑体" w:hint="eastAsia"/>
                <w:sz w:val="31"/>
              </w:rPr>
            </w:pPr>
            <w:r>
              <w:rPr>
                <w:rFonts w:ascii="黑体" w:eastAsia="黑体" w:hint="eastAsia"/>
                <w:sz w:val="31"/>
              </w:rPr>
              <w:t>外购液氨</w:t>
            </w:r>
          </w:p>
        </w:tc>
        <w:tc>
          <w:tcPr>
            <w:tcW w:w="4760" w:type="dxa"/>
          </w:tcPr>
          <w:p>
            <w:pPr>
              <w:pStyle w:val="TableParagraph"/>
              <w:spacing w:before="75"/>
              <w:ind w:left="1850" w:right="1734"/>
              <w:jc w:val="center"/>
              <w:rPr>
                <w:sz w:val="31"/>
              </w:rPr>
            </w:pPr>
            <w:r>
              <w:rPr>
                <w:sz w:val="31"/>
              </w:rPr>
              <w:t>0.49</w:t>
            </w:r>
          </w:p>
        </w:tc>
      </w:tr>
      <w:tr>
        <w:tblPrEx>
          <w:tblW w:w="0" w:type="auto"/>
          <w:jc w:val="left"/>
          <w:tblInd w:w="810" w:type="dxa"/>
          <w:tblLayout w:type="fixed"/>
          <w:tblCellMar>
            <w:top w:w="0" w:type="dxa"/>
            <w:left w:w="0" w:type="dxa"/>
            <w:bottom w:w="0" w:type="dxa"/>
            <w:right w:w="0" w:type="dxa"/>
          </w:tblCellMar>
          <w:tblLook w:val="01E0"/>
        </w:tblPrEx>
        <w:trPr>
          <w:trHeight w:val="468"/>
          <w:jc w:val="left"/>
        </w:trPr>
        <w:tc>
          <w:tcPr>
            <w:tcW w:w="948" w:type="dxa"/>
          </w:tcPr>
          <w:p>
            <w:pPr>
              <w:pStyle w:val="TableParagraph"/>
              <w:spacing w:before="76"/>
              <w:ind w:right="219"/>
              <w:jc w:val="center"/>
              <w:rPr>
                <w:sz w:val="31"/>
              </w:rPr>
            </w:pPr>
            <w:r>
              <w:rPr>
                <w:w w:val="91"/>
                <w:sz w:val="31"/>
              </w:rPr>
              <w:t>5</w:t>
            </w:r>
          </w:p>
        </w:tc>
        <w:tc>
          <w:tcPr>
            <w:tcW w:w="5042" w:type="dxa"/>
          </w:tcPr>
          <w:p>
            <w:pPr>
              <w:pStyle w:val="TableParagraph"/>
              <w:spacing w:before="56" w:line="392" w:lineRule="exact"/>
              <w:ind w:left="264"/>
              <w:rPr>
                <w:rFonts w:ascii="黑体" w:eastAsia="黑体" w:hint="eastAsia"/>
                <w:sz w:val="31"/>
              </w:rPr>
            </w:pPr>
            <w:r>
              <w:rPr>
                <w:rFonts w:ascii="黑体" w:eastAsia="黑体" w:hint="eastAsia"/>
                <w:sz w:val="31"/>
              </w:rPr>
              <w:t>催化剂（硫酸铁）</w:t>
            </w:r>
          </w:p>
        </w:tc>
        <w:tc>
          <w:tcPr>
            <w:tcW w:w="4760" w:type="dxa"/>
          </w:tcPr>
          <w:p>
            <w:pPr>
              <w:pStyle w:val="TableParagraph"/>
              <w:spacing w:before="76"/>
              <w:ind w:left="1850" w:right="1734"/>
              <w:jc w:val="center"/>
              <w:rPr>
                <w:sz w:val="31"/>
              </w:rPr>
            </w:pPr>
            <w:r>
              <w:rPr>
                <w:sz w:val="31"/>
              </w:rPr>
              <w:t>28.87</w:t>
            </w:r>
          </w:p>
        </w:tc>
      </w:tr>
      <w:tr>
        <w:tblPrEx>
          <w:tblW w:w="0" w:type="auto"/>
          <w:jc w:val="left"/>
          <w:tblInd w:w="810" w:type="dxa"/>
          <w:tblLayout w:type="fixed"/>
          <w:tblCellMar>
            <w:top w:w="0" w:type="dxa"/>
            <w:left w:w="0" w:type="dxa"/>
            <w:bottom w:w="0" w:type="dxa"/>
            <w:right w:w="0" w:type="dxa"/>
          </w:tblCellMar>
          <w:tblLook w:val="01E0"/>
        </w:tblPrEx>
        <w:trPr>
          <w:trHeight w:val="467"/>
          <w:jc w:val="left"/>
        </w:trPr>
        <w:tc>
          <w:tcPr>
            <w:tcW w:w="948" w:type="dxa"/>
          </w:tcPr>
          <w:p>
            <w:pPr>
              <w:pStyle w:val="TableParagraph"/>
              <w:spacing w:before="75"/>
              <w:ind w:right="219"/>
              <w:jc w:val="center"/>
              <w:rPr>
                <w:sz w:val="31"/>
              </w:rPr>
            </w:pPr>
            <w:r>
              <w:rPr>
                <w:w w:val="91"/>
                <w:sz w:val="31"/>
              </w:rPr>
              <w:t>6</w:t>
            </w:r>
          </w:p>
        </w:tc>
        <w:tc>
          <w:tcPr>
            <w:tcW w:w="5042" w:type="dxa"/>
          </w:tcPr>
          <w:p>
            <w:pPr>
              <w:pStyle w:val="TableParagraph"/>
              <w:spacing w:before="56" w:line="392" w:lineRule="exact"/>
              <w:ind w:left="264"/>
              <w:rPr>
                <w:rFonts w:ascii="黑体" w:eastAsia="黑体" w:hint="eastAsia"/>
                <w:sz w:val="31"/>
              </w:rPr>
            </w:pPr>
            <w:r>
              <w:rPr>
                <w:rFonts w:ascii="黑体" w:eastAsia="黑体" w:hint="eastAsia"/>
                <w:sz w:val="31"/>
              </w:rPr>
              <w:t>装置用汽、水、空气</w:t>
            </w:r>
          </w:p>
        </w:tc>
        <w:tc>
          <w:tcPr>
            <w:tcW w:w="4760" w:type="dxa"/>
          </w:tcPr>
          <w:p>
            <w:pPr>
              <w:pStyle w:val="TableParagraph"/>
              <w:spacing w:before="75"/>
              <w:ind w:left="1850" w:right="1734"/>
              <w:jc w:val="center"/>
              <w:rPr>
                <w:sz w:val="31"/>
              </w:rPr>
            </w:pPr>
            <w:r>
              <w:rPr>
                <w:sz w:val="31"/>
              </w:rPr>
              <w:t>563.26</w:t>
            </w:r>
          </w:p>
        </w:tc>
      </w:tr>
      <w:tr>
        <w:tblPrEx>
          <w:tblW w:w="0" w:type="auto"/>
          <w:jc w:val="left"/>
          <w:tblInd w:w="810" w:type="dxa"/>
          <w:tblLayout w:type="fixed"/>
          <w:tblCellMar>
            <w:top w:w="0" w:type="dxa"/>
            <w:left w:w="0" w:type="dxa"/>
            <w:bottom w:w="0" w:type="dxa"/>
            <w:right w:w="0" w:type="dxa"/>
          </w:tblCellMar>
          <w:tblLook w:val="01E0"/>
        </w:tblPrEx>
        <w:trPr>
          <w:trHeight w:val="1156"/>
          <w:jc w:val="left"/>
        </w:trPr>
        <w:tc>
          <w:tcPr>
            <w:tcW w:w="948" w:type="dxa"/>
          </w:tcPr>
          <w:p>
            <w:pPr>
              <w:pStyle w:val="TableParagraph"/>
              <w:rPr>
                <w:rFonts w:ascii="Times New Roman"/>
                <w:sz w:val="32"/>
              </w:rPr>
            </w:pPr>
          </w:p>
        </w:tc>
        <w:tc>
          <w:tcPr>
            <w:tcW w:w="9802" w:type="dxa"/>
            <w:gridSpan w:val="2"/>
          </w:tcPr>
          <w:p>
            <w:pPr>
              <w:pStyle w:val="TableParagraph"/>
              <w:tabs>
                <w:tab w:val="right" w:pos="7995"/>
              </w:tabs>
              <w:spacing w:before="56"/>
              <w:ind w:left="264"/>
              <w:rPr>
                <w:sz w:val="31"/>
              </w:rPr>
            </w:pPr>
            <w:r>
              <w:rPr>
                <w:rFonts w:ascii="黑体" w:eastAsia="黑体" w:hint="eastAsia"/>
                <w:sz w:val="31"/>
              </w:rPr>
              <w:t>入方总计</w:t>
              <w:tab/>
            </w:r>
            <w:r>
              <w:rPr>
                <w:sz w:val="31"/>
              </w:rPr>
              <w:t>1774.16</w:t>
            </w:r>
          </w:p>
          <w:p>
            <w:pPr>
              <w:pStyle w:val="TableParagraph"/>
              <w:spacing w:before="2"/>
              <w:rPr>
                <w:rFonts w:ascii="宋体"/>
                <w:sz w:val="27"/>
              </w:rPr>
            </w:pPr>
          </w:p>
          <w:p>
            <w:pPr>
              <w:pStyle w:val="TableParagraph"/>
              <w:tabs>
                <w:tab w:val="left" w:pos="7693"/>
              </w:tabs>
              <w:spacing w:line="335" w:lineRule="exact"/>
              <w:ind w:left="1680"/>
              <w:rPr>
                <w:rFonts w:ascii="黑体" w:eastAsia="黑体" w:hint="eastAsia"/>
                <w:sz w:val="31"/>
              </w:rPr>
            </w:pPr>
            <w:r>
              <w:rPr>
                <w:rFonts w:ascii="黑体" w:eastAsia="黑体" w:hint="eastAsia"/>
                <w:sz w:val="31"/>
              </w:rPr>
              <w:t>表</w:t>
            </w:r>
            <w:r>
              <w:rPr>
                <w:rFonts w:ascii="黑体" w:eastAsia="黑体" w:hint="eastAsia"/>
                <w:spacing w:val="-67"/>
                <w:sz w:val="31"/>
              </w:rPr>
              <w:t xml:space="preserve"> </w:t>
            </w:r>
            <w:r>
              <w:rPr>
                <w:sz w:val="31"/>
              </w:rPr>
              <w:t xml:space="preserve">3-6 </w:t>
            </w:r>
            <w:r>
              <w:rPr>
                <w:spacing w:val="1"/>
                <w:sz w:val="31"/>
              </w:rPr>
              <w:t xml:space="preserve"> </w:t>
            </w:r>
            <w:r>
              <w:rPr>
                <w:rFonts w:ascii="黑体" w:eastAsia="黑体" w:hint="eastAsia"/>
                <w:sz w:val="31"/>
              </w:rPr>
              <w:t>一期总物料平衡（产品）</w:t>
              <w:tab/>
              <w:t>单位：万</w:t>
            </w:r>
            <w:r>
              <w:rPr>
                <w:rFonts w:ascii="黑体" w:eastAsia="黑体" w:hint="eastAsia"/>
                <w:spacing w:val="-8"/>
                <w:sz w:val="31"/>
              </w:rPr>
              <w:t>吨</w:t>
            </w:r>
            <w:r>
              <w:rPr>
                <w:sz w:val="31"/>
              </w:rPr>
              <w:t>/</w:t>
            </w:r>
            <w:r>
              <w:rPr>
                <w:rFonts w:ascii="黑体" w:eastAsia="黑体" w:hint="eastAsia"/>
                <w:sz w:val="31"/>
              </w:rPr>
              <w:t>年</w:t>
            </w:r>
          </w:p>
        </w:tc>
      </w:tr>
      <w:tr>
        <w:tblPrEx>
          <w:tblW w:w="0" w:type="auto"/>
          <w:jc w:val="left"/>
          <w:tblInd w:w="810" w:type="dxa"/>
          <w:tblLayout w:type="fixed"/>
          <w:tblCellMar>
            <w:top w:w="0" w:type="dxa"/>
            <w:left w:w="0" w:type="dxa"/>
            <w:bottom w:w="0" w:type="dxa"/>
            <w:right w:w="0" w:type="dxa"/>
          </w:tblCellMar>
          <w:tblLook w:val="01E0"/>
        </w:tblPrEx>
        <w:trPr>
          <w:trHeight w:val="582"/>
          <w:jc w:val="left"/>
        </w:trPr>
        <w:tc>
          <w:tcPr>
            <w:tcW w:w="948" w:type="dxa"/>
          </w:tcPr>
          <w:p>
            <w:pPr>
              <w:pStyle w:val="TableParagraph"/>
              <w:spacing w:before="160"/>
              <w:ind w:left="38" w:right="250"/>
              <w:jc w:val="center"/>
              <w:rPr>
                <w:rFonts w:ascii="黑体" w:eastAsia="黑体" w:hint="eastAsia"/>
                <w:sz w:val="31"/>
              </w:rPr>
            </w:pPr>
            <w:r>
              <w:rPr>
                <w:rFonts w:ascii="黑体" w:eastAsia="黑体" w:hint="eastAsia"/>
                <w:sz w:val="31"/>
              </w:rPr>
              <w:t>序号</w:t>
            </w:r>
          </w:p>
        </w:tc>
        <w:tc>
          <w:tcPr>
            <w:tcW w:w="5042" w:type="dxa"/>
          </w:tcPr>
          <w:p>
            <w:pPr>
              <w:pStyle w:val="TableParagraph"/>
              <w:spacing w:before="160"/>
              <w:ind w:left="268"/>
              <w:rPr>
                <w:rFonts w:ascii="黑体" w:eastAsia="黑体" w:hint="eastAsia"/>
                <w:sz w:val="31"/>
              </w:rPr>
            </w:pPr>
            <w:r>
              <w:rPr>
                <w:rFonts w:ascii="黑体" w:eastAsia="黑体" w:hint="eastAsia"/>
                <w:sz w:val="31"/>
              </w:rPr>
              <w:t>物料平衡</w:t>
            </w:r>
          </w:p>
        </w:tc>
        <w:tc>
          <w:tcPr>
            <w:tcW w:w="4760" w:type="dxa"/>
          </w:tcPr>
          <w:p>
            <w:pPr>
              <w:pStyle w:val="TableParagraph"/>
              <w:spacing w:before="160"/>
              <w:ind w:left="1865" w:right="1734"/>
              <w:jc w:val="center"/>
              <w:rPr>
                <w:rFonts w:ascii="黑体" w:eastAsia="黑体" w:hint="eastAsia"/>
                <w:sz w:val="31"/>
              </w:rPr>
            </w:pPr>
            <w:r>
              <w:rPr>
                <w:rFonts w:ascii="黑体" w:eastAsia="黑体" w:hint="eastAsia"/>
                <w:sz w:val="31"/>
              </w:rPr>
              <w:t>数量</w:t>
            </w:r>
          </w:p>
        </w:tc>
      </w:tr>
      <w:tr>
        <w:tblPrEx>
          <w:tblW w:w="0" w:type="auto"/>
          <w:jc w:val="left"/>
          <w:tblInd w:w="810" w:type="dxa"/>
          <w:tblLayout w:type="fixed"/>
          <w:tblCellMar>
            <w:top w:w="0" w:type="dxa"/>
            <w:left w:w="0" w:type="dxa"/>
            <w:bottom w:w="0" w:type="dxa"/>
            <w:right w:w="0" w:type="dxa"/>
          </w:tblCellMar>
          <w:tblLook w:val="01E0"/>
        </w:tblPrEx>
        <w:trPr>
          <w:trHeight w:val="460"/>
          <w:jc w:val="left"/>
        </w:trPr>
        <w:tc>
          <w:tcPr>
            <w:tcW w:w="948" w:type="dxa"/>
          </w:tcPr>
          <w:p>
            <w:pPr>
              <w:pStyle w:val="TableParagraph"/>
              <w:spacing w:before="86" w:line="354" w:lineRule="exact"/>
              <w:ind w:right="212"/>
              <w:jc w:val="center"/>
              <w:rPr>
                <w:sz w:val="31"/>
              </w:rPr>
            </w:pPr>
            <w:r>
              <w:rPr>
                <w:w w:val="91"/>
                <w:sz w:val="31"/>
              </w:rPr>
              <w:t>1</w:t>
            </w:r>
          </w:p>
        </w:tc>
        <w:tc>
          <w:tcPr>
            <w:tcW w:w="5042" w:type="dxa"/>
          </w:tcPr>
          <w:p>
            <w:pPr>
              <w:pStyle w:val="TableParagraph"/>
              <w:spacing w:before="86" w:line="354" w:lineRule="exact"/>
              <w:ind w:left="268"/>
              <w:rPr>
                <w:sz w:val="31"/>
              </w:rPr>
            </w:pPr>
            <w:r>
              <w:rPr>
                <w:sz w:val="31"/>
              </w:rPr>
              <w:t>LPG</w:t>
            </w:r>
          </w:p>
        </w:tc>
        <w:tc>
          <w:tcPr>
            <w:tcW w:w="4760" w:type="dxa"/>
          </w:tcPr>
          <w:p>
            <w:pPr>
              <w:pStyle w:val="TableParagraph"/>
              <w:spacing w:before="86" w:line="354" w:lineRule="exact"/>
              <w:ind w:left="1865" w:right="1734"/>
              <w:jc w:val="center"/>
              <w:rPr>
                <w:sz w:val="31"/>
              </w:rPr>
            </w:pPr>
            <w:r>
              <w:rPr>
                <w:sz w:val="31"/>
              </w:rPr>
              <w:t>31.13</w:t>
            </w:r>
          </w:p>
        </w:tc>
      </w:tr>
      <w:tr>
        <w:tblPrEx>
          <w:tblW w:w="0" w:type="auto"/>
          <w:jc w:val="left"/>
          <w:tblInd w:w="810" w:type="dxa"/>
          <w:tblLayout w:type="fixed"/>
          <w:tblCellMar>
            <w:top w:w="0" w:type="dxa"/>
            <w:left w:w="0" w:type="dxa"/>
            <w:bottom w:w="0" w:type="dxa"/>
            <w:right w:w="0" w:type="dxa"/>
          </w:tblCellMar>
          <w:tblLook w:val="01E0"/>
        </w:tblPrEx>
        <w:trPr>
          <w:trHeight w:val="486"/>
          <w:jc w:val="left"/>
        </w:trPr>
        <w:tc>
          <w:tcPr>
            <w:tcW w:w="948" w:type="dxa"/>
          </w:tcPr>
          <w:p>
            <w:pPr>
              <w:pStyle w:val="TableParagraph"/>
              <w:spacing w:before="94"/>
              <w:ind w:right="212"/>
              <w:jc w:val="center"/>
              <w:rPr>
                <w:sz w:val="31"/>
              </w:rPr>
            </w:pPr>
            <w:r>
              <w:rPr>
                <w:w w:val="91"/>
                <w:sz w:val="31"/>
              </w:rPr>
              <w:t>2</w:t>
            </w:r>
          </w:p>
        </w:tc>
        <w:tc>
          <w:tcPr>
            <w:tcW w:w="5042" w:type="dxa"/>
          </w:tcPr>
          <w:p>
            <w:pPr>
              <w:pStyle w:val="TableParagraph"/>
              <w:spacing w:before="74" w:line="392" w:lineRule="exact"/>
              <w:ind w:left="268"/>
              <w:rPr>
                <w:rFonts w:ascii="黑体" w:eastAsia="黑体" w:hint="eastAsia"/>
                <w:sz w:val="31"/>
              </w:rPr>
            </w:pPr>
            <w:r>
              <w:rPr>
                <w:sz w:val="31"/>
              </w:rPr>
              <w:t>93#</w:t>
            </w:r>
            <w:r>
              <w:rPr>
                <w:rFonts w:ascii="黑体" w:eastAsia="黑体" w:hint="eastAsia"/>
                <w:sz w:val="31"/>
              </w:rPr>
              <w:t>汽油</w:t>
            </w:r>
          </w:p>
        </w:tc>
        <w:tc>
          <w:tcPr>
            <w:tcW w:w="4760" w:type="dxa"/>
          </w:tcPr>
          <w:p>
            <w:pPr>
              <w:pStyle w:val="TableParagraph"/>
              <w:spacing w:before="94"/>
              <w:ind w:left="1865" w:right="1734"/>
              <w:jc w:val="center"/>
              <w:rPr>
                <w:sz w:val="31"/>
              </w:rPr>
            </w:pPr>
            <w:r>
              <w:rPr>
                <w:sz w:val="31"/>
              </w:rPr>
              <w:t>52.14</w:t>
            </w:r>
          </w:p>
        </w:tc>
      </w:tr>
      <w:tr>
        <w:tblPrEx>
          <w:tblW w:w="0" w:type="auto"/>
          <w:jc w:val="left"/>
          <w:tblInd w:w="810" w:type="dxa"/>
          <w:tblLayout w:type="fixed"/>
          <w:tblCellMar>
            <w:top w:w="0" w:type="dxa"/>
            <w:left w:w="0" w:type="dxa"/>
            <w:bottom w:w="0" w:type="dxa"/>
            <w:right w:w="0" w:type="dxa"/>
          </w:tblCellMar>
          <w:tblLook w:val="01E0"/>
        </w:tblPrEx>
        <w:trPr>
          <w:trHeight w:val="468"/>
          <w:jc w:val="left"/>
        </w:trPr>
        <w:tc>
          <w:tcPr>
            <w:tcW w:w="948" w:type="dxa"/>
          </w:tcPr>
          <w:p>
            <w:pPr>
              <w:pStyle w:val="TableParagraph"/>
              <w:spacing w:before="75"/>
              <w:ind w:right="212"/>
              <w:jc w:val="center"/>
              <w:rPr>
                <w:sz w:val="31"/>
              </w:rPr>
            </w:pPr>
            <w:r>
              <w:rPr>
                <w:w w:val="91"/>
                <w:sz w:val="31"/>
              </w:rPr>
              <w:t>3</w:t>
            </w:r>
          </w:p>
        </w:tc>
        <w:tc>
          <w:tcPr>
            <w:tcW w:w="5042" w:type="dxa"/>
          </w:tcPr>
          <w:p>
            <w:pPr>
              <w:pStyle w:val="TableParagraph"/>
              <w:spacing w:before="56" w:line="392" w:lineRule="exact"/>
              <w:ind w:left="268"/>
              <w:rPr>
                <w:rFonts w:ascii="黑体" w:eastAsia="黑体" w:hint="eastAsia"/>
                <w:sz w:val="31"/>
              </w:rPr>
            </w:pPr>
            <w:r>
              <w:rPr>
                <w:rFonts w:ascii="黑体" w:eastAsia="黑体" w:hint="eastAsia"/>
                <w:w w:val="102"/>
                <w:sz w:val="31"/>
              </w:rPr>
              <w:t>苯</w:t>
            </w:r>
          </w:p>
        </w:tc>
        <w:tc>
          <w:tcPr>
            <w:tcW w:w="4760" w:type="dxa"/>
          </w:tcPr>
          <w:p>
            <w:pPr>
              <w:pStyle w:val="TableParagraph"/>
              <w:spacing w:before="75"/>
              <w:ind w:left="1865" w:right="1734"/>
              <w:jc w:val="center"/>
              <w:rPr>
                <w:sz w:val="31"/>
              </w:rPr>
            </w:pPr>
            <w:r>
              <w:rPr>
                <w:sz w:val="31"/>
              </w:rPr>
              <w:t>6.06</w:t>
            </w:r>
          </w:p>
        </w:tc>
      </w:tr>
      <w:tr>
        <w:tblPrEx>
          <w:tblW w:w="0" w:type="auto"/>
          <w:jc w:val="left"/>
          <w:tblInd w:w="810" w:type="dxa"/>
          <w:tblLayout w:type="fixed"/>
          <w:tblCellMar>
            <w:top w:w="0" w:type="dxa"/>
            <w:left w:w="0" w:type="dxa"/>
            <w:bottom w:w="0" w:type="dxa"/>
            <w:right w:w="0" w:type="dxa"/>
          </w:tblCellMar>
          <w:tblLook w:val="01E0"/>
        </w:tblPrEx>
        <w:trPr>
          <w:trHeight w:val="468"/>
          <w:jc w:val="left"/>
        </w:trPr>
        <w:tc>
          <w:tcPr>
            <w:tcW w:w="948" w:type="dxa"/>
          </w:tcPr>
          <w:p>
            <w:pPr>
              <w:pStyle w:val="TableParagraph"/>
              <w:spacing w:before="76"/>
              <w:ind w:right="212"/>
              <w:jc w:val="center"/>
              <w:rPr>
                <w:sz w:val="31"/>
              </w:rPr>
            </w:pPr>
            <w:r>
              <w:rPr>
                <w:w w:val="91"/>
                <w:sz w:val="31"/>
              </w:rPr>
              <w:t>4</w:t>
            </w:r>
          </w:p>
        </w:tc>
        <w:tc>
          <w:tcPr>
            <w:tcW w:w="5042" w:type="dxa"/>
          </w:tcPr>
          <w:p>
            <w:pPr>
              <w:pStyle w:val="TableParagraph"/>
              <w:spacing w:before="56" w:line="392" w:lineRule="exact"/>
              <w:ind w:left="268"/>
              <w:rPr>
                <w:rFonts w:ascii="黑体" w:eastAsia="黑体" w:hint="eastAsia"/>
                <w:sz w:val="31"/>
              </w:rPr>
            </w:pPr>
            <w:r>
              <w:rPr>
                <w:sz w:val="31"/>
              </w:rPr>
              <w:t xml:space="preserve">C8 </w:t>
            </w:r>
            <w:r>
              <w:rPr>
                <w:rFonts w:ascii="黑体" w:eastAsia="黑体" w:hint="eastAsia"/>
                <w:sz w:val="31"/>
              </w:rPr>
              <w:t>馏分</w:t>
            </w:r>
          </w:p>
        </w:tc>
        <w:tc>
          <w:tcPr>
            <w:tcW w:w="4760" w:type="dxa"/>
          </w:tcPr>
          <w:p>
            <w:pPr>
              <w:pStyle w:val="TableParagraph"/>
              <w:spacing w:before="76"/>
              <w:ind w:left="1865" w:right="1719"/>
              <w:jc w:val="center"/>
              <w:rPr>
                <w:sz w:val="31"/>
              </w:rPr>
            </w:pPr>
            <w:r>
              <w:rPr>
                <w:sz w:val="31"/>
              </w:rPr>
              <w:t>11.09</w:t>
            </w:r>
          </w:p>
        </w:tc>
      </w:tr>
      <w:tr>
        <w:tblPrEx>
          <w:tblW w:w="0" w:type="auto"/>
          <w:jc w:val="left"/>
          <w:tblInd w:w="810" w:type="dxa"/>
          <w:tblLayout w:type="fixed"/>
          <w:tblCellMar>
            <w:top w:w="0" w:type="dxa"/>
            <w:left w:w="0" w:type="dxa"/>
            <w:bottom w:w="0" w:type="dxa"/>
            <w:right w:w="0" w:type="dxa"/>
          </w:tblCellMar>
          <w:tblLook w:val="01E0"/>
        </w:tblPrEx>
        <w:trPr>
          <w:trHeight w:val="467"/>
          <w:jc w:val="left"/>
        </w:trPr>
        <w:tc>
          <w:tcPr>
            <w:tcW w:w="948" w:type="dxa"/>
          </w:tcPr>
          <w:p>
            <w:pPr>
              <w:pStyle w:val="TableParagraph"/>
              <w:spacing w:before="75"/>
              <w:ind w:right="212"/>
              <w:jc w:val="center"/>
              <w:rPr>
                <w:sz w:val="31"/>
              </w:rPr>
            </w:pPr>
            <w:r>
              <w:rPr>
                <w:w w:val="91"/>
                <w:sz w:val="31"/>
              </w:rPr>
              <w:t>5</w:t>
            </w:r>
          </w:p>
        </w:tc>
        <w:tc>
          <w:tcPr>
            <w:tcW w:w="5042" w:type="dxa"/>
          </w:tcPr>
          <w:p>
            <w:pPr>
              <w:pStyle w:val="TableParagraph"/>
              <w:spacing w:before="56" w:line="392" w:lineRule="exact"/>
              <w:ind w:left="268"/>
              <w:rPr>
                <w:rFonts w:ascii="黑体" w:eastAsia="黑体" w:hint="eastAsia"/>
                <w:sz w:val="31"/>
              </w:rPr>
            </w:pPr>
            <w:r>
              <w:rPr>
                <w:rFonts w:ascii="黑体" w:eastAsia="黑体" w:hint="eastAsia"/>
                <w:sz w:val="31"/>
              </w:rPr>
              <w:t>柴油馏分</w:t>
            </w:r>
          </w:p>
        </w:tc>
        <w:tc>
          <w:tcPr>
            <w:tcW w:w="4760" w:type="dxa"/>
          </w:tcPr>
          <w:p>
            <w:pPr>
              <w:pStyle w:val="TableParagraph"/>
              <w:spacing w:before="75"/>
              <w:ind w:left="1865" w:right="1734"/>
              <w:jc w:val="center"/>
              <w:rPr>
                <w:sz w:val="31"/>
              </w:rPr>
            </w:pPr>
            <w:r>
              <w:rPr>
                <w:sz w:val="31"/>
              </w:rPr>
              <w:t>215.01</w:t>
            </w:r>
          </w:p>
        </w:tc>
      </w:tr>
      <w:tr>
        <w:tblPrEx>
          <w:tblW w:w="0" w:type="auto"/>
          <w:jc w:val="left"/>
          <w:tblInd w:w="810" w:type="dxa"/>
          <w:tblLayout w:type="fixed"/>
          <w:tblCellMar>
            <w:top w:w="0" w:type="dxa"/>
            <w:left w:w="0" w:type="dxa"/>
            <w:bottom w:w="0" w:type="dxa"/>
            <w:right w:w="0" w:type="dxa"/>
          </w:tblCellMar>
          <w:tblLook w:val="01E0"/>
        </w:tblPrEx>
        <w:trPr>
          <w:trHeight w:val="468"/>
          <w:jc w:val="left"/>
        </w:trPr>
        <w:tc>
          <w:tcPr>
            <w:tcW w:w="948" w:type="dxa"/>
          </w:tcPr>
          <w:p>
            <w:pPr>
              <w:pStyle w:val="TableParagraph"/>
              <w:spacing w:before="75"/>
              <w:ind w:right="212"/>
              <w:jc w:val="center"/>
              <w:rPr>
                <w:sz w:val="31"/>
              </w:rPr>
            </w:pPr>
            <w:r>
              <w:rPr>
                <w:w w:val="91"/>
                <w:sz w:val="31"/>
              </w:rPr>
              <w:t>6</w:t>
            </w:r>
          </w:p>
        </w:tc>
        <w:tc>
          <w:tcPr>
            <w:tcW w:w="5042" w:type="dxa"/>
          </w:tcPr>
          <w:p>
            <w:pPr>
              <w:pStyle w:val="TableParagraph"/>
              <w:spacing w:before="56" w:line="392" w:lineRule="exact"/>
              <w:ind w:left="268"/>
              <w:rPr>
                <w:rFonts w:ascii="黑体" w:eastAsia="黑体" w:hint="eastAsia"/>
                <w:sz w:val="31"/>
              </w:rPr>
            </w:pPr>
            <w:r>
              <w:rPr>
                <w:rFonts w:ascii="黑体" w:eastAsia="黑体" w:hint="eastAsia"/>
                <w:w w:val="102"/>
                <w:sz w:val="31"/>
              </w:rPr>
              <w:t>酚</w:t>
            </w:r>
          </w:p>
        </w:tc>
        <w:tc>
          <w:tcPr>
            <w:tcW w:w="4760" w:type="dxa"/>
          </w:tcPr>
          <w:p>
            <w:pPr>
              <w:pStyle w:val="TableParagraph"/>
              <w:spacing w:before="75"/>
              <w:ind w:left="1865" w:right="1734"/>
              <w:jc w:val="center"/>
              <w:rPr>
                <w:sz w:val="31"/>
              </w:rPr>
            </w:pPr>
            <w:r>
              <w:rPr>
                <w:sz w:val="31"/>
              </w:rPr>
              <w:t>1.09</w:t>
            </w:r>
          </w:p>
        </w:tc>
      </w:tr>
      <w:tr>
        <w:tblPrEx>
          <w:tblW w:w="0" w:type="auto"/>
          <w:jc w:val="left"/>
          <w:tblInd w:w="810" w:type="dxa"/>
          <w:tblLayout w:type="fixed"/>
          <w:tblCellMar>
            <w:top w:w="0" w:type="dxa"/>
            <w:left w:w="0" w:type="dxa"/>
            <w:bottom w:w="0" w:type="dxa"/>
            <w:right w:w="0" w:type="dxa"/>
          </w:tblCellMar>
          <w:tblLook w:val="01E0"/>
        </w:tblPrEx>
        <w:trPr>
          <w:trHeight w:val="468"/>
          <w:jc w:val="left"/>
        </w:trPr>
        <w:tc>
          <w:tcPr>
            <w:tcW w:w="948" w:type="dxa"/>
          </w:tcPr>
          <w:p>
            <w:pPr>
              <w:pStyle w:val="TableParagraph"/>
              <w:spacing w:before="75"/>
              <w:ind w:right="212"/>
              <w:jc w:val="center"/>
              <w:rPr>
                <w:sz w:val="31"/>
              </w:rPr>
            </w:pPr>
            <w:r>
              <w:rPr>
                <w:w w:val="91"/>
                <w:sz w:val="31"/>
              </w:rPr>
              <w:t>7</w:t>
            </w:r>
          </w:p>
        </w:tc>
        <w:tc>
          <w:tcPr>
            <w:tcW w:w="5042" w:type="dxa"/>
          </w:tcPr>
          <w:p>
            <w:pPr>
              <w:pStyle w:val="TableParagraph"/>
              <w:spacing w:before="56" w:line="392" w:lineRule="exact"/>
              <w:ind w:left="268"/>
              <w:rPr>
                <w:rFonts w:ascii="黑体" w:eastAsia="黑体" w:hint="eastAsia"/>
                <w:sz w:val="31"/>
              </w:rPr>
            </w:pPr>
            <w:r>
              <w:rPr>
                <w:rFonts w:ascii="黑体" w:eastAsia="黑体" w:hint="eastAsia"/>
                <w:sz w:val="31"/>
              </w:rPr>
              <w:t>煤液化产多余燃料气</w:t>
            </w:r>
          </w:p>
        </w:tc>
        <w:tc>
          <w:tcPr>
            <w:tcW w:w="4760" w:type="dxa"/>
          </w:tcPr>
          <w:p>
            <w:pPr>
              <w:pStyle w:val="TableParagraph"/>
              <w:spacing w:before="75"/>
              <w:ind w:left="1865" w:right="1734"/>
              <w:jc w:val="center"/>
              <w:rPr>
                <w:sz w:val="31"/>
              </w:rPr>
            </w:pPr>
            <w:r>
              <w:rPr>
                <w:sz w:val="31"/>
              </w:rPr>
              <w:t>5.66</w:t>
            </w:r>
          </w:p>
        </w:tc>
      </w:tr>
      <w:tr>
        <w:tblPrEx>
          <w:tblW w:w="0" w:type="auto"/>
          <w:jc w:val="left"/>
          <w:tblInd w:w="810" w:type="dxa"/>
          <w:tblLayout w:type="fixed"/>
          <w:tblCellMar>
            <w:top w:w="0" w:type="dxa"/>
            <w:left w:w="0" w:type="dxa"/>
            <w:bottom w:w="0" w:type="dxa"/>
            <w:right w:w="0" w:type="dxa"/>
          </w:tblCellMar>
          <w:tblLook w:val="01E0"/>
        </w:tblPrEx>
        <w:trPr>
          <w:trHeight w:val="410"/>
          <w:jc w:val="left"/>
        </w:trPr>
        <w:tc>
          <w:tcPr>
            <w:tcW w:w="948" w:type="dxa"/>
          </w:tcPr>
          <w:p>
            <w:pPr>
              <w:pStyle w:val="TableParagraph"/>
              <w:rPr>
                <w:rFonts w:ascii="Times New Roman"/>
                <w:sz w:val="32"/>
              </w:rPr>
            </w:pPr>
          </w:p>
        </w:tc>
        <w:tc>
          <w:tcPr>
            <w:tcW w:w="5042" w:type="dxa"/>
          </w:tcPr>
          <w:p>
            <w:pPr>
              <w:pStyle w:val="TableParagraph"/>
              <w:spacing w:before="56" w:line="335" w:lineRule="exact"/>
              <w:ind w:left="268"/>
              <w:rPr>
                <w:rFonts w:ascii="黑体" w:eastAsia="黑体" w:hint="eastAsia"/>
                <w:sz w:val="31"/>
              </w:rPr>
            </w:pPr>
            <w:r>
              <w:rPr>
                <w:rFonts w:ascii="黑体" w:eastAsia="黑体" w:hint="eastAsia"/>
                <w:sz w:val="31"/>
              </w:rPr>
              <w:t>产品小计</w:t>
            </w:r>
          </w:p>
        </w:tc>
        <w:tc>
          <w:tcPr>
            <w:tcW w:w="4760" w:type="dxa"/>
          </w:tcPr>
          <w:p>
            <w:pPr>
              <w:pStyle w:val="TableParagraph"/>
              <w:spacing w:before="75" w:line="315" w:lineRule="exact"/>
              <w:ind w:left="1865" w:right="1734"/>
              <w:jc w:val="center"/>
              <w:rPr>
                <w:sz w:val="31"/>
              </w:rPr>
            </w:pPr>
            <w:r>
              <w:rPr>
                <w:sz w:val="31"/>
              </w:rPr>
              <w:t>322.18</w:t>
            </w:r>
          </w:p>
        </w:tc>
      </w:tr>
    </w:tbl>
    <w:p>
      <w:pPr>
        <w:pStyle w:val="BodyText"/>
        <w:spacing w:before="5"/>
        <w:rPr>
          <w:sz w:val="3"/>
        </w:rPr>
      </w:pPr>
    </w:p>
    <w:p>
      <w:pPr>
        <w:pStyle w:val="BodyText"/>
        <w:spacing w:line="79" w:lineRule="exact"/>
        <w:ind w:left="460"/>
        <w:rPr>
          <w:sz w:val="7"/>
        </w:rPr>
      </w:pPr>
      <w:r>
        <w:rPr>
          <w:position w:val="-1"/>
          <w:sz w:val="7"/>
        </w:rPr>
        <w:drawing>
          <wp:inline distT="0" distB="0" distL="0" distR="0">
            <wp:extent cx="7132224" cy="50673"/>
            <wp:effectExtent l="0" t="0" r="0" b="0"/>
            <wp:docPr id="4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5.png"/>
                    <pic:cNvPicPr/>
                  </pic:nvPicPr>
                  <pic:blipFill>
                    <a:blip xmlns:r="http://schemas.openxmlformats.org/officeDocument/2006/relationships" r:embed="rId17" cstate="print"/>
                    <a:stretch>
                      <a:fillRect/>
                    </a:stretch>
                  </pic:blipFill>
                  <pic:spPr>
                    <a:xfrm>
                      <a:off x="0" y="0"/>
                      <a:ext cx="7132224" cy="50673"/>
                    </a:xfrm>
                    <a:prstGeom prst="rect">
                      <a:avLst/>
                    </a:prstGeom>
                  </pic:spPr>
                </pic:pic>
              </a:graphicData>
            </a:graphic>
          </wp:inline>
        </w:drawing>
      </w:r>
    </w:p>
    <w:p>
      <w:pPr>
        <w:spacing w:after="0" w:line="79" w:lineRule="exact"/>
        <w:rPr>
          <w:sz w:val="7"/>
        </w:rPr>
        <w:sectPr>
          <w:pgSz w:w="15480" w:h="21860"/>
          <w:pgMar w:top="2020" w:right="0" w:bottom="280" w:left="1740" w:header="708" w:footer="708"/>
          <w:pgNumType w:start="29"/>
          <w:cols w:space="708"/>
        </w:sectPr>
      </w:pPr>
    </w:p>
    <w:tbl>
      <w:tblPr>
        <w:tblStyle w:val="TableNormal3"/>
        <w:tblW w:w="0" w:type="auto"/>
        <w:jc w:val="left"/>
        <w:tblInd w:w="8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50"/>
        <w:gridCol w:w="1630"/>
        <w:gridCol w:w="992"/>
        <w:gridCol w:w="3991"/>
        <w:gridCol w:w="3159"/>
      </w:tblGrid>
      <w:tr>
        <w:tblPrEx>
          <w:tblW w:w="0" w:type="auto"/>
          <w:jc w:val="left"/>
          <w:tblInd w:w="8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403"/>
          <w:jc w:val="left"/>
        </w:trPr>
        <w:tc>
          <w:tcPr>
            <w:tcW w:w="950" w:type="dxa"/>
          </w:tcPr>
          <w:p>
            <w:pPr>
              <w:pStyle w:val="TableParagraph"/>
              <w:spacing w:before="2"/>
              <w:rPr>
                <w:rFonts w:ascii="宋体"/>
                <w:sz w:val="37"/>
              </w:rPr>
            </w:pPr>
          </w:p>
          <w:p>
            <w:pPr>
              <w:pStyle w:val="TableParagraph"/>
              <w:ind w:left="38" w:right="252"/>
              <w:jc w:val="center"/>
              <w:rPr>
                <w:rFonts w:ascii="黑体" w:eastAsia="黑体" w:hint="eastAsia"/>
                <w:sz w:val="31"/>
              </w:rPr>
            </w:pPr>
            <w:r>
              <w:rPr>
                <w:rFonts w:ascii="黑体" w:eastAsia="黑体" w:hint="eastAsia"/>
                <w:sz w:val="31"/>
              </w:rPr>
              <w:t>序号</w:t>
            </w:r>
          </w:p>
          <w:p>
            <w:pPr>
              <w:pStyle w:val="TableParagraph"/>
              <w:spacing w:before="115"/>
              <w:ind w:right="221"/>
              <w:jc w:val="center"/>
              <w:rPr>
                <w:sz w:val="31"/>
              </w:rPr>
            </w:pPr>
            <w:r>
              <w:rPr>
                <w:w w:val="91"/>
                <w:sz w:val="31"/>
              </w:rPr>
              <w:t>1</w:t>
            </w:r>
          </w:p>
        </w:tc>
        <w:tc>
          <w:tcPr>
            <w:tcW w:w="6613" w:type="dxa"/>
            <w:gridSpan w:val="3"/>
          </w:tcPr>
          <w:p>
            <w:pPr>
              <w:pStyle w:val="TableParagraph"/>
              <w:spacing w:line="362" w:lineRule="exact"/>
              <w:ind w:left="1440"/>
              <w:rPr>
                <w:rFonts w:ascii="黑体" w:eastAsia="黑体" w:hint="eastAsia"/>
                <w:sz w:val="31"/>
              </w:rPr>
            </w:pPr>
            <w:r>
              <w:rPr>
                <w:rFonts w:ascii="黑体" w:eastAsia="黑体" w:hint="eastAsia"/>
                <w:spacing w:val="-38"/>
                <w:sz w:val="31"/>
              </w:rPr>
              <w:t xml:space="preserve">表 </w:t>
            </w:r>
            <w:r>
              <w:rPr>
                <w:sz w:val="31"/>
              </w:rPr>
              <w:t>3-7</w:t>
            </w:r>
            <w:r>
              <w:rPr>
                <w:spacing w:val="76"/>
                <w:sz w:val="31"/>
              </w:rPr>
              <w:t xml:space="preserve"> </w:t>
            </w:r>
            <w:r>
              <w:rPr>
                <w:rFonts w:ascii="黑体" w:eastAsia="黑体" w:hint="eastAsia"/>
                <w:sz w:val="31"/>
              </w:rPr>
              <w:t>一期总物料平衡（产品）</w:t>
            </w:r>
          </w:p>
          <w:p>
            <w:pPr>
              <w:pStyle w:val="TableParagraph"/>
              <w:spacing w:before="114"/>
              <w:ind w:left="266"/>
              <w:rPr>
                <w:rFonts w:ascii="黑体" w:eastAsia="黑体" w:hint="eastAsia"/>
                <w:sz w:val="31"/>
              </w:rPr>
            </w:pPr>
            <w:r>
              <w:rPr>
                <w:rFonts w:ascii="黑体" w:eastAsia="黑体" w:hint="eastAsia"/>
                <w:sz w:val="31"/>
              </w:rPr>
              <w:t>物料平衡</w:t>
            </w:r>
          </w:p>
          <w:p>
            <w:pPr>
              <w:pStyle w:val="TableParagraph"/>
              <w:spacing w:before="96"/>
              <w:ind w:left="266"/>
              <w:rPr>
                <w:rFonts w:ascii="黑体" w:eastAsia="黑体" w:hint="eastAsia"/>
                <w:sz w:val="31"/>
              </w:rPr>
            </w:pPr>
            <w:r>
              <w:rPr>
                <w:rFonts w:ascii="黑体" w:eastAsia="黑体" w:hint="eastAsia"/>
                <w:sz w:val="31"/>
              </w:rPr>
              <w:t>锅炉用煤中煤及煤泥</w:t>
            </w:r>
          </w:p>
        </w:tc>
        <w:tc>
          <w:tcPr>
            <w:tcW w:w="3159" w:type="dxa"/>
          </w:tcPr>
          <w:p>
            <w:pPr>
              <w:pStyle w:val="TableParagraph"/>
              <w:spacing w:line="362" w:lineRule="exact"/>
              <w:ind w:left="999"/>
              <w:rPr>
                <w:rFonts w:ascii="黑体" w:eastAsia="黑体" w:hint="eastAsia"/>
                <w:sz w:val="31"/>
              </w:rPr>
            </w:pPr>
            <w:r>
              <w:rPr>
                <w:rFonts w:ascii="黑体" w:eastAsia="黑体" w:hint="eastAsia"/>
                <w:sz w:val="31"/>
              </w:rPr>
              <w:t>单位：万吨</w:t>
            </w:r>
            <w:r>
              <w:rPr>
                <w:sz w:val="31"/>
              </w:rPr>
              <w:t>/</w:t>
            </w:r>
            <w:r>
              <w:rPr>
                <w:rFonts w:ascii="黑体" w:eastAsia="黑体" w:hint="eastAsia"/>
                <w:sz w:val="31"/>
              </w:rPr>
              <w:t>年</w:t>
            </w:r>
          </w:p>
          <w:p>
            <w:pPr>
              <w:pStyle w:val="TableParagraph"/>
              <w:spacing w:before="114"/>
              <w:ind w:left="545"/>
              <w:rPr>
                <w:rFonts w:ascii="黑体" w:eastAsia="黑体" w:hint="eastAsia"/>
                <w:sz w:val="31"/>
              </w:rPr>
            </w:pPr>
            <w:r>
              <w:rPr>
                <w:rFonts w:ascii="黑体" w:eastAsia="黑体" w:hint="eastAsia"/>
                <w:sz w:val="31"/>
              </w:rPr>
              <w:t>数量</w:t>
            </w:r>
          </w:p>
          <w:p>
            <w:pPr>
              <w:pStyle w:val="TableParagraph"/>
              <w:spacing w:before="115"/>
              <w:ind w:left="584"/>
              <w:rPr>
                <w:sz w:val="31"/>
              </w:rPr>
            </w:pPr>
            <w:r>
              <w:rPr>
                <w:sz w:val="31"/>
              </w:rPr>
              <w:t>53.2</w:t>
            </w:r>
          </w:p>
        </w:tc>
      </w:tr>
      <w:tr>
        <w:tblPrEx>
          <w:tblW w:w="0" w:type="auto"/>
          <w:jc w:val="left"/>
          <w:tblInd w:w="813" w:type="dxa"/>
          <w:tblLayout w:type="fixed"/>
          <w:tblCellMar>
            <w:top w:w="0" w:type="dxa"/>
            <w:left w:w="0" w:type="dxa"/>
            <w:bottom w:w="0" w:type="dxa"/>
            <w:right w:w="0" w:type="dxa"/>
          </w:tblCellMar>
          <w:tblLook w:val="01E0"/>
        </w:tblPrEx>
        <w:trPr>
          <w:trHeight w:val="467"/>
          <w:jc w:val="left"/>
        </w:trPr>
        <w:tc>
          <w:tcPr>
            <w:tcW w:w="950" w:type="dxa"/>
          </w:tcPr>
          <w:p>
            <w:pPr>
              <w:pStyle w:val="TableParagraph"/>
              <w:spacing w:before="53"/>
              <w:ind w:right="221"/>
              <w:jc w:val="center"/>
              <w:rPr>
                <w:sz w:val="31"/>
              </w:rPr>
            </w:pPr>
            <w:r>
              <w:rPr>
                <w:w w:val="91"/>
                <w:sz w:val="31"/>
              </w:rPr>
              <w:t>2</w:t>
            </w:r>
          </w:p>
        </w:tc>
        <w:tc>
          <w:tcPr>
            <w:tcW w:w="6613" w:type="dxa"/>
            <w:gridSpan w:val="3"/>
          </w:tcPr>
          <w:p>
            <w:pPr>
              <w:pStyle w:val="TableParagraph"/>
              <w:spacing w:before="34"/>
              <w:ind w:left="266"/>
              <w:rPr>
                <w:rFonts w:ascii="黑体" w:eastAsia="黑体" w:hint="eastAsia"/>
                <w:sz w:val="31"/>
              </w:rPr>
            </w:pPr>
            <w:r>
              <w:rPr>
                <w:rFonts w:ascii="黑体" w:eastAsia="黑体" w:hint="eastAsia"/>
                <w:sz w:val="31"/>
              </w:rPr>
              <w:t>油渣</w:t>
            </w:r>
          </w:p>
        </w:tc>
        <w:tc>
          <w:tcPr>
            <w:tcW w:w="3159" w:type="dxa"/>
          </w:tcPr>
          <w:p>
            <w:pPr>
              <w:pStyle w:val="TableParagraph"/>
              <w:spacing w:before="53"/>
              <w:ind w:left="505"/>
              <w:rPr>
                <w:sz w:val="31"/>
              </w:rPr>
            </w:pPr>
            <w:r>
              <w:rPr>
                <w:sz w:val="31"/>
              </w:rPr>
              <w:t>61.04</w:t>
            </w:r>
          </w:p>
        </w:tc>
      </w:tr>
      <w:tr>
        <w:tblPrEx>
          <w:tblW w:w="0" w:type="auto"/>
          <w:jc w:val="left"/>
          <w:tblInd w:w="813" w:type="dxa"/>
          <w:tblLayout w:type="fixed"/>
          <w:tblCellMar>
            <w:top w:w="0" w:type="dxa"/>
            <w:left w:w="0" w:type="dxa"/>
            <w:bottom w:w="0" w:type="dxa"/>
            <w:right w:w="0" w:type="dxa"/>
          </w:tblCellMar>
          <w:tblLook w:val="01E0"/>
        </w:tblPrEx>
        <w:trPr>
          <w:trHeight w:val="467"/>
          <w:jc w:val="left"/>
        </w:trPr>
        <w:tc>
          <w:tcPr>
            <w:tcW w:w="950" w:type="dxa"/>
          </w:tcPr>
          <w:p>
            <w:pPr>
              <w:pStyle w:val="TableParagraph"/>
              <w:spacing w:before="53"/>
              <w:ind w:right="221"/>
              <w:jc w:val="center"/>
              <w:rPr>
                <w:sz w:val="31"/>
              </w:rPr>
            </w:pPr>
            <w:r>
              <w:rPr>
                <w:w w:val="91"/>
                <w:sz w:val="31"/>
              </w:rPr>
              <w:t>3</w:t>
            </w:r>
          </w:p>
        </w:tc>
        <w:tc>
          <w:tcPr>
            <w:tcW w:w="6613" w:type="dxa"/>
            <w:gridSpan w:val="3"/>
          </w:tcPr>
          <w:p>
            <w:pPr>
              <w:pStyle w:val="TableParagraph"/>
              <w:spacing w:before="34"/>
              <w:ind w:left="266"/>
              <w:rPr>
                <w:rFonts w:ascii="黑体" w:eastAsia="黑体" w:hint="eastAsia"/>
                <w:sz w:val="31"/>
              </w:rPr>
            </w:pPr>
            <w:r>
              <w:rPr>
                <w:rFonts w:ascii="黑体" w:eastAsia="黑体" w:hint="eastAsia"/>
                <w:sz w:val="31"/>
              </w:rPr>
              <w:t>燃料气</w:t>
            </w:r>
          </w:p>
        </w:tc>
        <w:tc>
          <w:tcPr>
            <w:tcW w:w="3159" w:type="dxa"/>
          </w:tcPr>
          <w:p>
            <w:pPr>
              <w:pStyle w:val="TableParagraph"/>
              <w:spacing w:before="53"/>
              <w:ind w:left="508"/>
              <w:rPr>
                <w:sz w:val="31"/>
              </w:rPr>
            </w:pPr>
            <w:r>
              <w:rPr>
                <w:sz w:val="31"/>
              </w:rPr>
              <w:t>17.11</w:t>
            </w:r>
          </w:p>
        </w:tc>
      </w:tr>
      <w:tr>
        <w:tblPrEx>
          <w:tblW w:w="0" w:type="auto"/>
          <w:jc w:val="left"/>
          <w:tblInd w:w="813" w:type="dxa"/>
          <w:tblLayout w:type="fixed"/>
          <w:tblCellMar>
            <w:top w:w="0" w:type="dxa"/>
            <w:left w:w="0" w:type="dxa"/>
            <w:bottom w:w="0" w:type="dxa"/>
            <w:right w:w="0" w:type="dxa"/>
          </w:tblCellMar>
          <w:tblLook w:val="01E0"/>
        </w:tblPrEx>
        <w:trPr>
          <w:trHeight w:val="468"/>
          <w:jc w:val="left"/>
        </w:trPr>
        <w:tc>
          <w:tcPr>
            <w:tcW w:w="950" w:type="dxa"/>
          </w:tcPr>
          <w:p>
            <w:pPr>
              <w:pStyle w:val="TableParagraph"/>
              <w:spacing w:before="53"/>
              <w:ind w:right="221"/>
              <w:jc w:val="center"/>
              <w:rPr>
                <w:sz w:val="31"/>
              </w:rPr>
            </w:pPr>
            <w:r>
              <w:rPr>
                <w:w w:val="91"/>
                <w:sz w:val="31"/>
              </w:rPr>
              <w:t>4</w:t>
            </w:r>
          </w:p>
        </w:tc>
        <w:tc>
          <w:tcPr>
            <w:tcW w:w="6613" w:type="dxa"/>
            <w:gridSpan w:val="3"/>
          </w:tcPr>
          <w:p>
            <w:pPr>
              <w:pStyle w:val="TableParagraph"/>
              <w:spacing w:before="34"/>
              <w:ind w:left="266"/>
              <w:rPr>
                <w:rFonts w:ascii="黑体" w:eastAsia="黑体" w:hint="eastAsia"/>
                <w:sz w:val="31"/>
              </w:rPr>
            </w:pPr>
            <w:r>
              <w:rPr>
                <w:rFonts w:ascii="黑体" w:eastAsia="黑体" w:hint="eastAsia"/>
                <w:sz w:val="31"/>
              </w:rPr>
              <w:t>天然气燃料</w:t>
            </w:r>
          </w:p>
        </w:tc>
        <w:tc>
          <w:tcPr>
            <w:tcW w:w="3159" w:type="dxa"/>
          </w:tcPr>
          <w:p>
            <w:pPr>
              <w:pStyle w:val="TableParagraph"/>
              <w:spacing w:before="53"/>
              <w:ind w:left="584"/>
              <w:rPr>
                <w:sz w:val="31"/>
              </w:rPr>
            </w:pPr>
            <w:r>
              <w:rPr>
                <w:sz w:val="31"/>
              </w:rPr>
              <w:t>0.00</w:t>
            </w:r>
          </w:p>
        </w:tc>
      </w:tr>
      <w:tr>
        <w:tblPrEx>
          <w:tblW w:w="0" w:type="auto"/>
          <w:jc w:val="left"/>
          <w:tblInd w:w="813" w:type="dxa"/>
          <w:tblLayout w:type="fixed"/>
          <w:tblCellMar>
            <w:top w:w="0" w:type="dxa"/>
            <w:left w:w="0" w:type="dxa"/>
            <w:bottom w:w="0" w:type="dxa"/>
            <w:right w:w="0" w:type="dxa"/>
          </w:tblCellMar>
          <w:tblLook w:val="01E0"/>
        </w:tblPrEx>
        <w:trPr>
          <w:trHeight w:val="467"/>
          <w:jc w:val="left"/>
        </w:trPr>
        <w:tc>
          <w:tcPr>
            <w:tcW w:w="950" w:type="dxa"/>
          </w:tcPr>
          <w:p>
            <w:pPr>
              <w:pStyle w:val="TableParagraph"/>
              <w:spacing w:before="53"/>
              <w:ind w:right="221"/>
              <w:jc w:val="center"/>
              <w:rPr>
                <w:sz w:val="31"/>
              </w:rPr>
            </w:pPr>
            <w:r>
              <w:rPr>
                <w:w w:val="91"/>
                <w:sz w:val="31"/>
              </w:rPr>
              <w:t>5</w:t>
            </w:r>
          </w:p>
        </w:tc>
        <w:tc>
          <w:tcPr>
            <w:tcW w:w="6613" w:type="dxa"/>
            <w:gridSpan w:val="3"/>
          </w:tcPr>
          <w:p>
            <w:pPr>
              <w:pStyle w:val="TableParagraph"/>
              <w:spacing w:before="34"/>
              <w:ind w:left="266"/>
              <w:rPr>
                <w:rFonts w:ascii="黑体" w:eastAsia="黑体" w:hint="eastAsia"/>
                <w:sz w:val="31"/>
              </w:rPr>
            </w:pPr>
            <w:r>
              <w:rPr>
                <w:rFonts w:ascii="黑体" w:eastAsia="黑体" w:hint="eastAsia"/>
                <w:sz w:val="31"/>
              </w:rPr>
              <w:t>废水</w:t>
            </w:r>
          </w:p>
        </w:tc>
        <w:tc>
          <w:tcPr>
            <w:tcW w:w="3159" w:type="dxa"/>
          </w:tcPr>
          <w:p>
            <w:pPr>
              <w:pStyle w:val="TableParagraph"/>
              <w:spacing w:before="53"/>
              <w:ind w:left="426"/>
              <w:rPr>
                <w:sz w:val="31"/>
              </w:rPr>
            </w:pPr>
            <w:r>
              <w:rPr>
                <w:sz w:val="31"/>
              </w:rPr>
              <w:t>145.43</w:t>
            </w:r>
          </w:p>
        </w:tc>
      </w:tr>
      <w:tr>
        <w:tblPrEx>
          <w:tblW w:w="0" w:type="auto"/>
          <w:jc w:val="left"/>
          <w:tblInd w:w="813" w:type="dxa"/>
          <w:tblLayout w:type="fixed"/>
          <w:tblCellMar>
            <w:top w:w="0" w:type="dxa"/>
            <w:left w:w="0" w:type="dxa"/>
            <w:bottom w:w="0" w:type="dxa"/>
            <w:right w:w="0" w:type="dxa"/>
          </w:tblCellMar>
          <w:tblLook w:val="01E0"/>
        </w:tblPrEx>
        <w:trPr>
          <w:trHeight w:val="399"/>
          <w:jc w:val="left"/>
        </w:trPr>
        <w:tc>
          <w:tcPr>
            <w:tcW w:w="950" w:type="dxa"/>
          </w:tcPr>
          <w:p>
            <w:pPr>
              <w:pStyle w:val="TableParagraph"/>
              <w:spacing w:before="53" w:line="326" w:lineRule="exact"/>
              <w:ind w:right="221"/>
              <w:jc w:val="center"/>
              <w:rPr>
                <w:sz w:val="31"/>
              </w:rPr>
            </w:pPr>
            <w:r>
              <w:rPr>
                <w:w w:val="91"/>
                <w:sz w:val="31"/>
              </w:rPr>
              <w:t>6</w:t>
            </w:r>
          </w:p>
        </w:tc>
        <w:tc>
          <w:tcPr>
            <w:tcW w:w="6613" w:type="dxa"/>
            <w:gridSpan w:val="3"/>
          </w:tcPr>
          <w:p>
            <w:pPr>
              <w:pStyle w:val="TableParagraph"/>
              <w:spacing w:before="34" w:line="345" w:lineRule="exact"/>
              <w:ind w:left="266"/>
              <w:rPr>
                <w:rFonts w:ascii="黑体" w:eastAsia="黑体" w:hint="eastAsia"/>
                <w:sz w:val="31"/>
              </w:rPr>
            </w:pPr>
            <w:r>
              <w:rPr>
                <w:rFonts w:ascii="黑体" w:eastAsia="黑体" w:hint="eastAsia"/>
                <w:sz w:val="31"/>
              </w:rPr>
              <w:t>小计</w:t>
            </w:r>
          </w:p>
        </w:tc>
        <w:tc>
          <w:tcPr>
            <w:tcW w:w="3159" w:type="dxa"/>
          </w:tcPr>
          <w:p>
            <w:pPr>
              <w:pStyle w:val="TableParagraph"/>
              <w:spacing w:before="53" w:line="326" w:lineRule="exact"/>
              <w:ind w:left="426"/>
              <w:rPr>
                <w:sz w:val="31"/>
              </w:rPr>
            </w:pPr>
            <w:r>
              <w:rPr>
                <w:sz w:val="31"/>
              </w:rPr>
              <w:t>276.78</w:t>
            </w:r>
          </w:p>
        </w:tc>
      </w:tr>
      <w:tr>
        <w:tblPrEx>
          <w:tblW w:w="0" w:type="auto"/>
          <w:jc w:val="left"/>
          <w:tblInd w:w="813" w:type="dxa"/>
          <w:tblLayout w:type="fixed"/>
          <w:tblCellMar>
            <w:top w:w="0" w:type="dxa"/>
            <w:left w:w="0" w:type="dxa"/>
            <w:bottom w:w="0" w:type="dxa"/>
            <w:right w:w="0" w:type="dxa"/>
          </w:tblCellMar>
          <w:tblLook w:val="01E0"/>
        </w:tblPrEx>
        <w:trPr>
          <w:trHeight w:val="746"/>
          <w:jc w:val="left"/>
        </w:trPr>
        <w:tc>
          <w:tcPr>
            <w:tcW w:w="950" w:type="dxa"/>
          </w:tcPr>
          <w:p>
            <w:pPr>
              <w:pStyle w:val="TableParagraph"/>
              <w:rPr>
                <w:rFonts w:ascii="Times New Roman"/>
                <w:sz w:val="32"/>
              </w:rPr>
            </w:pPr>
          </w:p>
        </w:tc>
        <w:tc>
          <w:tcPr>
            <w:tcW w:w="6613" w:type="dxa"/>
            <w:gridSpan w:val="3"/>
          </w:tcPr>
          <w:p>
            <w:pPr>
              <w:pStyle w:val="TableParagraph"/>
              <w:spacing w:before="9"/>
              <w:rPr>
                <w:rFonts w:ascii="宋体"/>
                <w:sz w:val="29"/>
              </w:rPr>
            </w:pPr>
          </w:p>
          <w:p>
            <w:pPr>
              <w:pStyle w:val="TableParagraph"/>
              <w:spacing w:line="345" w:lineRule="exact"/>
              <w:ind w:left="1674"/>
              <w:rPr>
                <w:rFonts w:ascii="黑体" w:eastAsia="黑体" w:hint="eastAsia"/>
                <w:sz w:val="31"/>
              </w:rPr>
            </w:pPr>
            <w:r>
              <w:rPr>
                <w:rFonts w:ascii="黑体" w:eastAsia="黑体" w:hint="eastAsia"/>
                <w:spacing w:val="-35"/>
                <w:sz w:val="31"/>
              </w:rPr>
              <w:t xml:space="preserve">表 </w:t>
            </w:r>
            <w:r>
              <w:rPr>
                <w:sz w:val="31"/>
              </w:rPr>
              <w:t>3-8</w:t>
            </w:r>
            <w:r>
              <w:rPr>
                <w:spacing w:val="79"/>
                <w:sz w:val="31"/>
              </w:rPr>
              <w:t xml:space="preserve"> </w:t>
            </w:r>
            <w:r>
              <w:rPr>
                <w:rFonts w:ascii="黑体" w:eastAsia="黑体" w:hint="eastAsia"/>
                <w:sz w:val="31"/>
              </w:rPr>
              <w:t>一期总物料平衡（自用）</w:t>
            </w:r>
          </w:p>
        </w:tc>
        <w:tc>
          <w:tcPr>
            <w:tcW w:w="3159" w:type="dxa"/>
          </w:tcPr>
          <w:p>
            <w:pPr>
              <w:pStyle w:val="TableParagraph"/>
              <w:spacing w:before="9"/>
              <w:rPr>
                <w:rFonts w:ascii="宋体"/>
                <w:sz w:val="29"/>
              </w:rPr>
            </w:pPr>
          </w:p>
          <w:p>
            <w:pPr>
              <w:pStyle w:val="TableParagraph"/>
              <w:spacing w:line="345" w:lineRule="exact"/>
              <w:ind w:right="101"/>
              <w:jc w:val="right"/>
              <w:rPr>
                <w:rFonts w:ascii="黑体" w:eastAsia="黑体" w:hint="eastAsia"/>
                <w:sz w:val="31"/>
              </w:rPr>
            </w:pPr>
            <w:r>
              <w:rPr>
                <w:rFonts w:ascii="黑体" w:eastAsia="黑体" w:hint="eastAsia"/>
                <w:sz w:val="31"/>
              </w:rPr>
              <w:t>单位：万吨</w:t>
            </w:r>
            <w:r>
              <w:rPr>
                <w:sz w:val="31"/>
              </w:rPr>
              <w:t>/</w:t>
            </w:r>
            <w:r>
              <w:rPr>
                <w:rFonts w:ascii="黑体" w:eastAsia="黑体" w:hint="eastAsia"/>
                <w:sz w:val="31"/>
              </w:rPr>
              <w:t>年</w:t>
            </w:r>
          </w:p>
        </w:tc>
      </w:tr>
      <w:tr>
        <w:tblPrEx>
          <w:tblW w:w="0" w:type="auto"/>
          <w:jc w:val="left"/>
          <w:tblInd w:w="813" w:type="dxa"/>
          <w:tblLayout w:type="fixed"/>
          <w:tblCellMar>
            <w:top w:w="0" w:type="dxa"/>
            <w:left w:w="0" w:type="dxa"/>
            <w:bottom w:w="0" w:type="dxa"/>
            <w:right w:w="0" w:type="dxa"/>
          </w:tblCellMar>
          <w:tblLook w:val="01E0"/>
        </w:tblPrEx>
        <w:trPr>
          <w:trHeight w:val="592"/>
          <w:jc w:val="left"/>
        </w:trPr>
        <w:tc>
          <w:tcPr>
            <w:tcW w:w="950" w:type="dxa"/>
          </w:tcPr>
          <w:p>
            <w:pPr>
              <w:pStyle w:val="TableParagraph"/>
              <w:spacing w:before="150"/>
              <w:ind w:left="38" w:right="252"/>
              <w:jc w:val="center"/>
              <w:rPr>
                <w:rFonts w:ascii="黑体" w:eastAsia="黑体" w:hint="eastAsia"/>
                <w:sz w:val="31"/>
              </w:rPr>
            </w:pPr>
            <w:r>
              <w:rPr>
                <w:rFonts w:ascii="黑体" w:eastAsia="黑体" w:hint="eastAsia"/>
                <w:sz w:val="31"/>
              </w:rPr>
              <w:t>序号</w:t>
            </w:r>
          </w:p>
        </w:tc>
        <w:tc>
          <w:tcPr>
            <w:tcW w:w="6613" w:type="dxa"/>
            <w:gridSpan w:val="3"/>
          </w:tcPr>
          <w:p>
            <w:pPr>
              <w:pStyle w:val="TableParagraph"/>
              <w:spacing w:before="150"/>
              <w:ind w:left="266"/>
              <w:rPr>
                <w:rFonts w:ascii="黑体" w:eastAsia="黑体" w:hint="eastAsia"/>
                <w:sz w:val="31"/>
              </w:rPr>
            </w:pPr>
            <w:r>
              <w:rPr>
                <w:rFonts w:ascii="黑体" w:eastAsia="黑体" w:hint="eastAsia"/>
                <w:sz w:val="31"/>
              </w:rPr>
              <w:t>物料平衡</w:t>
            </w:r>
          </w:p>
        </w:tc>
        <w:tc>
          <w:tcPr>
            <w:tcW w:w="3159" w:type="dxa"/>
          </w:tcPr>
          <w:p>
            <w:pPr>
              <w:pStyle w:val="TableParagraph"/>
              <w:spacing w:before="150"/>
              <w:ind w:left="545"/>
              <w:rPr>
                <w:rFonts w:ascii="黑体" w:eastAsia="黑体" w:hint="eastAsia"/>
                <w:sz w:val="31"/>
              </w:rPr>
            </w:pPr>
            <w:r>
              <w:rPr>
                <w:rFonts w:ascii="黑体" w:eastAsia="黑体" w:hint="eastAsia"/>
                <w:sz w:val="31"/>
              </w:rPr>
              <w:t>数量</w:t>
            </w:r>
          </w:p>
        </w:tc>
      </w:tr>
      <w:tr>
        <w:tblPrEx>
          <w:tblW w:w="0" w:type="auto"/>
          <w:jc w:val="left"/>
          <w:tblInd w:w="813" w:type="dxa"/>
          <w:tblLayout w:type="fixed"/>
          <w:tblCellMar>
            <w:top w:w="0" w:type="dxa"/>
            <w:left w:w="0" w:type="dxa"/>
            <w:bottom w:w="0" w:type="dxa"/>
            <w:right w:w="0" w:type="dxa"/>
          </w:tblCellMar>
          <w:tblLook w:val="01E0"/>
        </w:tblPrEx>
        <w:trPr>
          <w:trHeight w:val="481"/>
          <w:jc w:val="left"/>
        </w:trPr>
        <w:tc>
          <w:tcPr>
            <w:tcW w:w="950" w:type="dxa"/>
          </w:tcPr>
          <w:p>
            <w:pPr>
              <w:pStyle w:val="TableParagraph"/>
              <w:spacing w:before="66"/>
              <w:ind w:right="221"/>
              <w:jc w:val="center"/>
              <w:rPr>
                <w:sz w:val="31"/>
              </w:rPr>
            </w:pPr>
            <w:r>
              <w:rPr>
                <w:w w:val="91"/>
                <w:sz w:val="31"/>
              </w:rPr>
              <w:t>1</w:t>
            </w:r>
          </w:p>
        </w:tc>
        <w:tc>
          <w:tcPr>
            <w:tcW w:w="6613" w:type="dxa"/>
            <w:gridSpan w:val="3"/>
          </w:tcPr>
          <w:p>
            <w:pPr>
              <w:pStyle w:val="TableParagraph"/>
              <w:spacing w:before="47"/>
              <w:ind w:left="266"/>
              <w:rPr>
                <w:rFonts w:ascii="黑体" w:eastAsia="黑体" w:hint="eastAsia"/>
                <w:sz w:val="31"/>
              </w:rPr>
            </w:pPr>
            <w:r>
              <w:rPr>
                <w:rFonts w:ascii="黑体" w:eastAsia="黑体" w:hint="eastAsia"/>
                <w:sz w:val="31"/>
              </w:rPr>
              <w:t>锅炉用油渣</w:t>
            </w:r>
          </w:p>
        </w:tc>
        <w:tc>
          <w:tcPr>
            <w:tcW w:w="3159" w:type="dxa"/>
          </w:tcPr>
          <w:p>
            <w:pPr>
              <w:pStyle w:val="TableParagraph"/>
              <w:spacing w:before="66"/>
              <w:ind w:left="426"/>
              <w:rPr>
                <w:sz w:val="31"/>
              </w:rPr>
            </w:pPr>
            <w:r>
              <w:rPr>
                <w:sz w:val="31"/>
              </w:rPr>
              <w:t>183.12</w:t>
            </w:r>
          </w:p>
        </w:tc>
      </w:tr>
      <w:tr>
        <w:tblPrEx>
          <w:tblW w:w="0" w:type="auto"/>
          <w:jc w:val="left"/>
          <w:tblInd w:w="813" w:type="dxa"/>
          <w:tblLayout w:type="fixed"/>
          <w:tblCellMar>
            <w:top w:w="0" w:type="dxa"/>
            <w:left w:w="0" w:type="dxa"/>
            <w:bottom w:w="0" w:type="dxa"/>
            <w:right w:w="0" w:type="dxa"/>
          </w:tblCellMar>
          <w:tblLook w:val="01E0"/>
        </w:tblPrEx>
        <w:trPr>
          <w:trHeight w:val="467"/>
          <w:jc w:val="left"/>
        </w:trPr>
        <w:tc>
          <w:tcPr>
            <w:tcW w:w="950" w:type="dxa"/>
          </w:tcPr>
          <w:p>
            <w:pPr>
              <w:pStyle w:val="TableParagraph"/>
              <w:spacing w:before="53"/>
              <w:ind w:right="221"/>
              <w:jc w:val="center"/>
              <w:rPr>
                <w:sz w:val="31"/>
              </w:rPr>
            </w:pPr>
            <w:r>
              <w:rPr>
                <w:w w:val="91"/>
                <w:sz w:val="31"/>
              </w:rPr>
              <w:t>2</w:t>
            </w:r>
          </w:p>
        </w:tc>
        <w:tc>
          <w:tcPr>
            <w:tcW w:w="6613" w:type="dxa"/>
            <w:gridSpan w:val="3"/>
          </w:tcPr>
          <w:p>
            <w:pPr>
              <w:pStyle w:val="TableParagraph"/>
              <w:spacing w:before="34"/>
              <w:ind w:left="266"/>
              <w:rPr>
                <w:rFonts w:ascii="黑体" w:eastAsia="黑体" w:hint="eastAsia"/>
                <w:sz w:val="31"/>
              </w:rPr>
            </w:pPr>
            <w:r>
              <w:rPr>
                <w:rFonts w:ascii="黑体" w:eastAsia="黑体" w:hint="eastAsia"/>
                <w:sz w:val="31"/>
              </w:rPr>
              <w:t>锅炉用洗中煤及煤泥</w:t>
            </w:r>
          </w:p>
        </w:tc>
        <w:tc>
          <w:tcPr>
            <w:tcW w:w="3159" w:type="dxa"/>
          </w:tcPr>
          <w:p>
            <w:pPr>
              <w:pStyle w:val="TableParagraph"/>
              <w:spacing w:before="53"/>
              <w:ind w:left="426"/>
              <w:rPr>
                <w:sz w:val="31"/>
              </w:rPr>
            </w:pPr>
            <w:r>
              <w:rPr>
                <w:sz w:val="31"/>
              </w:rPr>
              <w:t>122.07</w:t>
            </w:r>
          </w:p>
        </w:tc>
      </w:tr>
      <w:tr>
        <w:tblPrEx>
          <w:tblW w:w="0" w:type="auto"/>
          <w:jc w:val="left"/>
          <w:tblInd w:w="813" w:type="dxa"/>
          <w:tblLayout w:type="fixed"/>
          <w:tblCellMar>
            <w:top w:w="0" w:type="dxa"/>
            <w:left w:w="0" w:type="dxa"/>
            <w:bottom w:w="0" w:type="dxa"/>
            <w:right w:w="0" w:type="dxa"/>
          </w:tblCellMar>
          <w:tblLook w:val="01E0"/>
        </w:tblPrEx>
        <w:trPr>
          <w:trHeight w:val="467"/>
          <w:jc w:val="left"/>
        </w:trPr>
        <w:tc>
          <w:tcPr>
            <w:tcW w:w="950" w:type="dxa"/>
          </w:tcPr>
          <w:p>
            <w:pPr>
              <w:pStyle w:val="TableParagraph"/>
              <w:spacing w:before="53"/>
              <w:ind w:right="221"/>
              <w:jc w:val="center"/>
              <w:rPr>
                <w:sz w:val="31"/>
              </w:rPr>
            </w:pPr>
            <w:r>
              <w:rPr>
                <w:w w:val="91"/>
                <w:sz w:val="31"/>
              </w:rPr>
              <w:t>3</w:t>
            </w:r>
          </w:p>
        </w:tc>
        <w:tc>
          <w:tcPr>
            <w:tcW w:w="6613" w:type="dxa"/>
            <w:gridSpan w:val="3"/>
          </w:tcPr>
          <w:p>
            <w:pPr>
              <w:pStyle w:val="TableParagraph"/>
              <w:spacing w:before="34"/>
              <w:ind w:left="266"/>
              <w:rPr>
                <w:rFonts w:ascii="黑体" w:eastAsia="黑体" w:hint="eastAsia"/>
                <w:sz w:val="31"/>
              </w:rPr>
            </w:pPr>
            <w:r>
              <w:rPr>
                <w:rFonts w:ascii="黑体" w:eastAsia="黑体" w:hint="eastAsia"/>
                <w:sz w:val="31"/>
              </w:rPr>
              <w:t>燃料气</w:t>
            </w:r>
          </w:p>
        </w:tc>
        <w:tc>
          <w:tcPr>
            <w:tcW w:w="3159" w:type="dxa"/>
          </w:tcPr>
          <w:p>
            <w:pPr>
              <w:pStyle w:val="TableParagraph"/>
              <w:spacing w:before="53"/>
              <w:ind w:left="505"/>
              <w:rPr>
                <w:sz w:val="31"/>
              </w:rPr>
            </w:pPr>
            <w:r>
              <w:rPr>
                <w:sz w:val="31"/>
              </w:rPr>
              <w:t>46.83</w:t>
            </w:r>
          </w:p>
        </w:tc>
      </w:tr>
      <w:tr>
        <w:tblPrEx>
          <w:tblW w:w="0" w:type="auto"/>
          <w:jc w:val="left"/>
          <w:tblInd w:w="813" w:type="dxa"/>
          <w:tblLayout w:type="fixed"/>
          <w:tblCellMar>
            <w:top w:w="0" w:type="dxa"/>
            <w:left w:w="0" w:type="dxa"/>
            <w:bottom w:w="0" w:type="dxa"/>
            <w:right w:w="0" w:type="dxa"/>
          </w:tblCellMar>
          <w:tblLook w:val="01E0"/>
        </w:tblPrEx>
        <w:trPr>
          <w:trHeight w:val="468"/>
          <w:jc w:val="left"/>
        </w:trPr>
        <w:tc>
          <w:tcPr>
            <w:tcW w:w="950" w:type="dxa"/>
          </w:tcPr>
          <w:p>
            <w:pPr>
              <w:pStyle w:val="TableParagraph"/>
              <w:spacing w:before="53"/>
              <w:ind w:right="221"/>
              <w:jc w:val="center"/>
              <w:rPr>
                <w:sz w:val="31"/>
              </w:rPr>
            </w:pPr>
            <w:r>
              <w:rPr>
                <w:w w:val="91"/>
                <w:sz w:val="31"/>
              </w:rPr>
              <w:t>4</w:t>
            </w:r>
          </w:p>
        </w:tc>
        <w:tc>
          <w:tcPr>
            <w:tcW w:w="6613" w:type="dxa"/>
            <w:gridSpan w:val="3"/>
          </w:tcPr>
          <w:p>
            <w:pPr>
              <w:pStyle w:val="TableParagraph"/>
              <w:spacing w:before="34"/>
              <w:ind w:left="266"/>
              <w:rPr>
                <w:rFonts w:ascii="黑体" w:eastAsia="黑体" w:hint="eastAsia"/>
                <w:sz w:val="31"/>
              </w:rPr>
            </w:pPr>
            <w:r>
              <w:rPr>
                <w:rFonts w:ascii="黑体" w:eastAsia="黑体" w:hint="eastAsia"/>
                <w:sz w:val="31"/>
              </w:rPr>
              <w:t>废水</w:t>
            </w:r>
          </w:p>
        </w:tc>
        <w:tc>
          <w:tcPr>
            <w:tcW w:w="3159" w:type="dxa"/>
          </w:tcPr>
          <w:p>
            <w:pPr>
              <w:pStyle w:val="TableParagraph"/>
              <w:spacing w:before="53"/>
              <w:ind w:left="426"/>
              <w:rPr>
                <w:sz w:val="31"/>
              </w:rPr>
            </w:pPr>
            <w:r>
              <w:rPr>
                <w:sz w:val="31"/>
              </w:rPr>
              <w:t>487.25</w:t>
            </w:r>
          </w:p>
        </w:tc>
      </w:tr>
      <w:tr>
        <w:tblPrEx>
          <w:tblW w:w="0" w:type="auto"/>
          <w:jc w:val="left"/>
          <w:tblInd w:w="813" w:type="dxa"/>
          <w:tblLayout w:type="fixed"/>
          <w:tblCellMar>
            <w:top w:w="0" w:type="dxa"/>
            <w:left w:w="0" w:type="dxa"/>
            <w:bottom w:w="0" w:type="dxa"/>
            <w:right w:w="0" w:type="dxa"/>
          </w:tblCellMar>
          <w:tblLook w:val="01E0"/>
        </w:tblPrEx>
        <w:trPr>
          <w:trHeight w:val="399"/>
          <w:jc w:val="left"/>
        </w:trPr>
        <w:tc>
          <w:tcPr>
            <w:tcW w:w="950" w:type="dxa"/>
          </w:tcPr>
          <w:p>
            <w:pPr>
              <w:pStyle w:val="TableParagraph"/>
              <w:rPr>
                <w:rFonts w:ascii="Times New Roman"/>
                <w:sz w:val="30"/>
              </w:rPr>
            </w:pPr>
          </w:p>
        </w:tc>
        <w:tc>
          <w:tcPr>
            <w:tcW w:w="6613" w:type="dxa"/>
            <w:gridSpan w:val="3"/>
          </w:tcPr>
          <w:p>
            <w:pPr>
              <w:pStyle w:val="TableParagraph"/>
              <w:spacing w:before="34" w:line="345" w:lineRule="exact"/>
              <w:ind w:left="266"/>
              <w:rPr>
                <w:rFonts w:ascii="黑体" w:eastAsia="黑体" w:hint="eastAsia"/>
                <w:sz w:val="31"/>
              </w:rPr>
            </w:pPr>
            <w:r>
              <w:rPr>
                <w:rFonts w:ascii="黑体" w:eastAsia="黑体" w:hint="eastAsia"/>
                <w:sz w:val="31"/>
              </w:rPr>
              <w:t>小计</w:t>
            </w:r>
          </w:p>
        </w:tc>
        <w:tc>
          <w:tcPr>
            <w:tcW w:w="3159" w:type="dxa"/>
          </w:tcPr>
          <w:p>
            <w:pPr>
              <w:pStyle w:val="TableParagraph"/>
              <w:spacing w:before="53" w:line="326" w:lineRule="exact"/>
              <w:ind w:left="426"/>
              <w:rPr>
                <w:sz w:val="31"/>
              </w:rPr>
            </w:pPr>
            <w:r>
              <w:rPr>
                <w:sz w:val="31"/>
              </w:rPr>
              <w:t>839.27</w:t>
            </w:r>
          </w:p>
        </w:tc>
      </w:tr>
      <w:tr>
        <w:tblPrEx>
          <w:tblW w:w="0" w:type="auto"/>
          <w:jc w:val="left"/>
          <w:tblInd w:w="813" w:type="dxa"/>
          <w:tblLayout w:type="fixed"/>
          <w:tblCellMar>
            <w:top w:w="0" w:type="dxa"/>
            <w:left w:w="0" w:type="dxa"/>
            <w:bottom w:w="0" w:type="dxa"/>
            <w:right w:w="0" w:type="dxa"/>
          </w:tblCellMar>
          <w:tblLook w:val="01E0"/>
        </w:tblPrEx>
        <w:trPr>
          <w:trHeight w:val="841"/>
          <w:jc w:val="left"/>
        </w:trPr>
        <w:tc>
          <w:tcPr>
            <w:tcW w:w="950" w:type="dxa"/>
          </w:tcPr>
          <w:p>
            <w:pPr>
              <w:pStyle w:val="TableParagraph"/>
              <w:rPr>
                <w:rFonts w:ascii="Times New Roman"/>
                <w:sz w:val="32"/>
              </w:rPr>
            </w:pPr>
          </w:p>
        </w:tc>
        <w:tc>
          <w:tcPr>
            <w:tcW w:w="1630" w:type="dxa"/>
          </w:tcPr>
          <w:p>
            <w:pPr>
              <w:pStyle w:val="TableParagraph"/>
              <w:rPr>
                <w:rFonts w:ascii="Times New Roman"/>
                <w:sz w:val="32"/>
              </w:rPr>
            </w:pPr>
          </w:p>
        </w:tc>
        <w:tc>
          <w:tcPr>
            <w:tcW w:w="992" w:type="dxa"/>
          </w:tcPr>
          <w:p>
            <w:pPr>
              <w:pStyle w:val="TableParagraph"/>
              <w:spacing w:before="8"/>
              <w:rPr>
                <w:rFonts w:ascii="宋体"/>
                <w:sz w:val="29"/>
              </w:rPr>
            </w:pPr>
          </w:p>
          <w:p>
            <w:pPr>
              <w:pStyle w:val="TableParagraph"/>
              <w:ind w:left="95"/>
              <w:rPr>
                <w:sz w:val="31"/>
              </w:rPr>
            </w:pPr>
            <w:r>
              <w:rPr>
                <w:rFonts w:ascii="黑体" w:eastAsia="黑体" w:hint="eastAsia"/>
                <w:spacing w:val="-43"/>
                <w:sz w:val="31"/>
              </w:rPr>
              <w:t xml:space="preserve">表 </w:t>
            </w:r>
            <w:r>
              <w:rPr>
                <w:sz w:val="31"/>
              </w:rPr>
              <w:t>3-9</w:t>
            </w:r>
          </w:p>
        </w:tc>
        <w:tc>
          <w:tcPr>
            <w:tcW w:w="3991" w:type="dxa"/>
          </w:tcPr>
          <w:p>
            <w:pPr>
              <w:pStyle w:val="TableParagraph"/>
              <w:spacing w:before="8"/>
              <w:rPr>
                <w:rFonts w:ascii="宋体"/>
                <w:sz w:val="29"/>
              </w:rPr>
            </w:pPr>
          </w:p>
          <w:p>
            <w:pPr>
              <w:pStyle w:val="TableParagraph"/>
              <w:ind w:left="75"/>
              <w:rPr>
                <w:rFonts w:ascii="黑体" w:eastAsia="黑体" w:hint="eastAsia"/>
                <w:sz w:val="31"/>
              </w:rPr>
            </w:pPr>
            <w:r>
              <w:rPr>
                <w:rFonts w:ascii="黑体" w:eastAsia="黑体" w:hint="eastAsia"/>
                <w:sz w:val="31"/>
              </w:rPr>
              <w:t>一期总物料平衡（损耗）</w:t>
            </w:r>
          </w:p>
        </w:tc>
        <w:tc>
          <w:tcPr>
            <w:tcW w:w="3159" w:type="dxa"/>
          </w:tcPr>
          <w:p>
            <w:pPr>
              <w:pStyle w:val="TableParagraph"/>
              <w:spacing w:before="8"/>
              <w:rPr>
                <w:rFonts w:ascii="宋体"/>
                <w:sz w:val="29"/>
              </w:rPr>
            </w:pPr>
          </w:p>
          <w:p>
            <w:pPr>
              <w:pStyle w:val="TableParagraph"/>
              <w:ind w:right="51"/>
              <w:jc w:val="right"/>
              <w:rPr>
                <w:rFonts w:ascii="黑体" w:eastAsia="黑体" w:hint="eastAsia"/>
                <w:sz w:val="31"/>
              </w:rPr>
            </w:pPr>
            <w:r>
              <w:rPr>
                <w:rFonts w:ascii="黑体" w:eastAsia="黑体" w:hint="eastAsia"/>
                <w:sz w:val="31"/>
              </w:rPr>
              <w:t>单位：万吨</w:t>
            </w:r>
            <w:r>
              <w:rPr>
                <w:sz w:val="31"/>
              </w:rPr>
              <w:t>/</w:t>
            </w:r>
            <w:r>
              <w:rPr>
                <w:rFonts w:ascii="黑体" w:eastAsia="黑体" w:hint="eastAsia"/>
                <w:sz w:val="31"/>
              </w:rPr>
              <w:t>年</w:t>
            </w:r>
          </w:p>
        </w:tc>
      </w:tr>
      <w:tr>
        <w:tblPrEx>
          <w:tblW w:w="0" w:type="auto"/>
          <w:jc w:val="left"/>
          <w:tblInd w:w="813" w:type="dxa"/>
          <w:tblLayout w:type="fixed"/>
          <w:tblCellMar>
            <w:top w:w="0" w:type="dxa"/>
            <w:left w:w="0" w:type="dxa"/>
            <w:bottom w:w="0" w:type="dxa"/>
            <w:right w:w="0" w:type="dxa"/>
          </w:tblCellMar>
          <w:tblLook w:val="01E0"/>
        </w:tblPrEx>
        <w:trPr>
          <w:trHeight w:val="495"/>
          <w:jc w:val="left"/>
        </w:trPr>
        <w:tc>
          <w:tcPr>
            <w:tcW w:w="950" w:type="dxa"/>
          </w:tcPr>
          <w:p>
            <w:pPr>
              <w:pStyle w:val="TableParagraph"/>
              <w:spacing w:before="53"/>
              <w:ind w:left="38" w:right="252"/>
              <w:jc w:val="center"/>
              <w:rPr>
                <w:rFonts w:ascii="黑体" w:eastAsia="黑体" w:hint="eastAsia"/>
                <w:sz w:val="31"/>
              </w:rPr>
            </w:pPr>
            <w:r>
              <w:rPr>
                <w:rFonts w:ascii="黑体" w:eastAsia="黑体" w:hint="eastAsia"/>
                <w:sz w:val="31"/>
              </w:rPr>
              <w:t>序号</w:t>
            </w:r>
          </w:p>
        </w:tc>
        <w:tc>
          <w:tcPr>
            <w:tcW w:w="1630" w:type="dxa"/>
          </w:tcPr>
          <w:p>
            <w:pPr>
              <w:pStyle w:val="TableParagraph"/>
              <w:spacing w:before="53"/>
              <w:ind w:left="266"/>
              <w:rPr>
                <w:rFonts w:ascii="黑体" w:eastAsia="黑体" w:hint="eastAsia"/>
                <w:sz w:val="31"/>
              </w:rPr>
            </w:pPr>
            <w:r>
              <w:rPr>
                <w:rFonts w:ascii="黑体" w:eastAsia="黑体" w:hint="eastAsia"/>
                <w:sz w:val="31"/>
              </w:rPr>
              <w:t>物料平衡</w:t>
            </w:r>
          </w:p>
        </w:tc>
        <w:tc>
          <w:tcPr>
            <w:tcW w:w="992" w:type="dxa"/>
          </w:tcPr>
          <w:p>
            <w:pPr>
              <w:pStyle w:val="TableParagraph"/>
              <w:rPr>
                <w:rFonts w:ascii="Times New Roman"/>
                <w:sz w:val="32"/>
              </w:rPr>
            </w:pPr>
          </w:p>
        </w:tc>
        <w:tc>
          <w:tcPr>
            <w:tcW w:w="3991" w:type="dxa"/>
          </w:tcPr>
          <w:p>
            <w:pPr>
              <w:pStyle w:val="TableParagraph"/>
              <w:rPr>
                <w:rFonts w:ascii="Times New Roman"/>
                <w:sz w:val="32"/>
              </w:rPr>
            </w:pPr>
          </w:p>
        </w:tc>
        <w:tc>
          <w:tcPr>
            <w:tcW w:w="3159" w:type="dxa"/>
          </w:tcPr>
          <w:p>
            <w:pPr>
              <w:pStyle w:val="TableParagraph"/>
              <w:spacing w:before="53"/>
              <w:ind w:left="545"/>
              <w:rPr>
                <w:rFonts w:ascii="黑体" w:eastAsia="黑体" w:hint="eastAsia"/>
                <w:sz w:val="31"/>
              </w:rPr>
            </w:pPr>
            <w:r>
              <w:rPr>
                <w:rFonts w:ascii="黑体" w:eastAsia="黑体" w:hint="eastAsia"/>
                <w:sz w:val="31"/>
              </w:rPr>
              <w:t>数量</w:t>
            </w:r>
          </w:p>
        </w:tc>
      </w:tr>
      <w:tr>
        <w:tblPrEx>
          <w:tblW w:w="0" w:type="auto"/>
          <w:jc w:val="left"/>
          <w:tblInd w:w="813" w:type="dxa"/>
          <w:tblLayout w:type="fixed"/>
          <w:tblCellMar>
            <w:top w:w="0" w:type="dxa"/>
            <w:left w:w="0" w:type="dxa"/>
            <w:bottom w:w="0" w:type="dxa"/>
            <w:right w:w="0" w:type="dxa"/>
          </w:tblCellMar>
          <w:tblLook w:val="01E0"/>
        </w:tblPrEx>
        <w:trPr>
          <w:trHeight w:val="481"/>
          <w:jc w:val="left"/>
        </w:trPr>
        <w:tc>
          <w:tcPr>
            <w:tcW w:w="950" w:type="dxa"/>
          </w:tcPr>
          <w:p>
            <w:pPr>
              <w:pStyle w:val="TableParagraph"/>
              <w:spacing w:before="67"/>
              <w:ind w:right="221"/>
              <w:jc w:val="center"/>
              <w:rPr>
                <w:sz w:val="31"/>
              </w:rPr>
            </w:pPr>
            <w:r>
              <w:rPr>
                <w:w w:val="91"/>
                <w:sz w:val="31"/>
              </w:rPr>
              <w:t>1</w:t>
            </w:r>
          </w:p>
        </w:tc>
        <w:tc>
          <w:tcPr>
            <w:tcW w:w="1630" w:type="dxa"/>
          </w:tcPr>
          <w:p>
            <w:pPr>
              <w:pStyle w:val="TableParagraph"/>
              <w:spacing w:before="47"/>
              <w:ind w:left="266"/>
              <w:rPr>
                <w:rFonts w:ascii="黑体" w:eastAsia="黑体" w:hint="eastAsia"/>
                <w:sz w:val="31"/>
              </w:rPr>
            </w:pPr>
            <w:r>
              <w:rPr>
                <w:rFonts w:ascii="黑体" w:eastAsia="黑体" w:hint="eastAsia"/>
                <w:sz w:val="31"/>
              </w:rPr>
              <w:t>灰渣</w:t>
            </w:r>
          </w:p>
        </w:tc>
        <w:tc>
          <w:tcPr>
            <w:tcW w:w="992" w:type="dxa"/>
          </w:tcPr>
          <w:p>
            <w:pPr>
              <w:pStyle w:val="TableParagraph"/>
              <w:rPr>
                <w:rFonts w:ascii="Times New Roman"/>
                <w:sz w:val="32"/>
              </w:rPr>
            </w:pPr>
          </w:p>
        </w:tc>
        <w:tc>
          <w:tcPr>
            <w:tcW w:w="3991" w:type="dxa"/>
          </w:tcPr>
          <w:p>
            <w:pPr>
              <w:pStyle w:val="TableParagraph"/>
              <w:rPr>
                <w:rFonts w:ascii="Times New Roman"/>
                <w:sz w:val="32"/>
              </w:rPr>
            </w:pPr>
          </w:p>
        </w:tc>
        <w:tc>
          <w:tcPr>
            <w:tcW w:w="3159" w:type="dxa"/>
          </w:tcPr>
          <w:p>
            <w:pPr>
              <w:pStyle w:val="TableParagraph"/>
              <w:spacing w:before="67"/>
              <w:ind w:left="505"/>
              <w:rPr>
                <w:sz w:val="31"/>
              </w:rPr>
            </w:pPr>
            <w:r>
              <w:rPr>
                <w:sz w:val="31"/>
              </w:rPr>
              <w:t>21.07</w:t>
            </w:r>
          </w:p>
        </w:tc>
      </w:tr>
      <w:tr>
        <w:tblPrEx>
          <w:tblW w:w="0" w:type="auto"/>
          <w:jc w:val="left"/>
          <w:tblInd w:w="813" w:type="dxa"/>
          <w:tblLayout w:type="fixed"/>
          <w:tblCellMar>
            <w:top w:w="0" w:type="dxa"/>
            <w:left w:w="0" w:type="dxa"/>
            <w:bottom w:w="0" w:type="dxa"/>
            <w:right w:w="0" w:type="dxa"/>
          </w:tblCellMar>
          <w:tblLook w:val="01E0"/>
        </w:tblPrEx>
        <w:trPr>
          <w:trHeight w:val="467"/>
          <w:jc w:val="left"/>
        </w:trPr>
        <w:tc>
          <w:tcPr>
            <w:tcW w:w="950" w:type="dxa"/>
          </w:tcPr>
          <w:p>
            <w:pPr>
              <w:pStyle w:val="TableParagraph"/>
              <w:spacing w:before="53"/>
              <w:ind w:right="221"/>
              <w:jc w:val="center"/>
              <w:rPr>
                <w:sz w:val="31"/>
              </w:rPr>
            </w:pPr>
            <w:r>
              <w:rPr>
                <w:w w:val="91"/>
                <w:sz w:val="31"/>
              </w:rPr>
              <w:t>2</w:t>
            </w:r>
          </w:p>
        </w:tc>
        <w:tc>
          <w:tcPr>
            <w:tcW w:w="1630" w:type="dxa"/>
          </w:tcPr>
          <w:p>
            <w:pPr>
              <w:pStyle w:val="TableParagraph"/>
              <w:spacing w:before="34"/>
              <w:ind w:left="266"/>
              <w:rPr>
                <w:rFonts w:ascii="黑体" w:eastAsia="黑体" w:hint="eastAsia"/>
                <w:sz w:val="31"/>
              </w:rPr>
            </w:pPr>
            <w:r>
              <w:rPr>
                <w:rFonts w:ascii="黑体" w:eastAsia="黑体" w:hint="eastAsia"/>
                <w:sz w:val="31"/>
              </w:rPr>
              <w:t>废气</w:t>
            </w:r>
          </w:p>
        </w:tc>
        <w:tc>
          <w:tcPr>
            <w:tcW w:w="992" w:type="dxa"/>
          </w:tcPr>
          <w:p>
            <w:pPr>
              <w:pStyle w:val="TableParagraph"/>
              <w:rPr>
                <w:rFonts w:ascii="Times New Roman"/>
                <w:sz w:val="32"/>
              </w:rPr>
            </w:pPr>
          </w:p>
        </w:tc>
        <w:tc>
          <w:tcPr>
            <w:tcW w:w="3991" w:type="dxa"/>
          </w:tcPr>
          <w:p>
            <w:pPr>
              <w:pStyle w:val="TableParagraph"/>
              <w:rPr>
                <w:rFonts w:ascii="Times New Roman"/>
                <w:sz w:val="32"/>
              </w:rPr>
            </w:pPr>
          </w:p>
        </w:tc>
        <w:tc>
          <w:tcPr>
            <w:tcW w:w="3159" w:type="dxa"/>
          </w:tcPr>
          <w:p>
            <w:pPr>
              <w:pStyle w:val="TableParagraph"/>
              <w:spacing w:before="53"/>
              <w:ind w:left="426"/>
              <w:rPr>
                <w:sz w:val="31"/>
              </w:rPr>
            </w:pPr>
            <w:r>
              <w:rPr>
                <w:sz w:val="31"/>
              </w:rPr>
              <w:t>309.81</w:t>
            </w:r>
          </w:p>
        </w:tc>
      </w:tr>
      <w:tr>
        <w:tblPrEx>
          <w:tblW w:w="0" w:type="auto"/>
          <w:jc w:val="left"/>
          <w:tblInd w:w="813" w:type="dxa"/>
          <w:tblLayout w:type="fixed"/>
          <w:tblCellMar>
            <w:top w:w="0" w:type="dxa"/>
            <w:left w:w="0" w:type="dxa"/>
            <w:bottom w:w="0" w:type="dxa"/>
            <w:right w:w="0" w:type="dxa"/>
          </w:tblCellMar>
          <w:tblLook w:val="01E0"/>
        </w:tblPrEx>
        <w:trPr>
          <w:trHeight w:val="467"/>
          <w:jc w:val="left"/>
        </w:trPr>
        <w:tc>
          <w:tcPr>
            <w:tcW w:w="950" w:type="dxa"/>
          </w:tcPr>
          <w:p>
            <w:pPr>
              <w:pStyle w:val="TableParagraph"/>
              <w:spacing w:before="53"/>
              <w:ind w:right="221"/>
              <w:jc w:val="center"/>
              <w:rPr>
                <w:sz w:val="31"/>
              </w:rPr>
            </w:pPr>
            <w:r>
              <w:rPr>
                <w:w w:val="91"/>
                <w:sz w:val="31"/>
              </w:rPr>
              <w:t>3</w:t>
            </w:r>
          </w:p>
        </w:tc>
        <w:tc>
          <w:tcPr>
            <w:tcW w:w="1630" w:type="dxa"/>
          </w:tcPr>
          <w:p>
            <w:pPr>
              <w:pStyle w:val="TableParagraph"/>
              <w:spacing w:before="34"/>
              <w:ind w:left="266"/>
              <w:rPr>
                <w:rFonts w:ascii="黑体" w:eastAsia="黑体" w:hint="eastAsia"/>
                <w:sz w:val="31"/>
              </w:rPr>
            </w:pPr>
            <w:r>
              <w:rPr>
                <w:rFonts w:ascii="黑体" w:eastAsia="黑体" w:hint="eastAsia"/>
                <w:sz w:val="31"/>
              </w:rPr>
              <w:t>损失</w:t>
            </w:r>
          </w:p>
        </w:tc>
        <w:tc>
          <w:tcPr>
            <w:tcW w:w="992" w:type="dxa"/>
          </w:tcPr>
          <w:p>
            <w:pPr>
              <w:pStyle w:val="TableParagraph"/>
              <w:rPr>
                <w:rFonts w:ascii="Times New Roman"/>
                <w:sz w:val="32"/>
              </w:rPr>
            </w:pPr>
          </w:p>
        </w:tc>
        <w:tc>
          <w:tcPr>
            <w:tcW w:w="3991" w:type="dxa"/>
          </w:tcPr>
          <w:p>
            <w:pPr>
              <w:pStyle w:val="TableParagraph"/>
              <w:rPr>
                <w:rFonts w:ascii="Times New Roman"/>
                <w:sz w:val="32"/>
              </w:rPr>
            </w:pPr>
          </w:p>
        </w:tc>
        <w:tc>
          <w:tcPr>
            <w:tcW w:w="3159" w:type="dxa"/>
          </w:tcPr>
          <w:p>
            <w:pPr>
              <w:pStyle w:val="TableParagraph"/>
              <w:spacing w:before="53"/>
              <w:ind w:left="426"/>
              <w:rPr>
                <w:sz w:val="31"/>
              </w:rPr>
            </w:pPr>
            <w:r>
              <w:rPr>
                <w:sz w:val="31"/>
              </w:rPr>
              <w:t>281.83</w:t>
            </w:r>
          </w:p>
        </w:tc>
      </w:tr>
      <w:tr>
        <w:tblPrEx>
          <w:tblW w:w="0" w:type="auto"/>
          <w:jc w:val="left"/>
          <w:tblInd w:w="813" w:type="dxa"/>
          <w:tblLayout w:type="fixed"/>
          <w:tblCellMar>
            <w:top w:w="0" w:type="dxa"/>
            <w:left w:w="0" w:type="dxa"/>
            <w:bottom w:w="0" w:type="dxa"/>
            <w:right w:w="0" w:type="dxa"/>
          </w:tblCellMar>
          <w:tblLook w:val="01E0"/>
        </w:tblPrEx>
        <w:trPr>
          <w:trHeight w:val="399"/>
          <w:jc w:val="left"/>
        </w:trPr>
        <w:tc>
          <w:tcPr>
            <w:tcW w:w="950" w:type="dxa"/>
          </w:tcPr>
          <w:p>
            <w:pPr>
              <w:pStyle w:val="TableParagraph"/>
              <w:spacing w:before="53" w:line="326" w:lineRule="exact"/>
              <w:ind w:right="221"/>
              <w:jc w:val="center"/>
              <w:rPr>
                <w:sz w:val="31"/>
              </w:rPr>
            </w:pPr>
            <w:r>
              <w:rPr>
                <w:w w:val="91"/>
                <w:sz w:val="31"/>
              </w:rPr>
              <w:t>4</w:t>
            </w:r>
          </w:p>
        </w:tc>
        <w:tc>
          <w:tcPr>
            <w:tcW w:w="1630" w:type="dxa"/>
          </w:tcPr>
          <w:p>
            <w:pPr>
              <w:pStyle w:val="TableParagraph"/>
              <w:spacing w:before="34" w:line="345" w:lineRule="exact"/>
              <w:ind w:left="266"/>
              <w:rPr>
                <w:rFonts w:ascii="黑体" w:eastAsia="黑体" w:hint="eastAsia"/>
                <w:sz w:val="31"/>
              </w:rPr>
            </w:pPr>
            <w:r>
              <w:rPr>
                <w:rFonts w:ascii="黑体" w:eastAsia="黑体" w:hint="eastAsia"/>
                <w:sz w:val="31"/>
              </w:rPr>
              <w:t>损耗小计</w:t>
            </w:r>
          </w:p>
        </w:tc>
        <w:tc>
          <w:tcPr>
            <w:tcW w:w="992" w:type="dxa"/>
          </w:tcPr>
          <w:p>
            <w:pPr>
              <w:pStyle w:val="TableParagraph"/>
              <w:rPr>
                <w:rFonts w:ascii="Times New Roman"/>
                <w:sz w:val="30"/>
              </w:rPr>
            </w:pPr>
          </w:p>
        </w:tc>
        <w:tc>
          <w:tcPr>
            <w:tcW w:w="3991" w:type="dxa"/>
          </w:tcPr>
          <w:p>
            <w:pPr>
              <w:pStyle w:val="TableParagraph"/>
              <w:rPr>
                <w:rFonts w:ascii="Times New Roman"/>
                <w:sz w:val="30"/>
              </w:rPr>
            </w:pPr>
          </w:p>
        </w:tc>
        <w:tc>
          <w:tcPr>
            <w:tcW w:w="3159" w:type="dxa"/>
          </w:tcPr>
          <w:p>
            <w:pPr>
              <w:pStyle w:val="TableParagraph"/>
              <w:spacing w:before="53" w:line="326" w:lineRule="exact"/>
              <w:ind w:left="426"/>
              <w:rPr>
                <w:sz w:val="31"/>
              </w:rPr>
            </w:pPr>
            <w:r>
              <w:rPr>
                <w:sz w:val="31"/>
              </w:rPr>
              <w:t>612.72</w:t>
            </w:r>
          </w:p>
        </w:tc>
      </w:tr>
    </w:tbl>
    <w:p>
      <w:pPr>
        <w:pStyle w:val="BodyText"/>
        <w:spacing w:before="3"/>
        <w:rPr>
          <w:sz w:val="2"/>
        </w:rPr>
      </w:pPr>
    </w:p>
    <w:p>
      <w:pPr>
        <w:pStyle w:val="BodyText"/>
        <w:spacing w:line="79" w:lineRule="exact"/>
        <w:ind w:left="460"/>
        <w:rPr>
          <w:sz w:val="7"/>
        </w:rPr>
      </w:pPr>
      <w:r>
        <w:rPr>
          <w:position w:val="-1"/>
          <w:sz w:val="7"/>
        </w:rPr>
        <w:drawing>
          <wp:inline distT="0" distB="0" distL="0" distR="0">
            <wp:extent cx="7132224" cy="50673"/>
            <wp:effectExtent l="0" t="0" r="0" b="0"/>
            <wp:docPr id="4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6.png"/>
                    <pic:cNvPicPr/>
                  </pic:nvPicPr>
                  <pic:blipFill>
                    <a:blip xmlns:r="http://schemas.openxmlformats.org/officeDocument/2006/relationships" r:embed="rId9" cstate="print"/>
                    <a:stretch>
                      <a:fillRect/>
                    </a:stretch>
                  </pic:blipFill>
                  <pic:spPr>
                    <a:xfrm>
                      <a:off x="0" y="0"/>
                      <a:ext cx="7132224" cy="50673"/>
                    </a:xfrm>
                    <a:prstGeom prst="rect">
                      <a:avLst/>
                    </a:prstGeom>
                  </pic:spPr>
                </pic:pic>
              </a:graphicData>
            </a:graphic>
          </wp:inline>
        </w:drawing>
      </w:r>
    </w:p>
    <w:p>
      <w:pPr>
        <w:pStyle w:val="BodyText"/>
        <w:spacing w:before="11"/>
        <w:rPr>
          <w:sz w:val="22"/>
        </w:rPr>
      </w:pPr>
    </w:p>
    <w:p>
      <w:pPr>
        <w:pStyle w:val="Heading2"/>
        <w:numPr>
          <w:ilvl w:val="1"/>
          <w:numId w:val="38"/>
        </w:numPr>
        <w:tabs>
          <w:tab w:val="left" w:pos="1274"/>
        </w:tabs>
        <w:spacing w:before="53" w:after="0" w:line="240" w:lineRule="auto"/>
        <w:ind w:left="1273" w:right="0" w:hanging="630"/>
        <w:jc w:val="left"/>
      </w:pPr>
      <w:bookmarkStart w:id="10" w:name="_TOC_250021"/>
      <w:bookmarkEnd w:id="10"/>
      <w:r>
        <w:t>煤直接液化工艺特点</w:t>
      </w:r>
    </w:p>
    <w:p>
      <w:pPr>
        <w:pStyle w:val="BodyText"/>
        <w:spacing w:before="327" w:line="316" w:lineRule="auto"/>
        <w:ind w:left="644" w:right="2207" w:firstLine="719"/>
        <w:jc w:val="both"/>
      </w:pPr>
      <w:r>
        <w:t>神华集团在与煤炭科学研究总院北京煤化所多年合作研究的基础上，通过风险分析与论证，建立中试装置试验与验证，并在新型高效</w:t>
      </w:r>
      <w:r>
        <w:rPr>
          <w:spacing w:val="-10"/>
          <w:w w:val="95"/>
        </w:rPr>
        <w:t>“</w:t>
      </w:r>
      <w:r>
        <w:rPr>
          <w:rFonts w:ascii="Arial" w:eastAsia="Arial" w:hAnsi="Arial"/>
          <w:spacing w:val="-10"/>
          <w:w w:val="95"/>
        </w:rPr>
        <w:t>863</w:t>
      </w:r>
      <w:r>
        <w:rPr>
          <w:spacing w:val="-7"/>
          <w:w w:val="95"/>
        </w:rPr>
        <w:t xml:space="preserve">”合成催化剂研发成功的条件下，共同开发出具有我国自主知识 </w:t>
      </w:r>
      <w:r>
        <w:t>产权的神华煤直接液化工艺技术，其特点如下：</w:t>
      </w:r>
    </w:p>
    <w:p>
      <w:pPr>
        <w:pStyle w:val="BodyText"/>
        <w:spacing w:before="8"/>
        <w:rPr>
          <w:sz w:val="22"/>
        </w:rPr>
      </w:pPr>
    </w:p>
    <w:p>
      <w:pPr>
        <w:spacing w:after="0"/>
        <w:rPr>
          <w:sz w:val="22"/>
        </w:rPr>
        <w:sectPr>
          <w:pgSz w:w="15480" w:h="21860"/>
          <w:pgMar w:top="2080" w:right="0" w:bottom="280" w:left="1740" w:header="708" w:footer="708"/>
          <w:pgNumType w:start="30"/>
          <w:cols w:space="708"/>
        </w:sectPr>
      </w:pPr>
    </w:p>
    <w:p>
      <w:pPr>
        <w:pStyle w:val="ListParagraph"/>
        <w:numPr>
          <w:ilvl w:val="2"/>
          <w:numId w:val="38"/>
        </w:numPr>
        <w:tabs>
          <w:tab w:val="left" w:pos="1454"/>
        </w:tabs>
        <w:spacing w:before="59" w:after="0" w:line="240" w:lineRule="auto"/>
        <w:ind w:left="1453" w:right="0" w:hanging="810"/>
        <w:jc w:val="left"/>
        <w:rPr>
          <w:rFonts w:ascii="Arial" w:eastAsia="Arial"/>
          <w:sz w:val="36"/>
        </w:rPr>
      </w:pPr>
      <w:r>
        <w:rPr>
          <w:rFonts w:ascii="黑体" w:eastAsia="黑体" w:hint="eastAsia"/>
          <w:sz w:val="36"/>
        </w:rPr>
        <w:t>采用悬浮床反应器，处理能力大，效率高</w:t>
      </w:r>
    </w:p>
    <w:p>
      <w:pPr>
        <w:pStyle w:val="BodyText"/>
        <w:spacing w:before="147"/>
        <w:ind w:left="1363"/>
        <w:rPr>
          <w:rFonts w:ascii="Arial" w:eastAsia="Arial"/>
          <w:sz w:val="29"/>
        </w:rPr>
      </w:pPr>
      <w:r>
        <w:rPr>
          <w:spacing w:val="3"/>
        </w:rPr>
        <w:t>煤液化反应器的制造是煤液化项目中的核心制造技术</w:t>
      </w:r>
      <w:r>
        <w:rPr>
          <w:rFonts w:ascii="Arial" w:eastAsia="Arial"/>
          <w:spacing w:val="-13"/>
          <w:position w:val="-2"/>
          <w:sz w:val="29"/>
        </w:rPr>
        <w:t>[28</w:t>
      </w:r>
      <w:r>
        <w:rPr>
          <w:spacing w:val="-323"/>
        </w:rPr>
        <w:t>。</w:t>
      </w:r>
      <w:r>
        <w:rPr>
          <w:rFonts w:ascii="Arial" w:eastAsia="Arial"/>
          <w:spacing w:val="-18"/>
          <w:position w:val="-2"/>
          <w:sz w:val="29"/>
        </w:rPr>
        <w:t>]</w:t>
      </w:r>
    </w:p>
    <w:p>
      <w:pPr>
        <w:pStyle w:val="BodyText"/>
        <w:rPr>
          <w:rFonts w:ascii="Arial"/>
        </w:rPr>
      </w:pPr>
      <w:r>
        <w:br w:type="column"/>
      </w:r>
    </w:p>
    <w:p>
      <w:pPr>
        <w:pStyle w:val="BodyText"/>
        <w:spacing w:before="253"/>
        <w:ind w:left="186"/>
      </w:pPr>
      <w:r>
        <w:t>煤液化</w:t>
      </w:r>
    </w:p>
    <w:p>
      <w:pPr>
        <w:spacing w:after="0"/>
        <w:sectPr>
          <w:type w:val="continuous"/>
          <w:pgSz w:w="15480" w:h="21860"/>
          <w:pgMar w:top="2080" w:right="0" w:bottom="280" w:left="1740" w:header="708" w:footer="708"/>
          <w:pgNumType w:start="31"/>
          <w:cols w:num="2" w:space="708" w:equalWidth="0">
            <w:col w:w="10213" w:space="40"/>
            <w:col w:w="3487" w:space="0"/>
          </w:cols>
        </w:sectPr>
      </w:pPr>
    </w:p>
    <w:p>
      <w:pPr>
        <w:pStyle w:val="BodyText"/>
        <w:spacing w:before="147" w:line="316" w:lineRule="auto"/>
        <w:ind w:left="644" w:right="2295"/>
      </w:pPr>
      <w:r>
        <w:drawing>
          <wp:anchor distT="0" distB="0" distL="0" distR="0" simplePos="0" relativeHeight="251676672" behindDoc="0" locked="0" layoutInCell="1" allowOverlap="1">
            <wp:simplePos x="0" y="0"/>
            <wp:positionH relativeFrom="page">
              <wp:posOffset>1409700</wp:posOffset>
            </wp:positionH>
            <wp:positionV relativeFrom="page">
              <wp:posOffset>1879599</wp:posOffset>
            </wp:positionV>
            <wp:extent cx="7137400" cy="38100"/>
            <wp:effectExtent l="0" t="0" r="0" b="0"/>
            <wp:wrapNone/>
            <wp:docPr id="4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7.png"/>
                    <pic:cNvPicPr/>
                  </pic:nvPicPr>
                  <pic:blipFill>
                    <a:blip xmlns:r="http://schemas.openxmlformats.org/officeDocument/2006/relationships" r:embed="rId12" cstate="print"/>
                    <a:stretch>
                      <a:fillRect/>
                    </a:stretch>
                  </pic:blipFill>
                  <pic:spPr>
                    <a:xfrm>
                      <a:off x="0" y="0"/>
                      <a:ext cx="7137400" cy="38100"/>
                    </a:xfrm>
                    <a:prstGeom prst="rect">
                      <a:avLst/>
                    </a:prstGeom>
                  </pic:spPr>
                </pic:pic>
              </a:graphicData>
            </a:graphic>
          </wp:anchor>
        </w:drawing>
      </w:r>
      <w:r>
        <w:drawing>
          <wp:anchor distT="0" distB="0" distL="0" distR="0" simplePos="0" relativeHeight="251677696" behindDoc="0" locked="0" layoutInCell="1" allowOverlap="1">
            <wp:simplePos x="0" y="0"/>
            <wp:positionH relativeFrom="page">
              <wp:posOffset>1397000</wp:posOffset>
            </wp:positionH>
            <wp:positionV relativeFrom="page">
              <wp:posOffset>3682999</wp:posOffset>
            </wp:positionV>
            <wp:extent cx="7150100" cy="50800"/>
            <wp:effectExtent l="0" t="0" r="0" b="0"/>
            <wp:wrapNone/>
            <wp:docPr id="49"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8.png"/>
                    <pic:cNvPicPr/>
                  </pic:nvPicPr>
                  <pic:blipFill>
                    <a:blip xmlns:r="http://schemas.openxmlformats.org/officeDocument/2006/relationships" r:embed="rId14" cstate="print"/>
                    <a:stretch>
                      <a:fillRect/>
                    </a:stretch>
                  </pic:blipFill>
                  <pic:spPr>
                    <a:xfrm>
                      <a:off x="0" y="0"/>
                      <a:ext cx="7150100" cy="50800"/>
                    </a:xfrm>
                    <a:prstGeom prst="rect">
                      <a:avLst/>
                    </a:prstGeom>
                  </pic:spPr>
                </pic:pic>
              </a:graphicData>
            </a:graphic>
          </wp:anchor>
        </w:drawing>
      </w:r>
      <w:r>
        <w:drawing>
          <wp:anchor distT="0" distB="0" distL="0" distR="0" simplePos="0" relativeHeight="251678720" behindDoc="0" locked="0" layoutInCell="1" allowOverlap="1">
            <wp:simplePos x="0" y="0"/>
            <wp:positionH relativeFrom="page">
              <wp:posOffset>1409700</wp:posOffset>
            </wp:positionH>
            <wp:positionV relativeFrom="page">
              <wp:posOffset>1562099</wp:posOffset>
            </wp:positionV>
            <wp:extent cx="7137400" cy="50800"/>
            <wp:effectExtent l="0" t="0" r="0" b="0"/>
            <wp:wrapNone/>
            <wp:docPr id="5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9.png"/>
                    <pic:cNvPicPr/>
                  </pic:nvPicPr>
                  <pic:blipFill>
                    <a:blip xmlns:r="http://schemas.openxmlformats.org/officeDocument/2006/relationships" r:embed="rId13" cstate="print"/>
                    <a:stretch>
                      <a:fillRect/>
                    </a:stretch>
                  </pic:blipFill>
                  <pic:spPr>
                    <a:xfrm>
                      <a:off x="0" y="0"/>
                      <a:ext cx="7137400" cy="50800"/>
                    </a:xfrm>
                    <a:prstGeom prst="rect">
                      <a:avLst/>
                    </a:prstGeom>
                  </pic:spPr>
                </pic:pic>
              </a:graphicData>
            </a:graphic>
          </wp:anchor>
        </w:drawing>
      </w:r>
      <w:r>
        <w:drawing>
          <wp:anchor distT="0" distB="0" distL="0" distR="0" simplePos="0" relativeHeight="251679744" behindDoc="0" locked="0" layoutInCell="1" allowOverlap="1">
            <wp:simplePos x="0" y="0"/>
            <wp:positionH relativeFrom="page">
              <wp:posOffset>1409700</wp:posOffset>
            </wp:positionH>
            <wp:positionV relativeFrom="page">
              <wp:posOffset>4483099</wp:posOffset>
            </wp:positionV>
            <wp:extent cx="7137400" cy="38100"/>
            <wp:effectExtent l="0" t="0" r="0" b="0"/>
            <wp:wrapNone/>
            <wp:docPr id="5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7.png"/>
                    <pic:cNvPicPr/>
                  </pic:nvPicPr>
                  <pic:blipFill>
                    <a:blip xmlns:r="http://schemas.openxmlformats.org/officeDocument/2006/relationships" r:embed="rId12" cstate="print"/>
                    <a:stretch>
                      <a:fillRect/>
                    </a:stretch>
                  </pic:blipFill>
                  <pic:spPr>
                    <a:xfrm>
                      <a:off x="0" y="0"/>
                      <a:ext cx="7137400" cy="38100"/>
                    </a:xfrm>
                    <a:prstGeom prst="rect">
                      <a:avLst/>
                    </a:prstGeom>
                  </pic:spPr>
                </pic:pic>
              </a:graphicData>
            </a:graphic>
          </wp:anchor>
        </w:drawing>
      </w:r>
      <w:r>
        <w:drawing>
          <wp:anchor distT="0" distB="0" distL="0" distR="0" simplePos="0" relativeHeight="251680768" behindDoc="0" locked="0" layoutInCell="1" allowOverlap="1">
            <wp:simplePos x="0" y="0"/>
            <wp:positionH relativeFrom="page">
              <wp:posOffset>1397000</wp:posOffset>
            </wp:positionH>
            <wp:positionV relativeFrom="page">
              <wp:posOffset>5981699</wp:posOffset>
            </wp:positionV>
            <wp:extent cx="7150100" cy="50800"/>
            <wp:effectExtent l="0" t="0" r="0" b="0"/>
            <wp:wrapNone/>
            <wp:docPr id="5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0.png"/>
                    <pic:cNvPicPr/>
                  </pic:nvPicPr>
                  <pic:blipFill>
                    <a:blip xmlns:r="http://schemas.openxmlformats.org/officeDocument/2006/relationships" r:embed="rId9" cstate="print"/>
                    <a:stretch>
                      <a:fillRect/>
                    </a:stretch>
                  </pic:blipFill>
                  <pic:spPr>
                    <a:xfrm>
                      <a:off x="0" y="0"/>
                      <a:ext cx="7150100" cy="50800"/>
                    </a:xfrm>
                    <a:prstGeom prst="rect">
                      <a:avLst/>
                    </a:prstGeom>
                  </pic:spPr>
                </pic:pic>
              </a:graphicData>
            </a:graphic>
          </wp:anchor>
        </w:drawing>
      </w:r>
      <w:r>
        <w:drawing>
          <wp:anchor distT="0" distB="0" distL="0" distR="0" simplePos="0" relativeHeight="251681792" behindDoc="0" locked="0" layoutInCell="1" allowOverlap="1">
            <wp:simplePos x="0" y="0"/>
            <wp:positionH relativeFrom="page">
              <wp:posOffset>1409700</wp:posOffset>
            </wp:positionH>
            <wp:positionV relativeFrom="page">
              <wp:posOffset>4152899</wp:posOffset>
            </wp:positionV>
            <wp:extent cx="7137400" cy="50800"/>
            <wp:effectExtent l="0" t="0" r="0" b="0"/>
            <wp:wrapNone/>
            <wp:docPr id="5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1.png"/>
                    <pic:cNvPicPr/>
                  </pic:nvPicPr>
                  <pic:blipFill>
                    <a:blip xmlns:r="http://schemas.openxmlformats.org/officeDocument/2006/relationships" r:embed="rId16" cstate="print"/>
                    <a:stretch>
                      <a:fillRect/>
                    </a:stretch>
                  </pic:blipFill>
                  <pic:spPr>
                    <a:xfrm>
                      <a:off x="0" y="0"/>
                      <a:ext cx="7137400" cy="50800"/>
                    </a:xfrm>
                    <a:prstGeom prst="rect">
                      <a:avLst/>
                    </a:prstGeom>
                  </pic:spPr>
                </pic:pic>
              </a:graphicData>
            </a:graphic>
          </wp:anchor>
        </w:drawing>
      </w:r>
      <w:r>
        <w:drawing>
          <wp:anchor distT="0" distB="0" distL="0" distR="0" simplePos="0" relativeHeight="251682816" behindDoc="0" locked="0" layoutInCell="1" allowOverlap="1">
            <wp:simplePos x="0" y="0"/>
            <wp:positionH relativeFrom="page">
              <wp:posOffset>1409700</wp:posOffset>
            </wp:positionH>
            <wp:positionV relativeFrom="page">
              <wp:posOffset>6451599</wp:posOffset>
            </wp:positionV>
            <wp:extent cx="7137400" cy="63500"/>
            <wp:effectExtent l="0" t="0" r="0" b="0"/>
            <wp:wrapNone/>
            <wp:docPr id="5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8.png"/>
                    <pic:cNvPicPr/>
                  </pic:nvPicPr>
                  <pic:blipFill>
                    <a:blip xmlns:r="http://schemas.openxmlformats.org/officeDocument/2006/relationships" r:embed="rId11" cstate="print"/>
                    <a:stretch>
                      <a:fillRect/>
                    </a:stretch>
                  </pic:blipFill>
                  <pic:spPr>
                    <a:xfrm>
                      <a:off x="0" y="0"/>
                      <a:ext cx="7137400" cy="63500"/>
                    </a:xfrm>
                    <a:prstGeom prst="rect">
                      <a:avLst/>
                    </a:prstGeom>
                  </pic:spPr>
                </pic:pic>
              </a:graphicData>
            </a:graphic>
          </wp:anchor>
        </w:drawing>
      </w:r>
      <w:r>
        <w:drawing>
          <wp:anchor distT="0" distB="0" distL="0" distR="0" simplePos="0" relativeHeight="251683840" behindDoc="0" locked="0" layoutInCell="1" allowOverlap="1">
            <wp:simplePos x="0" y="0"/>
            <wp:positionH relativeFrom="page">
              <wp:posOffset>1409700</wp:posOffset>
            </wp:positionH>
            <wp:positionV relativeFrom="page">
              <wp:posOffset>6781799</wp:posOffset>
            </wp:positionV>
            <wp:extent cx="7137400" cy="38100"/>
            <wp:effectExtent l="0" t="0" r="0" b="0"/>
            <wp:wrapNone/>
            <wp:docPr id="61"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17.png"/>
                    <pic:cNvPicPr/>
                  </pic:nvPicPr>
                  <pic:blipFill>
                    <a:blip xmlns:r="http://schemas.openxmlformats.org/officeDocument/2006/relationships" r:embed="rId12" cstate="print"/>
                    <a:stretch>
                      <a:fillRect/>
                    </a:stretch>
                  </pic:blipFill>
                  <pic:spPr>
                    <a:xfrm>
                      <a:off x="0" y="0"/>
                      <a:ext cx="7137400" cy="38100"/>
                    </a:xfrm>
                    <a:prstGeom prst="rect">
                      <a:avLst/>
                    </a:prstGeom>
                  </pic:spPr>
                </pic:pic>
              </a:graphicData>
            </a:graphic>
          </wp:anchor>
        </w:drawing>
      </w:r>
      <w:r>
        <w:t>反应器在高温高压临氢环境下操作，条件苛刻，对设备材质的杂质含量、常温力学性能、高温强度、低温韧性、回火脆化倾向等都有特殊</w:t>
      </w:r>
    </w:p>
    <w:p>
      <w:pPr>
        <w:spacing w:after="0" w:line="316" w:lineRule="auto"/>
        <w:sectPr>
          <w:type w:val="continuous"/>
          <w:pgSz w:w="15480" w:h="21860"/>
          <w:pgMar w:top="2080" w:right="0" w:bottom="280" w:left="1740" w:header="708" w:footer="708"/>
          <w:pgNumType w:start="32"/>
          <w:cols w:space="708"/>
        </w:sectPr>
      </w:pPr>
    </w:p>
    <w:p>
      <w:pPr>
        <w:pStyle w:val="BodyText"/>
        <w:spacing w:before="44" w:line="316" w:lineRule="auto"/>
        <w:ind w:left="644" w:right="2031"/>
      </w:pPr>
      <w:r>
        <w:drawing>
          <wp:anchor distT="0" distB="0" distL="0" distR="0" simplePos="0" relativeHeight="251685888" behindDoc="1" locked="0" layoutInCell="1" allowOverlap="1">
            <wp:simplePos x="0" y="0"/>
            <wp:positionH relativeFrom="page">
              <wp:posOffset>1409700</wp:posOffset>
            </wp:positionH>
            <wp:positionV relativeFrom="page">
              <wp:posOffset>8381999</wp:posOffset>
            </wp:positionV>
            <wp:extent cx="7119556" cy="50673"/>
            <wp:effectExtent l="0" t="0" r="0" b="0"/>
            <wp:wrapNone/>
            <wp:docPr id="6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2.png"/>
                    <pic:cNvPicPr/>
                  </pic:nvPicPr>
                  <pic:blipFill>
                    <a:blip xmlns:r="http://schemas.openxmlformats.org/officeDocument/2006/relationships" r:embed="rId13" cstate="print"/>
                    <a:stretch>
                      <a:fillRect/>
                    </a:stretch>
                  </pic:blipFill>
                  <pic:spPr>
                    <a:xfrm>
                      <a:off x="0" y="0"/>
                      <a:ext cx="7119556" cy="50673"/>
                    </a:xfrm>
                    <a:prstGeom prst="rect">
                      <a:avLst/>
                    </a:prstGeom>
                  </pic:spPr>
                </pic:pic>
              </a:graphicData>
            </a:graphic>
          </wp:anchor>
        </w:drawing>
      </w:r>
      <w:r>
        <w:drawing>
          <wp:anchor distT="0" distB="0" distL="0" distR="0" simplePos="0" relativeHeight="251686912" behindDoc="1" locked="0" layoutInCell="1" allowOverlap="1">
            <wp:simplePos x="0" y="0"/>
            <wp:positionH relativeFrom="page">
              <wp:posOffset>1409700</wp:posOffset>
            </wp:positionH>
            <wp:positionV relativeFrom="page">
              <wp:posOffset>8699499</wp:posOffset>
            </wp:positionV>
            <wp:extent cx="7119556" cy="38004"/>
            <wp:effectExtent l="0" t="0" r="0" b="0"/>
            <wp:wrapNone/>
            <wp:docPr id="6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17.png"/>
                    <pic:cNvPicPr/>
                  </pic:nvPicPr>
                  <pic:blipFill>
                    <a:blip xmlns:r="http://schemas.openxmlformats.org/officeDocument/2006/relationships" r:embed="rId12" cstate="print"/>
                    <a:stretch>
                      <a:fillRect/>
                    </a:stretch>
                  </pic:blipFill>
                  <pic:spPr>
                    <a:xfrm>
                      <a:off x="0" y="0"/>
                      <a:ext cx="7119556" cy="38004"/>
                    </a:xfrm>
                    <a:prstGeom prst="rect">
                      <a:avLst/>
                    </a:prstGeom>
                  </pic:spPr>
                </pic:pic>
              </a:graphicData>
            </a:graphic>
          </wp:anchor>
        </w:drawing>
      </w:r>
      <w:r>
        <w:drawing>
          <wp:anchor distT="0" distB="0" distL="0" distR="0" simplePos="0" relativeHeight="251688960" behindDoc="1" locked="0" layoutInCell="1" allowOverlap="1">
            <wp:simplePos x="0" y="0"/>
            <wp:positionH relativeFrom="page">
              <wp:posOffset>1397000</wp:posOffset>
            </wp:positionH>
            <wp:positionV relativeFrom="page">
              <wp:posOffset>7899399</wp:posOffset>
            </wp:positionV>
            <wp:extent cx="7132224" cy="63341"/>
            <wp:effectExtent l="0" t="0" r="0" b="0"/>
            <wp:wrapNone/>
            <wp:docPr id="6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23.png"/>
                    <pic:cNvPicPr/>
                  </pic:nvPicPr>
                  <pic:blipFill>
                    <a:blip xmlns:r="http://schemas.openxmlformats.org/officeDocument/2006/relationships" r:embed="rId18" cstate="print"/>
                    <a:stretch>
                      <a:fillRect/>
                    </a:stretch>
                  </pic:blipFill>
                  <pic:spPr>
                    <a:xfrm>
                      <a:off x="0" y="0"/>
                      <a:ext cx="7132224" cy="63341"/>
                    </a:xfrm>
                    <a:prstGeom prst="rect">
                      <a:avLst/>
                    </a:prstGeom>
                  </pic:spPr>
                </pic:pic>
              </a:graphicData>
            </a:graphic>
          </wp:anchor>
        </w:drawing>
      </w:r>
      <w:r>
        <w:rPr>
          <w:spacing w:val="-26"/>
        </w:rPr>
        <w:t xml:space="preserve">要求。反应器材质为 </w:t>
      </w:r>
      <w:r>
        <w:rPr>
          <w:rFonts w:ascii="Arial" w:eastAsia="Arial"/>
          <w:w w:val="95"/>
        </w:rPr>
        <w:t>2.25Cr-1Mo-1/4</w:t>
      </w:r>
      <w:r>
        <w:rPr>
          <w:rFonts w:ascii="Arial" w:eastAsia="Arial"/>
          <w:spacing w:val="-9"/>
          <w:w w:val="95"/>
        </w:rPr>
        <w:t>V</w:t>
      </w:r>
      <w:r>
        <w:rPr>
          <w:spacing w:val="-14"/>
        </w:rPr>
        <w:t>，是中国一重集团新开发的钢种。</w:t>
      </w:r>
      <w:r>
        <w:rPr>
          <w:spacing w:val="-23"/>
        </w:rPr>
        <w:t xml:space="preserve">反应器外径 </w:t>
      </w:r>
      <w:r>
        <w:rPr>
          <w:rFonts w:ascii="Arial" w:eastAsia="Arial"/>
        </w:rPr>
        <w:t>5.5m</w:t>
      </w:r>
      <w:r>
        <w:rPr>
          <w:spacing w:val="-36"/>
        </w:rPr>
        <w:t xml:space="preserve">，壁厚 </w:t>
      </w:r>
      <w:r>
        <w:rPr>
          <w:rFonts w:ascii="Arial" w:eastAsia="Arial"/>
        </w:rPr>
        <w:t>335mm</w:t>
      </w:r>
      <w:r>
        <w:rPr>
          <w:spacing w:val="-16"/>
        </w:rPr>
        <w:t xml:space="preserve">，设备单体质量达 </w:t>
      </w:r>
      <w:r>
        <w:rPr>
          <w:rFonts w:ascii="Arial" w:eastAsia="Arial"/>
        </w:rPr>
        <w:t>2</w:t>
      </w:r>
      <w:r>
        <w:rPr>
          <w:rFonts w:ascii="Arial" w:eastAsia="Arial"/>
          <w:spacing w:val="-56"/>
        </w:rPr>
        <w:t xml:space="preserve"> </w:t>
      </w:r>
      <w:r>
        <w:rPr>
          <w:rFonts w:ascii="Arial" w:eastAsia="Arial"/>
        </w:rPr>
        <w:t>050t</w:t>
      </w:r>
      <w:r>
        <w:t>，是目前世界上最大的反应器。煤液化反应器采用悬浮床反应器，具有两个优点：</w:t>
      </w:r>
    </w:p>
    <w:p>
      <w:pPr>
        <w:pStyle w:val="ListParagraph"/>
        <w:numPr>
          <w:ilvl w:val="3"/>
          <w:numId w:val="39"/>
        </w:numPr>
        <w:tabs>
          <w:tab w:val="left" w:pos="1785"/>
        </w:tabs>
        <w:spacing w:before="0" w:after="0" w:line="316" w:lineRule="auto"/>
        <w:ind w:left="644" w:right="2236" w:firstLine="719"/>
        <w:jc w:val="both"/>
        <w:rPr>
          <w:sz w:val="36"/>
        </w:rPr>
      </w:pPr>
      <w:r>
        <w:rPr>
          <w:spacing w:val="-1"/>
          <w:sz w:val="36"/>
        </w:rPr>
        <w:t>通过强制内循环，改善反应器内流体的流动状态，使反应器设</w:t>
      </w:r>
      <w:r>
        <w:rPr>
          <w:sz w:val="36"/>
        </w:rPr>
        <w:t>计尺寸可以不受流体流动状态的限制，因此，单台设备和单系列装置处理能力大；</w:t>
      </w:r>
    </w:p>
    <w:p>
      <w:pPr>
        <w:pStyle w:val="ListParagraph"/>
        <w:numPr>
          <w:ilvl w:val="3"/>
          <w:numId w:val="39"/>
        </w:numPr>
        <w:tabs>
          <w:tab w:val="left" w:pos="1785"/>
        </w:tabs>
        <w:spacing w:before="0" w:after="0" w:line="316" w:lineRule="auto"/>
        <w:ind w:left="644" w:right="2026" w:firstLine="719"/>
        <w:jc w:val="left"/>
        <w:rPr>
          <w:sz w:val="36"/>
        </w:rPr>
      </w:pPr>
      <w:r>
        <w:drawing>
          <wp:anchor distT="0" distB="0" distL="0" distR="0" simplePos="0" relativeHeight="251684864" behindDoc="1" locked="0" layoutInCell="1" allowOverlap="1">
            <wp:simplePos x="0" y="0"/>
            <wp:positionH relativeFrom="page">
              <wp:posOffset>1409700</wp:posOffset>
            </wp:positionH>
            <wp:positionV relativeFrom="paragraph">
              <wp:posOffset>1883282</wp:posOffset>
            </wp:positionV>
            <wp:extent cx="7119556" cy="38004"/>
            <wp:effectExtent l="0" t="0" r="0" b="0"/>
            <wp:wrapNone/>
            <wp:docPr id="69"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24.png"/>
                    <pic:cNvPicPr/>
                  </pic:nvPicPr>
                  <pic:blipFill>
                    <a:blip xmlns:r="http://schemas.openxmlformats.org/officeDocument/2006/relationships" r:embed="rId15" cstate="print"/>
                    <a:stretch>
                      <a:fillRect/>
                    </a:stretch>
                  </pic:blipFill>
                  <pic:spPr>
                    <a:xfrm>
                      <a:off x="0" y="0"/>
                      <a:ext cx="7119556" cy="38004"/>
                    </a:xfrm>
                    <a:prstGeom prst="rect">
                      <a:avLst/>
                    </a:prstGeom>
                  </pic:spPr>
                </pic:pic>
              </a:graphicData>
            </a:graphic>
          </wp:anchor>
        </w:drawing>
      </w:r>
      <w:r>
        <w:drawing>
          <wp:anchor distT="0" distB="0" distL="0" distR="0" simplePos="0" relativeHeight="251687936" behindDoc="1" locked="0" layoutInCell="1" allowOverlap="1">
            <wp:simplePos x="0" y="0"/>
            <wp:positionH relativeFrom="page">
              <wp:posOffset>1409700</wp:posOffset>
            </wp:positionH>
            <wp:positionV relativeFrom="paragraph">
              <wp:posOffset>1553083</wp:posOffset>
            </wp:positionV>
            <wp:extent cx="7119556" cy="50673"/>
            <wp:effectExtent l="0" t="0" r="0" b="0"/>
            <wp:wrapNone/>
            <wp:docPr id="71"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25.png"/>
                    <pic:cNvPicPr/>
                  </pic:nvPicPr>
                  <pic:blipFill>
                    <a:blip xmlns:r="http://schemas.openxmlformats.org/officeDocument/2006/relationships" r:embed="rId16" cstate="print"/>
                    <a:stretch>
                      <a:fillRect/>
                    </a:stretch>
                  </pic:blipFill>
                  <pic:spPr>
                    <a:xfrm>
                      <a:off x="0" y="0"/>
                      <a:ext cx="7119556" cy="50673"/>
                    </a:xfrm>
                    <a:prstGeom prst="rect">
                      <a:avLst/>
                    </a:prstGeom>
                  </pic:spPr>
                </pic:pic>
              </a:graphicData>
            </a:graphic>
          </wp:anchor>
        </w:drawing>
      </w:r>
      <w:r>
        <w:rPr>
          <w:spacing w:val="-11"/>
          <w:sz w:val="36"/>
        </w:rPr>
        <w:t xml:space="preserve">由于悬浮床反应器处于全返混状态，径向和轴向反应温度均匀， </w:t>
      </w:r>
      <w:r>
        <w:rPr>
          <w:sz w:val="36"/>
        </w:rPr>
        <w:t>可以充分利用反应热加热原料，降低进料温度，同时气、液、固三相混合充分，反应速度快，效率高。</w:t>
      </w:r>
    </w:p>
    <w:p>
      <w:pPr>
        <w:pStyle w:val="BodyText"/>
        <w:spacing w:before="5"/>
        <w:rPr>
          <w:sz w:val="20"/>
        </w:rPr>
      </w:pPr>
    </w:p>
    <w:tbl>
      <w:tblPr>
        <w:tblStyle w:val="TableNormal4"/>
        <w:tblW w:w="0" w:type="auto"/>
        <w:jc w:val="left"/>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731"/>
        <w:gridCol w:w="5212"/>
        <w:gridCol w:w="2187"/>
      </w:tblGrid>
      <w:tr>
        <w:tblPrEx>
          <w:tblW w:w="0" w:type="auto"/>
          <w:jc w:val="left"/>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26"/>
          <w:jc w:val="left"/>
        </w:trPr>
        <w:tc>
          <w:tcPr>
            <w:tcW w:w="2731" w:type="dxa"/>
          </w:tcPr>
          <w:p>
            <w:pPr>
              <w:pStyle w:val="TableParagraph"/>
              <w:spacing w:before="7"/>
              <w:rPr>
                <w:rFonts w:ascii="宋体"/>
                <w:sz w:val="37"/>
              </w:rPr>
            </w:pPr>
          </w:p>
          <w:p>
            <w:pPr>
              <w:pStyle w:val="TableParagraph"/>
              <w:spacing w:before="1"/>
              <w:ind w:left="50"/>
              <w:rPr>
                <w:rFonts w:ascii="黑体" w:eastAsia="黑体" w:hint="eastAsia"/>
                <w:sz w:val="31"/>
              </w:rPr>
            </w:pPr>
            <w:r>
              <w:rPr>
                <w:rFonts w:ascii="黑体" w:eastAsia="黑体" w:hint="eastAsia"/>
                <w:sz w:val="31"/>
              </w:rPr>
              <w:t>原料</w:t>
            </w:r>
          </w:p>
        </w:tc>
        <w:tc>
          <w:tcPr>
            <w:tcW w:w="5212" w:type="dxa"/>
          </w:tcPr>
          <w:p>
            <w:pPr>
              <w:pStyle w:val="TableParagraph"/>
              <w:spacing w:line="368" w:lineRule="exact"/>
              <w:ind w:left="769" w:right="441"/>
              <w:jc w:val="center"/>
              <w:rPr>
                <w:rFonts w:ascii="黑体" w:eastAsia="黑体" w:hint="eastAsia"/>
                <w:sz w:val="31"/>
              </w:rPr>
            </w:pPr>
            <w:r>
              <w:rPr>
                <w:rFonts w:ascii="黑体" w:eastAsia="黑体" w:hint="eastAsia"/>
                <w:spacing w:val="-37"/>
                <w:sz w:val="31"/>
              </w:rPr>
              <w:t xml:space="preserve">表 </w:t>
            </w:r>
            <w:r>
              <w:rPr>
                <w:sz w:val="31"/>
              </w:rPr>
              <w:t>3-10</w:t>
            </w:r>
            <w:r>
              <w:rPr>
                <w:spacing w:val="73"/>
                <w:sz w:val="31"/>
              </w:rPr>
              <w:t xml:space="preserve"> </w:t>
            </w:r>
            <w:r>
              <w:rPr>
                <w:rFonts w:ascii="黑体" w:eastAsia="黑体" w:hint="eastAsia"/>
                <w:sz w:val="31"/>
              </w:rPr>
              <w:t>煤液化及膜分离单元</w:t>
            </w:r>
          </w:p>
          <w:p>
            <w:pPr>
              <w:pStyle w:val="TableParagraph"/>
              <w:spacing w:before="114"/>
              <w:ind w:left="744" w:right="441"/>
              <w:jc w:val="center"/>
              <w:rPr>
                <w:rFonts w:ascii="黑体" w:eastAsia="黑体" w:hint="eastAsia"/>
                <w:sz w:val="31"/>
              </w:rPr>
            </w:pPr>
            <w:r>
              <w:rPr>
                <w:rFonts w:ascii="黑体" w:eastAsia="黑体" w:hint="eastAsia"/>
                <w:sz w:val="31"/>
              </w:rPr>
              <w:t>数量 万吨</w:t>
            </w:r>
            <w:r>
              <w:rPr>
                <w:sz w:val="31"/>
              </w:rPr>
              <w:t>/</w:t>
            </w:r>
            <w:r>
              <w:rPr>
                <w:rFonts w:ascii="黑体" w:eastAsia="黑体" w:hint="eastAsia"/>
                <w:sz w:val="31"/>
              </w:rPr>
              <w:t>年</w:t>
            </w:r>
          </w:p>
        </w:tc>
        <w:tc>
          <w:tcPr>
            <w:tcW w:w="2187" w:type="dxa"/>
          </w:tcPr>
          <w:p>
            <w:pPr>
              <w:pStyle w:val="TableParagraph"/>
              <w:spacing w:before="7"/>
              <w:rPr>
                <w:rFonts w:ascii="宋体"/>
                <w:sz w:val="37"/>
              </w:rPr>
            </w:pPr>
          </w:p>
          <w:p>
            <w:pPr>
              <w:pStyle w:val="TableParagraph"/>
              <w:tabs>
                <w:tab w:val="left" w:pos="1821"/>
              </w:tabs>
              <w:spacing w:before="1"/>
              <w:ind w:left="398"/>
              <w:jc w:val="center"/>
              <w:rPr>
                <w:sz w:val="31"/>
              </w:rPr>
            </w:pPr>
            <w:r>
              <w:rPr>
                <w:rFonts w:ascii="黑体" w:eastAsia="黑体" w:hint="eastAsia"/>
                <w:sz w:val="31"/>
              </w:rPr>
              <w:t>百分比</w:t>
              <w:tab/>
            </w:r>
            <w:r>
              <w:rPr>
                <w:sz w:val="31"/>
              </w:rPr>
              <w:t>%</w:t>
            </w:r>
          </w:p>
        </w:tc>
      </w:tr>
      <w:tr>
        <w:tblPrEx>
          <w:tblW w:w="0" w:type="auto"/>
          <w:jc w:val="left"/>
          <w:tblInd w:w="601" w:type="dxa"/>
          <w:tblLayout w:type="fixed"/>
          <w:tblCellMar>
            <w:top w:w="0" w:type="dxa"/>
            <w:left w:w="0" w:type="dxa"/>
            <w:bottom w:w="0" w:type="dxa"/>
            <w:right w:w="0" w:type="dxa"/>
          </w:tblCellMar>
          <w:tblLook w:val="01E0"/>
        </w:tblPrEx>
        <w:trPr>
          <w:trHeight w:val="480"/>
          <w:jc w:val="left"/>
        </w:trPr>
        <w:tc>
          <w:tcPr>
            <w:tcW w:w="2731" w:type="dxa"/>
          </w:tcPr>
          <w:p>
            <w:pPr>
              <w:pStyle w:val="TableParagraph"/>
              <w:spacing w:before="49"/>
              <w:ind w:left="50"/>
              <w:rPr>
                <w:rFonts w:ascii="黑体" w:eastAsia="黑体" w:hint="eastAsia"/>
                <w:sz w:val="31"/>
              </w:rPr>
            </w:pPr>
            <w:r>
              <w:rPr>
                <w:rFonts w:ascii="黑体" w:eastAsia="黑体" w:hint="eastAsia"/>
                <w:sz w:val="31"/>
              </w:rPr>
              <w:t>煤粉</w:t>
            </w:r>
          </w:p>
        </w:tc>
        <w:tc>
          <w:tcPr>
            <w:tcW w:w="5212" w:type="dxa"/>
          </w:tcPr>
          <w:p>
            <w:pPr>
              <w:pStyle w:val="TableParagraph"/>
              <w:spacing w:before="68"/>
              <w:ind w:left="747" w:right="441"/>
              <w:jc w:val="center"/>
              <w:rPr>
                <w:sz w:val="31"/>
              </w:rPr>
            </w:pPr>
            <w:r>
              <w:rPr>
                <w:sz w:val="31"/>
              </w:rPr>
              <w:t>494.06</w:t>
            </w:r>
          </w:p>
        </w:tc>
        <w:tc>
          <w:tcPr>
            <w:tcW w:w="2187" w:type="dxa"/>
          </w:tcPr>
          <w:p>
            <w:pPr>
              <w:pStyle w:val="TableParagraph"/>
              <w:spacing w:before="68"/>
              <w:ind w:left="398"/>
              <w:jc w:val="center"/>
              <w:rPr>
                <w:sz w:val="31"/>
              </w:rPr>
            </w:pPr>
            <w:r>
              <w:rPr>
                <w:sz w:val="31"/>
              </w:rPr>
              <w:t>36.05</w:t>
            </w:r>
          </w:p>
        </w:tc>
      </w:tr>
      <w:tr>
        <w:tblPrEx>
          <w:tblW w:w="0" w:type="auto"/>
          <w:jc w:val="left"/>
          <w:tblInd w:w="601" w:type="dxa"/>
          <w:tblLayout w:type="fixed"/>
          <w:tblCellMar>
            <w:top w:w="0" w:type="dxa"/>
            <w:left w:w="0" w:type="dxa"/>
            <w:bottom w:w="0" w:type="dxa"/>
            <w:right w:w="0" w:type="dxa"/>
          </w:tblCellMar>
          <w:tblLook w:val="01E0"/>
        </w:tblPrEx>
        <w:trPr>
          <w:trHeight w:val="467"/>
          <w:jc w:val="left"/>
        </w:trPr>
        <w:tc>
          <w:tcPr>
            <w:tcW w:w="2731" w:type="dxa"/>
          </w:tcPr>
          <w:p>
            <w:pPr>
              <w:pStyle w:val="TableParagraph"/>
              <w:spacing w:before="36"/>
              <w:ind w:left="50"/>
              <w:rPr>
                <w:rFonts w:ascii="黑体" w:eastAsia="黑体" w:hint="eastAsia"/>
                <w:sz w:val="31"/>
              </w:rPr>
            </w:pPr>
            <w:r>
              <w:rPr>
                <w:rFonts w:ascii="黑体" w:eastAsia="黑体" w:hint="eastAsia"/>
                <w:sz w:val="31"/>
              </w:rPr>
              <w:t>氢气（纯氢）</w:t>
            </w:r>
          </w:p>
        </w:tc>
        <w:tc>
          <w:tcPr>
            <w:tcW w:w="5212" w:type="dxa"/>
          </w:tcPr>
          <w:p>
            <w:pPr>
              <w:pStyle w:val="TableParagraph"/>
              <w:spacing w:before="36"/>
              <w:ind w:left="748" w:right="441"/>
              <w:jc w:val="center"/>
              <w:rPr>
                <w:rFonts w:ascii="黑体" w:eastAsia="黑体" w:hint="eastAsia"/>
                <w:sz w:val="31"/>
              </w:rPr>
            </w:pPr>
            <w:r>
              <w:rPr>
                <w:sz w:val="31"/>
              </w:rPr>
              <w:t>42.99</w:t>
            </w:r>
            <w:r>
              <w:rPr>
                <w:rFonts w:ascii="黑体" w:eastAsia="黑体" w:hint="eastAsia"/>
                <w:sz w:val="31"/>
              </w:rPr>
              <w:t>（</w:t>
            </w:r>
            <w:r>
              <w:rPr>
                <w:sz w:val="31"/>
              </w:rPr>
              <w:t>41.31</w:t>
            </w:r>
            <w:r>
              <w:rPr>
                <w:rFonts w:ascii="黑体" w:eastAsia="黑体" w:hint="eastAsia"/>
                <w:sz w:val="31"/>
              </w:rPr>
              <w:t>）</w:t>
            </w:r>
          </w:p>
        </w:tc>
        <w:tc>
          <w:tcPr>
            <w:tcW w:w="2187" w:type="dxa"/>
          </w:tcPr>
          <w:p>
            <w:pPr>
              <w:pStyle w:val="TableParagraph"/>
              <w:spacing w:before="55"/>
              <w:ind w:left="398"/>
              <w:jc w:val="center"/>
              <w:rPr>
                <w:sz w:val="31"/>
              </w:rPr>
            </w:pPr>
            <w:r>
              <w:rPr>
                <w:sz w:val="31"/>
              </w:rPr>
              <w:t>8.70</w:t>
            </w:r>
          </w:p>
        </w:tc>
      </w:tr>
      <w:tr>
        <w:tblPrEx>
          <w:tblW w:w="0" w:type="auto"/>
          <w:jc w:val="left"/>
          <w:tblInd w:w="601" w:type="dxa"/>
          <w:tblLayout w:type="fixed"/>
          <w:tblCellMar>
            <w:top w:w="0" w:type="dxa"/>
            <w:left w:w="0" w:type="dxa"/>
            <w:bottom w:w="0" w:type="dxa"/>
            <w:right w:w="0" w:type="dxa"/>
          </w:tblCellMar>
          <w:tblLook w:val="01E0"/>
        </w:tblPrEx>
        <w:trPr>
          <w:trHeight w:val="468"/>
          <w:jc w:val="left"/>
        </w:trPr>
        <w:tc>
          <w:tcPr>
            <w:tcW w:w="2731" w:type="dxa"/>
          </w:tcPr>
          <w:p>
            <w:pPr>
              <w:pStyle w:val="TableParagraph"/>
              <w:spacing w:before="36"/>
              <w:ind w:left="50"/>
              <w:rPr>
                <w:rFonts w:ascii="黑体" w:eastAsia="黑体" w:hint="eastAsia"/>
                <w:sz w:val="31"/>
              </w:rPr>
            </w:pPr>
            <w:r>
              <w:rPr>
                <w:rFonts w:ascii="黑体" w:eastAsia="黑体" w:hint="eastAsia"/>
                <w:sz w:val="31"/>
              </w:rPr>
              <w:t>注水，蒸气</w:t>
            </w:r>
          </w:p>
        </w:tc>
        <w:tc>
          <w:tcPr>
            <w:tcW w:w="5212" w:type="dxa"/>
          </w:tcPr>
          <w:p>
            <w:pPr>
              <w:pStyle w:val="TableParagraph"/>
              <w:spacing w:before="55"/>
              <w:ind w:left="747" w:right="441"/>
              <w:jc w:val="center"/>
              <w:rPr>
                <w:sz w:val="31"/>
              </w:rPr>
            </w:pPr>
            <w:r>
              <w:rPr>
                <w:sz w:val="31"/>
              </w:rPr>
              <w:t>32.86</w:t>
            </w:r>
          </w:p>
        </w:tc>
        <w:tc>
          <w:tcPr>
            <w:tcW w:w="2187" w:type="dxa"/>
          </w:tcPr>
          <w:p>
            <w:pPr>
              <w:pStyle w:val="TableParagraph"/>
              <w:spacing w:before="55"/>
              <w:ind w:left="398"/>
              <w:jc w:val="center"/>
              <w:rPr>
                <w:sz w:val="31"/>
              </w:rPr>
            </w:pPr>
            <w:r>
              <w:rPr>
                <w:sz w:val="31"/>
              </w:rPr>
              <w:t>6.65</w:t>
            </w:r>
          </w:p>
        </w:tc>
      </w:tr>
      <w:tr>
        <w:tblPrEx>
          <w:tblW w:w="0" w:type="auto"/>
          <w:jc w:val="left"/>
          <w:tblInd w:w="601" w:type="dxa"/>
          <w:tblLayout w:type="fixed"/>
          <w:tblCellMar>
            <w:top w:w="0" w:type="dxa"/>
            <w:left w:w="0" w:type="dxa"/>
            <w:bottom w:w="0" w:type="dxa"/>
            <w:right w:w="0" w:type="dxa"/>
          </w:tblCellMar>
          <w:tblLook w:val="01E0"/>
        </w:tblPrEx>
        <w:trPr>
          <w:trHeight w:val="468"/>
          <w:jc w:val="left"/>
        </w:trPr>
        <w:tc>
          <w:tcPr>
            <w:tcW w:w="2731" w:type="dxa"/>
          </w:tcPr>
          <w:p>
            <w:pPr>
              <w:pStyle w:val="TableParagraph"/>
              <w:spacing w:before="36"/>
              <w:ind w:left="50"/>
              <w:rPr>
                <w:rFonts w:ascii="黑体" w:eastAsia="黑体" w:hint="eastAsia"/>
                <w:sz w:val="31"/>
              </w:rPr>
            </w:pPr>
            <w:r>
              <w:rPr>
                <w:rFonts w:ascii="黑体" w:eastAsia="黑体" w:hint="eastAsia"/>
                <w:sz w:val="31"/>
              </w:rPr>
              <w:t>催化剂煤粉</w:t>
            </w:r>
          </w:p>
        </w:tc>
        <w:tc>
          <w:tcPr>
            <w:tcW w:w="5212" w:type="dxa"/>
          </w:tcPr>
          <w:p>
            <w:pPr>
              <w:pStyle w:val="TableParagraph"/>
              <w:spacing w:before="55"/>
              <w:ind w:left="747" w:right="441"/>
              <w:jc w:val="center"/>
              <w:rPr>
                <w:sz w:val="31"/>
              </w:rPr>
            </w:pPr>
            <w:r>
              <w:rPr>
                <w:sz w:val="31"/>
              </w:rPr>
              <w:t>98.42</w:t>
            </w:r>
          </w:p>
        </w:tc>
        <w:tc>
          <w:tcPr>
            <w:tcW w:w="2187" w:type="dxa"/>
          </w:tcPr>
          <w:p>
            <w:pPr>
              <w:pStyle w:val="TableParagraph"/>
              <w:spacing w:before="55"/>
              <w:ind w:left="398"/>
              <w:jc w:val="center"/>
              <w:rPr>
                <w:sz w:val="31"/>
              </w:rPr>
            </w:pPr>
            <w:r>
              <w:rPr>
                <w:sz w:val="31"/>
              </w:rPr>
              <w:t>19.92</w:t>
            </w:r>
          </w:p>
        </w:tc>
      </w:tr>
      <w:tr>
        <w:tblPrEx>
          <w:tblW w:w="0" w:type="auto"/>
          <w:jc w:val="left"/>
          <w:tblInd w:w="601" w:type="dxa"/>
          <w:tblLayout w:type="fixed"/>
          <w:tblCellMar>
            <w:top w:w="0" w:type="dxa"/>
            <w:left w:w="0" w:type="dxa"/>
            <w:bottom w:w="0" w:type="dxa"/>
            <w:right w:w="0" w:type="dxa"/>
          </w:tblCellMar>
          <w:tblLook w:val="01E0"/>
        </w:tblPrEx>
        <w:trPr>
          <w:trHeight w:val="468"/>
          <w:jc w:val="left"/>
        </w:trPr>
        <w:tc>
          <w:tcPr>
            <w:tcW w:w="2731" w:type="dxa"/>
          </w:tcPr>
          <w:p>
            <w:pPr>
              <w:pStyle w:val="TableParagraph"/>
              <w:spacing w:before="36"/>
              <w:ind w:left="50"/>
              <w:rPr>
                <w:rFonts w:ascii="黑体" w:eastAsia="黑体" w:hint="eastAsia"/>
                <w:sz w:val="31"/>
              </w:rPr>
            </w:pPr>
            <w:r>
              <w:rPr>
                <w:rFonts w:ascii="黑体" w:eastAsia="黑体" w:hint="eastAsia"/>
                <w:sz w:val="31"/>
              </w:rPr>
              <w:t>循环溶剂</w:t>
            </w:r>
          </w:p>
        </w:tc>
        <w:tc>
          <w:tcPr>
            <w:tcW w:w="5212" w:type="dxa"/>
          </w:tcPr>
          <w:p>
            <w:pPr>
              <w:pStyle w:val="TableParagraph"/>
              <w:spacing w:before="56"/>
              <w:ind w:left="747" w:right="441"/>
              <w:jc w:val="center"/>
              <w:rPr>
                <w:sz w:val="31"/>
              </w:rPr>
            </w:pPr>
            <w:r>
              <w:rPr>
                <w:sz w:val="31"/>
              </w:rPr>
              <w:t>630.13</w:t>
            </w:r>
          </w:p>
        </w:tc>
        <w:tc>
          <w:tcPr>
            <w:tcW w:w="2187" w:type="dxa"/>
          </w:tcPr>
          <w:p>
            <w:pPr>
              <w:pStyle w:val="TableParagraph"/>
              <w:spacing w:before="56"/>
              <w:ind w:left="398"/>
              <w:jc w:val="center"/>
              <w:rPr>
                <w:sz w:val="31"/>
              </w:rPr>
            </w:pPr>
            <w:r>
              <w:rPr>
                <w:sz w:val="31"/>
              </w:rPr>
              <w:t>45.98</w:t>
            </w:r>
          </w:p>
        </w:tc>
      </w:tr>
      <w:tr>
        <w:tblPrEx>
          <w:tblW w:w="0" w:type="auto"/>
          <w:jc w:val="left"/>
          <w:tblInd w:w="601" w:type="dxa"/>
          <w:tblLayout w:type="fixed"/>
          <w:tblCellMar>
            <w:top w:w="0" w:type="dxa"/>
            <w:left w:w="0" w:type="dxa"/>
            <w:bottom w:w="0" w:type="dxa"/>
            <w:right w:w="0" w:type="dxa"/>
          </w:tblCellMar>
          <w:tblLook w:val="01E0"/>
        </w:tblPrEx>
        <w:trPr>
          <w:trHeight w:val="468"/>
          <w:jc w:val="left"/>
        </w:trPr>
        <w:tc>
          <w:tcPr>
            <w:tcW w:w="2731" w:type="dxa"/>
          </w:tcPr>
          <w:p>
            <w:pPr>
              <w:pStyle w:val="TableParagraph"/>
              <w:spacing w:before="36"/>
              <w:ind w:left="50"/>
              <w:rPr>
                <w:rFonts w:ascii="黑体" w:eastAsia="黑体" w:hint="eastAsia"/>
                <w:sz w:val="31"/>
              </w:rPr>
            </w:pPr>
            <w:r>
              <w:rPr>
                <w:rFonts w:ascii="黑体" w:eastAsia="黑体" w:hint="eastAsia"/>
                <w:sz w:val="31"/>
              </w:rPr>
              <w:t>注硫</w:t>
            </w:r>
          </w:p>
        </w:tc>
        <w:tc>
          <w:tcPr>
            <w:tcW w:w="5212" w:type="dxa"/>
          </w:tcPr>
          <w:p>
            <w:pPr>
              <w:pStyle w:val="TableParagraph"/>
              <w:spacing w:before="55"/>
              <w:ind w:left="747" w:right="441"/>
              <w:jc w:val="center"/>
              <w:rPr>
                <w:sz w:val="31"/>
              </w:rPr>
            </w:pPr>
            <w:r>
              <w:rPr>
                <w:sz w:val="31"/>
              </w:rPr>
              <w:t>6.361</w:t>
            </w:r>
          </w:p>
        </w:tc>
        <w:tc>
          <w:tcPr>
            <w:tcW w:w="2187" w:type="dxa"/>
          </w:tcPr>
          <w:p>
            <w:pPr>
              <w:pStyle w:val="TableParagraph"/>
              <w:spacing w:before="55"/>
              <w:ind w:left="398"/>
              <w:jc w:val="center"/>
              <w:rPr>
                <w:sz w:val="31"/>
              </w:rPr>
            </w:pPr>
            <w:r>
              <w:rPr>
                <w:sz w:val="31"/>
              </w:rPr>
              <w:t>1.29</w:t>
            </w:r>
          </w:p>
        </w:tc>
      </w:tr>
      <w:tr>
        <w:tblPrEx>
          <w:tblW w:w="0" w:type="auto"/>
          <w:jc w:val="left"/>
          <w:tblInd w:w="601" w:type="dxa"/>
          <w:tblLayout w:type="fixed"/>
          <w:tblCellMar>
            <w:top w:w="0" w:type="dxa"/>
            <w:left w:w="0" w:type="dxa"/>
            <w:bottom w:w="0" w:type="dxa"/>
            <w:right w:w="0" w:type="dxa"/>
          </w:tblCellMar>
          <w:tblLook w:val="01E0"/>
        </w:tblPrEx>
        <w:trPr>
          <w:trHeight w:val="467"/>
          <w:jc w:val="left"/>
        </w:trPr>
        <w:tc>
          <w:tcPr>
            <w:tcW w:w="2731" w:type="dxa"/>
          </w:tcPr>
          <w:p>
            <w:pPr>
              <w:pStyle w:val="TableParagraph"/>
              <w:spacing w:before="36"/>
              <w:ind w:left="50"/>
              <w:rPr>
                <w:rFonts w:ascii="黑体" w:eastAsia="黑体" w:hint="eastAsia"/>
                <w:sz w:val="31"/>
              </w:rPr>
            </w:pPr>
            <w:r>
              <w:rPr>
                <w:rFonts w:ascii="黑体" w:eastAsia="黑体" w:hint="eastAsia"/>
                <w:sz w:val="31"/>
              </w:rPr>
              <w:t>冲洗，密封剂</w:t>
            </w:r>
          </w:p>
        </w:tc>
        <w:tc>
          <w:tcPr>
            <w:tcW w:w="5212" w:type="dxa"/>
          </w:tcPr>
          <w:p>
            <w:pPr>
              <w:pStyle w:val="TableParagraph"/>
              <w:spacing w:before="55"/>
              <w:ind w:left="747" w:right="441"/>
              <w:jc w:val="center"/>
              <w:rPr>
                <w:sz w:val="31"/>
              </w:rPr>
            </w:pPr>
            <w:r>
              <w:rPr>
                <w:sz w:val="31"/>
              </w:rPr>
              <w:t>65.49</w:t>
            </w:r>
          </w:p>
        </w:tc>
        <w:tc>
          <w:tcPr>
            <w:tcW w:w="2187" w:type="dxa"/>
          </w:tcPr>
          <w:p>
            <w:pPr>
              <w:pStyle w:val="TableParagraph"/>
              <w:spacing w:before="55"/>
              <w:ind w:left="398"/>
              <w:jc w:val="center"/>
              <w:rPr>
                <w:sz w:val="31"/>
              </w:rPr>
            </w:pPr>
            <w:r>
              <w:rPr>
                <w:sz w:val="31"/>
              </w:rPr>
              <w:t>13.26</w:t>
            </w:r>
          </w:p>
        </w:tc>
      </w:tr>
      <w:tr>
        <w:tblPrEx>
          <w:tblW w:w="0" w:type="auto"/>
          <w:jc w:val="left"/>
          <w:tblInd w:w="601" w:type="dxa"/>
          <w:tblLayout w:type="fixed"/>
          <w:tblCellMar>
            <w:top w:w="0" w:type="dxa"/>
            <w:left w:w="0" w:type="dxa"/>
            <w:bottom w:w="0" w:type="dxa"/>
            <w:right w:w="0" w:type="dxa"/>
          </w:tblCellMar>
          <w:tblLook w:val="01E0"/>
        </w:tblPrEx>
        <w:trPr>
          <w:trHeight w:val="606"/>
          <w:jc w:val="left"/>
        </w:trPr>
        <w:tc>
          <w:tcPr>
            <w:tcW w:w="2731" w:type="dxa"/>
          </w:tcPr>
          <w:p>
            <w:pPr>
              <w:pStyle w:val="TableParagraph"/>
              <w:spacing w:before="36"/>
              <w:ind w:left="50"/>
              <w:rPr>
                <w:rFonts w:ascii="黑体" w:eastAsia="黑体" w:hint="eastAsia"/>
                <w:sz w:val="31"/>
              </w:rPr>
            </w:pPr>
            <w:r>
              <w:rPr>
                <w:rFonts w:ascii="黑体" w:eastAsia="黑体" w:hint="eastAsia"/>
                <w:sz w:val="31"/>
              </w:rPr>
              <w:t>合计</w:t>
            </w:r>
          </w:p>
        </w:tc>
        <w:tc>
          <w:tcPr>
            <w:tcW w:w="5212" w:type="dxa"/>
          </w:tcPr>
          <w:p>
            <w:pPr>
              <w:pStyle w:val="TableParagraph"/>
              <w:spacing w:before="55"/>
              <w:ind w:left="747" w:right="441"/>
              <w:jc w:val="center"/>
              <w:rPr>
                <w:sz w:val="31"/>
              </w:rPr>
            </w:pPr>
            <w:r>
              <w:rPr>
                <w:sz w:val="31"/>
              </w:rPr>
              <w:t>1370.31</w:t>
            </w:r>
          </w:p>
        </w:tc>
        <w:tc>
          <w:tcPr>
            <w:tcW w:w="2187" w:type="dxa"/>
          </w:tcPr>
          <w:p>
            <w:pPr>
              <w:pStyle w:val="TableParagraph"/>
              <w:spacing w:before="55"/>
              <w:ind w:left="398"/>
              <w:jc w:val="center"/>
              <w:rPr>
                <w:sz w:val="31"/>
              </w:rPr>
            </w:pPr>
            <w:r>
              <w:rPr>
                <w:sz w:val="31"/>
              </w:rPr>
              <w:t>100</w:t>
            </w:r>
          </w:p>
        </w:tc>
      </w:tr>
      <w:tr>
        <w:tblPrEx>
          <w:tblW w:w="0" w:type="auto"/>
          <w:jc w:val="left"/>
          <w:tblInd w:w="601" w:type="dxa"/>
          <w:tblLayout w:type="fixed"/>
          <w:tblCellMar>
            <w:top w:w="0" w:type="dxa"/>
            <w:left w:w="0" w:type="dxa"/>
            <w:bottom w:w="0" w:type="dxa"/>
            <w:right w:w="0" w:type="dxa"/>
          </w:tblCellMar>
          <w:tblLook w:val="01E0"/>
        </w:tblPrEx>
        <w:trPr>
          <w:trHeight w:val="630"/>
          <w:jc w:val="left"/>
        </w:trPr>
        <w:tc>
          <w:tcPr>
            <w:tcW w:w="2731" w:type="dxa"/>
          </w:tcPr>
          <w:p>
            <w:pPr>
              <w:pStyle w:val="TableParagraph"/>
              <w:rPr>
                <w:rFonts w:ascii="Times New Roman"/>
                <w:sz w:val="32"/>
              </w:rPr>
            </w:pPr>
          </w:p>
        </w:tc>
        <w:tc>
          <w:tcPr>
            <w:tcW w:w="5212" w:type="dxa"/>
          </w:tcPr>
          <w:p>
            <w:pPr>
              <w:pStyle w:val="TableParagraph"/>
              <w:spacing w:before="175"/>
              <w:ind w:left="765" w:right="441"/>
              <w:jc w:val="center"/>
              <w:rPr>
                <w:rFonts w:ascii="黑体" w:eastAsia="黑体" w:hint="eastAsia"/>
                <w:sz w:val="31"/>
              </w:rPr>
            </w:pPr>
            <w:r>
              <w:rPr>
                <w:rFonts w:ascii="黑体" w:eastAsia="黑体" w:hint="eastAsia"/>
                <w:spacing w:val="-38"/>
                <w:sz w:val="31"/>
              </w:rPr>
              <w:t xml:space="preserve">表 </w:t>
            </w:r>
            <w:r>
              <w:rPr>
                <w:sz w:val="31"/>
              </w:rPr>
              <w:t>3-11</w:t>
            </w:r>
            <w:r>
              <w:rPr>
                <w:spacing w:val="58"/>
                <w:sz w:val="31"/>
              </w:rPr>
              <w:t xml:space="preserve"> </w:t>
            </w:r>
            <w:r>
              <w:rPr>
                <w:rFonts w:ascii="黑体" w:eastAsia="黑体" w:hint="eastAsia"/>
                <w:sz w:val="31"/>
              </w:rPr>
              <w:t>煤液化单元产品</w:t>
            </w:r>
          </w:p>
        </w:tc>
        <w:tc>
          <w:tcPr>
            <w:tcW w:w="2187" w:type="dxa"/>
          </w:tcPr>
          <w:p>
            <w:pPr>
              <w:pStyle w:val="TableParagraph"/>
              <w:rPr>
                <w:rFonts w:ascii="Times New Roman"/>
                <w:sz w:val="32"/>
              </w:rPr>
            </w:pPr>
          </w:p>
        </w:tc>
      </w:tr>
      <w:tr>
        <w:tblPrEx>
          <w:tblW w:w="0" w:type="auto"/>
          <w:jc w:val="left"/>
          <w:tblInd w:w="601" w:type="dxa"/>
          <w:tblLayout w:type="fixed"/>
          <w:tblCellMar>
            <w:top w:w="0" w:type="dxa"/>
            <w:left w:w="0" w:type="dxa"/>
            <w:bottom w:w="0" w:type="dxa"/>
            <w:right w:w="0" w:type="dxa"/>
          </w:tblCellMar>
          <w:tblLook w:val="01E0"/>
        </w:tblPrEx>
        <w:trPr>
          <w:trHeight w:val="502"/>
          <w:jc w:val="left"/>
        </w:trPr>
        <w:tc>
          <w:tcPr>
            <w:tcW w:w="2731" w:type="dxa"/>
          </w:tcPr>
          <w:p>
            <w:pPr>
              <w:pStyle w:val="TableParagraph"/>
              <w:spacing w:before="59"/>
              <w:ind w:left="50"/>
              <w:rPr>
                <w:rFonts w:ascii="黑体" w:eastAsia="黑体" w:hint="eastAsia"/>
                <w:sz w:val="31"/>
              </w:rPr>
            </w:pPr>
            <w:r>
              <w:rPr>
                <w:rFonts w:ascii="黑体" w:eastAsia="黑体" w:hint="eastAsia"/>
                <w:sz w:val="31"/>
              </w:rPr>
              <w:t>产品</w:t>
            </w:r>
          </w:p>
        </w:tc>
        <w:tc>
          <w:tcPr>
            <w:tcW w:w="5212" w:type="dxa"/>
          </w:tcPr>
          <w:p>
            <w:pPr>
              <w:pStyle w:val="TableParagraph"/>
              <w:spacing w:before="59"/>
              <w:ind w:left="694" w:right="441"/>
              <w:jc w:val="center"/>
              <w:rPr>
                <w:rFonts w:ascii="黑体" w:eastAsia="黑体" w:hint="eastAsia"/>
                <w:sz w:val="31"/>
              </w:rPr>
            </w:pPr>
            <w:r>
              <w:rPr>
                <w:rFonts w:ascii="黑体" w:eastAsia="黑体" w:hint="eastAsia"/>
                <w:sz w:val="31"/>
              </w:rPr>
              <w:t>数量 万吨</w:t>
            </w:r>
            <w:r>
              <w:rPr>
                <w:sz w:val="31"/>
              </w:rPr>
              <w:t>/</w:t>
            </w:r>
            <w:r>
              <w:rPr>
                <w:rFonts w:ascii="黑体" w:eastAsia="黑体" w:hint="eastAsia"/>
                <w:sz w:val="31"/>
              </w:rPr>
              <w:t>年</w:t>
            </w:r>
          </w:p>
        </w:tc>
        <w:tc>
          <w:tcPr>
            <w:tcW w:w="2187" w:type="dxa"/>
          </w:tcPr>
          <w:p>
            <w:pPr>
              <w:pStyle w:val="TableParagraph"/>
              <w:spacing w:before="59"/>
              <w:ind w:left="385"/>
              <w:jc w:val="center"/>
              <w:rPr>
                <w:sz w:val="31"/>
              </w:rPr>
            </w:pPr>
            <w:r>
              <w:rPr>
                <w:rFonts w:ascii="黑体" w:eastAsia="黑体" w:hint="eastAsia"/>
                <w:sz w:val="31"/>
              </w:rPr>
              <w:t xml:space="preserve">百分比 </w:t>
            </w:r>
            <w:r>
              <w:rPr>
                <w:sz w:val="31"/>
              </w:rPr>
              <w:t>%</w:t>
            </w:r>
          </w:p>
        </w:tc>
      </w:tr>
      <w:tr>
        <w:tblPrEx>
          <w:tblW w:w="0" w:type="auto"/>
          <w:jc w:val="left"/>
          <w:tblInd w:w="601" w:type="dxa"/>
          <w:tblLayout w:type="fixed"/>
          <w:tblCellMar>
            <w:top w:w="0" w:type="dxa"/>
            <w:left w:w="0" w:type="dxa"/>
            <w:bottom w:w="0" w:type="dxa"/>
            <w:right w:w="0" w:type="dxa"/>
          </w:tblCellMar>
          <w:tblLook w:val="01E0"/>
        </w:tblPrEx>
        <w:trPr>
          <w:trHeight w:val="478"/>
          <w:jc w:val="left"/>
        </w:trPr>
        <w:tc>
          <w:tcPr>
            <w:tcW w:w="2731" w:type="dxa"/>
          </w:tcPr>
          <w:p>
            <w:pPr>
              <w:pStyle w:val="TableParagraph"/>
              <w:spacing w:before="47"/>
              <w:ind w:left="50"/>
              <w:rPr>
                <w:rFonts w:ascii="黑体" w:eastAsia="黑体" w:hint="eastAsia"/>
                <w:sz w:val="31"/>
              </w:rPr>
            </w:pPr>
            <w:r>
              <w:rPr>
                <w:rFonts w:ascii="黑体" w:eastAsia="黑体" w:hint="eastAsia"/>
                <w:sz w:val="31"/>
              </w:rPr>
              <w:t>低压气</w:t>
            </w:r>
          </w:p>
        </w:tc>
        <w:tc>
          <w:tcPr>
            <w:tcW w:w="5212" w:type="dxa"/>
          </w:tcPr>
          <w:p>
            <w:pPr>
              <w:pStyle w:val="TableParagraph"/>
              <w:spacing w:before="66"/>
              <w:ind w:left="689" w:right="441"/>
              <w:jc w:val="center"/>
              <w:rPr>
                <w:sz w:val="31"/>
              </w:rPr>
            </w:pPr>
            <w:r>
              <w:rPr>
                <w:sz w:val="31"/>
              </w:rPr>
              <w:t>3.70</w:t>
            </w:r>
          </w:p>
        </w:tc>
        <w:tc>
          <w:tcPr>
            <w:tcW w:w="2187" w:type="dxa"/>
          </w:tcPr>
          <w:p>
            <w:pPr>
              <w:pStyle w:val="TableParagraph"/>
              <w:spacing w:before="66"/>
              <w:ind w:left="384"/>
              <w:jc w:val="center"/>
              <w:rPr>
                <w:sz w:val="31"/>
              </w:rPr>
            </w:pPr>
            <w:r>
              <w:rPr>
                <w:sz w:val="31"/>
              </w:rPr>
              <w:t>0.75</w:t>
            </w:r>
          </w:p>
        </w:tc>
      </w:tr>
      <w:tr>
        <w:tblPrEx>
          <w:tblW w:w="0" w:type="auto"/>
          <w:jc w:val="left"/>
          <w:tblInd w:w="601" w:type="dxa"/>
          <w:tblLayout w:type="fixed"/>
          <w:tblCellMar>
            <w:top w:w="0" w:type="dxa"/>
            <w:left w:w="0" w:type="dxa"/>
            <w:bottom w:w="0" w:type="dxa"/>
            <w:right w:w="0" w:type="dxa"/>
          </w:tblCellMar>
          <w:tblLook w:val="01E0"/>
        </w:tblPrEx>
        <w:trPr>
          <w:trHeight w:val="468"/>
          <w:jc w:val="left"/>
        </w:trPr>
        <w:tc>
          <w:tcPr>
            <w:tcW w:w="2731" w:type="dxa"/>
          </w:tcPr>
          <w:p>
            <w:pPr>
              <w:pStyle w:val="TableParagraph"/>
              <w:spacing w:before="36"/>
              <w:ind w:left="50"/>
              <w:rPr>
                <w:rFonts w:ascii="黑体" w:eastAsia="黑体" w:hint="eastAsia"/>
                <w:sz w:val="31"/>
              </w:rPr>
            </w:pPr>
            <w:r>
              <w:rPr>
                <w:rFonts w:ascii="黑体" w:eastAsia="黑体" w:hint="eastAsia"/>
                <w:sz w:val="31"/>
              </w:rPr>
              <w:t>中压气</w:t>
            </w:r>
          </w:p>
        </w:tc>
        <w:tc>
          <w:tcPr>
            <w:tcW w:w="5212" w:type="dxa"/>
          </w:tcPr>
          <w:p>
            <w:pPr>
              <w:pStyle w:val="TableParagraph"/>
              <w:spacing w:before="55"/>
              <w:ind w:left="689" w:right="441"/>
              <w:jc w:val="center"/>
              <w:rPr>
                <w:sz w:val="31"/>
              </w:rPr>
            </w:pPr>
            <w:r>
              <w:rPr>
                <w:sz w:val="31"/>
              </w:rPr>
              <w:t>24.45</w:t>
            </w:r>
          </w:p>
        </w:tc>
        <w:tc>
          <w:tcPr>
            <w:tcW w:w="2187" w:type="dxa"/>
          </w:tcPr>
          <w:p>
            <w:pPr>
              <w:pStyle w:val="TableParagraph"/>
              <w:spacing w:before="55"/>
              <w:ind w:left="384"/>
              <w:jc w:val="center"/>
              <w:rPr>
                <w:sz w:val="31"/>
              </w:rPr>
            </w:pPr>
            <w:r>
              <w:rPr>
                <w:sz w:val="31"/>
              </w:rPr>
              <w:t>4.95</w:t>
            </w:r>
          </w:p>
        </w:tc>
      </w:tr>
      <w:tr>
        <w:tblPrEx>
          <w:tblW w:w="0" w:type="auto"/>
          <w:jc w:val="left"/>
          <w:tblInd w:w="601" w:type="dxa"/>
          <w:tblLayout w:type="fixed"/>
          <w:tblCellMar>
            <w:top w:w="0" w:type="dxa"/>
            <w:left w:w="0" w:type="dxa"/>
            <w:bottom w:w="0" w:type="dxa"/>
            <w:right w:w="0" w:type="dxa"/>
          </w:tblCellMar>
          <w:tblLook w:val="01E0"/>
        </w:tblPrEx>
        <w:trPr>
          <w:trHeight w:val="468"/>
          <w:jc w:val="left"/>
        </w:trPr>
        <w:tc>
          <w:tcPr>
            <w:tcW w:w="2731" w:type="dxa"/>
          </w:tcPr>
          <w:p>
            <w:pPr>
              <w:pStyle w:val="TableParagraph"/>
              <w:spacing w:before="36"/>
              <w:ind w:left="50"/>
              <w:rPr>
                <w:rFonts w:ascii="黑体" w:eastAsia="黑体" w:hint="eastAsia"/>
                <w:sz w:val="31"/>
              </w:rPr>
            </w:pPr>
            <w:r>
              <w:rPr>
                <w:rFonts w:ascii="黑体" w:eastAsia="黑体" w:hint="eastAsia"/>
                <w:sz w:val="31"/>
              </w:rPr>
              <w:t>常压塔气</w:t>
            </w:r>
          </w:p>
        </w:tc>
        <w:tc>
          <w:tcPr>
            <w:tcW w:w="5212" w:type="dxa"/>
          </w:tcPr>
          <w:p>
            <w:pPr>
              <w:pStyle w:val="TableParagraph"/>
              <w:spacing w:before="56"/>
              <w:ind w:left="689" w:right="441"/>
              <w:jc w:val="center"/>
              <w:rPr>
                <w:sz w:val="31"/>
              </w:rPr>
            </w:pPr>
            <w:r>
              <w:rPr>
                <w:sz w:val="31"/>
              </w:rPr>
              <w:t>10.62</w:t>
            </w:r>
          </w:p>
        </w:tc>
        <w:tc>
          <w:tcPr>
            <w:tcW w:w="2187" w:type="dxa"/>
          </w:tcPr>
          <w:p>
            <w:pPr>
              <w:pStyle w:val="TableParagraph"/>
              <w:spacing w:before="56"/>
              <w:ind w:left="384"/>
              <w:jc w:val="center"/>
              <w:rPr>
                <w:sz w:val="31"/>
              </w:rPr>
            </w:pPr>
            <w:r>
              <w:rPr>
                <w:sz w:val="31"/>
              </w:rPr>
              <w:t>2.15</w:t>
            </w:r>
          </w:p>
        </w:tc>
      </w:tr>
      <w:tr>
        <w:tblPrEx>
          <w:tblW w:w="0" w:type="auto"/>
          <w:jc w:val="left"/>
          <w:tblInd w:w="601" w:type="dxa"/>
          <w:tblLayout w:type="fixed"/>
          <w:tblCellMar>
            <w:top w:w="0" w:type="dxa"/>
            <w:left w:w="0" w:type="dxa"/>
            <w:bottom w:w="0" w:type="dxa"/>
            <w:right w:w="0" w:type="dxa"/>
          </w:tblCellMar>
          <w:tblLook w:val="01E0"/>
        </w:tblPrEx>
        <w:trPr>
          <w:trHeight w:val="467"/>
          <w:jc w:val="left"/>
        </w:trPr>
        <w:tc>
          <w:tcPr>
            <w:tcW w:w="2731" w:type="dxa"/>
          </w:tcPr>
          <w:p>
            <w:pPr>
              <w:pStyle w:val="TableParagraph"/>
              <w:spacing w:before="36"/>
              <w:ind w:left="50"/>
              <w:rPr>
                <w:rFonts w:ascii="黑体" w:eastAsia="黑体" w:hint="eastAsia"/>
                <w:sz w:val="31"/>
              </w:rPr>
            </w:pPr>
            <w:r>
              <w:rPr>
                <w:rFonts w:ascii="黑体" w:eastAsia="黑体" w:hint="eastAsia"/>
                <w:sz w:val="31"/>
              </w:rPr>
              <w:t>常顶油</w:t>
            </w:r>
          </w:p>
        </w:tc>
        <w:tc>
          <w:tcPr>
            <w:tcW w:w="5212" w:type="dxa"/>
          </w:tcPr>
          <w:p>
            <w:pPr>
              <w:pStyle w:val="TableParagraph"/>
              <w:spacing w:before="55"/>
              <w:ind w:left="689" w:right="441"/>
              <w:jc w:val="center"/>
              <w:rPr>
                <w:sz w:val="31"/>
              </w:rPr>
            </w:pPr>
            <w:r>
              <w:rPr>
                <w:sz w:val="31"/>
              </w:rPr>
              <w:t>3.12</w:t>
            </w:r>
          </w:p>
        </w:tc>
        <w:tc>
          <w:tcPr>
            <w:tcW w:w="2187" w:type="dxa"/>
          </w:tcPr>
          <w:p>
            <w:pPr>
              <w:pStyle w:val="TableParagraph"/>
              <w:spacing w:before="55"/>
              <w:ind w:left="384"/>
              <w:jc w:val="center"/>
              <w:rPr>
                <w:sz w:val="31"/>
              </w:rPr>
            </w:pPr>
            <w:r>
              <w:rPr>
                <w:sz w:val="31"/>
              </w:rPr>
              <w:t>0.63</w:t>
            </w:r>
          </w:p>
        </w:tc>
      </w:tr>
      <w:tr>
        <w:tblPrEx>
          <w:tblW w:w="0" w:type="auto"/>
          <w:jc w:val="left"/>
          <w:tblInd w:w="601" w:type="dxa"/>
          <w:tblLayout w:type="fixed"/>
          <w:tblCellMar>
            <w:top w:w="0" w:type="dxa"/>
            <w:left w:w="0" w:type="dxa"/>
            <w:bottom w:w="0" w:type="dxa"/>
            <w:right w:w="0" w:type="dxa"/>
          </w:tblCellMar>
          <w:tblLook w:val="01E0"/>
        </w:tblPrEx>
        <w:trPr>
          <w:trHeight w:val="467"/>
          <w:jc w:val="left"/>
        </w:trPr>
        <w:tc>
          <w:tcPr>
            <w:tcW w:w="2731" w:type="dxa"/>
          </w:tcPr>
          <w:p>
            <w:pPr>
              <w:pStyle w:val="TableParagraph"/>
              <w:spacing w:before="36"/>
              <w:ind w:left="50"/>
              <w:rPr>
                <w:rFonts w:ascii="黑体" w:eastAsia="黑体" w:hint="eastAsia"/>
                <w:sz w:val="31"/>
              </w:rPr>
            </w:pPr>
            <w:r>
              <w:rPr>
                <w:rFonts w:ascii="黑体" w:eastAsia="黑体" w:hint="eastAsia"/>
                <w:sz w:val="31"/>
              </w:rPr>
              <w:t>减压油</w:t>
            </w:r>
          </w:p>
        </w:tc>
        <w:tc>
          <w:tcPr>
            <w:tcW w:w="5212" w:type="dxa"/>
          </w:tcPr>
          <w:p>
            <w:pPr>
              <w:pStyle w:val="TableParagraph"/>
              <w:spacing w:before="55"/>
              <w:ind w:left="689" w:right="441"/>
              <w:jc w:val="center"/>
              <w:rPr>
                <w:sz w:val="31"/>
              </w:rPr>
            </w:pPr>
            <w:r>
              <w:rPr>
                <w:sz w:val="31"/>
              </w:rPr>
              <w:t>6.42</w:t>
            </w:r>
          </w:p>
        </w:tc>
        <w:tc>
          <w:tcPr>
            <w:tcW w:w="2187" w:type="dxa"/>
          </w:tcPr>
          <w:p>
            <w:pPr>
              <w:pStyle w:val="TableParagraph"/>
              <w:spacing w:before="55"/>
              <w:ind w:left="384"/>
              <w:jc w:val="center"/>
              <w:rPr>
                <w:sz w:val="31"/>
              </w:rPr>
            </w:pPr>
            <w:r>
              <w:rPr>
                <w:sz w:val="31"/>
              </w:rPr>
              <w:t>1.30</w:t>
            </w:r>
          </w:p>
        </w:tc>
      </w:tr>
      <w:tr>
        <w:tblPrEx>
          <w:tblW w:w="0" w:type="auto"/>
          <w:jc w:val="left"/>
          <w:tblInd w:w="601" w:type="dxa"/>
          <w:tblLayout w:type="fixed"/>
          <w:tblCellMar>
            <w:top w:w="0" w:type="dxa"/>
            <w:left w:w="0" w:type="dxa"/>
            <w:bottom w:w="0" w:type="dxa"/>
            <w:right w:w="0" w:type="dxa"/>
          </w:tblCellMar>
          <w:tblLook w:val="01E0"/>
        </w:tblPrEx>
        <w:trPr>
          <w:trHeight w:val="467"/>
          <w:jc w:val="left"/>
        </w:trPr>
        <w:tc>
          <w:tcPr>
            <w:tcW w:w="2731" w:type="dxa"/>
          </w:tcPr>
          <w:p>
            <w:pPr>
              <w:pStyle w:val="TableParagraph"/>
              <w:spacing w:before="36"/>
              <w:ind w:left="50"/>
              <w:rPr>
                <w:rFonts w:ascii="黑体" w:eastAsia="黑体" w:hint="eastAsia"/>
                <w:sz w:val="31"/>
              </w:rPr>
            </w:pPr>
            <w:r>
              <w:rPr>
                <w:rFonts w:ascii="黑体" w:eastAsia="黑体" w:hint="eastAsia"/>
                <w:sz w:val="31"/>
              </w:rPr>
              <w:t>重加氢油</w:t>
            </w:r>
          </w:p>
        </w:tc>
        <w:tc>
          <w:tcPr>
            <w:tcW w:w="5212" w:type="dxa"/>
          </w:tcPr>
          <w:p>
            <w:pPr>
              <w:pStyle w:val="TableParagraph"/>
              <w:spacing w:before="55"/>
              <w:ind w:left="689" w:right="441"/>
              <w:jc w:val="center"/>
              <w:rPr>
                <w:sz w:val="31"/>
              </w:rPr>
            </w:pPr>
            <w:r>
              <w:rPr>
                <w:sz w:val="31"/>
              </w:rPr>
              <w:t>974.91</w:t>
            </w:r>
          </w:p>
        </w:tc>
        <w:tc>
          <w:tcPr>
            <w:tcW w:w="2187" w:type="dxa"/>
          </w:tcPr>
          <w:p>
            <w:pPr>
              <w:pStyle w:val="TableParagraph"/>
              <w:spacing w:before="55"/>
              <w:ind w:left="384"/>
              <w:jc w:val="center"/>
              <w:rPr>
                <w:sz w:val="31"/>
              </w:rPr>
            </w:pPr>
            <w:r>
              <w:rPr>
                <w:sz w:val="31"/>
              </w:rPr>
              <w:t>71.15</w:t>
            </w:r>
          </w:p>
        </w:tc>
      </w:tr>
      <w:tr>
        <w:tblPrEx>
          <w:tblW w:w="0" w:type="auto"/>
          <w:jc w:val="left"/>
          <w:tblInd w:w="601" w:type="dxa"/>
          <w:tblLayout w:type="fixed"/>
          <w:tblCellMar>
            <w:top w:w="0" w:type="dxa"/>
            <w:left w:w="0" w:type="dxa"/>
            <w:bottom w:w="0" w:type="dxa"/>
            <w:right w:w="0" w:type="dxa"/>
          </w:tblCellMar>
          <w:tblLook w:val="01E0"/>
        </w:tblPrEx>
        <w:trPr>
          <w:trHeight w:val="468"/>
          <w:jc w:val="left"/>
        </w:trPr>
        <w:tc>
          <w:tcPr>
            <w:tcW w:w="2731" w:type="dxa"/>
          </w:tcPr>
          <w:p>
            <w:pPr>
              <w:pStyle w:val="TableParagraph"/>
              <w:spacing w:before="36"/>
              <w:ind w:left="50"/>
              <w:rPr>
                <w:rFonts w:ascii="黑体" w:eastAsia="黑体" w:hint="eastAsia"/>
                <w:sz w:val="31"/>
              </w:rPr>
            </w:pPr>
            <w:r>
              <w:rPr>
                <w:rFonts w:ascii="黑体" w:eastAsia="黑体" w:hint="eastAsia"/>
                <w:sz w:val="31"/>
              </w:rPr>
              <w:t>油渣</w:t>
            </w:r>
          </w:p>
        </w:tc>
        <w:tc>
          <w:tcPr>
            <w:tcW w:w="5212" w:type="dxa"/>
          </w:tcPr>
          <w:p>
            <w:pPr>
              <w:pStyle w:val="TableParagraph"/>
              <w:spacing w:before="55"/>
              <w:ind w:left="689" w:right="441"/>
              <w:jc w:val="center"/>
              <w:rPr>
                <w:sz w:val="31"/>
              </w:rPr>
            </w:pPr>
            <w:r>
              <w:rPr>
                <w:sz w:val="31"/>
              </w:rPr>
              <w:t>183.12</w:t>
            </w:r>
          </w:p>
        </w:tc>
        <w:tc>
          <w:tcPr>
            <w:tcW w:w="2187" w:type="dxa"/>
          </w:tcPr>
          <w:p>
            <w:pPr>
              <w:pStyle w:val="TableParagraph"/>
              <w:spacing w:before="55"/>
              <w:ind w:left="384"/>
              <w:jc w:val="center"/>
              <w:rPr>
                <w:sz w:val="31"/>
              </w:rPr>
            </w:pPr>
            <w:r>
              <w:rPr>
                <w:sz w:val="31"/>
              </w:rPr>
              <w:t>13.36</w:t>
            </w:r>
          </w:p>
        </w:tc>
      </w:tr>
      <w:tr>
        <w:tblPrEx>
          <w:tblW w:w="0" w:type="auto"/>
          <w:jc w:val="left"/>
          <w:tblInd w:w="601" w:type="dxa"/>
          <w:tblLayout w:type="fixed"/>
          <w:tblCellMar>
            <w:top w:w="0" w:type="dxa"/>
            <w:left w:w="0" w:type="dxa"/>
            <w:bottom w:w="0" w:type="dxa"/>
            <w:right w:w="0" w:type="dxa"/>
          </w:tblCellMar>
          <w:tblLook w:val="01E0"/>
        </w:tblPrEx>
        <w:trPr>
          <w:trHeight w:val="468"/>
          <w:jc w:val="left"/>
        </w:trPr>
        <w:tc>
          <w:tcPr>
            <w:tcW w:w="2731" w:type="dxa"/>
          </w:tcPr>
          <w:p>
            <w:pPr>
              <w:pStyle w:val="TableParagraph"/>
              <w:spacing w:before="36"/>
              <w:ind w:left="50"/>
              <w:rPr>
                <w:rFonts w:ascii="黑体" w:eastAsia="黑体" w:hint="eastAsia"/>
                <w:sz w:val="31"/>
              </w:rPr>
            </w:pPr>
            <w:r>
              <w:rPr>
                <w:rFonts w:ascii="黑体" w:eastAsia="黑体" w:hint="eastAsia"/>
                <w:sz w:val="31"/>
              </w:rPr>
              <w:t>酸性水</w:t>
            </w:r>
          </w:p>
        </w:tc>
        <w:tc>
          <w:tcPr>
            <w:tcW w:w="5212" w:type="dxa"/>
          </w:tcPr>
          <w:p>
            <w:pPr>
              <w:pStyle w:val="TableParagraph"/>
              <w:spacing w:before="55"/>
              <w:ind w:left="704" w:right="441"/>
              <w:jc w:val="center"/>
              <w:rPr>
                <w:sz w:val="31"/>
              </w:rPr>
            </w:pPr>
            <w:r>
              <w:rPr>
                <w:sz w:val="31"/>
              </w:rPr>
              <w:t>113.86</w:t>
            </w:r>
          </w:p>
        </w:tc>
        <w:tc>
          <w:tcPr>
            <w:tcW w:w="2187" w:type="dxa"/>
          </w:tcPr>
          <w:p>
            <w:pPr>
              <w:pStyle w:val="TableParagraph"/>
              <w:spacing w:before="55"/>
              <w:ind w:left="384"/>
              <w:jc w:val="center"/>
              <w:rPr>
                <w:sz w:val="31"/>
              </w:rPr>
            </w:pPr>
            <w:r>
              <w:rPr>
                <w:sz w:val="31"/>
              </w:rPr>
              <w:t>8.30</w:t>
            </w:r>
          </w:p>
        </w:tc>
      </w:tr>
      <w:tr>
        <w:tblPrEx>
          <w:tblW w:w="0" w:type="auto"/>
          <w:jc w:val="left"/>
          <w:tblInd w:w="601" w:type="dxa"/>
          <w:tblLayout w:type="fixed"/>
          <w:tblCellMar>
            <w:top w:w="0" w:type="dxa"/>
            <w:left w:w="0" w:type="dxa"/>
            <w:bottom w:w="0" w:type="dxa"/>
            <w:right w:w="0" w:type="dxa"/>
          </w:tblCellMar>
          <w:tblLook w:val="01E0"/>
        </w:tblPrEx>
        <w:trPr>
          <w:trHeight w:val="468"/>
          <w:jc w:val="left"/>
        </w:trPr>
        <w:tc>
          <w:tcPr>
            <w:tcW w:w="2731" w:type="dxa"/>
          </w:tcPr>
          <w:p>
            <w:pPr>
              <w:pStyle w:val="TableParagraph"/>
              <w:spacing w:before="36"/>
              <w:ind w:left="50"/>
              <w:rPr>
                <w:rFonts w:ascii="黑体" w:eastAsia="黑体" w:hint="eastAsia"/>
                <w:sz w:val="31"/>
              </w:rPr>
            </w:pPr>
            <w:r>
              <w:rPr>
                <w:rFonts w:ascii="黑体" w:eastAsia="黑体" w:hint="eastAsia"/>
                <w:sz w:val="31"/>
              </w:rPr>
              <w:t>损失</w:t>
            </w:r>
          </w:p>
        </w:tc>
        <w:tc>
          <w:tcPr>
            <w:tcW w:w="5212" w:type="dxa"/>
          </w:tcPr>
          <w:p>
            <w:pPr>
              <w:pStyle w:val="TableParagraph"/>
              <w:spacing w:before="55"/>
              <w:ind w:left="689" w:right="441"/>
              <w:jc w:val="center"/>
              <w:rPr>
                <w:sz w:val="31"/>
              </w:rPr>
            </w:pPr>
            <w:r>
              <w:rPr>
                <w:sz w:val="31"/>
              </w:rPr>
              <w:t>0.17</w:t>
            </w:r>
          </w:p>
        </w:tc>
        <w:tc>
          <w:tcPr>
            <w:tcW w:w="2187" w:type="dxa"/>
          </w:tcPr>
          <w:p>
            <w:pPr>
              <w:pStyle w:val="TableParagraph"/>
              <w:spacing w:before="55"/>
              <w:ind w:left="384"/>
              <w:jc w:val="center"/>
              <w:rPr>
                <w:sz w:val="31"/>
              </w:rPr>
            </w:pPr>
            <w:r>
              <w:rPr>
                <w:sz w:val="31"/>
              </w:rPr>
              <w:t>0.01</w:t>
            </w:r>
          </w:p>
        </w:tc>
      </w:tr>
      <w:tr>
        <w:tblPrEx>
          <w:tblW w:w="0" w:type="auto"/>
          <w:jc w:val="left"/>
          <w:tblInd w:w="601" w:type="dxa"/>
          <w:tblLayout w:type="fixed"/>
          <w:tblCellMar>
            <w:top w:w="0" w:type="dxa"/>
            <w:left w:w="0" w:type="dxa"/>
            <w:bottom w:w="0" w:type="dxa"/>
            <w:right w:w="0" w:type="dxa"/>
          </w:tblCellMar>
          <w:tblLook w:val="01E0"/>
        </w:tblPrEx>
        <w:trPr>
          <w:trHeight w:val="468"/>
          <w:jc w:val="left"/>
        </w:trPr>
        <w:tc>
          <w:tcPr>
            <w:tcW w:w="2731" w:type="dxa"/>
          </w:tcPr>
          <w:p>
            <w:pPr>
              <w:pStyle w:val="TableParagraph"/>
              <w:spacing w:before="36"/>
              <w:ind w:left="50"/>
              <w:rPr>
                <w:rFonts w:ascii="黑体" w:eastAsia="黑体" w:hint="eastAsia"/>
                <w:sz w:val="31"/>
              </w:rPr>
            </w:pPr>
            <w:r>
              <w:rPr>
                <w:rFonts w:ascii="黑体" w:eastAsia="黑体" w:hint="eastAsia"/>
                <w:sz w:val="31"/>
              </w:rPr>
              <w:t>冲洗密封油</w:t>
            </w:r>
          </w:p>
        </w:tc>
        <w:tc>
          <w:tcPr>
            <w:tcW w:w="5212" w:type="dxa"/>
          </w:tcPr>
          <w:p>
            <w:pPr>
              <w:pStyle w:val="TableParagraph"/>
              <w:spacing w:before="55"/>
              <w:ind w:left="689" w:right="441"/>
              <w:jc w:val="center"/>
              <w:rPr>
                <w:sz w:val="31"/>
              </w:rPr>
            </w:pPr>
            <w:r>
              <w:rPr>
                <w:sz w:val="31"/>
              </w:rPr>
              <w:t>0.00</w:t>
            </w:r>
          </w:p>
        </w:tc>
        <w:tc>
          <w:tcPr>
            <w:tcW w:w="2187" w:type="dxa"/>
          </w:tcPr>
          <w:p>
            <w:pPr>
              <w:pStyle w:val="TableParagraph"/>
              <w:spacing w:before="55"/>
              <w:ind w:left="384"/>
              <w:jc w:val="center"/>
              <w:rPr>
                <w:sz w:val="31"/>
              </w:rPr>
            </w:pPr>
            <w:r>
              <w:rPr>
                <w:sz w:val="31"/>
              </w:rPr>
              <w:t>0.00</w:t>
            </w:r>
          </w:p>
        </w:tc>
      </w:tr>
      <w:tr>
        <w:tblPrEx>
          <w:tblW w:w="0" w:type="auto"/>
          <w:jc w:val="left"/>
          <w:tblInd w:w="601" w:type="dxa"/>
          <w:tblLayout w:type="fixed"/>
          <w:tblCellMar>
            <w:top w:w="0" w:type="dxa"/>
            <w:left w:w="0" w:type="dxa"/>
            <w:bottom w:w="0" w:type="dxa"/>
            <w:right w:w="0" w:type="dxa"/>
          </w:tblCellMar>
          <w:tblLook w:val="01E0"/>
        </w:tblPrEx>
        <w:trPr>
          <w:trHeight w:val="467"/>
          <w:jc w:val="left"/>
        </w:trPr>
        <w:tc>
          <w:tcPr>
            <w:tcW w:w="2731" w:type="dxa"/>
          </w:tcPr>
          <w:p>
            <w:pPr>
              <w:pStyle w:val="TableParagraph"/>
              <w:spacing w:before="36"/>
              <w:ind w:left="50"/>
              <w:rPr>
                <w:rFonts w:ascii="黑体" w:eastAsia="黑体" w:hint="eastAsia"/>
                <w:sz w:val="31"/>
              </w:rPr>
            </w:pPr>
            <w:r>
              <w:rPr>
                <w:rFonts w:ascii="黑体" w:eastAsia="黑体" w:hint="eastAsia"/>
                <w:sz w:val="31"/>
              </w:rPr>
              <w:t>膜分离排放气</w:t>
            </w:r>
          </w:p>
        </w:tc>
        <w:tc>
          <w:tcPr>
            <w:tcW w:w="5212" w:type="dxa"/>
          </w:tcPr>
          <w:p>
            <w:pPr>
              <w:pStyle w:val="TableParagraph"/>
              <w:spacing w:before="55"/>
              <w:ind w:left="689" w:right="441"/>
              <w:jc w:val="center"/>
              <w:rPr>
                <w:sz w:val="31"/>
              </w:rPr>
            </w:pPr>
            <w:r>
              <w:rPr>
                <w:sz w:val="31"/>
              </w:rPr>
              <w:t>49.93</w:t>
            </w:r>
          </w:p>
        </w:tc>
        <w:tc>
          <w:tcPr>
            <w:tcW w:w="2187" w:type="dxa"/>
          </w:tcPr>
          <w:p>
            <w:pPr>
              <w:pStyle w:val="TableParagraph"/>
              <w:spacing w:before="55"/>
              <w:ind w:left="391"/>
              <w:jc w:val="center"/>
              <w:rPr>
                <w:sz w:val="31"/>
              </w:rPr>
            </w:pPr>
            <w:r>
              <w:rPr>
                <w:sz w:val="31"/>
              </w:rPr>
              <w:t>10.11</w:t>
            </w:r>
          </w:p>
        </w:tc>
      </w:tr>
      <w:tr>
        <w:tblPrEx>
          <w:tblW w:w="0" w:type="auto"/>
          <w:jc w:val="left"/>
          <w:tblInd w:w="601" w:type="dxa"/>
          <w:tblLayout w:type="fixed"/>
          <w:tblCellMar>
            <w:top w:w="0" w:type="dxa"/>
            <w:left w:w="0" w:type="dxa"/>
            <w:bottom w:w="0" w:type="dxa"/>
            <w:right w:w="0" w:type="dxa"/>
          </w:tblCellMar>
          <w:tblLook w:val="01E0"/>
        </w:tblPrEx>
        <w:trPr>
          <w:trHeight w:val="402"/>
          <w:jc w:val="left"/>
        </w:trPr>
        <w:tc>
          <w:tcPr>
            <w:tcW w:w="2731" w:type="dxa"/>
          </w:tcPr>
          <w:p>
            <w:pPr>
              <w:pStyle w:val="TableParagraph"/>
              <w:spacing w:before="36" w:line="346" w:lineRule="exact"/>
              <w:ind w:left="50"/>
              <w:rPr>
                <w:rFonts w:ascii="黑体" w:eastAsia="黑体" w:hint="eastAsia"/>
                <w:sz w:val="31"/>
              </w:rPr>
            </w:pPr>
            <w:r>
              <w:rPr>
                <w:rFonts w:ascii="黑体" w:eastAsia="黑体" w:hint="eastAsia"/>
                <w:sz w:val="31"/>
              </w:rPr>
              <w:t>合计</w:t>
            </w:r>
          </w:p>
        </w:tc>
        <w:tc>
          <w:tcPr>
            <w:tcW w:w="5212" w:type="dxa"/>
          </w:tcPr>
          <w:p>
            <w:pPr>
              <w:pStyle w:val="TableParagraph"/>
              <w:spacing w:before="55" w:line="327" w:lineRule="exact"/>
              <w:ind w:left="697" w:right="441"/>
              <w:jc w:val="center"/>
              <w:rPr>
                <w:sz w:val="31"/>
              </w:rPr>
            </w:pPr>
            <w:r>
              <w:rPr>
                <w:sz w:val="31"/>
              </w:rPr>
              <w:t>1370.31</w:t>
            </w:r>
          </w:p>
        </w:tc>
        <w:tc>
          <w:tcPr>
            <w:tcW w:w="2187" w:type="dxa"/>
          </w:tcPr>
          <w:p>
            <w:pPr>
              <w:pStyle w:val="TableParagraph"/>
              <w:spacing w:before="55" w:line="327" w:lineRule="exact"/>
              <w:ind w:left="384"/>
              <w:jc w:val="center"/>
              <w:rPr>
                <w:sz w:val="31"/>
              </w:rPr>
            </w:pPr>
            <w:r>
              <w:rPr>
                <w:sz w:val="31"/>
              </w:rPr>
              <w:t>100</w:t>
            </w:r>
          </w:p>
        </w:tc>
      </w:tr>
    </w:tbl>
    <w:p>
      <w:pPr>
        <w:pStyle w:val="BodyText"/>
        <w:spacing w:line="79" w:lineRule="exact"/>
        <w:ind w:left="460"/>
        <w:rPr>
          <w:sz w:val="7"/>
        </w:rPr>
      </w:pPr>
      <w:r>
        <w:rPr>
          <w:position w:val="-1"/>
          <w:sz w:val="7"/>
        </w:rPr>
        <w:drawing>
          <wp:inline distT="0" distB="0" distL="0" distR="0">
            <wp:extent cx="7132224" cy="50672"/>
            <wp:effectExtent l="0" t="0" r="0" b="0"/>
            <wp:docPr id="7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20.png"/>
                    <pic:cNvPicPr/>
                  </pic:nvPicPr>
                  <pic:blipFill>
                    <a:blip xmlns:r="http://schemas.openxmlformats.org/officeDocument/2006/relationships" r:embed="rId9" cstate="print"/>
                    <a:stretch>
                      <a:fillRect/>
                    </a:stretch>
                  </pic:blipFill>
                  <pic:spPr>
                    <a:xfrm>
                      <a:off x="0" y="0"/>
                      <a:ext cx="7132224" cy="50672"/>
                    </a:xfrm>
                    <a:prstGeom prst="rect">
                      <a:avLst/>
                    </a:prstGeom>
                  </pic:spPr>
                </pic:pic>
              </a:graphicData>
            </a:graphic>
          </wp:inline>
        </w:drawing>
      </w:r>
    </w:p>
    <w:p>
      <w:pPr>
        <w:spacing w:after="0" w:line="79" w:lineRule="exact"/>
        <w:rPr>
          <w:sz w:val="7"/>
        </w:rPr>
        <w:sectPr>
          <w:pgSz w:w="15480" w:h="21860"/>
          <w:pgMar w:top="2000" w:right="0" w:bottom="280" w:left="1740" w:header="708" w:footer="708"/>
          <w:pgNumType w:start="33"/>
          <w:cols w:space="708"/>
        </w:sectPr>
      </w:pPr>
    </w:p>
    <w:p>
      <w:pPr>
        <w:pStyle w:val="ListParagraph"/>
        <w:numPr>
          <w:ilvl w:val="2"/>
          <w:numId w:val="19"/>
        </w:numPr>
        <w:tabs>
          <w:tab w:val="left" w:pos="1454"/>
        </w:tabs>
        <w:spacing w:before="41" w:after="0" w:line="240" w:lineRule="auto"/>
        <w:ind w:left="1453" w:right="0" w:hanging="810"/>
        <w:jc w:val="left"/>
        <w:rPr>
          <w:rFonts w:ascii="Times New Roman" w:eastAsia="Times New Roman"/>
          <w:sz w:val="36"/>
        </w:rPr>
      </w:pPr>
      <w:r>
        <w:rPr>
          <w:rFonts w:ascii="黑体" w:eastAsia="黑体" w:hint="eastAsia"/>
          <w:sz w:val="36"/>
        </w:rPr>
        <w:t>催化剂制备单元</w:t>
      </w:r>
    </w:p>
    <w:p>
      <w:pPr>
        <w:spacing w:before="150"/>
        <w:ind w:left="1363" w:right="0" w:firstLine="0"/>
        <w:jc w:val="left"/>
        <w:rPr>
          <w:rFonts w:ascii="Times New Roman" w:eastAsia="Times New Roman"/>
          <w:sz w:val="29"/>
        </w:rPr>
      </w:pPr>
      <w:r>
        <w:rPr>
          <w:spacing w:val="-4"/>
          <w:sz w:val="36"/>
        </w:rPr>
        <w:t xml:space="preserve">在研究了国外先进的催化剂的基础上 </w:t>
      </w:r>
      <w:r>
        <w:rPr>
          <w:rFonts w:ascii="Times New Roman" w:eastAsia="Times New Roman"/>
          <w:spacing w:val="-3"/>
          <w:position w:val="-2"/>
          <w:sz w:val="29"/>
        </w:rPr>
        <w:t>[29-3</w:t>
      </w:r>
      <w:r>
        <w:rPr>
          <w:rFonts w:ascii="Times New Roman" w:eastAsia="Times New Roman"/>
          <w:spacing w:val="-147"/>
          <w:position w:val="-2"/>
          <w:sz w:val="29"/>
        </w:rPr>
        <w:t>5</w:t>
      </w:r>
      <w:r>
        <w:rPr>
          <w:spacing w:val="-220"/>
          <w:sz w:val="36"/>
        </w:rPr>
        <w:t>，</w:t>
      </w:r>
      <w:r>
        <w:rPr>
          <w:rFonts w:ascii="Times New Roman" w:eastAsia="Times New Roman"/>
          <w:spacing w:val="-3"/>
          <w:position w:val="-2"/>
          <w:sz w:val="29"/>
        </w:rPr>
        <w:t>]</w:t>
      </w:r>
    </w:p>
    <w:p>
      <w:pPr>
        <w:pStyle w:val="BodyText"/>
        <w:rPr>
          <w:rFonts w:ascii="Times New Roman"/>
        </w:rPr>
      </w:pPr>
      <w:r>
        <w:br w:type="column"/>
      </w:r>
    </w:p>
    <w:p>
      <w:pPr>
        <w:pStyle w:val="BodyText"/>
        <w:spacing w:before="239"/>
        <w:ind w:left="80"/>
      </w:pPr>
      <w:r>
        <w:t>我国合成的新型高效</w:t>
      </w:r>
    </w:p>
    <w:p>
      <w:pPr>
        <w:spacing w:after="0"/>
        <w:sectPr>
          <w:pgSz w:w="15480" w:h="21860"/>
          <w:pgMar w:top="2000" w:right="0" w:bottom="280" w:left="1740" w:header="708" w:footer="708"/>
          <w:pgNumType w:start="34"/>
          <w:cols w:num="2" w:space="708" w:equalWidth="0">
            <w:col w:w="8107" w:space="40"/>
            <w:col w:w="5593" w:space="0"/>
          </w:cols>
        </w:sectPr>
      </w:pPr>
    </w:p>
    <w:p>
      <w:pPr>
        <w:pStyle w:val="BodyText"/>
        <w:spacing w:before="135" w:line="316" w:lineRule="auto"/>
        <w:ind w:left="644" w:right="1988"/>
      </w:pPr>
      <w:r>
        <w:rPr>
          <w:rFonts w:ascii="幼圆" w:eastAsia="幼圆" w:hAnsi="幼圆" w:hint="eastAsia"/>
          <w:spacing w:val="-11"/>
        </w:rPr>
        <w:t>“863</w:t>
      </w:r>
      <w:r>
        <w:rPr>
          <w:spacing w:val="-317"/>
        </w:rPr>
        <w:t>催</w:t>
      </w:r>
      <w:r>
        <w:rPr>
          <w:rFonts w:ascii="幼圆" w:eastAsia="幼圆" w:hAnsi="幼圆" w:hint="eastAsia"/>
          <w:spacing w:val="-44"/>
        </w:rPr>
        <w:t>”</w:t>
      </w:r>
      <w:r>
        <w:t>化剂是国家高新技术研究发展计划</w:t>
      </w:r>
      <w:r>
        <w:rPr>
          <w:rFonts w:ascii="Times New Roman" w:eastAsia="Times New Roman" w:hAnsi="Times New Roman"/>
        </w:rPr>
        <w:t xml:space="preserve">(863 </w:t>
      </w:r>
      <w:r>
        <w:t>计划</w:t>
      </w:r>
      <w:r>
        <w:rPr>
          <w:rFonts w:ascii="Times New Roman" w:eastAsia="Times New Roman" w:hAnsi="Times New Roman"/>
        </w:rPr>
        <w:t>)</w:t>
      </w:r>
      <w:r>
        <w:rPr>
          <w:spacing w:val="-2"/>
        </w:rPr>
        <w:t xml:space="preserve">的一项课题成果， </w:t>
      </w:r>
      <w:r>
        <w:t>性能优异，具有活性高、添加量少、油收率高等特点。该催化剂为人工合成超细铁基催化剂，主要原料为无机化学工业的副产品，国内供给充足，价格便宜，制备工艺流程简单，生产成本低廉，操作稳定。由于催化剂用量少，在催化剂制备装置将催化剂原料加工，并与供氢溶剂调配成液态催化剂，有效解决了催化剂加入煤浆难的问题。</w:t>
      </w:r>
    </w:p>
    <w:p>
      <w:pPr>
        <w:pStyle w:val="BodyText"/>
        <w:spacing w:before="10"/>
        <w:ind w:left="1363"/>
        <w:rPr>
          <w:rFonts w:ascii="Times New Roman" w:eastAsia="Times New Roman" w:hAnsi="Times New Roman"/>
        </w:rPr>
      </w:pPr>
      <w:r>
        <w:t xml:space="preserve">一期工程共两套 </w:t>
      </w:r>
      <w:r>
        <w:rPr>
          <w:rFonts w:ascii="Times New Roman" w:eastAsia="Times New Roman" w:hAnsi="Times New Roman"/>
        </w:rPr>
        <w:t>1×33</w:t>
      </w:r>
      <w:r>
        <w:t>，</w:t>
      </w:r>
      <w:r>
        <w:rPr>
          <w:rFonts w:ascii="Times New Roman" w:eastAsia="Times New Roman" w:hAnsi="Times New Roman"/>
        </w:rPr>
        <w:t xml:space="preserve">1×66 </w:t>
      </w:r>
      <w:r>
        <w:t xml:space="preserve">万 </w:t>
      </w:r>
      <w:r>
        <w:rPr>
          <w:rFonts w:ascii="Times New Roman" w:eastAsia="Times New Roman" w:hAnsi="Times New Roman"/>
        </w:rPr>
        <w:t>t/</w:t>
      </w:r>
      <w:r>
        <w:t xml:space="preserve">年装置，产量为催化剂煤粉 </w:t>
      </w:r>
      <w:r>
        <w:rPr>
          <w:rFonts w:ascii="Times New Roman" w:eastAsia="Times New Roman" w:hAnsi="Times New Roman"/>
        </w:rPr>
        <w:t>98.42</w:t>
      </w:r>
    </w:p>
    <w:p>
      <w:pPr>
        <w:pStyle w:val="BodyText"/>
        <w:spacing w:before="147"/>
        <w:ind w:left="644"/>
      </w:pPr>
      <w:r>
        <w:drawing>
          <wp:anchor distT="0" distB="0" distL="0" distR="0" simplePos="0" relativeHeight="251689984" behindDoc="0" locked="0" layoutInCell="1" allowOverlap="1">
            <wp:simplePos x="0" y="0"/>
            <wp:positionH relativeFrom="page">
              <wp:posOffset>1409700</wp:posOffset>
            </wp:positionH>
            <wp:positionV relativeFrom="paragraph">
              <wp:posOffset>1198118</wp:posOffset>
            </wp:positionV>
            <wp:extent cx="7137400" cy="38100"/>
            <wp:effectExtent l="0" t="0" r="0" b="0"/>
            <wp:wrapNone/>
            <wp:docPr id="7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26.png"/>
                    <pic:cNvPicPr/>
                  </pic:nvPicPr>
                  <pic:blipFill>
                    <a:blip xmlns:r="http://schemas.openxmlformats.org/officeDocument/2006/relationships" r:embed="rId12" cstate="print"/>
                    <a:stretch>
                      <a:fillRect/>
                    </a:stretch>
                  </pic:blipFill>
                  <pic:spPr>
                    <a:xfrm>
                      <a:off x="0" y="0"/>
                      <a:ext cx="7137400" cy="38100"/>
                    </a:xfrm>
                    <a:prstGeom prst="rect">
                      <a:avLst/>
                    </a:prstGeom>
                  </pic:spPr>
                </pic:pic>
              </a:graphicData>
            </a:graphic>
          </wp:anchor>
        </w:drawing>
      </w:r>
      <w:r>
        <w:drawing>
          <wp:anchor distT="0" distB="0" distL="0" distR="0" simplePos="0" relativeHeight="251691008" behindDoc="0" locked="0" layoutInCell="1" allowOverlap="1">
            <wp:simplePos x="0" y="0"/>
            <wp:positionH relativeFrom="page">
              <wp:posOffset>1409700</wp:posOffset>
            </wp:positionH>
            <wp:positionV relativeFrom="paragraph">
              <wp:posOffset>880618</wp:posOffset>
            </wp:positionV>
            <wp:extent cx="7137400" cy="50800"/>
            <wp:effectExtent l="0" t="0" r="0" b="0"/>
            <wp:wrapNone/>
            <wp:docPr id="7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27.png"/>
                    <pic:cNvPicPr/>
                  </pic:nvPicPr>
                  <pic:blipFill>
                    <a:blip xmlns:r="http://schemas.openxmlformats.org/officeDocument/2006/relationships" r:embed="rId13" cstate="print"/>
                    <a:stretch>
                      <a:fillRect/>
                    </a:stretch>
                  </pic:blipFill>
                  <pic:spPr>
                    <a:xfrm>
                      <a:off x="0" y="0"/>
                      <a:ext cx="7137400" cy="50800"/>
                    </a:xfrm>
                    <a:prstGeom prst="rect">
                      <a:avLst/>
                    </a:prstGeom>
                  </pic:spPr>
                </pic:pic>
              </a:graphicData>
            </a:graphic>
          </wp:anchor>
        </w:drawing>
      </w:r>
      <w:r>
        <w:t>万吨</w:t>
      </w:r>
      <w:r>
        <w:rPr>
          <w:rFonts w:ascii="Times New Roman" w:eastAsia="Times New Roman"/>
        </w:rPr>
        <w:t>/</w:t>
      </w:r>
      <w:r>
        <w:t xml:space="preserve">年，废水为 </w:t>
      </w:r>
      <w:r>
        <w:rPr>
          <w:rFonts w:ascii="Times New Roman" w:eastAsia="Times New Roman"/>
        </w:rPr>
        <w:t xml:space="preserve">283.66 </w:t>
      </w:r>
      <w:r>
        <w:t>万吨</w:t>
      </w:r>
      <w:r>
        <w:rPr>
          <w:rFonts w:ascii="Times New Roman" w:eastAsia="Times New Roman"/>
        </w:rPr>
        <w:t>/</w:t>
      </w:r>
      <w:r>
        <w:t xml:space="preserve">年，废气 </w:t>
      </w:r>
      <w:r>
        <w:rPr>
          <w:rFonts w:ascii="Times New Roman" w:eastAsia="Times New Roman"/>
        </w:rPr>
        <w:t xml:space="preserve">192.37 </w:t>
      </w:r>
      <w:r>
        <w:t>万吨</w:t>
      </w:r>
      <w:r>
        <w:rPr>
          <w:rFonts w:ascii="Times New Roman" w:eastAsia="Times New Roman"/>
        </w:rPr>
        <w:t>/</w:t>
      </w:r>
      <w:r>
        <w:t>年。</w:t>
      </w:r>
    </w:p>
    <w:p>
      <w:pPr>
        <w:pStyle w:val="BodyText"/>
        <w:rPr>
          <w:sz w:val="20"/>
        </w:rPr>
      </w:pPr>
    </w:p>
    <w:p>
      <w:pPr>
        <w:pStyle w:val="BodyText"/>
        <w:spacing w:before="1"/>
        <w:rPr>
          <w:sz w:val="12"/>
        </w:rPr>
      </w:pPr>
    </w:p>
    <w:tbl>
      <w:tblPr>
        <w:tblStyle w:val="TableNormal5"/>
        <w:tblW w:w="0" w:type="auto"/>
        <w:jc w:val="left"/>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047"/>
        <w:gridCol w:w="1516"/>
        <w:gridCol w:w="3194"/>
      </w:tblGrid>
      <w:tr>
        <w:tblPrEx>
          <w:tblW w:w="0" w:type="auto"/>
          <w:jc w:val="left"/>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26"/>
          <w:jc w:val="left"/>
        </w:trPr>
        <w:tc>
          <w:tcPr>
            <w:tcW w:w="3047" w:type="dxa"/>
          </w:tcPr>
          <w:p>
            <w:pPr>
              <w:pStyle w:val="TableParagraph"/>
              <w:spacing w:before="7"/>
              <w:rPr>
                <w:rFonts w:ascii="宋体"/>
                <w:sz w:val="37"/>
              </w:rPr>
            </w:pPr>
          </w:p>
          <w:p>
            <w:pPr>
              <w:pStyle w:val="TableParagraph"/>
              <w:spacing w:before="1"/>
              <w:ind w:left="50"/>
              <w:rPr>
                <w:rFonts w:ascii="黑体" w:eastAsia="黑体" w:hint="eastAsia"/>
                <w:sz w:val="31"/>
              </w:rPr>
            </w:pPr>
            <w:r>
              <w:rPr>
                <w:rFonts w:ascii="黑体" w:eastAsia="黑体" w:hint="eastAsia"/>
                <w:sz w:val="31"/>
              </w:rPr>
              <w:t>物料</w:t>
            </w:r>
          </w:p>
        </w:tc>
        <w:tc>
          <w:tcPr>
            <w:tcW w:w="1516" w:type="dxa"/>
          </w:tcPr>
          <w:p>
            <w:pPr>
              <w:pStyle w:val="TableParagraph"/>
              <w:spacing w:line="368" w:lineRule="exact"/>
              <w:ind w:left="463"/>
              <w:rPr>
                <w:rFonts w:ascii="Times New Roman" w:eastAsia="Times New Roman"/>
                <w:sz w:val="31"/>
              </w:rPr>
            </w:pPr>
            <w:r>
              <w:rPr>
                <w:rFonts w:ascii="黑体" w:eastAsia="黑体" w:hint="eastAsia"/>
                <w:sz w:val="31"/>
              </w:rPr>
              <w:t xml:space="preserve">表 </w:t>
            </w:r>
            <w:r>
              <w:rPr>
                <w:rFonts w:ascii="Times New Roman" w:eastAsia="Times New Roman"/>
                <w:sz w:val="31"/>
              </w:rPr>
              <w:t>3-12</w:t>
            </w:r>
          </w:p>
        </w:tc>
        <w:tc>
          <w:tcPr>
            <w:tcW w:w="3194" w:type="dxa"/>
          </w:tcPr>
          <w:p>
            <w:pPr>
              <w:pStyle w:val="TableParagraph"/>
              <w:spacing w:line="368" w:lineRule="exact"/>
              <w:ind w:left="77"/>
              <w:rPr>
                <w:rFonts w:ascii="黑体" w:eastAsia="黑体" w:hint="eastAsia"/>
                <w:sz w:val="31"/>
              </w:rPr>
            </w:pPr>
            <w:r>
              <w:rPr>
                <w:rFonts w:ascii="黑体" w:eastAsia="黑体" w:hint="eastAsia"/>
                <w:sz w:val="31"/>
              </w:rPr>
              <w:t>催化剂制备投入物料</w:t>
            </w:r>
          </w:p>
          <w:p>
            <w:pPr>
              <w:pStyle w:val="TableParagraph"/>
              <w:spacing w:before="114"/>
              <w:ind w:left="1320"/>
              <w:rPr>
                <w:rFonts w:ascii="黑体" w:eastAsia="黑体" w:hint="eastAsia"/>
                <w:sz w:val="31"/>
              </w:rPr>
            </w:pPr>
            <w:r>
              <w:rPr>
                <w:rFonts w:ascii="黑体" w:eastAsia="黑体" w:hint="eastAsia"/>
                <w:sz w:val="31"/>
              </w:rPr>
              <w:t>数量 万吨</w:t>
            </w:r>
            <w:r>
              <w:rPr>
                <w:rFonts w:ascii="Times New Roman" w:eastAsia="Times New Roman"/>
                <w:sz w:val="31"/>
              </w:rPr>
              <w:t>/</w:t>
            </w:r>
            <w:r>
              <w:rPr>
                <w:rFonts w:ascii="黑体" w:eastAsia="黑体" w:hint="eastAsia"/>
                <w:sz w:val="31"/>
              </w:rPr>
              <w:t>年</w:t>
            </w:r>
          </w:p>
        </w:tc>
      </w:tr>
      <w:tr>
        <w:tblPrEx>
          <w:tblW w:w="0" w:type="auto"/>
          <w:jc w:val="left"/>
          <w:tblInd w:w="601" w:type="dxa"/>
          <w:tblLayout w:type="fixed"/>
          <w:tblCellMar>
            <w:top w:w="0" w:type="dxa"/>
            <w:left w:w="0" w:type="dxa"/>
            <w:bottom w:w="0" w:type="dxa"/>
            <w:right w:w="0" w:type="dxa"/>
          </w:tblCellMar>
          <w:tblLook w:val="01E0"/>
        </w:tblPrEx>
        <w:trPr>
          <w:trHeight w:val="480"/>
          <w:jc w:val="left"/>
        </w:trPr>
        <w:tc>
          <w:tcPr>
            <w:tcW w:w="3047" w:type="dxa"/>
          </w:tcPr>
          <w:p>
            <w:pPr>
              <w:pStyle w:val="TableParagraph"/>
              <w:spacing w:before="49"/>
              <w:ind w:left="50"/>
              <w:rPr>
                <w:rFonts w:ascii="黑体" w:eastAsia="黑体" w:hint="eastAsia"/>
                <w:sz w:val="31"/>
              </w:rPr>
            </w:pPr>
            <w:r>
              <w:rPr>
                <w:rFonts w:ascii="黑体" w:eastAsia="黑体" w:hint="eastAsia"/>
                <w:sz w:val="31"/>
              </w:rPr>
              <w:t>配催化剂用洗精煤</w:t>
            </w:r>
          </w:p>
        </w:tc>
        <w:tc>
          <w:tcPr>
            <w:tcW w:w="1516" w:type="dxa"/>
          </w:tcPr>
          <w:p>
            <w:pPr>
              <w:pStyle w:val="TableParagraph"/>
              <w:rPr>
                <w:rFonts w:ascii="Times New Roman"/>
                <w:sz w:val="34"/>
              </w:rPr>
            </w:pPr>
          </w:p>
        </w:tc>
        <w:tc>
          <w:tcPr>
            <w:tcW w:w="3194" w:type="dxa"/>
          </w:tcPr>
          <w:p>
            <w:pPr>
              <w:pStyle w:val="TableParagraph"/>
              <w:spacing w:before="69"/>
              <w:ind w:left="1320"/>
              <w:rPr>
                <w:rFonts w:ascii="Times New Roman"/>
                <w:sz w:val="31"/>
              </w:rPr>
            </w:pPr>
            <w:r>
              <w:rPr>
                <w:rFonts w:ascii="Times New Roman"/>
                <w:sz w:val="31"/>
              </w:rPr>
              <w:t>100.34</w:t>
            </w:r>
          </w:p>
        </w:tc>
      </w:tr>
      <w:tr>
        <w:tblPrEx>
          <w:tblW w:w="0" w:type="auto"/>
          <w:jc w:val="left"/>
          <w:tblInd w:w="601" w:type="dxa"/>
          <w:tblLayout w:type="fixed"/>
          <w:tblCellMar>
            <w:top w:w="0" w:type="dxa"/>
            <w:left w:w="0" w:type="dxa"/>
            <w:bottom w:w="0" w:type="dxa"/>
            <w:right w:w="0" w:type="dxa"/>
          </w:tblCellMar>
          <w:tblLook w:val="01E0"/>
        </w:tblPrEx>
        <w:trPr>
          <w:trHeight w:val="467"/>
          <w:jc w:val="left"/>
        </w:trPr>
        <w:tc>
          <w:tcPr>
            <w:tcW w:w="3047" w:type="dxa"/>
          </w:tcPr>
          <w:p>
            <w:pPr>
              <w:pStyle w:val="TableParagraph"/>
              <w:spacing w:before="36"/>
              <w:ind w:left="50"/>
              <w:rPr>
                <w:rFonts w:ascii="黑体" w:eastAsia="黑体" w:hint="eastAsia"/>
                <w:sz w:val="31"/>
              </w:rPr>
            </w:pPr>
            <w:r>
              <w:rPr>
                <w:rFonts w:ascii="黑体" w:eastAsia="黑体" w:hint="eastAsia"/>
                <w:sz w:val="31"/>
              </w:rPr>
              <w:t>硫酸铁</w:t>
            </w:r>
          </w:p>
        </w:tc>
        <w:tc>
          <w:tcPr>
            <w:tcW w:w="1516" w:type="dxa"/>
          </w:tcPr>
          <w:p>
            <w:pPr>
              <w:pStyle w:val="TableParagraph"/>
              <w:rPr>
                <w:rFonts w:ascii="Times New Roman"/>
                <w:sz w:val="34"/>
              </w:rPr>
            </w:pPr>
          </w:p>
        </w:tc>
        <w:tc>
          <w:tcPr>
            <w:tcW w:w="3194" w:type="dxa"/>
          </w:tcPr>
          <w:p>
            <w:pPr>
              <w:pStyle w:val="TableParagraph"/>
              <w:spacing w:before="57"/>
              <w:ind w:left="1320"/>
              <w:rPr>
                <w:rFonts w:ascii="Times New Roman"/>
                <w:sz w:val="31"/>
              </w:rPr>
            </w:pPr>
            <w:r>
              <w:rPr>
                <w:rFonts w:ascii="Times New Roman"/>
                <w:sz w:val="31"/>
              </w:rPr>
              <w:t>28.871</w:t>
            </w:r>
          </w:p>
        </w:tc>
      </w:tr>
      <w:tr>
        <w:tblPrEx>
          <w:tblW w:w="0" w:type="auto"/>
          <w:jc w:val="left"/>
          <w:tblInd w:w="601" w:type="dxa"/>
          <w:tblLayout w:type="fixed"/>
          <w:tblCellMar>
            <w:top w:w="0" w:type="dxa"/>
            <w:left w:w="0" w:type="dxa"/>
            <w:bottom w:w="0" w:type="dxa"/>
            <w:right w:w="0" w:type="dxa"/>
          </w:tblCellMar>
          <w:tblLook w:val="01E0"/>
        </w:tblPrEx>
        <w:trPr>
          <w:trHeight w:val="468"/>
          <w:jc w:val="left"/>
        </w:trPr>
        <w:tc>
          <w:tcPr>
            <w:tcW w:w="3047" w:type="dxa"/>
          </w:tcPr>
          <w:p>
            <w:pPr>
              <w:pStyle w:val="TableParagraph"/>
              <w:spacing w:before="36"/>
              <w:ind w:left="50"/>
              <w:rPr>
                <w:rFonts w:ascii="黑体" w:eastAsia="黑体" w:hint="eastAsia"/>
                <w:sz w:val="31"/>
              </w:rPr>
            </w:pPr>
            <w:r>
              <w:rPr>
                <w:rFonts w:ascii="黑体" w:eastAsia="黑体" w:hint="eastAsia"/>
                <w:sz w:val="31"/>
              </w:rPr>
              <w:t>液氨</w:t>
            </w:r>
          </w:p>
        </w:tc>
        <w:tc>
          <w:tcPr>
            <w:tcW w:w="1516" w:type="dxa"/>
          </w:tcPr>
          <w:p>
            <w:pPr>
              <w:pStyle w:val="TableParagraph"/>
              <w:rPr>
                <w:rFonts w:ascii="Times New Roman"/>
                <w:sz w:val="34"/>
              </w:rPr>
            </w:pPr>
          </w:p>
        </w:tc>
        <w:tc>
          <w:tcPr>
            <w:tcW w:w="3194" w:type="dxa"/>
          </w:tcPr>
          <w:p>
            <w:pPr>
              <w:pStyle w:val="TableParagraph"/>
              <w:spacing w:before="57"/>
              <w:ind w:left="1320"/>
              <w:rPr>
                <w:rFonts w:ascii="Times New Roman"/>
                <w:sz w:val="31"/>
              </w:rPr>
            </w:pPr>
            <w:r>
              <w:rPr>
                <w:rFonts w:ascii="Times New Roman"/>
                <w:sz w:val="31"/>
              </w:rPr>
              <w:t>4.00</w:t>
            </w:r>
          </w:p>
        </w:tc>
      </w:tr>
      <w:tr>
        <w:tblPrEx>
          <w:tblW w:w="0" w:type="auto"/>
          <w:jc w:val="left"/>
          <w:tblInd w:w="601" w:type="dxa"/>
          <w:tblLayout w:type="fixed"/>
          <w:tblCellMar>
            <w:top w:w="0" w:type="dxa"/>
            <w:left w:w="0" w:type="dxa"/>
            <w:bottom w:w="0" w:type="dxa"/>
            <w:right w:w="0" w:type="dxa"/>
          </w:tblCellMar>
          <w:tblLook w:val="01E0"/>
        </w:tblPrEx>
        <w:trPr>
          <w:trHeight w:val="468"/>
          <w:jc w:val="left"/>
        </w:trPr>
        <w:tc>
          <w:tcPr>
            <w:tcW w:w="3047" w:type="dxa"/>
          </w:tcPr>
          <w:p>
            <w:pPr>
              <w:pStyle w:val="TableParagraph"/>
              <w:spacing w:before="36"/>
              <w:ind w:left="50"/>
              <w:rPr>
                <w:rFonts w:ascii="黑体" w:eastAsia="黑体" w:hint="eastAsia"/>
                <w:sz w:val="31"/>
              </w:rPr>
            </w:pPr>
            <w:r>
              <w:rPr>
                <w:rFonts w:ascii="黑体" w:eastAsia="黑体" w:hint="eastAsia"/>
                <w:w w:val="102"/>
                <w:sz w:val="31"/>
              </w:rPr>
              <w:t>水</w:t>
            </w:r>
          </w:p>
        </w:tc>
        <w:tc>
          <w:tcPr>
            <w:tcW w:w="1516" w:type="dxa"/>
          </w:tcPr>
          <w:p>
            <w:pPr>
              <w:pStyle w:val="TableParagraph"/>
              <w:rPr>
                <w:rFonts w:ascii="Times New Roman"/>
                <w:sz w:val="34"/>
              </w:rPr>
            </w:pPr>
          </w:p>
        </w:tc>
        <w:tc>
          <w:tcPr>
            <w:tcW w:w="3194" w:type="dxa"/>
          </w:tcPr>
          <w:p>
            <w:pPr>
              <w:pStyle w:val="TableParagraph"/>
              <w:spacing w:before="57"/>
              <w:ind w:left="1320"/>
              <w:rPr>
                <w:rFonts w:ascii="Times New Roman"/>
                <w:sz w:val="31"/>
              </w:rPr>
            </w:pPr>
            <w:r>
              <w:rPr>
                <w:rFonts w:ascii="Times New Roman"/>
                <w:sz w:val="31"/>
              </w:rPr>
              <w:t>313.14</w:t>
            </w:r>
          </w:p>
        </w:tc>
      </w:tr>
      <w:tr>
        <w:tblPrEx>
          <w:tblW w:w="0" w:type="auto"/>
          <w:jc w:val="left"/>
          <w:tblInd w:w="601" w:type="dxa"/>
          <w:tblLayout w:type="fixed"/>
          <w:tblCellMar>
            <w:top w:w="0" w:type="dxa"/>
            <w:left w:w="0" w:type="dxa"/>
            <w:bottom w:w="0" w:type="dxa"/>
            <w:right w:w="0" w:type="dxa"/>
          </w:tblCellMar>
          <w:tblLook w:val="01E0"/>
        </w:tblPrEx>
        <w:trPr>
          <w:trHeight w:val="468"/>
          <w:jc w:val="left"/>
        </w:trPr>
        <w:tc>
          <w:tcPr>
            <w:tcW w:w="3047" w:type="dxa"/>
          </w:tcPr>
          <w:p>
            <w:pPr>
              <w:pStyle w:val="TableParagraph"/>
              <w:spacing w:before="36"/>
              <w:ind w:left="50"/>
              <w:rPr>
                <w:rFonts w:ascii="黑体" w:eastAsia="黑体" w:hint="eastAsia"/>
                <w:sz w:val="31"/>
              </w:rPr>
            </w:pPr>
            <w:r>
              <w:rPr>
                <w:rFonts w:ascii="黑体" w:eastAsia="黑体" w:hint="eastAsia"/>
                <w:sz w:val="31"/>
              </w:rPr>
              <w:t>空气</w:t>
            </w:r>
          </w:p>
        </w:tc>
        <w:tc>
          <w:tcPr>
            <w:tcW w:w="1516" w:type="dxa"/>
          </w:tcPr>
          <w:p>
            <w:pPr>
              <w:pStyle w:val="TableParagraph"/>
              <w:rPr>
                <w:rFonts w:ascii="Times New Roman"/>
                <w:sz w:val="34"/>
              </w:rPr>
            </w:pPr>
          </w:p>
        </w:tc>
        <w:tc>
          <w:tcPr>
            <w:tcW w:w="3194" w:type="dxa"/>
          </w:tcPr>
          <w:p>
            <w:pPr>
              <w:pStyle w:val="TableParagraph"/>
              <w:spacing w:before="57"/>
              <w:ind w:left="1320"/>
              <w:rPr>
                <w:rFonts w:ascii="Times New Roman"/>
                <w:sz w:val="31"/>
              </w:rPr>
            </w:pPr>
            <w:r>
              <w:rPr>
                <w:rFonts w:ascii="Times New Roman"/>
                <w:sz w:val="31"/>
              </w:rPr>
              <w:t>78.40</w:t>
            </w:r>
          </w:p>
        </w:tc>
      </w:tr>
      <w:tr>
        <w:tblPrEx>
          <w:tblW w:w="0" w:type="auto"/>
          <w:jc w:val="left"/>
          <w:tblInd w:w="601" w:type="dxa"/>
          <w:tblLayout w:type="fixed"/>
          <w:tblCellMar>
            <w:top w:w="0" w:type="dxa"/>
            <w:left w:w="0" w:type="dxa"/>
            <w:bottom w:w="0" w:type="dxa"/>
            <w:right w:w="0" w:type="dxa"/>
          </w:tblCellMar>
          <w:tblLook w:val="01E0"/>
        </w:tblPrEx>
        <w:trPr>
          <w:trHeight w:val="468"/>
          <w:jc w:val="left"/>
        </w:trPr>
        <w:tc>
          <w:tcPr>
            <w:tcW w:w="3047" w:type="dxa"/>
          </w:tcPr>
          <w:p>
            <w:pPr>
              <w:pStyle w:val="TableParagraph"/>
              <w:spacing w:before="36"/>
              <w:ind w:left="50"/>
              <w:rPr>
                <w:rFonts w:ascii="黑体" w:eastAsia="黑体" w:hint="eastAsia"/>
                <w:sz w:val="31"/>
              </w:rPr>
            </w:pPr>
            <w:r>
              <w:rPr>
                <w:rFonts w:ascii="黑体" w:eastAsia="黑体" w:hint="eastAsia"/>
                <w:sz w:val="31"/>
              </w:rPr>
              <w:t>氦气</w:t>
            </w:r>
          </w:p>
        </w:tc>
        <w:tc>
          <w:tcPr>
            <w:tcW w:w="1516" w:type="dxa"/>
          </w:tcPr>
          <w:p>
            <w:pPr>
              <w:pStyle w:val="TableParagraph"/>
              <w:rPr>
                <w:rFonts w:ascii="Times New Roman"/>
                <w:sz w:val="34"/>
              </w:rPr>
            </w:pPr>
          </w:p>
        </w:tc>
        <w:tc>
          <w:tcPr>
            <w:tcW w:w="3194" w:type="dxa"/>
          </w:tcPr>
          <w:p>
            <w:pPr>
              <w:pStyle w:val="TableParagraph"/>
              <w:spacing w:before="57"/>
              <w:ind w:left="1320"/>
              <w:rPr>
                <w:rFonts w:ascii="Times New Roman"/>
                <w:sz w:val="31"/>
              </w:rPr>
            </w:pPr>
            <w:r>
              <w:rPr>
                <w:rFonts w:ascii="Times New Roman"/>
                <w:sz w:val="31"/>
              </w:rPr>
              <w:t>31.92</w:t>
            </w:r>
          </w:p>
        </w:tc>
      </w:tr>
      <w:tr>
        <w:tblPrEx>
          <w:tblW w:w="0" w:type="auto"/>
          <w:jc w:val="left"/>
          <w:tblInd w:w="601" w:type="dxa"/>
          <w:tblLayout w:type="fixed"/>
          <w:tblCellMar>
            <w:top w:w="0" w:type="dxa"/>
            <w:left w:w="0" w:type="dxa"/>
            <w:bottom w:w="0" w:type="dxa"/>
            <w:right w:w="0" w:type="dxa"/>
          </w:tblCellMar>
          <w:tblLook w:val="01E0"/>
        </w:tblPrEx>
        <w:trPr>
          <w:trHeight w:val="467"/>
          <w:jc w:val="left"/>
        </w:trPr>
        <w:tc>
          <w:tcPr>
            <w:tcW w:w="3047" w:type="dxa"/>
          </w:tcPr>
          <w:p>
            <w:pPr>
              <w:pStyle w:val="TableParagraph"/>
              <w:spacing w:before="36"/>
              <w:ind w:left="50"/>
              <w:rPr>
                <w:rFonts w:ascii="黑体" w:eastAsia="黑体" w:hint="eastAsia"/>
                <w:sz w:val="31"/>
              </w:rPr>
            </w:pPr>
            <w:r>
              <w:rPr>
                <w:rFonts w:ascii="黑体" w:eastAsia="黑体" w:hint="eastAsia"/>
                <w:sz w:val="31"/>
              </w:rPr>
              <w:t>蒸气</w:t>
            </w:r>
          </w:p>
        </w:tc>
        <w:tc>
          <w:tcPr>
            <w:tcW w:w="1516" w:type="dxa"/>
          </w:tcPr>
          <w:p>
            <w:pPr>
              <w:pStyle w:val="TableParagraph"/>
              <w:rPr>
                <w:rFonts w:ascii="Times New Roman"/>
                <w:sz w:val="34"/>
              </w:rPr>
            </w:pPr>
          </w:p>
        </w:tc>
        <w:tc>
          <w:tcPr>
            <w:tcW w:w="3194" w:type="dxa"/>
          </w:tcPr>
          <w:p>
            <w:pPr>
              <w:pStyle w:val="TableParagraph"/>
              <w:spacing w:before="57"/>
              <w:ind w:left="1320"/>
              <w:rPr>
                <w:rFonts w:ascii="Times New Roman"/>
                <w:sz w:val="31"/>
              </w:rPr>
            </w:pPr>
            <w:r>
              <w:rPr>
                <w:rFonts w:ascii="Times New Roman"/>
                <w:sz w:val="31"/>
              </w:rPr>
              <w:t>17.77</w:t>
            </w:r>
          </w:p>
        </w:tc>
      </w:tr>
      <w:tr>
        <w:tblPrEx>
          <w:tblW w:w="0" w:type="auto"/>
          <w:jc w:val="left"/>
          <w:tblInd w:w="601" w:type="dxa"/>
          <w:tblLayout w:type="fixed"/>
          <w:tblCellMar>
            <w:top w:w="0" w:type="dxa"/>
            <w:left w:w="0" w:type="dxa"/>
            <w:bottom w:w="0" w:type="dxa"/>
            <w:right w:w="0" w:type="dxa"/>
          </w:tblCellMar>
          <w:tblLook w:val="01E0"/>
        </w:tblPrEx>
        <w:trPr>
          <w:trHeight w:val="402"/>
          <w:jc w:val="left"/>
        </w:trPr>
        <w:tc>
          <w:tcPr>
            <w:tcW w:w="3047" w:type="dxa"/>
          </w:tcPr>
          <w:p>
            <w:pPr>
              <w:pStyle w:val="TableParagraph"/>
              <w:spacing w:before="36" w:line="346" w:lineRule="exact"/>
              <w:ind w:left="50"/>
              <w:rPr>
                <w:rFonts w:ascii="黑体" w:eastAsia="黑体" w:hint="eastAsia"/>
                <w:sz w:val="31"/>
              </w:rPr>
            </w:pPr>
            <w:r>
              <w:rPr>
                <w:rFonts w:ascii="黑体" w:eastAsia="黑体" w:hint="eastAsia"/>
                <w:sz w:val="31"/>
              </w:rPr>
              <w:t>合计</w:t>
            </w:r>
          </w:p>
        </w:tc>
        <w:tc>
          <w:tcPr>
            <w:tcW w:w="1516" w:type="dxa"/>
          </w:tcPr>
          <w:p>
            <w:pPr>
              <w:pStyle w:val="TableParagraph"/>
              <w:rPr>
                <w:rFonts w:ascii="Times New Roman"/>
                <w:sz w:val="30"/>
              </w:rPr>
            </w:pPr>
          </w:p>
        </w:tc>
        <w:tc>
          <w:tcPr>
            <w:tcW w:w="3194" w:type="dxa"/>
          </w:tcPr>
          <w:p>
            <w:pPr>
              <w:pStyle w:val="TableParagraph"/>
              <w:spacing w:before="57" w:line="325" w:lineRule="exact"/>
              <w:ind w:left="1320"/>
              <w:rPr>
                <w:rFonts w:ascii="Times New Roman"/>
                <w:sz w:val="31"/>
              </w:rPr>
            </w:pPr>
            <w:r>
              <w:rPr>
                <w:rFonts w:ascii="Times New Roman"/>
                <w:sz w:val="31"/>
              </w:rPr>
              <w:t>574.45</w:t>
            </w:r>
          </w:p>
        </w:tc>
      </w:tr>
    </w:tbl>
    <w:p>
      <w:pPr>
        <w:pStyle w:val="BodyText"/>
        <w:spacing w:before="3"/>
        <w:rPr>
          <w:sz w:val="2"/>
        </w:rPr>
      </w:pPr>
    </w:p>
    <w:p>
      <w:pPr>
        <w:pStyle w:val="BodyText"/>
        <w:spacing w:line="79" w:lineRule="exact"/>
        <w:ind w:left="460"/>
        <w:rPr>
          <w:sz w:val="7"/>
        </w:rPr>
      </w:pPr>
      <w:r>
        <w:rPr>
          <w:position w:val="-1"/>
          <w:sz w:val="7"/>
        </w:rPr>
        <w:drawing>
          <wp:inline distT="0" distB="0" distL="0" distR="0">
            <wp:extent cx="7132224" cy="50673"/>
            <wp:effectExtent l="0" t="0" r="0" b="0"/>
            <wp:docPr id="79"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28.png"/>
                    <pic:cNvPicPr/>
                  </pic:nvPicPr>
                  <pic:blipFill>
                    <a:blip xmlns:r="http://schemas.openxmlformats.org/officeDocument/2006/relationships" r:embed="rId17" cstate="print"/>
                    <a:stretch>
                      <a:fillRect/>
                    </a:stretch>
                  </pic:blipFill>
                  <pic:spPr>
                    <a:xfrm>
                      <a:off x="0" y="0"/>
                      <a:ext cx="7132224" cy="50673"/>
                    </a:xfrm>
                    <a:prstGeom prst="rect">
                      <a:avLst/>
                    </a:prstGeom>
                  </pic:spPr>
                </pic:pic>
              </a:graphicData>
            </a:graphic>
          </wp:inline>
        </w:drawing>
      </w:r>
    </w:p>
    <w:p>
      <w:pPr>
        <w:spacing w:before="108" w:line="232" w:lineRule="auto"/>
        <w:ind w:left="644" w:right="2295" w:firstLine="0"/>
        <w:jc w:val="left"/>
        <w:rPr>
          <w:sz w:val="36"/>
        </w:rPr>
      </w:pPr>
      <w:r>
        <w:rPr>
          <w:rFonts w:ascii="黑体" w:eastAsia="黑体" w:hint="eastAsia"/>
          <w:sz w:val="27"/>
        </w:rPr>
        <w:t xml:space="preserve">其中油渣作为锅炉的燃料，酸性水直接去含硫污水汽提单元，常顶油，减压油和重加氢油进入 </w:t>
      </w:r>
      <w:r>
        <w:rPr>
          <w:rFonts w:ascii="Times New Roman" w:eastAsia="Times New Roman"/>
          <w:sz w:val="27"/>
        </w:rPr>
        <w:t xml:space="preserve">TSTAR </w:t>
      </w:r>
      <w:r>
        <w:rPr>
          <w:rFonts w:ascii="黑体" w:eastAsia="黑体" w:hint="eastAsia"/>
          <w:sz w:val="27"/>
        </w:rPr>
        <w:t>加氢单元，低压气和中压气和常压塔气进入轻烃回收装置</w:t>
      </w:r>
      <w:r>
        <w:rPr>
          <w:position w:val="8"/>
          <w:sz w:val="36"/>
        </w:rPr>
        <w:t>。</w:t>
      </w:r>
    </w:p>
    <w:p>
      <w:pPr>
        <w:pStyle w:val="ListParagraph"/>
        <w:numPr>
          <w:ilvl w:val="2"/>
          <w:numId w:val="17"/>
        </w:numPr>
        <w:tabs>
          <w:tab w:val="left" w:pos="1454"/>
        </w:tabs>
        <w:spacing w:before="376" w:after="0" w:line="240" w:lineRule="auto"/>
        <w:ind w:left="1453" w:right="0" w:hanging="810"/>
        <w:jc w:val="left"/>
        <w:rPr>
          <w:rFonts w:ascii="Times New Roman" w:eastAsia="Times New Roman"/>
          <w:sz w:val="36"/>
        </w:rPr>
      </w:pPr>
      <w:r>
        <w:rPr>
          <w:rFonts w:ascii="黑体" w:eastAsia="黑体" w:hint="eastAsia"/>
          <w:spacing w:val="-30"/>
          <w:sz w:val="36"/>
        </w:rPr>
        <w:t xml:space="preserve">采用 </w:t>
      </w:r>
      <w:r>
        <w:rPr>
          <w:rFonts w:ascii="Times New Roman" w:eastAsia="Times New Roman"/>
          <w:sz w:val="36"/>
        </w:rPr>
        <w:t>T-star</w:t>
      </w:r>
      <w:r>
        <w:rPr>
          <w:rFonts w:ascii="Times New Roman" w:eastAsia="Times New Roman"/>
          <w:spacing w:val="-35"/>
          <w:sz w:val="36"/>
        </w:rPr>
        <w:t xml:space="preserve"> </w:t>
      </w:r>
      <w:r>
        <w:rPr>
          <w:rFonts w:ascii="黑体" w:eastAsia="黑体" w:hint="eastAsia"/>
          <w:sz w:val="36"/>
        </w:rPr>
        <w:t>工艺对液化粗油进行精制</w:t>
      </w:r>
    </w:p>
    <w:p>
      <w:pPr>
        <w:pStyle w:val="BodyText"/>
        <w:spacing w:before="152" w:line="316" w:lineRule="auto"/>
        <w:ind w:left="644" w:right="2208" w:firstLine="719"/>
        <w:jc w:val="both"/>
      </w:pPr>
      <w:r>
        <w:rPr>
          <w:rFonts w:ascii="Times New Roman" w:eastAsia="Times New Roman"/>
        </w:rPr>
        <w:t xml:space="preserve">T-Star </w:t>
      </w:r>
      <w:r>
        <w:rPr>
          <w:spacing w:val="-12"/>
        </w:rPr>
        <w:t>工艺是沸腾床缓和加氢裂化工艺，借助液体流速使具有一定</w:t>
      </w:r>
      <w:r>
        <w:t>粒度的催化剂处于全返混状态，并保持一定的界面，使氢气、催化剂和原料充分接触而完成加氢反应的过程。该工艺具有原料适应性广、操作灵活、产品选择性高、质量稳定、运转连续、更换催化剂无需停工等特点。</w:t>
      </w:r>
    </w:p>
    <w:p>
      <w:pPr>
        <w:pStyle w:val="BodyText"/>
        <w:spacing w:line="459" w:lineRule="exact"/>
        <w:ind w:left="1363"/>
        <w:jc w:val="both"/>
      </w:pPr>
      <w:r>
        <w:t xml:space="preserve">一期工程共 </w:t>
      </w:r>
      <w:r>
        <w:rPr>
          <w:rFonts w:ascii="Times New Roman" w:eastAsia="Times New Roman" w:hAnsi="Times New Roman"/>
        </w:rPr>
        <w:t xml:space="preserve">3 </w:t>
      </w:r>
      <w:r>
        <w:t xml:space="preserve">套 </w:t>
      </w:r>
      <w:r>
        <w:rPr>
          <w:rFonts w:ascii="Times New Roman" w:eastAsia="Times New Roman" w:hAnsi="Times New Roman"/>
        </w:rPr>
        <w:t xml:space="preserve">1×300 </w:t>
      </w:r>
      <w:r>
        <w:t xml:space="preserve">万 </w:t>
      </w:r>
      <w:r>
        <w:rPr>
          <w:rFonts w:ascii="Times New Roman" w:eastAsia="Times New Roman" w:hAnsi="Times New Roman"/>
        </w:rPr>
        <w:t>t/</w:t>
      </w:r>
      <w:r>
        <w:t>年装置，</w:t>
      </w:r>
    </w:p>
    <w:p>
      <w:pPr>
        <w:spacing w:after="0" w:line="459" w:lineRule="exact"/>
        <w:jc w:val="both"/>
        <w:sectPr>
          <w:type w:val="continuous"/>
          <w:pgSz w:w="15480" w:h="21860"/>
          <w:pgMar w:top="2080" w:right="0" w:bottom="280" w:left="1740" w:header="708" w:footer="708"/>
          <w:pgNumType w:start="35"/>
          <w:cols w:space="708"/>
        </w:sectPr>
      </w:pPr>
    </w:p>
    <w:tbl>
      <w:tblPr>
        <w:tblStyle w:val="TableNormal6"/>
        <w:tblW w:w="0" w:type="auto"/>
        <w:jc w:val="left"/>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945"/>
        <w:gridCol w:w="4775"/>
        <w:gridCol w:w="2407"/>
      </w:tblGrid>
      <w:tr>
        <w:tblPrEx>
          <w:tblW w:w="0" w:type="auto"/>
          <w:jc w:val="left"/>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34"/>
          <w:jc w:val="left"/>
        </w:trPr>
        <w:tc>
          <w:tcPr>
            <w:tcW w:w="2945" w:type="dxa"/>
          </w:tcPr>
          <w:p>
            <w:pPr>
              <w:pStyle w:val="TableParagraph"/>
              <w:spacing w:before="10"/>
              <w:rPr>
                <w:rFonts w:ascii="宋体"/>
                <w:sz w:val="39"/>
              </w:rPr>
            </w:pPr>
          </w:p>
          <w:p>
            <w:pPr>
              <w:pStyle w:val="TableParagraph"/>
              <w:ind w:left="50"/>
              <w:rPr>
                <w:rFonts w:ascii="黑体" w:eastAsia="黑体" w:hint="eastAsia"/>
                <w:sz w:val="31"/>
              </w:rPr>
            </w:pPr>
            <w:r>
              <w:rPr>
                <w:rFonts w:ascii="黑体" w:eastAsia="黑体" w:hint="eastAsia"/>
                <w:sz w:val="31"/>
              </w:rPr>
              <w:t>原料</w:t>
            </w:r>
          </w:p>
        </w:tc>
        <w:tc>
          <w:tcPr>
            <w:tcW w:w="4775" w:type="dxa"/>
          </w:tcPr>
          <w:p>
            <w:pPr>
              <w:pStyle w:val="TableParagraph"/>
              <w:spacing w:line="396" w:lineRule="exact"/>
              <w:ind w:left="918" w:right="595"/>
              <w:jc w:val="center"/>
              <w:rPr>
                <w:rFonts w:ascii="黑体" w:eastAsia="黑体" w:hint="eastAsia"/>
                <w:sz w:val="31"/>
              </w:rPr>
            </w:pPr>
            <w:r>
              <w:rPr>
                <w:rFonts w:ascii="黑体" w:eastAsia="黑体" w:hint="eastAsia"/>
                <w:sz w:val="31"/>
              </w:rPr>
              <w:t xml:space="preserve">表 </w:t>
            </w:r>
            <w:r>
              <w:rPr>
                <w:sz w:val="31"/>
              </w:rPr>
              <w:t>3-13 T-star</w:t>
            </w:r>
            <w:r>
              <w:rPr>
                <w:rFonts w:ascii="黑体" w:eastAsia="黑体" w:hint="eastAsia"/>
                <w:sz w:val="31"/>
              </w:rPr>
              <w:t>装置进料</w:t>
            </w:r>
          </w:p>
          <w:p>
            <w:pPr>
              <w:pStyle w:val="TableParagraph"/>
              <w:spacing w:before="114"/>
              <w:ind w:left="907" w:right="595"/>
              <w:jc w:val="center"/>
              <w:rPr>
                <w:rFonts w:ascii="黑体" w:eastAsia="黑体" w:hint="eastAsia"/>
                <w:sz w:val="31"/>
              </w:rPr>
            </w:pPr>
            <w:r>
              <w:rPr>
                <w:rFonts w:ascii="黑体" w:eastAsia="黑体" w:hint="eastAsia"/>
                <w:sz w:val="31"/>
              </w:rPr>
              <w:t>数量 万吨</w:t>
            </w:r>
            <w:r>
              <w:rPr>
                <w:sz w:val="31"/>
              </w:rPr>
              <w:t>/</w:t>
            </w:r>
            <w:r>
              <w:rPr>
                <w:rFonts w:ascii="黑体" w:eastAsia="黑体" w:hint="eastAsia"/>
                <w:sz w:val="31"/>
              </w:rPr>
              <w:t>年</w:t>
            </w:r>
          </w:p>
        </w:tc>
        <w:tc>
          <w:tcPr>
            <w:tcW w:w="2407" w:type="dxa"/>
          </w:tcPr>
          <w:p>
            <w:pPr>
              <w:pStyle w:val="TableParagraph"/>
              <w:spacing w:before="10"/>
              <w:rPr>
                <w:rFonts w:ascii="宋体"/>
                <w:sz w:val="39"/>
              </w:rPr>
            </w:pPr>
          </w:p>
          <w:p>
            <w:pPr>
              <w:pStyle w:val="TableParagraph"/>
              <w:tabs>
                <w:tab w:val="left" w:pos="2040"/>
              </w:tabs>
              <w:ind w:left="617"/>
              <w:jc w:val="center"/>
              <w:rPr>
                <w:sz w:val="31"/>
              </w:rPr>
            </w:pPr>
            <w:r>
              <w:rPr>
                <w:rFonts w:ascii="黑体" w:eastAsia="黑体" w:hint="eastAsia"/>
                <w:sz w:val="31"/>
              </w:rPr>
              <w:t>百分比</w:t>
              <w:tab/>
            </w:r>
            <w:r>
              <w:rPr>
                <w:sz w:val="31"/>
              </w:rPr>
              <w:t>%</w:t>
            </w:r>
          </w:p>
        </w:tc>
      </w:tr>
      <w:tr>
        <w:tblPrEx>
          <w:tblW w:w="0" w:type="auto"/>
          <w:jc w:val="left"/>
          <w:tblInd w:w="601" w:type="dxa"/>
          <w:tblLayout w:type="fixed"/>
          <w:tblCellMar>
            <w:top w:w="0" w:type="dxa"/>
            <w:left w:w="0" w:type="dxa"/>
            <w:bottom w:w="0" w:type="dxa"/>
            <w:right w:w="0" w:type="dxa"/>
          </w:tblCellMar>
          <w:tblLook w:val="01E0"/>
        </w:tblPrEx>
        <w:trPr>
          <w:trHeight w:val="480"/>
          <w:jc w:val="left"/>
        </w:trPr>
        <w:tc>
          <w:tcPr>
            <w:tcW w:w="2945" w:type="dxa"/>
          </w:tcPr>
          <w:p>
            <w:pPr>
              <w:pStyle w:val="TableParagraph"/>
              <w:spacing w:before="69" w:line="392" w:lineRule="exact"/>
              <w:ind w:left="50"/>
              <w:rPr>
                <w:rFonts w:ascii="黑体" w:eastAsia="黑体" w:hint="eastAsia"/>
                <w:sz w:val="31"/>
              </w:rPr>
            </w:pPr>
            <w:r>
              <w:rPr>
                <w:rFonts w:ascii="黑体" w:eastAsia="黑体" w:hint="eastAsia"/>
                <w:sz w:val="31"/>
              </w:rPr>
              <w:t>氢气</w:t>
            </w:r>
          </w:p>
        </w:tc>
        <w:tc>
          <w:tcPr>
            <w:tcW w:w="4775" w:type="dxa"/>
          </w:tcPr>
          <w:p>
            <w:pPr>
              <w:pStyle w:val="TableParagraph"/>
              <w:spacing w:before="88"/>
              <w:ind w:left="918" w:right="588"/>
              <w:jc w:val="center"/>
              <w:rPr>
                <w:sz w:val="31"/>
              </w:rPr>
            </w:pPr>
            <w:r>
              <w:rPr>
                <w:sz w:val="31"/>
              </w:rPr>
              <w:t>11.509</w:t>
            </w:r>
          </w:p>
        </w:tc>
        <w:tc>
          <w:tcPr>
            <w:tcW w:w="2407" w:type="dxa"/>
          </w:tcPr>
          <w:p>
            <w:pPr>
              <w:pStyle w:val="TableParagraph"/>
              <w:spacing w:before="88"/>
              <w:ind w:left="617"/>
              <w:jc w:val="center"/>
              <w:rPr>
                <w:sz w:val="31"/>
              </w:rPr>
            </w:pPr>
            <w:r>
              <w:rPr>
                <w:sz w:val="31"/>
              </w:rPr>
              <w:t>1.17</w:t>
            </w:r>
          </w:p>
        </w:tc>
      </w:tr>
      <w:tr>
        <w:tblPrEx>
          <w:tblW w:w="0" w:type="auto"/>
          <w:jc w:val="left"/>
          <w:tblInd w:w="601" w:type="dxa"/>
          <w:tblLayout w:type="fixed"/>
          <w:tblCellMar>
            <w:top w:w="0" w:type="dxa"/>
            <w:left w:w="0" w:type="dxa"/>
            <w:bottom w:w="0" w:type="dxa"/>
            <w:right w:w="0" w:type="dxa"/>
          </w:tblCellMar>
          <w:tblLook w:val="01E0"/>
        </w:tblPrEx>
        <w:trPr>
          <w:trHeight w:val="467"/>
          <w:jc w:val="left"/>
        </w:trPr>
        <w:tc>
          <w:tcPr>
            <w:tcW w:w="2945" w:type="dxa"/>
          </w:tcPr>
          <w:p>
            <w:pPr>
              <w:pStyle w:val="TableParagraph"/>
              <w:spacing w:before="56" w:line="392" w:lineRule="exact"/>
              <w:ind w:left="50"/>
              <w:rPr>
                <w:rFonts w:ascii="黑体" w:eastAsia="黑体" w:hint="eastAsia"/>
                <w:sz w:val="31"/>
              </w:rPr>
            </w:pPr>
            <w:r>
              <w:rPr>
                <w:rFonts w:ascii="黑体" w:eastAsia="黑体" w:hint="eastAsia"/>
                <w:sz w:val="31"/>
              </w:rPr>
              <w:t>产品油</w:t>
            </w:r>
          </w:p>
        </w:tc>
        <w:tc>
          <w:tcPr>
            <w:tcW w:w="4775" w:type="dxa"/>
          </w:tcPr>
          <w:p>
            <w:pPr>
              <w:pStyle w:val="TableParagraph"/>
              <w:spacing w:before="75"/>
              <w:ind w:left="910" w:right="595"/>
              <w:jc w:val="center"/>
              <w:rPr>
                <w:sz w:val="31"/>
              </w:rPr>
            </w:pPr>
            <w:r>
              <w:rPr>
                <w:sz w:val="31"/>
              </w:rPr>
              <w:t>985.45</w:t>
            </w:r>
          </w:p>
        </w:tc>
        <w:tc>
          <w:tcPr>
            <w:tcW w:w="2407" w:type="dxa"/>
          </w:tcPr>
          <w:p>
            <w:pPr>
              <w:pStyle w:val="TableParagraph"/>
              <w:spacing w:before="75"/>
              <w:ind w:left="617"/>
              <w:jc w:val="center"/>
              <w:rPr>
                <w:sz w:val="31"/>
              </w:rPr>
            </w:pPr>
            <w:r>
              <w:rPr>
                <w:sz w:val="31"/>
              </w:rPr>
              <w:t>89.43</w:t>
            </w:r>
          </w:p>
        </w:tc>
      </w:tr>
      <w:tr>
        <w:tblPrEx>
          <w:tblW w:w="0" w:type="auto"/>
          <w:jc w:val="left"/>
          <w:tblInd w:w="601" w:type="dxa"/>
          <w:tblLayout w:type="fixed"/>
          <w:tblCellMar>
            <w:top w:w="0" w:type="dxa"/>
            <w:left w:w="0" w:type="dxa"/>
            <w:bottom w:w="0" w:type="dxa"/>
            <w:right w:w="0" w:type="dxa"/>
          </w:tblCellMar>
          <w:tblLook w:val="01E0"/>
        </w:tblPrEx>
        <w:trPr>
          <w:trHeight w:val="467"/>
          <w:jc w:val="left"/>
        </w:trPr>
        <w:tc>
          <w:tcPr>
            <w:tcW w:w="2945" w:type="dxa"/>
          </w:tcPr>
          <w:p>
            <w:pPr>
              <w:pStyle w:val="TableParagraph"/>
              <w:spacing w:before="56" w:line="392" w:lineRule="exact"/>
              <w:ind w:left="50"/>
              <w:rPr>
                <w:rFonts w:ascii="黑体" w:eastAsia="黑体" w:hint="eastAsia"/>
                <w:sz w:val="31"/>
              </w:rPr>
            </w:pPr>
            <w:r>
              <w:rPr>
                <w:rFonts w:ascii="黑体" w:eastAsia="黑体" w:hint="eastAsia"/>
                <w:sz w:val="31"/>
              </w:rPr>
              <w:t>注硫</w:t>
            </w:r>
          </w:p>
        </w:tc>
        <w:tc>
          <w:tcPr>
            <w:tcW w:w="4775" w:type="dxa"/>
          </w:tcPr>
          <w:p>
            <w:pPr>
              <w:pStyle w:val="TableParagraph"/>
              <w:spacing w:before="75"/>
              <w:ind w:left="910" w:right="595"/>
              <w:jc w:val="center"/>
              <w:rPr>
                <w:sz w:val="31"/>
              </w:rPr>
            </w:pPr>
            <w:r>
              <w:rPr>
                <w:sz w:val="31"/>
              </w:rPr>
              <w:t>0.882</w:t>
            </w:r>
          </w:p>
        </w:tc>
        <w:tc>
          <w:tcPr>
            <w:tcW w:w="2407" w:type="dxa"/>
          </w:tcPr>
          <w:p>
            <w:pPr>
              <w:pStyle w:val="TableParagraph"/>
              <w:spacing w:before="75"/>
              <w:ind w:left="617"/>
              <w:jc w:val="center"/>
              <w:rPr>
                <w:sz w:val="31"/>
              </w:rPr>
            </w:pPr>
            <w:r>
              <w:rPr>
                <w:sz w:val="31"/>
              </w:rPr>
              <w:t>0.09</w:t>
            </w:r>
          </w:p>
        </w:tc>
      </w:tr>
      <w:tr>
        <w:tblPrEx>
          <w:tblW w:w="0" w:type="auto"/>
          <w:jc w:val="left"/>
          <w:tblInd w:w="601" w:type="dxa"/>
          <w:tblLayout w:type="fixed"/>
          <w:tblCellMar>
            <w:top w:w="0" w:type="dxa"/>
            <w:left w:w="0" w:type="dxa"/>
            <w:bottom w:w="0" w:type="dxa"/>
            <w:right w:w="0" w:type="dxa"/>
          </w:tblCellMar>
          <w:tblLook w:val="01E0"/>
        </w:tblPrEx>
        <w:trPr>
          <w:trHeight w:val="467"/>
          <w:jc w:val="left"/>
        </w:trPr>
        <w:tc>
          <w:tcPr>
            <w:tcW w:w="2945" w:type="dxa"/>
          </w:tcPr>
          <w:p>
            <w:pPr>
              <w:pStyle w:val="TableParagraph"/>
              <w:spacing w:before="56" w:line="392" w:lineRule="exact"/>
              <w:ind w:left="50"/>
              <w:rPr>
                <w:rFonts w:ascii="黑体" w:eastAsia="黑体" w:hint="eastAsia"/>
                <w:sz w:val="31"/>
              </w:rPr>
            </w:pPr>
            <w:r>
              <w:rPr>
                <w:rFonts w:ascii="黑体" w:eastAsia="黑体" w:hint="eastAsia"/>
                <w:sz w:val="31"/>
              </w:rPr>
              <w:t>注水、蒸气</w:t>
            </w:r>
          </w:p>
        </w:tc>
        <w:tc>
          <w:tcPr>
            <w:tcW w:w="4775" w:type="dxa"/>
          </w:tcPr>
          <w:p>
            <w:pPr>
              <w:pStyle w:val="TableParagraph"/>
              <w:spacing w:before="75"/>
              <w:ind w:left="910" w:right="595"/>
              <w:jc w:val="center"/>
              <w:rPr>
                <w:sz w:val="31"/>
              </w:rPr>
            </w:pPr>
            <w:r>
              <w:rPr>
                <w:sz w:val="31"/>
              </w:rPr>
              <w:t>72.99</w:t>
            </w:r>
          </w:p>
        </w:tc>
        <w:tc>
          <w:tcPr>
            <w:tcW w:w="2407" w:type="dxa"/>
          </w:tcPr>
          <w:p>
            <w:pPr>
              <w:pStyle w:val="TableParagraph"/>
              <w:spacing w:before="75"/>
              <w:ind w:left="617"/>
              <w:jc w:val="center"/>
              <w:rPr>
                <w:sz w:val="31"/>
              </w:rPr>
            </w:pPr>
            <w:r>
              <w:rPr>
                <w:sz w:val="31"/>
              </w:rPr>
              <w:t>7.41</w:t>
            </w:r>
          </w:p>
        </w:tc>
      </w:tr>
      <w:tr>
        <w:tblPrEx>
          <w:tblW w:w="0" w:type="auto"/>
          <w:jc w:val="left"/>
          <w:tblInd w:w="601" w:type="dxa"/>
          <w:tblLayout w:type="fixed"/>
          <w:tblCellMar>
            <w:top w:w="0" w:type="dxa"/>
            <w:left w:w="0" w:type="dxa"/>
            <w:bottom w:w="0" w:type="dxa"/>
            <w:right w:w="0" w:type="dxa"/>
          </w:tblCellMar>
          <w:tblLook w:val="01E0"/>
        </w:tblPrEx>
        <w:trPr>
          <w:trHeight w:val="468"/>
          <w:jc w:val="left"/>
        </w:trPr>
        <w:tc>
          <w:tcPr>
            <w:tcW w:w="2945" w:type="dxa"/>
          </w:tcPr>
          <w:p>
            <w:pPr>
              <w:pStyle w:val="TableParagraph"/>
              <w:spacing w:before="56" w:line="392" w:lineRule="exact"/>
              <w:ind w:left="50"/>
              <w:rPr>
                <w:rFonts w:ascii="黑体" w:eastAsia="黑体" w:hint="eastAsia"/>
                <w:sz w:val="31"/>
              </w:rPr>
            </w:pPr>
            <w:r>
              <w:rPr>
                <w:rFonts w:ascii="黑体" w:eastAsia="黑体" w:hint="eastAsia"/>
                <w:sz w:val="31"/>
              </w:rPr>
              <w:t>冲洗、密封油</w:t>
            </w:r>
          </w:p>
        </w:tc>
        <w:tc>
          <w:tcPr>
            <w:tcW w:w="4775" w:type="dxa"/>
          </w:tcPr>
          <w:p>
            <w:pPr>
              <w:pStyle w:val="TableParagraph"/>
              <w:spacing w:before="75"/>
              <w:ind w:left="910" w:right="595"/>
              <w:jc w:val="center"/>
              <w:rPr>
                <w:sz w:val="31"/>
              </w:rPr>
            </w:pPr>
            <w:r>
              <w:rPr>
                <w:sz w:val="31"/>
              </w:rPr>
              <w:t>18.68</w:t>
            </w:r>
          </w:p>
        </w:tc>
        <w:tc>
          <w:tcPr>
            <w:tcW w:w="2407" w:type="dxa"/>
          </w:tcPr>
          <w:p>
            <w:pPr>
              <w:pStyle w:val="TableParagraph"/>
              <w:spacing w:before="75"/>
              <w:ind w:left="617"/>
              <w:jc w:val="center"/>
              <w:rPr>
                <w:sz w:val="31"/>
              </w:rPr>
            </w:pPr>
            <w:r>
              <w:rPr>
                <w:sz w:val="31"/>
              </w:rPr>
              <w:t>1.90</w:t>
            </w:r>
          </w:p>
        </w:tc>
      </w:tr>
      <w:tr>
        <w:tblPrEx>
          <w:tblW w:w="0" w:type="auto"/>
          <w:jc w:val="left"/>
          <w:tblInd w:w="601" w:type="dxa"/>
          <w:tblLayout w:type="fixed"/>
          <w:tblCellMar>
            <w:top w:w="0" w:type="dxa"/>
            <w:left w:w="0" w:type="dxa"/>
            <w:bottom w:w="0" w:type="dxa"/>
            <w:right w:w="0" w:type="dxa"/>
          </w:tblCellMar>
          <w:tblLook w:val="01E0"/>
        </w:tblPrEx>
        <w:trPr>
          <w:trHeight w:val="607"/>
          <w:jc w:val="left"/>
        </w:trPr>
        <w:tc>
          <w:tcPr>
            <w:tcW w:w="2945" w:type="dxa"/>
          </w:tcPr>
          <w:p>
            <w:pPr>
              <w:pStyle w:val="TableParagraph"/>
              <w:spacing w:before="56"/>
              <w:ind w:left="50"/>
              <w:rPr>
                <w:rFonts w:ascii="黑体" w:eastAsia="黑体" w:hint="eastAsia"/>
                <w:sz w:val="31"/>
              </w:rPr>
            </w:pPr>
            <w:r>
              <w:rPr>
                <w:rFonts w:ascii="黑体" w:eastAsia="黑体" w:hint="eastAsia"/>
                <w:sz w:val="31"/>
              </w:rPr>
              <w:t>合计</w:t>
            </w:r>
          </w:p>
        </w:tc>
        <w:tc>
          <w:tcPr>
            <w:tcW w:w="4775" w:type="dxa"/>
          </w:tcPr>
          <w:p>
            <w:pPr>
              <w:pStyle w:val="TableParagraph"/>
              <w:spacing w:before="75"/>
              <w:ind w:left="910" w:right="595"/>
              <w:jc w:val="center"/>
              <w:rPr>
                <w:sz w:val="31"/>
              </w:rPr>
            </w:pPr>
            <w:r>
              <w:rPr>
                <w:sz w:val="31"/>
              </w:rPr>
              <w:t>1088.51</w:t>
            </w:r>
          </w:p>
        </w:tc>
        <w:tc>
          <w:tcPr>
            <w:tcW w:w="2407" w:type="dxa"/>
          </w:tcPr>
          <w:p>
            <w:pPr>
              <w:pStyle w:val="TableParagraph"/>
              <w:spacing w:before="75"/>
              <w:ind w:left="617"/>
              <w:jc w:val="center"/>
              <w:rPr>
                <w:sz w:val="31"/>
              </w:rPr>
            </w:pPr>
            <w:r>
              <w:rPr>
                <w:sz w:val="31"/>
              </w:rPr>
              <w:t>100</w:t>
            </w:r>
          </w:p>
        </w:tc>
      </w:tr>
      <w:tr>
        <w:tblPrEx>
          <w:tblW w:w="0" w:type="auto"/>
          <w:jc w:val="left"/>
          <w:tblInd w:w="601" w:type="dxa"/>
          <w:tblLayout w:type="fixed"/>
          <w:tblCellMar>
            <w:top w:w="0" w:type="dxa"/>
            <w:left w:w="0" w:type="dxa"/>
            <w:bottom w:w="0" w:type="dxa"/>
            <w:right w:w="0" w:type="dxa"/>
          </w:tblCellMar>
          <w:tblLook w:val="01E0"/>
        </w:tblPrEx>
        <w:trPr>
          <w:trHeight w:val="630"/>
          <w:jc w:val="left"/>
        </w:trPr>
        <w:tc>
          <w:tcPr>
            <w:tcW w:w="2945" w:type="dxa"/>
          </w:tcPr>
          <w:p>
            <w:pPr>
              <w:pStyle w:val="TableParagraph"/>
              <w:rPr>
                <w:rFonts w:ascii="Times New Roman"/>
                <w:sz w:val="30"/>
              </w:rPr>
            </w:pPr>
          </w:p>
        </w:tc>
        <w:tc>
          <w:tcPr>
            <w:tcW w:w="4775" w:type="dxa"/>
          </w:tcPr>
          <w:p>
            <w:pPr>
              <w:pStyle w:val="TableParagraph"/>
              <w:spacing w:before="195"/>
              <w:ind w:left="918" w:right="595"/>
              <w:jc w:val="center"/>
              <w:rPr>
                <w:rFonts w:ascii="黑体" w:eastAsia="黑体" w:hint="eastAsia"/>
                <w:sz w:val="31"/>
              </w:rPr>
            </w:pPr>
            <w:r>
              <w:rPr>
                <w:rFonts w:ascii="黑体" w:eastAsia="黑体" w:hint="eastAsia"/>
                <w:sz w:val="31"/>
              </w:rPr>
              <w:t xml:space="preserve">表 </w:t>
            </w:r>
            <w:r>
              <w:rPr>
                <w:sz w:val="31"/>
              </w:rPr>
              <w:t>3-14 T-star</w:t>
            </w:r>
            <w:r>
              <w:rPr>
                <w:rFonts w:ascii="黑体" w:eastAsia="黑体" w:hint="eastAsia"/>
                <w:sz w:val="31"/>
              </w:rPr>
              <w:t>装置产品</w:t>
            </w:r>
          </w:p>
        </w:tc>
        <w:tc>
          <w:tcPr>
            <w:tcW w:w="2407" w:type="dxa"/>
          </w:tcPr>
          <w:p>
            <w:pPr>
              <w:pStyle w:val="TableParagraph"/>
              <w:rPr>
                <w:rFonts w:ascii="Times New Roman"/>
                <w:sz w:val="30"/>
              </w:rPr>
            </w:pPr>
          </w:p>
        </w:tc>
      </w:tr>
      <w:tr>
        <w:tblPrEx>
          <w:tblW w:w="0" w:type="auto"/>
          <w:jc w:val="left"/>
          <w:tblInd w:w="601" w:type="dxa"/>
          <w:tblLayout w:type="fixed"/>
          <w:tblCellMar>
            <w:top w:w="0" w:type="dxa"/>
            <w:left w:w="0" w:type="dxa"/>
            <w:bottom w:w="0" w:type="dxa"/>
            <w:right w:w="0" w:type="dxa"/>
          </w:tblCellMar>
          <w:tblLook w:val="01E0"/>
        </w:tblPrEx>
        <w:trPr>
          <w:trHeight w:val="502"/>
          <w:jc w:val="left"/>
        </w:trPr>
        <w:tc>
          <w:tcPr>
            <w:tcW w:w="2945" w:type="dxa"/>
          </w:tcPr>
          <w:p>
            <w:pPr>
              <w:pStyle w:val="TableParagraph"/>
              <w:spacing w:before="79"/>
              <w:ind w:left="50"/>
              <w:rPr>
                <w:rFonts w:ascii="黑体" w:eastAsia="黑体" w:hint="eastAsia"/>
                <w:sz w:val="31"/>
              </w:rPr>
            </w:pPr>
            <w:r>
              <w:rPr>
                <w:rFonts w:ascii="黑体" w:eastAsia="黑体" w:hint="eastAsia"/>
                <w:sz w:val="31"/>
              </w:rPr>
              <w:t>产品</w:t>
            </w:r>
          </w:p>
        </w:tc>
        <w:tc>
          <w:tcPr>
            <w:tcW w:w="4775" w:type="dxa"/>
          </w:tcPr>
          <w:p>
            <w:pPr>
              <w:pStyle w:val="TableParagraph"/>
              <w:spacing w:before="79"/>
              <w:ind w:left="878" w:right="595"/>
              <w:jc w:val="center"/>
              <w:rPr>
                <w:rFonts w:ascii="黑体" w:eastAsia="黑体" w:hint="eastAsia"/>
                <w:sz w:val="31"/>
              </w:rPr>
            </w:pPr>
            <w:r>
              <w:rPr>
                <w:rFonts w:ascii="黑体" w:eastAsia="黑体" w:hint="eastAsia"/>
                <w:sz w:val="31"/>
              </w:rPr>
              <w:t>数量 万吨</w:t>
            </w:r>
            <w:r>
              <w:rPr>
                <w:sz w:val="31"/>
              </w:rPr>
              <w:t>/</w:t>
            </w:r>
            <w:r>
              <w:rPr>
                <w:rFonts w:ascii="黑体" w:eastAsia="黑体" w:hint="eastAsia"/>
                <w:sz w:val="31"/>
              </w:rPr>
              <w:t>年</w:t>
            </w:r>
          </w:p>
        </w:tc>
        <w:tc>
          <w:tcPr>
            <w:tcW w:w="2407" w:type="dxa"/>
          </w:tcPr>
          <w:p>
            <w:pPr>
              <w:pStyle w:val="TableParagraph"/>
              <w:spacing w:before="79"/>
              <w:ind w:left="611"/>
              <w:jc w:val="center"/>
              <w:rPr>
                <w:sz w:val="31"/>
              </w:rPr>
            </w:pPr>
            <w:r>
              <w:rPr>
                <w:rFonts w:ascii="黑体" w:eastAsia="黑体" w:hint="eastAsia"/>
                <w:sz w:val="31"/>
              </w:rPr>
              <w:t xml:space="preserve">百分比 </w:t>
            </w:r>
            <w:r>
              <w:rPr>
                <w:sz w:val="31"/>
              </w:rPr>
              <w:t>%</w:t>
            </w:r>
          </w:p>
        </w:tc>
      </w:tr>
      <w:tr>
        <w:tblPrEx>
          <w:tblW w:w="0" w:type="auto"/>
          <w:jc w:val="left"/>
          <w:tblInd w:w="601" w:type="dxa"/>
          <w:tblLayout w:type="fixed"/>
          <w:tblCellMar>
            <w:top w:w="0" w:type="dxa"/>
            <w:left w:w="0" w:type="dxa"/>
            <w:bottom w:w="0" w:type="dxa"/>
            <w:right w:w="0" w:type="dxa"/>
          </w:tblCellMar>
          <w:tblLook w:val="01E0"/>
        </w:tblPrEx>
        <w:trPr>
          <w:trHeight w:val="478"/>
          <w:jc w:val="left"/>
        </w:trPr>
        <w:tc>
          <w:tcPr>
            <w:tcW w:w="2945" w:type="dxa"/>
          </w:tcPr>
          <w:p>
            <w:pPr>
              <w:pStyle w:val="TableParagraph"/>
              <w:spacing w:before="67" w:line="392" w:lineRule="exact"/>
              <w:ind w:left="50"/>
              <w:rPr>
                <w:rFonts w:ascii="黑体" w:eastAsia="黑体" w:hint="eastAsia"/>
                <w:sz w:val="31"/>
              </w:rPr>
            </w:pPr>
            <w:r>
              <w:rPr>
                <w:rFonts w:ascii="黑体" w:eastAsia="黑体" w:hint="eastAsia"/>
                <w:sz w:val="31"/>
              </w:rPr>
              <w:t>高压排放氢</w:t>
            </w:r>
          </w:p>
        </w:tc>
        <w:tc>
          <w:tcPr>
            <w:tcW w:w="4775" w:type="dxa"/>
          </w:tcPr>
          <w:p>
            <w:pPr>
              <w:pStyle w:val="TableParagraph"/>
              <w:spacing w:before="86"/>
              <w:ind w:left="874" w:right="595"/>
              <w:jc w:val="center"/>
              <w:rPr>
                <w:sz w:val="31"/>
              </w:rPr>
            </w:pPr>
            <w:r>
              <w:rPr>
                <w:sz w:val="31"/>
              </w:rPr>
              <w:t>0.125</w:t>
            </w:r>
          </w:p>
        </w:tc>
        <w:tc>
          <w:tcPr>
            <w:tcW w:w="2407" w:type="dxa"/>
          </w:tcPr>
          <w:p>
            <w:pPr>
              <w:pStyle w:val="TableParagraph"/>
              <w:spacing w:before="86"/>
              <w:ind w:left="610"/>
              <w:jc w:val="center"/>
              <w:rPr>
                <w:sz w:val="31"/>
              </w:rPr>
            </w:pPr>
            <w:r>
              <w:rPr>
                <w:sz w:val="31"/>
              </w:rPr>
              <w:t>0.013</w:t>
            </w:r>
          </w:p>
        </w:tc>
      </w:tr>
      <w:tr>
        <w:tblPrEx>
          <w:tblW w:w="0" w:type="auto"/>
          <w:jc w:val="left"/>
          <w:tblInd w:w="601" w:type="dxa"/>
          <w:tblLayout w:type="fixed"/>
          <w:tblCellMar>
            <w:top w:w="0" w:type="dxa"/>
            <w:left w:w="0" w:type="dxa"/>
            <w:bottom w:w="0" w:type="dxa"/>
            <w:right w:w="0" w:type="dxa"/>
          </w:tblCellMar>
          <w:tblLook w:val="01E0"/>
        </w:tblPrEx>
        <w:trPr>
          <w:trHeight w:val="467"/>
          <w:jc w:val="left"/>
        </w:trPr>
        <w:tc>
          <w:tcPr>
            <w:tcW w:w="2945" w:type="dxa"/>
          </w:tcPr>
          <w:p>
            <w:pPr>
              <w:pStyle w:val="TableParagraph"/>
              <w:spacing w:before="56" w:line="392" w:lineRule="exact"/>
              <w:ind w:left="50"/>
              <w:rPr>
                <w:rFonts w:ascii="黑体" w:eastAsia="黑体" w:hint="eastAsia"/>
                <w:sz w:val="31"/>
              </w:rPr>
            </w:pPr>
            <w:r>
              <w:rPr>
                <w:rFonts w:ascii="黑体" w:eastAsia="黑体" w:hint="eastAsia"/>
                <w:sz w:val="31"/>
              </w:rPr>
              <w:t>冷低分气</w:t>
            </w:r>
          </w:p>
        </w:tc>
        <w:tc>
          <w:tcPr>
            <w:tcW w:w="4775" w:type="dxa"/>
          </w:tcPr>
          <w:p>
            <w:pPr>
              <w:pStyle w:val="TableParagraph"/>
              <w:spacing w:before="75"/>
              <w:ind w:left="874" w:right="595"/>
              <w:jc w:val="center"/>
              <w:rPr>
                <w:sz w:val="31"/>
              </w:rPr>
            </w:pPr>
            <w:r>
              <w:rPr>
                <w:sz w:val="31"/>
              </w:rPr>
              <w:t>4.064</w:t>
            </w:r>
          </w:p>
        </w:tc>
        <w:tc>
          <w:tcPr>
            <w:tcW w:w="2407" w:type="dxa"/>
          </w:tcPr>
          <w:p>
            <w:pPr>
              <w:pStyle w:val="TableParagraph"/>
              <w:spacing w:before="75"/>
              <w:ind w:left="610"/>
              <w:jc w:val="center"/>
              <w:rPr>
                <w:sz w:val="31"/>
              </w:rPr>
            </w:pPr>
            <w:r>
              <w:rPr>
                <w:sz w:val="31"/>
              </w:rPr>
              <w:t>0.413</w:t>
            </w:r>
          </w:p>
        </w:tc>
      </w:tr>
      <w:tr>
        <w:tblPrEx>
          <w:tblW w:w="0" w:type="auto"/>
          <w:jc w:val="left"/>
          <w:tblInd w:w="601" w:type="dxa"/>
          <w:tblLayout w:type="fixed"/>
          <w:tblCellMar>
            <w:top w:w="0" w:type="dxa"/>
            <w:left w:w="0" w:type="dxa"/>
            <w:bottom w:w="0" w:type="dxa"/>
            <w:right w:w="0" w:type="dxa"/>
          </w:tblCellMar>
          <w:tblLook w:val="01E0"/>
        </w:tblPrEx>
        <w:trPr>
          <w:trHeight w:val="468"/>
          <w:jc w:val="left"/>
        </w:trPr>
        <w:tc>
          <w:tcPr>
            <w:tcW w:w="2945" w:type="dxa"/>
          </w:tcPr>
          <w:p>
            <w:pPr>
              <w:pStyle w:val="TableParagraph"/>
              <w:spacing w:before="56" w:line="392" w:lineRule="exact"/>
              <w:ind w:left="50"/>
              <w:rPr>
                <w:rFonts w:ascii="黑体" w:eastAsia="黑体" w:hint="eastAsia"/>
                <w:sz w:val="31"/>
              </w:rPr>
            </w:pPr>
            <w:r>
              <w:rPr>
                <w:rFonts w:ascii="黑体" w:eastAsia="黑体" w:hint="eastAsia"/>
                <w:sz w:val="31"/>
              </w:rPr>
              <w:t>分馏塔顶气</w:t>
            </w:r>
          </w:p>
        </w:tc>
        <w:tc>
          <w:tcPr>
            <w:tcW w:w="4775" w:type="dxa"/>
          </w:tcPr>
          <w:p>
            <w:pPr>
              <w:pStyle w:val="TableParagraph"/>
              <w:spacing w:before="75"/>
              <w:ind w:left="874" w:right="595"/>
              <w:jc w:val="center"/>
              <w:rPr>
                <w:sz w:val="31"/>
              </w:rPr>
            </w:pPr>
            <w:r>
              <w:rPr>
                <w:sz w:val="31"/>
              </w:rPr>
              <w:t>6.232</w:t>
            </w:r>
          </w:p>
        </w:tc>
        <w:tc>
          <w:tcPr>
            <w:tcW w:w="2407" w:type="dxa"/>
          </w:tcPr>
          <w:p>
            <w:pPr>
              <w:pStyle w:val="TableParagraph"/>
              <w:spacing w:before="75"/>
              <w:ind w:left="610"/>
              <w:jc w:val="center"/>
              <w:rPr>
                <w:sz w:val="31"/>
              </w:rPr>
            </w:pPr>
            <w:r>
              <w:rPr>
                <w:sz w:val="31"/>
              </w:rPr>
              <w:t>0.633</w:t>
            </w:r>
          </w:p>
        </w:tc>
      </w:tr>
      <w:tr>
        <w:tblPrEx>
          <w:tblW w:w="0" w:type="auto"/>
          <w:jc w:val="left"/>
          <w:tblInd w:w="601" w:type="dxa"/>
          <w:tblLayout w:type="fixed"/>
          <w:tblCellMar>
            <w:top w:w="0" w:type="dxa"/>
            <w:left w:w="0" w:type="dxa"/>
            <w:bottom w:w="0" w:type="dxa"/>
            <w:right w:w="0" w:type="dxa"/>
          </w:tblCellMar>
          <w:tblLook w:val="01E0"/>
        </w:tblPrEx>
        <w:trPr>
          <w:trHeight w:val="467"/>
          <w:jc w:val="left"/>
        </w:trPr>
        <w:tc>
          <w:tcPr>
            <w:tcW w:w="2945" w:type="dxa"/>
          </w:tcPr>
          <w:p>
            <w:pPr>
              <w:pStyle w:val="TableParagraph"/>
              <w:spacing w:before="56" w:line="392" w:lineRule="exact"/>
              <w:ind w:left="50"/>
              <w:rPr>
                <w:rFonts w:ascii="黑体" w:eastAsia="黑体" w:hint="eastAsia"/>
                <w:sz w:val="31"/>
              </w:rPr>
            </w:pPr>
            <w:r>
              <w:rPr>
                <w:rFonts w:ascii="黑体" w:eastAsia="黑体" w:hint="eastAsia"/>
                <w:sz w:val="31"/>
              </w:rPr>
              <w:t>石脑油</w:t>
            </w:r>
          </w:p>
        </w:tc>
        <w:tc>
          <w:tcPr>
            <w:tcW w:w="4775" w:type="dxa"/>
          </w:tcPr>
          <w:p>
            <w:pPr>
              <w:pStyle w:val="TableParagraph"/>
              <w:spacing w:before="75"/>
              <w:ind w:left="874" w:right="595"/>
              <w:jc w:val="center"/>
              <w:rPr>
                <w:sz w:val="31"/>
              </w:rPr>
            </w:pPr>
            <w:r>
              <w:rPr>
                <w:sz w:val="31"/>
              </w:rPr>
              <w:t>8.551</w:t>
            </w:r>
          </w:p>
        </w:tc>
        <w:tc>
          <w:tcPr>
            <w:tcW w:w="2407" w:type="dxa"/>
          </w:tcPr>
          <w:p>
            <w:pPr>
              <w:pStyle w:val="TableParagraph"/>
              <w:spacing w:before="75"/>
              <w:ind w:left="610"/>
              <w:jc w:val="center"/>
              <w:rPr>
                <w:sz w:val="31"/>
              </w:rPr>
            </w:pPr>
            <w:r>
              <w:rPr>
                <w:sz w:val="31"/>
              </w:rPr>
              <w:t>0.869</w:t>
            </w:r>
          </w:p>
        </w:tc>
      </w:tr>
      <w:tr>
        <w:tblPrEx>
          <w:tblW w:w="0" w:type="auto"/>
          <w:jc w:val="left"/>
          <w:tblInd w:w="601" w:type="dxa"/>
          <w:tblLayout w:type="fixed"/>
          <w:tblCellMar>
            <w:top w:w="0" w:type="dxa"/>
            <w:left w:w="0" w:type="dxa"/>
            <w:bottom w:w="0" w:type="dxa"/>
            <w:right w:w="0" w:type="dxa"/>
          </w:tblCellMar>
          <w:tblLook w:val="01E0"/>
        </w:tblPrEx>
        <w:trPr>
          <w:trHeight w:val="467"/>
          <w:jc w:val="left"/>
        </w:trPr>
        <w:tc>
          <w:tcPr>
            <w:tcW w:w="2945" w:type="dxa"/>
          </w:tcPr>
          <w:p>
            <w:pPr>
              <w:pStyle w:val="TableParagraph"/>
              <w:spacing w:before="56" w:line="392" w:lineRule="exact"/>
              <w:ind w:left="50"/>
              <w:rPr>
                <w:rFonts w:ascii="黑体" w:eastAsia="黑体" w:hint="eastAsia"/>
                <w:sz w:val="31"/>
              </w:rPr>
            </w:pPr>
            <w:r>
              <w:rPr>
                <w:rFonts w:ascii="黑体" w:eastAsia="黑体" w:hint="eastAsia"/>
                <w:sz w:val="31"/>
              </w:rPr>
              <w:t>柴油</w:t>
            </w:r>
          </w:p>
        </w:tc>
        <w:tc>
          <w:tcPr>
            <w:tcW w:w="4775" w:type="dxa"/>
          </w:tcPr>
          <w:p>
            <w:pPr>
              <w:pStyle w:val="TableParagraph"/>
              <w:spacing w:before="75"/>
              <w:ind w:left="874" w:right="595"/>
              <w:jc w:val="center"/>
              <w:rPr>
                <w:sz w:val="31"/>
              </w:rPr>
            </w:pPr>
            <w:r>
              <w:rPr>
                <w:sz w:val="31"/>
              </w:rPr>
              <w:t>276.13</w:t>
            </w:r>
          </w:p>
        </w:tc>
        <w:tc>
          <w:tcPr>
            <w:tcW w:w="2407" w:type="dxa"/>
          </w:tcPr>
          <w:p>
            <w:pPr>
              <w:pStyle w:val="TableParagraph"/>
              <w:spacing w:before="75"/>
              <w:ind w:left="610"/>
              <w:jc w:val="center"/>
              <w:rPr>
                <w:sz w:val="31"/>
              </w:rPr>
            </w:pPr>
            <w:r>
              <w:rPr>
                <w:sz w:val="31"/>
              </w:rPr>
              <w:t>28.049</w:t>
            </w:r>
          </w:p>
        </w:tc>
      </w:tr>
      <w:tr>
        <w:tblPrEx>
          <w:tblW w:w="0" w:type="auto"/>
          <w:jc w:val="left"/>
          <w:tblInd w:w="601" w:type="dxa"/>
          <w:tblLayout w:type="fixed"/>
          <w:tblCellMar>
            <w:top w:w="0" w:type="dxa"/>
            <w:left w:w="0" w:type="dxa"/>
            <w:bottom w:w="0" w:type="dxa"/>
            <w:right w:w="0" w:type="dxa"/>
          </w:tblCellMar>
          <w:tblLook w:val="01E0"/>
        </w:tblPrEx>
        <w:trPr>
          <w:trHeight w:val="467"/>
          <w:jc w:val="left"/>
        </w:trPr>
        <w:tc>
          <w:tcPr>
            <w:tcW w:w="2945" w:type="dxa"/>
          </w:tcPr>
          <w:p>
            <w:pPr>
              <w:pStyle w:val="TableParagraph"/>
              <w:spacing w:before="56" w:line="392" w:lineRule="exact"/>
              <w:ind w:left="50"/>
              <w:rPr>
                <w:rFonts w:ascii="黑体" w:eastAsia="黑体" w:hint="eastAsia"/>
                <w:sz w:val="31"/>
              </w:rPr>
            </w:pPr>
            <w:r>
              <w:rPr>
                <w:rFonts w:ascii="黑体" w:eastAsia="黑体" w:hint="eastAsia"/>
                <w:sz w:val="31"/>
              </w:rPr>
              <w:t>酸性水</w:t>
            </w:r>
          </w:p>
        </w:tc>
        <w:tc>
          <w:tcPr>
            <w:tcW w:w="4775" w:type="dxa"/>
          </w:tcPr>
          <w:p>
            <w:pPr>
              <w:pStyle w:val="TableParagraph"/>
              <w:spacing w:before="75"/>
              <w:ind w:left="874" w:right="595"/>
              <w:jc w:val="center"/>
              <w:rPr>
                <w:sz w:val="31"/>
              </w:rPr>
            </w:pPr>
            <w:r>
              <w:rPr>
                <w:sz w:val="31"/>
              </w:rPr>
              <w:t>79.09</w:t>
            </w:r>
          </w:p>
        </w:tc>
        <w:tc>
          <w:tcPr>
            <w:tcW w:w="2407" w:type="dxa"/>
          </w:tcPr>
          <w:p>
            <w:pPr>
              <w:pStyle w:val="TableParagraph"/>
              <w:spacing w:before="75"/>
              <w:ind w:left="610"/>
              <w:jc w:val="center"/>
              <w:rPr>
                <w:sz w:val="31"/>
              </w:rPr>
            </w:pPr>
            <w:r>
              <w:rPr>
                <w:sz w:val="31"/>
              </w:rPr>
              <w:t>8.034</w:t>
            </w:r>
          </w:p>
        </w:tc>
      </w:tr>
      <w:tr>
        <w:tblPrEx>
          <w:tblW w:w="0" w:type="auto"/>
          <w:jc w:val="left"/>
          <w:tblInd w:w="601" w:type="dxa"/>
          <w:tblLayout w:type="fixed"/>
          <w:tblCellMar>
            <w:top w:w="0" w:type="dxa"/>
            <w:left w:w="0" w:type="dxa"/>
            <w:bottom w:w="0" w:type="dxa"/>
            <w:right w:w="0" w:type="dxa"/>
          </w:tblCellMar>
          <w:tblLook w:val="01E0"/>
        </w:tblPrEx>
        <w:trPr>
          <w:trHeight w:val="468"/>
          <w:jc w:val="left"/>
        </w:trPr>
        <w:tc>
          <w:tcPr>
            <w:tcW w:w="2945" w:type="dxa"/>
          </w:tcPr>
          <w:p>
            <w:pPr>
              <w:pStyle w:val="TableParagraph"/>
              <w:spacing w:before="56" w:line="392" w:lineRule="exact"/>
              <w:ind w:left="50"/>
              <w:rPr>
                <w:rFonts w:ascii="黑体" w:eastAsia="黑体" w:hint="eastAsia"/>
                <w:sz w:val="31"/>
              </w:rPr>
            </w:pPr>
            <w:r>
              <w:rPr>
                <w:rFonts w:ascii="黑体" w:eastAsia="黑体" w:hint="eastAsia"/>
                <w:sz w:val="31"/>
              </w:rPr>
              <w:t>冲洗、密封油</w:t>
            </w:r>
          </w:p>
        </w:tc>
        <w:tc>
          <w:tcPr>
            <w:tcW w:w="4775" w:type="dxa"/>
          </w:tcPr>
          <w:p>
            <w:pPr>
              <w:pStyle w:val="TableParagraph"/>
              <w:spacing w:before="75"/>
              <w:ind w:left="874" w:right="595"/>
              <w:jc w:val="center"/>
              <w:rPr>
                <w:sz w:val="31"/>
              </w:rPr>
            </w:pPr>
            <w:r>
              <w:rPr>
                <w:sz w:val="31"/>
              </w:rPr>
              <w:t>84.176</w:t>
            </w:r>
          </w:p>
        </w:tc>
        <w:tc>
          <w:tcPr>
            <w:tcW w:w="2407" w:type="dxa"/>
          </w:tcPr>
          <w:p>
            <w:pPr>
              <w:pStyle w:val="TableParagraph"/>
              <w:spacing w:before="75"/>
              <w:ind w:left="610"/>
              <w:jc w:val="center"/>
              <w:rPr>
                <w:sz w:val="31"/>
              </w:rPr>
            </w:pPr>
            <w:r>
              <w:rPr>
                <w:sz w:val="31"/>
              </w:rPr>
              <w:t>8.551</w:t>
            </w:r>
          </w:p>
        </w:tc>
      </w:tr>
      <w:tr>
        <w:tblPrEx>
          <w:tblW w:w="0" w:type="auto"/>
          <w:jc w:val="left"/>
          <w:tblInd w:w="601" w:type="dxa"/>
          <w:tblLayout w:type="fixed"/>
          <w:tblCellMar>
            <w:top w:w="0" w:type="dxa"/>
            <w:left w:w="0" w:type="dxa"/>
            <w:bottom w:w="0" w:type="dxa"/>
            <w:right w:w="0" w:type="dxa"/>
          </w:tblCellMar>
          <w:tblLook w:val="01E0"/>
        </w:tblPrEx>
        <w:trPr>
          <w:trHeight w:val="468"/>
          <w:jc w:val="left"/>
        </w:trPr>
        <w:tc>
          <w:tcPr>
            <w:tcW w:w="2945" w:type="dxa"/>
          </w:tcPr>
          <w:p>
            <w:pPr>
              <w:pStyle w:val="TableParagraph"/>
              <w:spacing w:before="56" w:line="392" w:lineRule="exact"/>
              <w:ind w:left="50"/>
              <w:rPr>
                <w:rFonts w:ascii="黑体" w:eastAsia="黑体" w:hint="eastAsia"/>
                <w:sz w:val="31"/>
              </w:rPr>
            </w:pPr>
            <w:r>
              <w:rPr>
                <w:rFonts w:ascii="黑体" w:eastAsia="黑体" w:hint="eastAsia"/>
                <w:sz w:val="31"/>
              </w:rPr>
              <w:t>循环溶剂</w:t>
            </w:r>
          </w:p>
        </w:tc>
        <w:tc>
          <w:tcPr>
            <w:tcW w:w="4775" w:type="dxa"/>
          </w:tcPr>
          <w:p>
            <w:pPr>
              <w:pStyle w:val="TableParagraph"/>
              <w:spacing w:before="76"/>
              <w:ind w:left="874" w:right="595"/>
              <w:jc w:val="center"/>
              <w:rPr>
                <w:sz w:val="31"/>
              </w:rPr>
            </w:pPr>
            <w:r>
              <w:rPr>
                <w:sz w:val="31"/>
              </w:rPr>
              <w:t>630.13</w:t>
            </w:r>
          </w:p>
        </w:tc>
        <w:tc>
          <w:tcPr>
            <w:tcW w:w="2407" w:type="dxa"/>
          </w:tcPr>
          <w:p>
            <w:pPr>
              <w:pStyle w:val="TableParagraph"/>
              <w:spacing w:before="76"/>
              <w:ind w:left="610"/>
              <w:jc w:val="center"/>
              <w:rPr>
                <w:sz w:val="31"/>
              </w:rPr>
            </w:pPr>
            <w:r>
              <w:rPr>
                <w:sz w:val="31"/>
              </w:rPr>
              <w:t>64.01</w:t>
            </w:r>
          </w:p>
        </w:tc>
      </w:tr>
      <w:tr>
        <w:tblPrEx>
          <w:tblW w:w="0" w:type="auto"/>
          <w:jc w:val="left"/>
          <w:tblInd w:w="601" w:type="dxa"/>
          <w:tblLayout w:type="fixed"/>
          <w:tblCellMar>
            <w:top w:w="0" w:type="dxa"/>
            <w:left w:w="0" w:type="dxa"/>
            <w:bottom w:w="0" w:type="dxa"/>
            <w:right w:w="0" w:type="dxa"/>
          </w:tblCellMar>
          <w:tblLook w:val="01E0"/>
        </w:tblPrEx>
        <w:trPr>
          <w:trHeight w:val="467"/>
          <w:jc w:val="left"/>
        </w:trPr>
        <w:tc>
          <w:tcPr>
            <w:tcW w:w="2945" w:type="dxa"/>
          </w:tcPr>
          <w:p>
            <w:pPr>
              <w:pStyle w:val="TableParagraph"/>
              <w:spacing w:before="56" w:line="392" w:lineRule="exact"/>
              <w:ind w:left="50"/>
              <w:rPr>
                <w:rFonts w:ascii="黑体" w:eastAsia="黑体" w:hint="eastAsia"/>
                <w:sz w:val="31"/>
              </w:rPr>
            </w:pPr>
            <w:r>
              <w:rPr>
                <w:rFonts w:ascii="黑体" w:eastAsia="黑体" w:hint="eastAsia"/>
                <w:sz w:val="31"/>
              </w:rPr>
              <w:t>损失</w:t>
            </w:r>
          </w:p>
        </w:tc>
        <w:tc>
          <w:tcPr>
            <w:tcW w:w="4775" w:type="dxa"/>
          </w:tcPr>
          <w:p>
            <w:pPr>
              <w:pStyle w:val="TableParagraph"/>
              <w:spacing w:before="75"/>
              <w:ind w:left="874" w:right="595"/>
              <w:jc w:val="center"/>
              <w:rPr>
                <w:sz w:val="31"/>
              </w:rPr>
            </w:pPr>
            <w:r>
              <w:rPr>
                <w:sz w:val="31"/>
              </w:rPr>
              <w:t>0.01</w:t>
            </w:r>
          </w:p>
        </w:tc>
        <w:tc>
          <w:tcPr>
            <w:tcW w:w="2407" w:type="dxa"/>
          </w:tcPr>
          <w:p>
            <w:pPr>
              <w:pStyle w:val="TableParagraph"/>
              <w:spacing w:before="75"/>
              <w:ind w:left="607"/>
              <w:jc w:val="center"/>
              <w:rPr>
                <w:sz w:val="31"/>
              </w:rPr>
            </w:pPr>
            <w:r>
              <w:rPr>
                <w:w w:val="102"/>
                <w:sz w:val="31"/>
              </w:rPr>
              <w:t>-</w:t>
            </w:r>
          </w:p>
        </w:tc>
      </w:tr>
      <w:tr>
        <w:tblPrEx>
          <w:tblW w:w="0" w:type="auto"/>
          <w:jc w:val="left"/>
          <w:tblInd w:w="601" w:type="dxa"/>
          <w:tblLayout w:type="fixed"/>
          <w:tblCellMar>
            <w:top w:w="0" w:type="dxa"/>
            <w:left w:w="0" w:type="dxa"/>
            <w:bottom w:w="0" w:type="dxa"/>
            <w:right w:w="0" w:type="dxa"/>
          </w:tblCellMar>
          <w:tblLook w:val="01E0"/>
        </w:tblPrEx>
        <w:trPr>
          <w:trHeight w:val="410"/>
          <w:jc w:val="left"/>
        </w:trPr>
        <w:tc>
          <w:tcPr>
            <w:tcW w:w="2945" w:type="dxa"/>
          </w:tcPr>
          <w:p>
            <w:pPr>
              <w:pStyle w:val="TableParagraph"/>
              <w:spacing w:before="56" w:line="335" w:lineRule="exact"/>
              <w:ind w:left="50"/>
              <w:rPr>
                <w:rFonts w:ascii="黑体" w:eastAsia="黑体" w:hint="eastAsia"/>
                <w:sz w:val="31"/>
              </w:rPr>
            </w:pPr>
            <w:r>
              <w:rPr>
                <w:rFonts w:ascii="黑体" w:eastAsia="黑体" w:hint="eastAsia"/>
                <w:sz w:val="31"/>
              </w:rPr>
              <w:t>合计</w:t>
            </w:r>
          </w:p>
        </w:tc>
        <w:tc>
          <w:tcPr>
            <w:tcW w:w="4775" w:type="dxa"/>
          </w:tcPr>
          <w:p>
            <w:pPr>
              <w:pStyle w:val="TableParagraph"/>
              <w:spacing w:before="75" w:line="315" w:lineRule="exact"/>
              <w:ind w:left="882" w:right="595"/>
              <w:jc w:val="center"/>
              <w:rPr>
                <w:sz w:val="31"/>
              </w:rPr>
            </w:pPr>
            <w:r>
              <w:rPr>
                <w:sz w:val="31"/>
              </w:rPr>
              <w:t>1088.51</w:t>
            </w:r>
          </w:p>
        </w:tc>
        <w:tc>
          <w:tcPr>
            <w:tcW w:w="2407" w:type="dxa"/>
          </w:tcPr>
          <w:p>
            <w:pPr>
              <w:pStyle w:val="TableParagraph"/>
              <w:spacing w:before="75" w:line="315" w:lineRule="exact"/>
              <w:ind w:left="610"/>
              <w:jc w:val="center"/>
              <w:rPr>
                <w:sz w:val="31"/>
              </w:rPr>
            </w:pPr>
            <w:r>
              <w:rPr>
                <w:sz w:val="31"/>
              </w:rPr>
              <w:t>100</w:t>
            </w:r>
          </w:p>
        </w:tc>
      </w:tr>
    </w:tbl>
    <w:p>
      <w:pPr>
        <w:pStyle w:val="BodyText"/>
        <w:spacing w:before="1"/>
        <w:rPr>
          <w:sz w:val="3"/>
        </w:rPr>
      </w:pPr>
      <w:r>
        <w:drawing>
          <wp:anchor distT="0" distB="0" distL="0" distR="0" simplePos="0" relativeHeight="251692032" behindDoc="1" locked="0" layoutInCell="1" allowOverlap="1">
            <wp:simplePos x="0" y="0"/>
            <wp:positionH relativeFrom="page">
              <wp:posOffset>1409700</wp:posOffset>
            </wp:positionH>
            <wp:positionV relativeFrom="page">
              <wp:posOffset>1879599</wp:posOffset>
            </wp:positionV>
            <wp:extent cx="7119556" cy="38004"/>
            <wp:effectExtent l="0" t="0" r="0" b="0"/>
            <wp:wrapNone/>
            <wp:docPr id="8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26.png"/>
                    <pic:cNvPicPr/>
                  </pic:nvPicPr>
                  <pic:blipFill>
                    <a:blip xmlns:r="http://schemas.openxmlformats.org/officeDocument/2006/relationships" r:embed="rId12" cstate="print"/>
                    <a:stretch>
                      <a:fillRect/>
                    </a:stretch>
                  </pic:blipFill>
                  <pic:spPr>
                    <a:xfrm>
                      <a:off x="0" y="0"/>
                      <a:ext cx="7119556" cy="38004"/>
                    </a:xfrm>
                    <a:prstGeom prst="rect">
                      <a:avLst/>
                    </a:prstGeom>
                  </pic:spPr>
                </pic:pic>
              </a:graphicData>
            </a:graphic>
          </wp:anchor>
        </w:drawing>
      </w:r>
      <w:r>
        <w:drawing>
          <wp:anchor distT="0" distB="0" distL="0" distR="0" simplePos="0" relativeHeight="251693056" behindDoc="1" locked="0" layoutInCell="1" allowOverlap="1">
            <wp:simplePos x="0" y="0"/>
            <wp:positionH relativeFrom="page">
              <wp:posOffset>1397000</wp:posOffset>
            </wp:positionH>
            <wp:positionV relativeFrom="page">
              <wp:posOffset>3682999</wp:posOffset>
            </wp:positionV>
            <wp:extent cx="7132224" cy="50673"/>
            <wp:effectExtent l="0" t="0" r="0" b="0"/>
            <wp:wrapNone/>
            <wp:docPr id="83"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29.png"/>
                    <pic:cNvPicPr/>
                  </pic:nvPicPr>
                  <pic:blipFill>
                    <a:blip xmlns:r="http://schemas.openxmlformats.org/officeDocument/2006/relationships" r:embed="rId14" cstate="print"/>
                    <a:stretch>
                      <a:fillRect/>
                    </a:stretch>
                  </pic:blipFill>
                  <pic:spPr>
                    <a:xfrm>
                      <a:off x="0" y="0"/>
                      <a:ext cx="7132224" cy="50673"/>
                    </a:xfrm>
                    <a:prstGeom prst="rect">
                      <a:avLst/>
                    </a:prstGeom>
                  </pic:spPr>
                </pic:pic>
              </a:graphicData>
            </a:graphic>
          </wp:anchor>
        </w:drawing>
      </w:r>
      <w:r>
        <w:drawing>
          <wp:anchor distT="0" distB="0" distL="0" distR="0" simplePos="0" relativeHeight="251694080" behindDoc="1" locked="0" layoutInCell="1" allowOverlap="1">
            <wp:simplePos x="0" y="0"/>
            <wp:positionH relativeFrom="page">
              <wp:posOffset>1409700</wp:posOffset>
            </wp:positionH>
            <wp:positionV relativeFrom="page">
              <wp:posOffset>4483099</wp:posOffset>
            </wp:positionV>
            <wp:extent cx="7119556" cy="38004"/>
            <wp:effectExtent l="0" t="0" r="0" b="0"/>
            <wp:wrapNone/>
            <wp:docPr id="8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26.png"/>
                    <pic:cNvPicPr/>
                  </pic:nvPicPr>
                  <pic:blipFill>
                    <a:blip xmlns:r="http://schemas.openxmlformats.org/officeDocument/2006/relationships" r:embed="rId12" cstate="print"/>
                    <a:stretch>
                      <a:fillRect/>
                    </a:stretch>
                  </pic:blipFill>
                  <pic:spPr>
                    <a:xfrm>
                      <a:off x="0" y="0"/>
                      <a:ext cx="7119556" cy="38004"/>
                    </a:xfrm>
                    <a:prstGeom prst="rect">
                      <a:avLst/>
                    </a:prstGeom>
                  </pic:spPr>
                </pic:pic>
              </a:graphicData>
            </a:graphic>
          </wp:anchor>
        </w:drawing>
      </w:r>
      <w:r>
        <w:drawing>
          <wp:anchor distT="0" distB="0" distL="0" distR="0" simplePos="0" relativeHeight="251695104" behindDoc="1" locked="0" layoutInCell="1" allowOverlap="1">
            <wp:simplePos x="0" y="0"/>
            <wp:positionH relativeFrom="page">
              <wp:posOffset>1409700</wp:posOffset>
            </wp:positionH>
            <wp:positionV relativeFrom="page">
              <wp:posOffset>4152899</wp:posOffset>
            </wp:positionV>
            <wp:extent cx="7119556" cy="50673"/>
            <wp:effectExtent l="0" t="0" r="0" b="0"/>
            <wp:wrapNone/>
            <wp:docPr id="8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30.png"/>
                    <pic:cNvPicPr/>
                  </pic:nvPicPr>
                  <pic:blipFill>
                    <a:blip xmlns:r="http://schemas.openxmlformats.org/officeDocument/2006/relationships" r:embed="rId16" cstate="print"/>
                    <a:stretch>
                      <a:fillRect/>
                    </a:stretch>
                  </pic:blipFill>
                  <pic:spPr>
                    <a:xfrm>
                      <a:off x="0" y="0"/>
                      <a:ext cx="7119556" cy="50673"/>
                    </a:xfrm>
                    <a:prstGeom prst="rect">
                      <a:avLst/>
                    </a:prstGeom>
                  </pic:spPr>
                </pic:pic>
              </a:graphicData>
            </a:graphic>
          </wp:anchor>
        </w:drawing>
      </w:r>
      <w:r>
        <w:drawing>
          <wp:anchor distT="0" distB="0" distL="0" distR="0" simplePos="0" relativeHeight="251696128" behindDoc="1" locked="0" layoutInCell="1" allowOverlap="1">
            <wp:simplePos x="0" y="0"/>
            <wp:positionH relativeFrom="page">
              <wp:posOffset>1409700</wp:posOffset>
            </wp:positionH>
            <wp:positionV relativeFrom="page">
              <wp:posOffset>1562099</wp:posOffset>
            </wp:positionV>
            <wp:extent cx="7119556" cy="50673"/>
            <wp:effectExtent l="0" t="0" r="0" b="0"/>
            <wp:wrapNone/>
            <wp:docPr id="8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31.png"/>
                    <pic:cNvPicPr/>
                  </pic:nvPicPr>
                  <pic:blipFill>
                    <a:blip xmlns:r="http://schemas.openxmlformats.org/officeDocument/2006/relationships" r:embed="rId13" cstate="print"/>
                    <a:stretch>
                      <a:fillRect/>
                    </a:stretch>
                  </pic:blipFill>
                  <pic:spPr>
                    <a:xfrm>
                      <a:off x="0" y="0"/>
                      <a:ext cx="7119556" cy="50673"/>
                    </a:xfrm>
                    <a:prstGeom prst="rect">
                      <a:avLst/>
                    </a:prstGeom>
                  </pic:spPr>
                </pic:pic>
              </a:graphicData>
            </a:graphic>
          </wp:anchor>
        </w:drawing>
      </w:r>
    </w:p>
    <w:p>
      <w:pPr>
        <w:pStyle w:val="BodyText"/>
        <w:spacing w:line="79" w:lineRule="exact"/>
        <w:ind w:left="460"/>
        <w:rPr>
          <w:sz w:val="7"/>
        </w:rPr>
      </w:pPr>
      <w:r>
        <w:rPr>
          <w:position w:val="-1"/>
          <w:sz w:val="7"/>
        </w:rPr>
        <w:drawing>
          <wp:inline distT="0" distB="0" distL="0" distR="0">
            <wp:extent cx="7132224" cy="50673"/>
            <wp:effectExtent l="0" t="0" r="0" b="0"/>
            <wp:docPr id="9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32.png"/>
                    <pic:cNvPicPr/>
                  </pic:nvPicPr>
                  <pic:blipFill>
                    <a:blip xmlns:r="http://schemas.openxmlformats.org/officeDocument/2006/relationships" r:embed="rId9" cstate="print"/>
                    <a:stretch>
                      <a:fillRect/>
                    </a:stretch>
                  </pic:blipFill>
                  <pic:spPr>
                    <a:xfrm>
                      <a:off x="0" y="0"/>
                      <a:ext cx="7132224" cy="50673"/>
                    </a:xfrm>
                    <a:prstGeom prst="rect">
                      <a:avLst/>
                    </a:prstGeom>
                  </pic:spPr>
                </pic:pic>
              </a:graphicData>
            </a:graphic>
          </wp:inline>
        </w:drawing>
      </w:r>
    </w:p>
    <w:p>
      <w:pPr>
        <w:spacing w:before="106" w:line="324" w:lineRule="auto"/>
        <w:ind w:left="644" w:right="2295" w:firstLine="0"/>
        <w:jc w:val="left"/>
        <w:rPr>
          <w:rFonts w:ascii="黑体" w:eastAsia="黑体" w:hint="eastAsia"/>
          <w:sz w:val="27"/>
        </w:rPr>
      </w:pPr>
      <w:r>
        <w:rPr>
          <w:rFonts w:ascii="黑体" w:eastAsia="黑体" w:hint="eastAsia"/>
          <w:sz w:val="27"/>
        </w:rPr>
        <w:t>产品中循环溶剂循环回煤液化及膜分离单元作为原料，柴油进入加氢改质单元进行后加工处理，石脑油馏分，高压排放氢，冷低分气和分馏塔顶气进入轻烃回收装置。</w:t>
      </w:r>
    </w:p>
    <w:p>
      <w:pPr>
        <w:pStyle w:val="BodyText"/>
        <w:spacing w:before="6"/>
        <w:rPr>
          <w:rFonts w:ascii="黑体"/>
          <w:sz w:val="22"/>
        </w:rPr>
      </w:pPr>
    </w:p>
    <w:p>
      <w:pPr>
        <w:pStyle w:val="ListParagraph"/>
        <w:numPr>
          <w:ilvl w:val="2"/>
          <w:numId w:val="17"/>
        </w:numPr>
        <w:tabs>
          <w:tab w:val="left" w:pos="1454"/>
        </w:tabs>
        <w:spacing w:before="0" w:after="0" w:line="240" w:lineRule="auto"/>
        <w:ind w:left="1453" w:right="0" w:hanging="810"/>
        <w:jc w:val="left"/>
        <w:rPr>
          <w:rFonts w:ascii="Arial" w:eastAsia="Arial"/>
          <w:sz w:val="36"/>
        </w:rPr>
      </w:pPr>
      <w:r>
        <w:rPr>
          <w:rFonts w:ascii="黑体" w:eastAsia="黑体" w:hint="eastAsia"/>
          <w:sz w:val="36"/>
        </w:rPr>
        <w:t>加氢改质单元</w:t>
      </w:r>
    </w:p>
    <w:p>
      <w:pPr>
        <w:pStyle w:val="BodyText"/>
        <w:spacing w:before="151" w:line="316" w:lineRule="auto"/>
        <w:ind w:left="644" w:right="2205" w:firstLine="719"/>
        <w:jc w:val="both"/>
      </w:pPr>
      <w:r>
        <w:rPr>
          <w:spacing w:val="-14"/>
        </w:rPr>
        <w:t xml:space="preserve">主要是把从 </w:t>
      </w:r>
      <w:r>
        <w:rPr>
          <w:rFonts w:ascii="Arial" w:eastAsia="Arial" w:hAnsi="Arial"/>
        </w:rPr>
        <w:t>T-Star</w:t>
      </w:r>
      <w:r>
        <w:rPr>
          <w:rFonts w:ascii="Arial" w:eastAsia="Arial" w:hAnsi="Arial"/>
          <w:spacing w:val="-29"/>
        </w:rPr>
        <w:t xml:space="preserve"> </w:t>
      </w:r>
      <w:r>
        <w:rPr>
          <w:spacing w:val="-1"/>
        </w:rPr>
        <w:t>装置的柴油馏分和轻烃回收装置的石脑油进行</w:t>
      </w:r>
      <w:r>
        <w:t>加氢精制，去除油品中的硫、氮、氧杂原子及金属杂质，另外对部分</w:t>
      </w:r>
      <w:r>
        <w:rPr>
          <w:spacing w:val="-3"/>
        </w:rPr>
        <w:t xml:space="preserve">芳烃进行加氢，改善油品的使用性能。一期工程为两套 </w:t>
      </w:r>
      <w:r>
        <w:rPr>
          <w:rFonts w:ascii="Arial" w:eastAsia="Arial" w:hAnsi="Arial"/>
        </w:rPr>
        <w:t>1×100</w:t>
      </w:r>
      <w:r>
        <w:rPr>
          <w:rFonts w:ascii="Arial" w:eastAsia="Arial" w:hAnsi="Arial"/>
          <w:spacing w:val="5"/>
        </w:rPr>
        <w:t xml:space="preserve"> </w:t>
      </w:r>
      <w:r>
        <w:rPr>
          <w:spacing w:val="-37"/>
        </w:rPr>
        <w:t xml:space="preserve">万 </w:t>
      </w:r>
      <w:r>
        <w:rPr>
          <w:rFonts w:ascii="Arial" w:eastAsia="Arial" w:hAnsi="Arial"/>
          <w:spacing w:val="2"/>
        </w:rPr>
        <w:t>t/</w:t>
      </w:r>
      <w:r>
        <w:rPr>
          <w:spacing w:val="-17"/>
        </w:rPr>
        <w:t>年</w:t>
      </w:r>
      <w:r>
        <w:t>装置。</w:t>
      </w:r>
    </w:p>
    <w:p>
      <w:pPr>
        <w:spacing w:after="0" w:line="316" w:lineRule="auto"/>
        <w:jc w:val="both"/>
        <w:sectPr>
          <w:pgSz w:w="15480" w:h="21860"/>
          <w:pgMar w:top="2040" w:right="0" w:bottom="280" w:left="1740" w:header="708" w:footer="708"/>
          <w:pgNumType w:start="36"/>
          <w:cols w:space="708"/>
        </w:sectPr>
      </w:pPr>
    </w:p>
    <w:tbl>
      <w:tblPr>
        <w:tblStyle w:val="TableNormal7"/>
        <w:tblW w:w="0" w:type="auto"/>
        <w:jc w:val="left"/>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93"/>
        <w:gridCol w:w="5366"/>
        <w:gridCol w:w="1876"/>
        <w:gridCol w:w="385"/>
      </w:tblGrid>
      <w:tr>
        <w:tblPrEx>
          <w:tblW w:w="0" w:type="auto"/>
          <w:jc w:val="left"/>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34"/>
          <w:jc w:val="left"/>
        </w:trPr>
        <w:tc>
          <w:tcPr>
            <w:tcW w:w="2493" w:type="dxa"/>
          </w:tcPr>
          <w:p>
            <w:pPr>
              <w:pStyle w:val="TableParagraph"/>
              <w:spacing w:before="10"/>
              <w:rPr>
                <w:rFonts w:ascii="宋体"/>
                <w:sz w:val="39"/>
              </w:rPr>
            </w:pPr>
          </w:p>
          <w:p>
            <w:pPr>
              <w:pStyle w:val="TableParagraph"/>
              <w:ind w:left="50"/>
              <w:rPr>
                <w:rFonts w:ascii="黑体" w:eastAsia="黑体" w:hint="eastAsia"/>
                <w:sz w:val="31"/>
              </w:rPr>
            </w:pPr>
            <w:r>
              <w:rPr>
                <w:rFonts w:ascii="黑体" w:eastAsia="黑体" w:hint="eastAsia"/>
                <w:sz w:val="31"/>
              </w:rPr>
              <w:t>原料</w:t>
            </w:r>
          </w:p>
        </w:tc>
        <w:tc>
          <w:tcPr>
            <w:tcW w:w="5366" w:type="dxa"/>
          </w:tcPr>
          <w:p>
            <w:pPr>
              <w:pStyle w:val="TableParagraph"/>
              <w:spacing w:line="396" w:lineRule="exact"/>
              <w:ind w:left="1163" w:right="513"/>
              <w:jc w:val="center"/>
              <w:rPr>
                <w:rFonts w:ascii="黑体" w:eastAsia="黑体" w:hint="eastAsia"/>
                <w:sz w:val="31"/>
              </w:rPr>
            </w:pPr>
            <w:r>
              <w:rPr>
                <w:rFonts w:ascii="黑体" w:eastAsia="黑体" w:hint="eastAsia"/>
                <w:spacing w:val="-37"/>
                <w:sz w:val="31"/>
              </w:rPr>
              <w:t xml:space="preserve">表 </w:t>
            </w:r>
            <w:r>
              <w:rPr>
                <w:sz w:val="31"/>
              </w:rPr>
              <w:t>3-15</w:t>
            </w:r>
            <w:r>
              <w:rPr>
                <w:spacing w:val="71"/>
                <w:sz w:val="31"/>
              </w:rPr>
              <w:t xml:space="preserve"> </w:t>
            </w:r>
            <w:r>
              <w:rPr>
                <w:rFonts w:ascii="黑体" w:eastAsia="黑体" w:hint="eastAsia"/>
                <w:sz w:val="31"/>
              </w:rPr>
              <w:t>加氢改质单元进料</w:t>
            </w:r>
          </w:p>
          <w:p>
            <w:pPr>
              <w:pStyle w:val="TableParagraph"/>
              <w:spacing w:before="114"/>
              <w:ind w:left="1131" w:right="513"/>
              <w:jc w:val="center"/>
              <w:rPr>
                <w:rFonts w:ascii="黑体" w:eastAsia="黑体" w:hint="eastAsia"/>
                <w:sz w:val="31"/>
              </w:rPr>
            </w:pPr>
            <w:r>
              <w:rPr>
                <w:rFonts w:ascii="黑体" w:eastAsia="黑体" w:hint="eastAsia"/>
                <w:sz w:val="31"/>
              </w:rPr>
              <w:t>数量 万吨</w:t>
            </w:r>
            <w:r>
              <w:rPr>
                <w:sz w:val="31"/>
              </w:rPr>
              <w:t>/</w:t>
            </w:r>
            <w:r>
              <w:rPr>
                <w:rFonts w:ascii="黑体" w:eastAsia="黑体" w:hint="eastAsia"/>
                <w:sz w:val="31"/>
              </w:rPr>
              <w:t>年</w:t>
            </w:r>
          </w:p>
        </w:tc>
        <w:tc>
          <w:tcPr>
            <w:tcW w:w="1876" w:type="dxa"/>
          </w:tcPr>
          <w:p>
            <w:pPr>
              <w:pStyle w:val="TableParagraph"/>
              <w:spacing w:before="10"/>
              <w:rPr>
                <w:rFonts w:ascii="宋体"/>
                <w:sz w:val="39"/>
              </w:rPr>
            </w:pPr>
          </w:p>
          <w:p>
            <w:pPr>
              <w:pStyle w:val="TableParagraph"/>
              <w:ind w:left="526"/>
              <w:rPr>
                <w:rFonts w:ascii="黑体" w:eastAsia="黑体" w:hint="eastAsia"/>
                <w:sz w:val="31"/>
              </w:rPr>
            </w:pPr>
            <w:r>
              <w:rPr>
                <w:rFonts w:ascii="黑体" w:eastAsia="黑体" w:hint="eastAsia"/>
                <w:sz w:val="31"/>
              </w:rPr>
              <w:t>百分比</w:t>
            </w:r>
          </w:p>
        </w:tc>
        <w:tc>
          <w:tcPr>
            <w:tcW w:w="385" w:type="dxa"/>
          </w:tcPr>
          <w:p>
            <w:pPr>
              <w:pStyle w:val="TableParagraph"/>
              <w:spacing w:before="4"/>
              <w:rPr>
                <w:rFonts w:ascii="宋体"/>
                <w:sz w:val="41"/>
              </w:rPr>
            </w:pPr>
          </w:p>
          <w:p>
            <w:pPr>
              <w:pStyle w:val="TableParagraph"/>
              <w:ind w:left="25"/>
              <w:jc w:val="center"/>
              <w:rPr>
                <w:sz w:val="31"/>
              </w:rPr>
            </w:pPr>
            <w:r>
              <w:rPr>
                <w:w w:val="95"/>
                <w:sz w:val="31"/>
              </w:rPr>
              <w:t>%</w:t>
            </w:r>
          </w:p>
        </w:tc>
      </w:tr>
      <w:tr>
        <w:tblPrEx>
          <w:tblW w:w="0" w:type="auto"/>
          <w:jc w:val="left"/>
          <w:tblInd w:w="601" w:type="dxa"/>
          <w:tblLayout w:type="fixed"/>
          <w:tblCellMar>
            <w:top w:w="0" w:type="dxa"/>
            <w:left w:w="0" w:type="dxa"/>
            <w:bottom w:w="0" w:type="dxa"/>
            <w:right w:w="0" w:type="dxa"/>
          </w:tblCellMar>
          <w:tblLook w:val="01E0"/>
        </w:tblPrEx>
        <w:trPr>
          <w:trHeight w:val="480"/>
          <w:jc w:val="left"/>
        </w:trPr>
        <w:tc>
          <w:tcPr>
            <w:tcW w:w="2493" w:type="dxa"/>
          </w:tcPr>
          <w:p>
            <w:pPr>
              <w:pStyle w:val="TableParagraph"/>
              <w:spacing w:before="69" w:line="392" w:lineRule="exact"/>
              <w:ind w:left="50"/>
              <w:rPr>
                <w:rFonts w:ascii="黑体" w:eastAsia="黑体" w:hint="eastAsia"/>
                <w:sz w:val="31"/>
              </w:rPr>
            </w:pPr>
            <w:r>
              <w:rPr>
                <w:rFonts w:ascii="黑体" w:eastAsia="黑体" w:hint="eastAsia"/>
                <w:sz w:val="31"/>
              </w:rPr>
              <w:t>纯氢气</w:t>
            </w:r>
          </w:p>
        </w:tc>
        <w:tc>
          <w:tcPr>
            <w:tcW w:w="5366" w:type="dxa"/>
          </w:tcPr>
          <w:p>
            <w:pPr>
              <w:pStyle w:val="TableParagraph"/>
              <w:spacing w:before="88"/>
              <w:ind w:left="1127" w:right="513"/>
              <w:jc w:val="center"/>
              <w:rPr>
                <w:sz w:val="31"/>
              </w:rPr>
            </w:pPr>
            <w:r>
              <w:rPr>
                <w:sz w:val="31"/>
              </w:rPr>
              <w:t>7.08</w:t>
            </w:r>
          </w:p>
        </w:tc>
        <w:tc>
          <w:tcPr>
            <w:tcW w:w="1876" w:type="dxa"/>
          </w:tcPr>
          <w:p>
            <w:pPr>
              <w:pStyle w:val="TableParagraph"/>
              <w:spacing w:before="88"/>
              <w:ind w:right="227"/>
              <w:jc w:val="right"/>
              <w:rPr>
                <w:sz w:val="31"/>
              </w:rPr>
            </w:pPr>
            <w:r>
              <w:rPr>
                <w:w w:val="90"/>
                <w:sz w:val="31"/>
              </w:rPr>
              <w:t>2.44</w:t>
            </w:r>
          </w:p>
        </w:tc>
        <w:tc>
          <w:tcPr>
            <w:tcW w:w="385" w:type="dxa"/>
          </w:tcPr>
          <w:p>
            <w:pPr>
              <w:pStyle w:val="TableParagraph"/>
              <w:rPr>
                <w:rFonts w:ascii="Times New Roman"/>
                <w:sz w:val="32"/>
              </w:rPr>
            </w:pPr>
          </w:p>
        </w:tc>
      </w:tr>
      <w:tr>
        <w:tblPrEx>
          <w:tblW w:w="0" w:type="auto"/>
          <w:jc w:val="left"/>
          <w:tblInd w:w="601" w:type="dxa"/>
          <w:tblLayout w:type="fixed"/>
          <w:tblCellMar>
            <w:top w:w="0" w:type="dxa"/>
            <w:left w:w="0" w:type="dxa"/>
            <w:bottom w:w="0" w:type="dxa"/>
            <w:right w:w="0" w:type="dxa"/>
          </w:tblCellMar>
          <w:tblLook w:val="01E0"/>
        </w:tblPrEx>
        <w:trPr>
          <w:trHeight w:val="467"/>
          <w:jc w:val="left"/>
        </w:trPr>
        <w:tc>
          <w:tcPr>
            <w:tcW w:w="2493" w:type="dxa"/>
          </w:tcPr>
          <w:p>
            <w:pPr>
              <w:pStyle w:val="TableParagraph"/>
              <w:spacing w:before="56" w:line="392" w:lineRule="exact"/>
              <w:ind w:left="50"/>
              <w:rPr>
                <w:rFonts w:ascii="黑体" w:eastAsia="黑体" w:hint="eastAsia"/>
                <w:sz w:val="31"/>
              </w:rPr>
            </w:pPr>
            <w:r>
              <w:rPr>
                <w:rFonts w:ascii="黑体" w:eastAsia="黑体" w:hint="eastAsia"/>
                <w:sz w:val="31"/>
              </w:rPr>
              <w:t>柴油</w:t>
            </w:r>
          </w:p>
        </w:tc>
        <w:tc>
          <w:tcPr>
            <w:tcW w:w="5366" w:type="dxa"/>
          </w:tcPr>
          <w:p>
            <w:pPr>
              <w:pStyle w:val="TableParagraph"/>
              <w:spacing w:before="75"/>
              <w:ind w:left="1127" w:right="513"/>
              <w:jc w:val="center"/>
              <w:rPr>
                <w:sz w:val="31"/>
              </w:rPr>
            </w:pPr>
            <w:r>
              <w:rPr>
                <w:sz w:val="31"/>
              </w:rPr>
              <w:t>289.97</w:t>
            </w:r>
          </w:p>
        </w:tc>
        <w:tc>
          <w:tcPr>
            <w:tcW w:w="1876" w:type="dxa"/>
          </w:tcPr>
          <w:p>
            <w:pPr>
              <w:pStyle w:val="TableParagraph"/>
              <w:spacing w:before="75"/>
              <w:ind w:right="68"/>
              <w:jc w:val="right"/>
              <w:rPr>
                <w:sz w:val="31"/>
              </w:rPr>
            </w:pPr>
            <w:r>
              <w:rPr>
                <w:w w:val="90"/>
                <w:sz w:val="31"/>
              </w:rPr>
              <w:t>91.861</w:t>
            </w:r>
          </w:p>
        </w:tc>
        <w:tc>
          <w:tcPr>
            <w:tcW w:w="385" w:type="dxa"/>
          </w:tcPr>
          <w:p>
            <w:pPr>
              <w:pStyle w:val="TableParagraph"/>
              <w:rPr>
                <w:rFonts w:ascii="Times New Roman"/>
                <w:sz w:val="32"/>
              </w:rPr>
            </w:pPr>
          </w:p>
        </w:tc>
      </w:tr>
      <w:tr>
        <w:tblPrEx>
          <w:tblW w:w="0" w:type="auto"/>
          <w:jc w:val="left"/>
          <w:tblInd w:w="601" w:type="dxa"/>
          <w:tblLayout w:type="fixed"/>
          <w:tblCellMar>
            <w:top w:w="0" w:type="dxa"/>
            <w:left w:w="0" w:type="dxa"/>
            <w:bottom w:w="0" w:type="dxa"/>
            <w:right w:w="0" w:type="dxa"/>
          </w:tblCellMar>
          <w:tblLook w:val="01E0"/>
        </w:tblPrEx>
        <w:trPr>
          <w:trHeight w:val="449"/>
          <w:jc w:val="left"/>
        </w:trPr>
        <w:tc>
          <w:tcPr>
            <w:tcW w:w="2493" w:type="dxa"/>
          </w:tcPr>
          <w:p>
            <w:pPr>
              <w:pStyle w:val="TableParagraph"/>
              <w:spacing w:before="75" w:line="286" w:lineRule="exact"/>
              <w:ind w:left="50"/>
              <w:rPr>
                <w:sz w:val="31"/>
              </w:rPr>
            </w:pPr>
            <w:r>
              <w:rPr>
                <w:sz w:val="31"/>
              </w:rPr>
              <w:t>CS</w:t>
            </w:r>
          </w:p>
          <w:p>
            <w:pPr>
              <w:pStyle w:val="TableParagraph"/>
              <w:spacing w:line="68" w:lineRule="exact"/>
              <w:ind w:left="438"/>
              <w:rPr>
                <w:sz w:val="21"/>
              </w:rPr>
            </w:pPr>
            <w:r>
              <w:rPr>
                <w:w w:val="89"/>
                <w:sz w:val="21"/>
              </w:rPr>
              <w:t>2</w:t>
            </w:r>
          </w:p>
        </w:tc>
        <w:tc>
          <w:tcPr>
            <w:tcW w:w="5366" w:type="dxa"/>
          </w:tcPr>
          <w:p>
            <w:pPr>
              <w:pStyle w:val="TableParagraph"/>
              <w:spacing w:before="75" w:line="354" w:lineRule="exact"/>
              <w:ind w:left="1127" w:right="513"/>
              <w:jc w:val="center"/>
              <w:rPr>
                <w:sz w:val="31"/>
              </w:rPr>
            </w:pPr>
            <w:r>
              <w:rPr>
                <w:sz w:val="31"/>
              </w:rPr>
              <w:t>0.345</w:t>
            </w:r>
          </w:p>
        </w:tc>
        <w:tc>
          <w:tcPr>
            <w:tcW w:w="1876" w:type="dxa"/>
          </w:tcPr>
          <w:p>
            <w:pPr>
              <w:pStyle w:val="TableParagraph"/>
              <w:spacing w:before="75" w:line="354" w:lineRule="exact"/>
              <w:ind w:right="140"/>
              <w:jc w:val="right"/>
              <w:rPr>
                <w:sz w:val="31"/>
              </w:rPr>
            </w:pPr>
            <w:r>
              <w:rPr>
                <w:w w:val="90"/>
                <w:sz w:val="31"/>
              </w:rPr>
              <w:t>0.119</w:t>
            </w:r>
          </w:p>
        </w:tc>
        <w:tc>
          <w:tcPr>
            <w:tcW w:w="385" w:type="dxa"/>
          </w:tcPr>
          <w:p>
            <w:pPr>
              <w:pStyle w:val="TableParagraph"/>
              <w:rPr>
                <w:rFonts w:ascii="Times New Roman"/>
                <w:sz w:val="32"/>
              </w:rPr>
            </w:pPr>
          </w:p>
        </w:tc>
      </w:tr>
      <w:tr>
        <w:tblPrEx>
          <w:tblW w:w="0" w:type="auto"/>
          <w:jc w:val="left"/>
          <w:tblInd w:w="601" w:type="dxa"/>
          <w:tblLayout w:type="fixed"/>
          <w:tblCellMar>
            <w:top w:w="0" w:type="dxa"/>
            <w:left w:w="0" w:type="dxa"/>
            <w:bottom w:w="0" w:type="dxa"/>
            <w:right w:w="0" w:type="dxa"/>
          </w:tblCellMar>
          <w:tblLook w:val="01E0"/>
        </w:tblPrEx>
        <w:trPr>
          <w:trHeight w:val="467"/>
          <w:jc w:val="left"/>
        </w:trPr>
        <w:tc>
          <w:tcPr>
            <w:tcW w:w="2493" w:type="dxa"/>
          </w:tcPr>
          <w:p>
            <w:pPr>
              <w:pStyle w:val="TableParagraph"/>
              <w:spacing w:before="94" w:line="286" w:lineRule="exact"/>
              <w:ind w:left="37" w:right="1864"/>
              <w:jc w:val="center"/>
              <w:rPr>
                <w:sz w:val="31"/>
              </w:rPr>
            </w:pPr>
            <w:r>
              <w:rPr>
                <w:sz w:val="31"/>
              </w:rPr>
              <w:t>H O</w:t>
            </w:r>
          </w:p>
          <w:p>
            <w:pPr>
              <w:pStyle w:val="TableParagraph"/>
              <w:spacing w:line="68" w:lineRule="exact"/>
              <w:ind w:right="1825"/>
              <w:jc w:val="center"/>
              <w:rPr>
                <w:sz w:val="21"/>
              </w:rPr>
            </w:pPr>
            <w:r>
              <w:rPr>
                <w:w w:val="89"/>
                <w:sz w:val="21"/>
              </w:rPr>
              <w:t>2</w:t>
            </w:r>
          </w:p>
        </w:tc>
        <w:tc>
          <w:tcPr>
            <w:tcW w:w="5366" w:type="dxa"/>
          </w:tcPr>
          <w:p>
            <w:pPr>
              <w:pStyle w:val="TableParagraph"/>
              <w:spacing w:before="94" w:line="354" w:lineRule="exact"/>
              <w:ind w:left="1127" w:right="513"/>
              <w:jc w:val="center"/>
              <w:rPr>
                <w:sz w:val="31"/>
              </w:rPr>
            </w:pPr>
            <w:r>
              <w:rPr>
                <w:sz w:val="31"/>
              </w:rPr>
              <w:t>16.18</w:t>
            </w:r>
          </w:p>
        </w:tc>
        <w:tc>
          <w:tcPr>
            <w:tcW w:w="1876" w:type="dxa"/>
          </w:tcPr>
          <w:p>
            <w:pPr>
              <w:pStyle w:val="TableParagraph"/>
              <w:spacing w:before="94" w:line="354" w:lineRule="exact"/>
              <w:ind w:right="227"/>
              <w:jc w:val="right"/>
              <w:rPr>
                <w:sz w:val="31"/>
              </w:rPr>
            </w:pPr>
            <w:r>
              <w:rPr>
                <w:w w:val="90"/>
                <w:sz w:val="31"/>
              </w:rPr>
              <w:t>5.58</w:t>
            </w:r>
          </w:p>
        </w:tc>
        <w:tc>
          <w:tcPr>
            <w:tcW w:w="385" w:type="dxa"/>
          </w:tcPr>
          <w:p>
            <w:pPr>
              <w:pStyle w:val="TableParagraph"/>
              <w:rPr>
                <w:rFonts w:ascii="Times New Roman"/>
                <w:sz w:val="32"/>
              </w:rPr>
            </w:pPr>
          </w:p>
        </w:tc>
      </w:tr>
      <w:tr>
        <w:tblPrEx>
          <w:tblW w:w="0" w:type="auto"/>
          <w:jc w:val="left"/>
          <w:tblInd w:w="601" w:type="dxa"/>
          <w:tblLayout w:type="fixed"/>
          <w:tblCellMar>
            <w:top w:w="0" w:type="dxa"/>
            <w:left w:w="0" w:type="dxa"/>
            <w:bottom w:w="0" w:type="dxa"/>
            <w:right w:w="0" w:type="dxa"/>
          </w:tblCellMar>
          <w:tblLook w:val="01E0"/>
        </w:tblPrEx>
        <w:trPr>
          <w:trHeight w:val="606"/>
          <w:jc w:val="left"/>
        </w:trPr>
        <w:tc>
          <w:tcPr>
            <w:tcW w:w="2493" w:type="dxa"/>
          </w:tcPr>
          <w:p>
            <w:pPr>
              <w:pStyle w:val="TableParagraph"/>
              <w:spacing w:before="74"/>
              <w:ind w:left="50"/>
              <w:rPr>
                <w:rFonts w:ascii="黑体" w:eastAsia="黑体" w:hint="eastAsia"/>
                <w:sz w:val="31"/>
              </w:rPr>
            </w:pPr>
            <w:r>
              <w:rPr>
                <w:rFonts w:ascii="黑体" w:eastAsia="黑体" w:hint="eastAsia"/>
                <w:sz w:val="31"/>
              </w:rPr>
              <w:t>合计</w:t>
            </w:r>
          </w:p>
        </w:tc>
        <w:tc>
          <w:tcPr>
            <w:tcW w:w="5366" w:type="dxa"/>
          </w:tcPr>
          <w:p>
            <w:pPr>
              <w:pStyle w:val="TableParagraph"/>
              <w:spacing w:before="94"/>
              <w:ind w:left="1127" w:right="513"/>
              <w:jc w:val="center"/>
              <w:rPr>
                <w:sz w:val="31"/>
              </w:rPr>
            </w:pPr>
            <w:r>
              <w:rPr>
                <w:sz w:val="31"/>
              </w:rPr>
              <w:t>313.57</w:t>
            </w:r>
          </w:p>
        </w:tc>
        <w:tc>
          <w:tcPr>
            <w:tcW w:w="1876" w:type="dxa"/>
          </w:tcPr>
          <w:p>
            <w:pPr>
              <w:pStyle w:val="TableParagraph"/>
              <w:spacing w:before="94"/>
              <w:ind w:right="266"/>
              <w:jc w:val="right"/>
              <w:rPr>
                <w:sz w:val="31"/>
              </w:rPr>
            </w:pPr>
            <w:r>
              <w:rPr>
                <w:w w:val="90"/>
                <w:sz w:val="31"/>
              </w:rPr>
              <w:t>100</w:t>
            </w:r>
          </w:p>
        </w:tc>
        <w:tc>
          <w:tcPr>
            <w:tcW w:w="385" w:type="dxa"/>
          </w:tcPr>
          <w:p>
            <w:pPr>
              <w:pStyle w:val="TableParagraph"/>
              <w:rPr>
                <w:rFonts w:ascii="Times New Roman"/>
                <w:sz w:val="32"/>
              </w:rPr>
            </w:pPr>
          </w:p>
        </w:tc>
      </w:tr>
      <w:tr>
        <w:tblPrEx>
          <w:tblW w:w="0" w:type="auto"/>
          <w:jc w:val="left"/>
          <w:tblInd w:w="601" w:type="dxa"/>
          <w:tblLayout w:type="fixed"/>
          <w:tblCellMar>
            <w:top w:w="0" w:type="dxa"/>
            <w:left w:w="0" w:type="dxa"/>
            <w:bottom w:w="0" w:type="dxa"/>
            <w:right w:w="0" w:type="dxa"/>
          </w:tblCellMar>
          <w:tblLook w:val="01E0"/>
        </w:tblPrEx>
        <w:trPr>
          <w:trHeight w:val="648"/>
          <w:jc w:val="left"/>
        </w:trPr>
        <w:tc>
          <w:tcPr>
            <w:tcW w:w="2493" w:type="dxa"/>
          </w:tcPr>
          <w:p>
            <w:pPr>
              <w:pStyle w:val="TableParagraph"/>
              <w:rPr>
                <w:rFonts w:ascii="Times New Roman"/>
                <w:sz w:val="32"/>
              </w:rPr>
            </w:pPr>
          </w:p>
        </w:tc>
        <w:tc>
          <w:tcPr>
            <w:tcW w:w="5366" w:type="dxa"/>
          </w:tcPr>
          <w:p>
            <w:pPr>
              <w:pStyle w:val="TableParagraph"/>
              <w:spacing w:before="213"/>
              <w:ind w:left="1163" w:right="513"/>
              <w:jc w:val="center"/>
              <w:rPr>
                <w:rFonts w:ascii="黑体" w:eastAsia="黑体" w:hint="eastAsia"/>
                <w:sz w:val="31"/>
              </w:rPr>
            </w:pPr>
            <w:r>
              <w:rPr>
                <w:rFonts w:ascii="黑体" w:eastAsia="黑体" w:hint="eastAsia"/>
                <w:spacing w:val="-37"/>
                <w:sz w:val="31"/>
              </w:rPr>
              <w:t xml:space="preserve">表 </w:t>
            </w:r>
            <w:r>
              <w:rPr>
                <w:sz w:val="31"/>
              </w:rPr>
              <w:t>3-16</w:t>
            </w:r>
            <w:r>
              <w:rPr>
                <w:spacing w:val="71"/>
                <w:sz w:val="31"/>
              </w:rPr>
              <w:t xml:space="preserve"> </w:t>
            </w:r>
            <w:r>
              <w:rPr>
                <w:rFonts w:ascii="黑体" w:eastAsia="黑体" w:hint="eastAsia"/>
                <w:sz w:val="31"/>
              </w:rPr>
              <w:t>加氢改质单元产品</w:t>
            </w:r>
          </w:p>
        </w:tc>
        <w:tc>
          <w:tcPr>
            <w:tcW w:w="1876" w:type="dxa"/>
          </w:tcPr>
          <w:p>
            <w:pPr>
              <w:pStyle w:val="TableParagraph"/>
              <w:rPr>
                <w:rFonts w:ascii="Times New Roman"/>
                <w:sz w:val="32"/>
              </w:rPr>
            </w:pPr>
          </w:p>
        </w:tc>
        <w:tc>
          <w:tcPr>
            <w:tcW w:w="385" w:type="dxa"/>
          </w:tcPr>
          <w:p>
            <w:pPr>
              <w:pStyle w:val="TableParagraph"/>
              <w:rPr>
                <w:rFonts w:ascii="Times New Roman"/>
                <w:sz w:val="32"/>
              </w:rPr>
            </w:pPr>
          </w:p>
        </w:tc>
      </w:tr>
      <w:tr>
        <w:tblPrEx>
          <w:tblW w:w="0" w:type="auto"/>
          <w:jc w:val="left"/>
          <w:tblInd w:w="601" w:type="dxa"/>
          <w:tblLayout w:type="fixed"/>
          <w:tblCellMar>
            <w:top w:w="0" w:type="dxa"/>
            <w:left w:w="0" w:type="dxa"/>
            <w:bottom w:w="0" w:type="dxa"/>
            <w:right w:w="0" w:type="dxa"/>
          </w:tblCellMar>
          <w:tblLook w:val="01E0"/>
        </w:tblPrEx>
        <w:trPr>
          <w:trHeight w:val="502"/>
          <w:jc w:val="left"/>
        </w:trPr>
        <w:tc>
          <w:tcPr>
            <w:tcW w:w="2493" w:type="dxa"/>
          </w:tcPr>
          <w:p>
            <w:pPr>
              <w:pStyle w:val="TableParagraph"/>
              <w:spacing w:before="80"/>
              <w:ind w:left="50"/>
              <w:rPr>
                <w:rFonts w:ascii="黑体" w:eastAsia="黑体" w:hint="eastAsia"/>
                <w:sz w:val="31"/>
              </w:rPr>
            </w:pPr>
            <w:r>
              <w:rPr>
                <w:rFonts w:ascii="黑体" w:eastAsia="黑体" w:hint="eastAsia"/>
                <w:sz w:val="31"/>
              </w:rPr>
              <w:t>产品</w:t>
            </w:r>
          </w:p>
        </w:tc>
        <w:tc>
          <w:tcPr>
            <w:tcW w:w="5366" w:type="dxa"/>
          </w:tcPr>
          <w:p>
            <w:pPr>
              <w:pStyle w:val="TableParagraph"/>
              <w:spacing w:before="80"/>
              <w:ind w:left="1116" w:right="513"/>
              <w:jc w:val="center"/>
              <w:rPr>
                <w:rFonts w:ascii="黑体" w:eastAsia="黑体" w:hint="eastAsia"/>
                <w:sz w:val="31"/>
              </w:rPr>
            </w:pPr>
            <w:r>
              <w:rPr>
                <w:rFonts w:ascii="黑体" w:eastAsia="黑体" w:hint="eastAsia"/>
                <w:sz w:val="31"/>
              </w:rPr>
              <w:t>数量 万吨</w:t>
            </w:r>
            <w:r>
              <w:rPr>
                <w:sz w:val="31"/>
              </w:rPr>
              <w:t>/</w:t>
            </w:r>
            <w:r>
              <w:rPr>
                <w:rFonts w:ascii="黑体" w:eastAsia="黑体" w:hint="eastAsia"/>
                <w:sz w:val="31"/>
              </w:rPr>
              <w:t>年</w:t>
            </w:r>
          </w:p>
        </w:tc>
        <w:tc>
          <w:tcPr>
            <w:tcW w:w="1876" w:type="dxa"/>
          </w:tcPr>
          <w:p>
            <w:pPr>
              <w:pStyle w:val="TableParagraph"/>
              <w:spacing w:before="80"/>
              <w:ind w:left="526"/>
              <w:rPr>
                <w:rFonts w:ascii="黑体" w:eastAsia="黑体" w:hint="eastAsia"/>
                <w:sz w:val="31"/>
              </w:rPr>
            </w:pPr>
            <w:r>
              <w:rPr>
                <w:rFonts w:ascii="黑体" w:eastAsia="黑体" w:hint="eastAsia"/>
                <w:sz w:val="31"/>
              </w:rPr>
              <w:t>百分比</w:t>
            </w:r>
          </w:p>
        </w:tc>
        <w:tc>
          <w:tcPr>
            <w:tcW w:w="385" w:type="dxa"/>
          </w:tcPr>
          <w:p>
            <w:pPr>
              <w:pStyle w:val="TableParagraph"/>
              <w:spacing w:before="99"/>
              <w:ind w:left="25"/>
              <w:jc w:val="center"/>
              <w:rPr>
                <w:sz w:val="31"/>
              </w:rPr>
            </w:pPr>
            <w:r>
              <w:rPr>
                <w:w w:val="95"/>
                <w:sz w:val="31"/>
              </w:rPr>
              <w:t>%</w:t>
            </w:r>
          </w:p>
        </w:tc>
      </w:tr>
      <w:tr>
        <w:tblPrEx>
          <w:tblW w:w="0" w:type="auto"/>
          <w:jc w:val="left"/>
          <w:tblInd w:w="601" w:type="dxa"/>
          <w:tblLayout w:type="fixed"/>
          <w:tblCellMar>
            <w:top w:w="0" w:type="dxa"/>
            <w:left w:w="0" w:type="dxa"/>
            <w:bottom w:w="0" w:type="dxa"/>
            <w:right w:w="0" w:type="dxa"/>
          </w:tblCellMar>
          <w:tblLook w:val="01E0"/>
        </w:tblPrEx>
        <w:trPr>
          <w:trHeight w:val="478"/>
          <w:jc w:val="left"/>
        </w:trPr>
        <w:tc>
          <w:tcPr>
            <w:tcW w:w="2493" w:type="dxa"/>
          </w:tcPr>
          <w:p>
            <w:pPr>
              <w:pStyle w:val="TableParagraph"/>
              <w:spacing w:before="67" w:line="392" w:lineRule="exact"/>
              <w:ind w:left="50"/>
              <w:rPr>
                <w:rFonts w:ascii="黑体" w:eastAsia="黑体" w:hint="eastAsia"/>
                <w:sz w:val="31"/>
              </w:rPr>
            </w:pPr>
            <w:r>
              <w:rPr>
                <w:rFonts w:ascii="黑体" w:eastAsia="黑体" w:hint="eastAsia"/>
                <w:sz w:val="31"/>
              </w:rPr>
              <w:t>气体</w:t>
            </w:r>
          </w:p>
        </w:tc>
        <w:tc>
          <w:tcPr>
            <w:tcW w:w="5366" w:type="dxa"/>
          </w:tcPr>
          <w:p>
            <w:pPr>
              <w:pStyle w:val="TableParagraph"/>
              <w:spacing w:before="86"/>
              <w:ind w:left="1119" w:right="513"/>
              <w:jc w:val="center"/>
              <w:rPr>
                <w:sz w:val="31"/>
              </w:rPr>
            </w:pPr>
            <w:r>
              <w:rPr>
                <w:sz w:val="31"/>
              </w:rPr>
              <w:t>4.17</w:t>
            </w:r>
          </w:p>
        </w:tc>
        <w:tc>
          <w:tcPr>
            <w:tcW w:w="1876" w:type="dxa"/>
          </w:tcPr>
          <w:p>
            <w:pPr>
              <w:pStyle w:val="TableParagraph"/>
              <w:spacing w:before="86"/>
              <w:ind w:right="227"/>
              <w:jc w:val="right"/>
              <w:rPr>
                <w:sz w:val="31"/>
              </w:rPr>
            </w:pPr>
            <w:r>
              <w:rPr>
                <w:w w:val="90"/>
                <w:sz w:val="31"/>
              </w:rPr>
              <w:t>1.44</w:t>
            </w:r>
          </w:p>
        </w:tc>
        <w:tc>
          <w:tcPr>
            <w:tcW w:w="385" w:type="dxa"/>
          </w:tcPr>
          <w:p>
            <w:pPr>
              <w:pStyle w:val="TableParagraph"/>
              <w:rPr>
                <w:rFonts w:ascii="Times New Roman"/>
                <w:sz w:val="32"/>
              </w:rPr>
            </w:pPr>
          </w:p>
        </w:tc>
      </w:tr>
      <w:tr>
        <w:tblPrEx>
          <w:tblW w:w="0" w:type="auto"/>
          <w:jc w:val="left"/>
          <w:tblInd w:w="601" w:type="dxa"/>
          <w:tblLayout w:type="fixed"/>
          <w:tblCellMar>
            <w:top w:w="0" w:type="dxa"/>
            <w:left w:w="0" w:type="dxa"/>
            <w:bottom w:w="0" w:type="dxa"/>
            <w:right w:w="0" w:type="dxa"/>
          </w:tblCellMar>
          <w:tblLook w:val="01E0"/>
        </w:tblPrEx>
        <w:trPr>
          <w:trHeight w:val="467"/>
          <w:jc w:val="left"/>
        </w:trPr>
        <w:tc>
          <w:tcPr>
            <w:tcW w:w="2493" w:type="dxa"/>
          </w:tcPr>
          <w:p>
            <w:pPr>
              <w:pStyle w:val="TableParagraph"/>
              <w:spacing w:before="56" w:line="392" w:lineRule="exact"/>
              <w:ind w:left="50"/>
              <w:rPr>
                <w:rFonts w:ascii="黑体" w:eastAsia="黑体" w:hint="eastAsia"/>
                <w:sz w:val="31"/>
              </w:rPr>
            </w:pPr>
            <w:r>
              <w:rPr>
                <w:rFonts w:ascii="黑体" w:eastAsia="黑体" w:hint="eastAsia"/>
                <w:sz w:val="31"/>
              </w:rPr>
              <w:t>轻石脑油</w:t>
            </w:r>
          </w:p>
        </w:tc>
        <w:tc>
          <w:tcPr>
            <w:tcW w:w="5366" w:type="dxa"/>
          </w:tcPr>
          <w:p>
            <w:pPr>
              <w:pStyle w:val="TableParagraph"/>
              <w:spacing w:before="75"/>
              <w:ind w:left="1120" w:right="513"/>
              <w:jc w:val="center"/>
              <w:rPr>
                <w:sz w:val="31"/>
              </w:rPr>
            </w:pPr>
            <w:r>
              <w:rPr>
                <w:sz w:val="31"/>
              </w:rPr>
              <w:t>22.15</w:t>
            </w:r>
          </w:p>
        </w:tc>
        <w:tc>
          <w:tcPr>
            <w:tcW w:w="1876" w:type="dxa"/>
          </w:tcPr>
          <w:p>
            <w:pPr>
              <w:pStyle w:val="TableParagraph"/>
              <w:spacing w:before="75"/>
              <w:ind w:right="227"/>
              <w:jc w:val="right"/>
              <w:rPr>
                <w:sz w:val="31"/>
              </w:rPr>
            </w:pPr>
            <w:r>
              <w:rPr>
                <w:w w:val="90"/>
                <w:sz w:val="31"/>
              </w:rPr>
              <w:t>7.64</w:t>
            </w:r>
          </w:p>
        </w:tc>
        <w:tc>
          <w:tcPr>
            <w:tcW w:w="385" w:type="dxa"/>
          </w:tcPr>
          <w:p>
            <w:pPr>
              <w:pStyle w:val="TableParagraph"/>
              <w:rPr>
                <w:rFonts w:ascii="Times New Roman"/>
                <w:sz w:val="32"/>
              </w:rPr>
            </w:pPr>
          </w:p>
        </w:tc>
      </w:tr>
      <w:tr>
        <w:tblPrEx>
          <w:tblW w:w="0" w:type="auto"/>
          <w:jc w:val="left"/>
          <w:tblInd w:w="601" w:type="dxa"/>
          <w:tblLayout w:type="fixed"/>
          <w:tblCellMar>
            <w:top w:w="0" w:type="dxa"/>
            <w:left w:w="0" w:type="dxa"/>
            <w:bottom w:w="0" w:type="dxa"/>
            <w:right w:w="0" w:type="dxa"/>
          </w:tblCellMar>
          <w:tblLook w:val="01E0"/>
        </w:tblPrEx>
        <w:trPr>
          <w:trHeight w:val="467"/>
          <w:jc w:val="left"/>
        </w:trPr>
        <w:tc>
          <w:tcPr>
            <w:tcW w:w="2493" w:type="dxa"/>
          </w:tcPr>
          <w:p>
            <w:pPr>
              <w:pStyle w:val="TableParagraph"/>
              <w:spacing w:before="56" w:line="392" w:lineRule="exact"/>
              <w:ind w:left="50"/>
              <w:rPr>
                <w:rFonts w:ascii="黑体" w:eastAsia="黑体" w:hint="eastAsia"/>
                <w:sz w:val="31"/>
              </w:rPr>
            </w:pPr>
            <w:r>
              <w:rPr>
                <w:rFonts w:ascii="黑体" w:eastAsia="黑体" w:hint="eastAsia"/>
                <w:sz w:val="31"/>
              </w:rPr>
              <w:t>重石脑油</w:t>
            </w:r>
          </w:p>
        </w:tc>
        <w:tc>
          <w:tcPr>
            <w:tcW w:w="5366" w:type="dxa"/>
          </w:tcPr>
          <w:p>
            <w:pPr>
              <w:pStyle w:val="TableParagraph"/>
              <w:spacing w:before="75"/>
              <w:ind w:left="1120" w:right="513"/>
              <w:jc w:val="center"/>
              <w:rPr>
                <w:sz w:val="31"/>
              </w:rPr>
            </w:pPr>
            <w:r>
              <w:rPr>
                <w:sz w:val="31"/>
              </w:rPr>
              <w:t>54.31</w:t>
            </w:r>
          </w:p>
        </w:tc>
        <w:tc>
          <w:tcPr>
            <w:tcW w:w="1876" w:type="dxa"/>
          </w:tcPr>
          <w:p>
            <w:pPr>
              <w:pStyle w:val="TableParagraph"/>
              <w:spacing w:before="75"/>
              <w:ind w:right="149"/>
              <w:jc w:val="right"/>
              <w:rPr>
                <w:sz w:val="31"/>
              </w:rPr>
            </w:pPr>
            <w:r>
              <w:rPr>
                <w:w w:val="90"/>
                <w:sz w:val="31"/>
              </w:rPr>
              <w:t>18.73</w:t>
            </w:r>
          </w:p>
        </w:tc>
        <w:tc>
          <w:tcPr>
            <w:tcW w:w="385" w:type="dxa"/>
          </w:tcPr>
          <w:p>
            <w:pPr>
              <w:pStyle w:val="TableParagraph"/>
              <w:rPr>
                <w:rFonts w:ascii="Times New Roman"/>
                <w:sz w:val="32"/>
              </w:rPr>
            </w:pPr>
          </w:p>
        </w:tc>
      </w:tr>
      <w:tr>
        <w:tblPrEx>
          <w:tblW w:w="0" w:type="auto"/>
          <w:jc w:val="left"/>
          <w:tblInd w:w="601" w:type="dxa"/>
          <w:tblLayout w:type="fixed"/>
          <w:tblCellMar>
            <w:top w:w="0" w:type="dxa"/>
            <w:left w:w="0" w:type="dxa"/>
            <w:bottom w:w="0" w:type="dxa"/>
            <w:right w:w="0" w:type="dxa"/>
          </w:tblCellMar>
          <w:tblLook w:val="01E0"/>
        </w:tblPrEx>
        <w:trPr>
          <w:trHeight w:val="468"/>
          <w:jc w:val="left"/>
        </w:trPr>
        <w:tc>
          <w:tcPr>
            <w:tcW w:w="2493" w:type="dxa"/>
          </w:tcPr>
          <w:p>
            <w:pPr>
              <w:pStyle w:val="TableParagraph"/>
              <w:spacing w:before="56" w:line="392" w:lineRule="exact"/>
              <w:ind w:left="50"/>
              <w:rPr>
                <w:rFonts w:ascii="黑体" w:eastAsia="黑体" w:hint="eastAsia"/>
                <w:sz w:val="31"/>
              </w:rPr>
            </w:pPr>
            <w:r>
              <w:rPr>
                <w:rFonts w:ascii="黑体" w:eastAsia="黑体" w:hint="eastAsia"/>
                <w:sz w:val="31"/>
              </w:rPr>
              <w:t>柴油馏分</w:t>
            </w:r>
          </w:p>
        </w:tc>
        <w:tc>
          <w:tcPr>
            <w:tcW w:w="5366" w:type="dxa"/>
          </w:tcPr>
          <w:p>
            <w:pPr>
              <w:pStyle w:val="TableParagraph"/>
              <w:spacing w:before="75"/>
              <w:ind w:left="1119" w:right="513"/>
              <w:jc w:val="center"/>
              <w:rPr>
                <w:sz w:val="31"/>
              </w:rPr>
            </w:pPr>
            <w:r>
              <w:rPr>
                <w:sz w:val="31"/>
              </w:rPr>
              <w:t>215.01</w:t>
            </w:r>
          </w:p>
        </w:tc>
        <w:tc>
          <w:tcPr>
            <w:tcW w:w="1876" w:type="dxa"/>
          </w:tcPr>
          <w:p>
            <w:pPr>
              <w:pStyle w:val="TableParagraph"/>
              <w:spacing w:before="75"/>
              <w:ind w:right="149"/>
              <w:jc w:val="right"/>
              <w:rPr>
                <w:sz w:val="31"/>
              </w:rPr>
            </w:pPr>
            <w:r>
              <w:rPr>
                <w:w w:val="90"/>
                <w:sz w:val="31"/>
              </w:rPr>
              <w:t>74.15</w:t>
            </w:r>
          </w:p>
        </w:tc>
        <w:tc>
          <w:tcPr>
            <w:tcW w:w="385" w:type="dxa"/>
          </w:tcPr>
          <w:p>
            <w:pPr>
              <w:pStyle w:val="TableParagraph"/>
              <w:rPr>
                <w:rFonts w:ascii="Times New Roman"/>
                <w:sz w:val="32"/>
              </w:rPr>
            </w:pPr>
          </w:p>
        </w:tc>
      </w:tr>
      <w:tr>
        <w:tblPrEx>
          <w:tblW w:w="0" w:type="auto"/>
          <w:jc w:val="left"/>
          <w:tblInd w:w="601" w:type="dxa"/>
          <w:tblLayout w:type="fixed"/>
          <w:tblCellMar>
            <w:top w:w="0" w:type="dxa"/>
            <w:left w:w="0" w:type="dxa"/>
            <w:bottom w:w="0" w:type="dxa"/>
            <w:right w:w="0" w:type="dxa"/>
          </w:tblCellMar>
          <w:tblLook w:val="01E0"/>
        </w:tblPrEx>
        <w:trPr>
          <w:trHeight w:val="467"/>
          <w:jc w:val="left"/>
        </w:trPr>
        <w:tc>
          <w:tcPr>
            <w:tcW w:w="2493" w:type="dxa"/>
          </w:tcPr>
          <w:p>
            <w:pPr>
              <w:pStyle w:val="TableParagraph"/>
              <w:spacing w:before="56" w:line="392" w:lineRule="exact"/>
              <w:ind w:left="50"/>
              <w:rPr>
                <w:rFonts w:ascii="黑体" w:eastAsia="黑体" w:hint="eastAsia"/>
                <w:sz w:val="31"/>
              </w:rPr>
            </w:pPr>
            <w:r>
              <w:rPr>
                <w:rFonts w:ascii="黑体" w:eastAsia="黑体" w:hint="eastAsia"/>
                <w:sz w:val="31"/>
              </w:rPr>
              <w:t>酸性水</w:t>
            </w:r>
          </w:p>
        </w:tc>
        <w:tc>
          <w:tcPr>
            <w:tcW w:w="5366" w:type="dxa"/>
          </w:tcPr>
          <w:p>
            <w:pPr>
              <w:pStyle w:val="TableParagraph"/>
              <w:spacing w:before="75"/>
              <w:ind w:left="1120" w:right="513"/>
              <w:jc w:val="center"/>
              <w:rPr>
                <w:sz w:val="31"/>
              </w:rPr>
            </w:pPr>
            <w:r>
              <w:rPr>
                <w:sz w:val="31"/>
              </w:rPr>
              <w:t>17.92</w:t>
            </w:r>
          </w:p>
        </w:tc>
        <w:tc>
          <w:tcPr>
            <w:tcW w:w="1876" w:type="dxa"/>
          </w:tcPr>
          <w:p>
            <w:pPr>
              <w:pStyle w:val="TableParagraph"/>
              <w:spacing w:before="75"/>
              <w:ind w:right="227"/>
              <w:jc w:val="right"/>
              <w:rPr>
                <w:sz w:val="31"/>
              </w:rPr>
            </w:pPr>
            <w:r>
              <w:rPr>
                <w:w w:val="90"/>
                <w:sz w:val="31"/>
              </w:rPr>
              <w:t>6.18</w:t>
            </w:r>
          </w:p>
        </w:tc>
        <w:tc>
          <w:tcPr>
            <w:tcW w:w="385" w:type="dxa"/>
          </w:tcPr>
          <w:p>
            <w:pPr>
              <w:pStyle w:val="TableParagraph"/>
              <w:rPr>
                <w:rFonts w:ascii="Times New Roman"/>
                <w:sz w:val="32"/>
              </w:rPr>
            </w:pPr>
          </w:p>
        </w:tc>
      </w:tr>
      <w:tr>
        <w:tblPrEx>
          <w:tblW w:w="0" w:type="auto"/>
          <w:jc w:val="left"/>
          <w:tblInd w:w="601" w:type="dxa"/>
          <w:tblLayout w:type="fixed"/>
          <w:tblCellMar>
            <w:top w:w="0" w:type="dxa"/>
            <w:left w:w="0" w:type="dxa"/>
            <w:bottom w:w="0" w:type="dxa"/>
            <w:right w:w="0" w:type="dxa"/>
          </w:tblCellMar>
          <w:tblLook w:val="01E0"/>
        </w:tblPrEx>
        <w:trPr>
          <w:trHeight w:val="410"/>
          <w:jc w:val="left"/>
        </w:trPr>
        <w:tc>
          <w:tcPr>
            <w:tcW w:w="2493" w:type="dxa"/>
          </w:tcPr>
          <w:p>
            <w:pPr>
              <w:pStyle w:val="TableParagraph"/>
              <w:spacing w:before="56" w:line="335" w:lineRule="exact"/>
              <w:ind w:left="50"/>
              <w:rPr>
                <w:rFonts w:ascii="黑体" w:eastAsia="黑体" w:hint="eastAsia"/>
                <w:sz w:val="31"/>
              </w:rPr>
            </w:pPr>
            <w:r>
              <w:rPr>
                <w:rFonts w:ascii="黑体" w:eastAsia="黑体" w:hint="eastAsia"/>
                <w:sz w:val="31"/>
              </w:rPr>
              <w:t>合计</w:t>
            </w:r>
          </w:p>
        </w:tc>
        <w:tc>
          <w:tcPr>
            <w:tcW w:w="5366" w:type="dxa"/>
          </w:tcPr>
          <w:p>
            <w:pPr>
              <w:pStyle w:val="TableParagraph"/>
              <w:spacing w:before="75" w:line="315" w:lineRule="exact"/>
              <w:ind w:left="1119" w:right="513"/>
              <w:jc w:val="center"/>
              <w:rPr>
                <w:sz w:val="31"/>
              </w:rPr>
            </w:pPr>
            <w:r>
              <w:rPr>
                <w:sz w:val="31"/>
              </w:rPr>
              <w:t>313.57</w:t>
            </w:r>
          </w:p>
        </w:tc>
        <w:tc>
          <w:tcPr>
            <w:tcW w:w="1876" w:type="dxa"/>
          </w:tcPr>
          <w:p>
            <w:pPr>
              <w:pStyle w:val="TableParagraph"/>
              <w:spacing w:before="75" w:line="315" w:lineRule="exact"/>
              <w:ind w:right="266"/>
              <w:jc w:val="right"/>
              <w:rPr>
                <w:sz w:val="31"/>
              </w:rPr>
            </w:pPr>
            <w:r>
              <w:rPr>
                <w:w w:val="90"/>
                <w:sz w:val="31"/>
              </w:rPr>
              <w:t>100</w:t>
            </w:r>
          </w:p>
        </w:tc>
        <w:tc>
          <w:tcPr>
            <w:tcW w:w="385" w:type="dxa"/>
          </w:tcPr>
          <w:p>
            <w:pPr>
              <w:pStyle w:val="TableParagraph"/>
              <w:rPr>
                <w:rFonts w:ascii="Times New Roman"/>
                <w:sz w:val="32"/>
              </w:rPr>
            </w:pPr>
          </w:p>
        </w:tc>
      </w:tr>
    </w:tbl>
    <w:p>
      <w:pPr>
        <w:pStyle w:val="BodyText"/>
        <w:spacing w:before="1"/>
        <w:rPr>
          <w:sz w:val="3"/>
        </w:rPr>
      </w:pPr>
      <w:r>
        <w:drawing>
          <wp:anchor distT="0" distB="0" distL="0" distR="0" simplePos="0" relativeHeight="251697152" behindDoc="1" locked="0" layoutInCell="1" allowOverlap="1">
            <wp:simplePos x="0" y="0"/>
            <wp:positionH relativeFrom="page">
              <wp:posOffset>1409700</wp:posOffset>
            </wp:positionH>
            <wp:positionV relativeFrom="page">
              <wp:posOffset>1879599</wp:posOffset>
            </wp:positionV>
            <wp:extent cx="7119556" cy="38004"/>
            <wp:effectExtent l="0" t="0" r="0" b="0"/>
            <wp:wrapNone/>
            <wp:docPr id="93"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26.png"/>
                    <pic:cNvPicPr/>
                  </pic:nvPicPr>
                  <pic:blipFill>
                    <a:blip xmlns:r="http://schemas.openxmlformats.org/officeDocument/2006/relationships" r:embed="rId12" cstate="print"/>
                    <a:stretch>
                      <a:fillRect/>
                    </a:stretch>
                  </pic:blipFill>
                  <pic:spPr>
                    <a:xfrm>
                      <a:off x="0" y="0"/>
                      <a:ext cx="7119556" cy="38004"/>
                    </a:xfrm>
                    <a:prstGeom prst="rect">
                      <a:avLst/>
                    </a:prstGeom>
                  </pic:spPr>
                </pic:pic>
              </a:graphicData>
            </a:graphic>
          </wp:anchor>
        </w:drawing>
      </w:r>
      <w:r>
        <w:drawing>
          <wp:anchor distT="0" distB="0" distL="0" distR="0" simplePos="0" relativeHeight="251698176" behindDoc="1" locked="0" layoutInCell="1" allowOverlap="1">
            <wp:simplePos x="0" y="0"/>
            <wp:positionH relativeFrom="page">
              <wp:posOffset>1397000</wp:posOffset>
            </wp:positionH>
            <wp:positionV relativeFrom="page">
              <wp:posOffset>3390899</wp:posOffset>
            </wp:positionV>
            <wp:extent cx="7132224" cy="50673"/>
            <wp:effectExtent l="0" t="0" r="0" b="0"/>
            <wp:wrapNone/>
            <wp:docPr id="95"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33.png"/>
                    <pic:cNvPicPr/>
                  </pic:nvPicPr>
                  <pic:blipFill>
                    <a:blip xmlns:r="http://schemas.openxmlformats.org/officeDocument/2006/relationships" r:embed="rId17" cstate="print"/>
                    <a:stretch>
                      <a:fillRect/>
                    </a:stretch>
                  </pic:blipFill>
                  <pic:spPr>
                    <a:xfrm>
                      <a:off x="0" y="0"/>
                      <a:ext cx="7132224" cy="50673"/>
                    </a:xfrm>
                    <a:prstGeom prst="rect">
                      <a:avLst/>
                    </a:prstGeom>
                  </pic:spPr>
                </pic:pic>
              </a:graphicData>
            </a:graphic>
          </wp:anchor>
        </w:drawing>
      </w:r>
      <w:r>
        <w:drawing>
          <wp:anchor distT="0" distB="0" distL="0" distR="0" simplePos="0" relativeHeight="251699200" behindDoc="1" locked="0" layoutInCell="1" allowOverlap="1">
            <wp:simplePos x="0" y="0"/>
            <wp:positionH relativeFrom="page">
              <wp:posOffset>1409700</wp:posOffset>
            </wp:positionH>
            <wp:positionV relativeFrom="page">
              <wp:posOffset>4190999</wp:posOffset>
            </wp:positionV>
            <wp:extent cx="7119556" cy="38004"/>
            <wp:effectExtent l="0" t="0" r="0" b="0"/>
            <wp:wrapNone/>
            <wp:docPr id="9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34.png"/>
                    <pic:cNvPicPr/>
                  </pic:nvPicPr>
                  <pic:blipFill>
                    <a:blip xmlns:r="http://schemas.openxmlformats.org/officeDocument/2006/relationships" r:embed="rId15" cstate="print"/>
                    <a:stretch>
                      <a:fillRect/>
                    </a:stretch>
                  </pic:blipFill>
                  <pic:spPr>
                    <a:xfrm>
                      <a:off x="0" y="0"/>
                      <a:ext cx="7119556" cy="38004"/>
                    </a:xfrm>
                    <a:prstGeom prst="rect">
                      <a:avLst/>
                    </a:prstGeom>
                  </pic:spPr>
                </pic:pic>
              </a:graphicData>
            </a:graphic>
          </wp:anchor>
        </w:drawing>
      </w:r>
      <w:r>
        <w:drawing>
          <wp:anchor distT="0" distB="0" distL="0" distR="0" simplePos="0" relativeHeight="251700224" behindDoc="1" locked="0" layoutInCell="1" allowOverlap="1">
            <wp:simplePos x="0" y="0"/>
            <wp:positionH relativeFrom="page">
              <wp:posOffset>1409700</wp:posOffset>
            </wp:positionH>
            <wp:positionV relativeFrom="page">
              <wp:posOffset>3860799</wp:posOffset>
            </wp:positionV>
            <wp:extent cx="7119556" cy="50673"/>
            <wp:effectExtent l="0" t="0" r="0" b="0"/>
            <wp:wrapNone/>
            <wp:docPr id="99"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35.png"/>
                    <pic:cNvPicPr/>
                  </pic:nvPicPr>
                  <pic:blipFill>
                    <a:blip xmlns:r="http://schemas.openxmlformats.org/officeDocument/2006/relationships" r:embed="rId10" cstate="print"/>
                    <a:stretch>
                      <a:fillRect/>
                    </a:stretch>
                  </pic:blipFill>
                  <pic:spPr>
                    <a:xfrm>
                      <a:off x="0" y="0"/>
                      <a:ext cx="7119556" cy="50673"/>
                    </a:xfrm>
                    <a:prstGeom prst="rect">
                      <a:avLst/>
                    </a:prstGeom>
                  </pic:spPr>
                </pic:pic>
              </a:graphicData>
            </a:graphic>
          </wp:anchor>
        </w:drawing>
      </w:r>
      <w:r>
        <w:drawing>
          <wp:anchor distT="0" distB="0" distL="0" distR="0" simplePos="0" relativeHeight="251701248" behindDoc="1" locked="0" layoutInCell="1" allowOverlap="1">
            <wp:simplePos x="0" y="0"/>
            <wp:positionH relativeFrom="page">
              <wp:posOffset>1409700</wp:posOffset>
            </wp:positionH>
            <wp:positionV relativeFrom="page">
              <wp:posOffset>1562099</wp:posOffset>
            </wp:positionV>
            <wp:extent cx="7119556" cy="50673"/>
            <wp:effectExtent l="0" t="0" r="0" b="0"/>
            <wp:wrapNone/>
            <wp:docPr id="101"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36.png"/>
                    <pic:cNvPicPr/>
                  </pic:nvPicPr>
                  <pic:blipFill>
                    <a:blip xmlns:r="http://schemas.openxmlformats.org/officeDocument/2006/relationships" r:embed="rId13" cstate="print"/>
                    <a:stretch>
                      <a:fillRect/>
                    </a:stretch>
                  </pic:blipFill>
                  <pic:spPr>
                    <a:xfrm>
                      <a:off x="0" y="0"/>
                      <a:ext cx="7119556" cy="50673"/>
                    </a:xfrm>
                    <a:prstGeom prst="rect">
                      <a:avLst/>
                    </a:prstGeom>
                  </pic:spPr>
                </pic:pic>
              </a:graphicData>
            </a:graphic>
          </wp:anchor>
        </w:drawing>
      </w:r>
    </w:p>
    <w:p>
      <w:pPr>
        <w:pStyle w:val="BodyText"/>
        <w:spacing w:line="79" w:lineRule="exact"/>
        <w:ind w:left="460"/>
        <w:rPr>
          <w:sz w:val="7"/>
        </w:rPr>
      </w:pPr>
      <w:r>
        <w:rPr>
          <w:position w:val="-1"/>
          <w:sz w:val="7"/>
        </w:rPr>
        <w:drawing>
          <wp:inline distT="0" distB="0" distL="0" distR="0">
            <wp:extent cx="7132224" cy="50673"/>
            <wp:effectExtent l="0" t="0" r="0" b="0"/>
            <wp:docPr id="103"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37.png"/>
                    <pic:cNvPicPr/>
                  </pic:nvPicPr>
                  <pic:blipFill>
                    <a:blip xmlns:r="http://schemas.openxmlformats.org/officeDocument/2006/relationships" r:embed="rId9" cstate="print"/>
                    <a:stretch>
                      <a:fillRect/>
                    </a:stretch>
                  </pic:blipFill>
                  <pic:spPr>
                    <a:xfrm>
                      <a:off x="0" y="0"/>
                      <a:ext cx="7132224" cy="50673"/>
                    </a:xfrm>
                    <a:prstGeom prst="rect">
                      <a:avLst/>
                    </a:prstGeom>
                  </pic:spPr>
                </pic:pic>
              </a:graphicData>
            </a:graphic>
          </wp:inline>
        </w:drawing>
      </w:r>
    </w:p>
    <w:p>
      <w:pPr>
        <w:pStyle w:val="BodyText"/>
        <w:spacing w:before="6"/>
        <w:rPr>
          <w:sz w:val="23"/>
        </w:rPr>
      </w:pPr>
    </w:p>
    <w:p>
      <w:pPr>
        <w:pStyle w:val="ListParagraph"/>
        <w:numPr>
          <w:ilvl w:val="2"/>
          <w:numId w:val="40"/>
        </w:numPr>
        <w:tabs>
          <w:tab w:val="left" w:pos="1454"/>
        </w:tabs>
        <w:spacing w:before="92" w:after="0" w:line="240" w:lineRule="auto"/>
        <w:ind w:left="1453" w:right="0" w:hanging="810"/>
        <w:jc w:val="left"/>
        <w:rPr>
          <w:rFonts w:ascii="Arial" w:eastAsia="Arial"/>
          <w:sz w:val="36"/>
        </w:rPr>
      </w:pPr>
      <w:r>
        <w:rPr>
          <w:rFonts w:ascii="黑体" w:eastAsia="黑体" w:hint="eastAsia"/>
          <w:sz w:val="36"/>
        </w:rPr>
        <w:t>重整抽提单元</w:t>
      </w:r>
    </w:p>
    <w:p>
      <w:pPr>
        <w:pStyle w:val="BodyText"/>
        <w:spacing w:before="151" w:line="316" w:lineRule="auto"/>
        <w:ind w:left="644" w:right="2295" w:firstLine="719"/>
        <w:jc w:val="both"/>
      </w:pPr>
      <w:r>
        <w:drawing>
          <wp:anchor distT="0" distB="0" distL="0" distR="0" simplePos="0" relativeHeight="251702272" behindDoc="1" locked="0" layoutInCell="1" allowOverlap="1">
            <wp:simplePos x="0" y="0"/>
            <wp:positionH relativeFrom="page">
              <wp:posOffset>1409700</wp:posOffset>
            </wp:positionH>
            <wp:positionV relativeFrom="paragraph">
              <wp:posOffset>1973199</wp:posOffset>
            </wp:positionV>
            <wp:extent cx="7119556" cy="38004"/>
            <wp:effectExtent l="0" t="0" r="0" b="0"/>
            <wp:wrapNone/>
            <wp:docPr id="105"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38.png"/>
                    <pic:cNvPicPr/>
                  </pic:nvPicPr>
                  <pic:blipFill>
                    <a:blip xmlns:r="http://schemas.openxmlformats.org/officeDocument/2006/relationships" r:embed="rId12" cstate="print"/>
                    <a:stretch>
                      <a:fillRect/>
                    </a:stretch>
                  </pic:blipFill>
                  <pic:spPr>
                    <a:xfrm>
                      <a:off x="0" y="0"/>
                      <a:ext cx="7119556" cy="38004"/>
                    </a:xfrm>
                    <a:prstGeom prst="rect">
                      <a:avLst/>
                    </a:prstGeom>
                  </pic:spPr>
                </pic:pic>
              </a:graphicData>
            </a:graphic>
          </wp:anchor>
        </w:drawing>
      </w:r>
      <w:r>
        <w:drawing>
          <wp:anchor distT="0" distB="0" distL="0" distR="0" simplePos="0" relativeHeight="251703296" behindDoc="1" locked="0" layoutInCell="1" allowOverlap="1">
            <wp:simplePos x="0" y="0"/>
            <wp:positionH relativeFrom="page">
              <wp:posOffset>1409700</wp:posOffset>
            </wp:positionH>
            <wp:positionV relativeFrom="paragraph">
              <wp:posOffset>1655699</wp:posOffset>
            </wp:positionV>
            <wp:extent cx="7119556" cy="50673"/>
            <wp:effectExtent l="0" t="0" r="0" b="0"/>
            <wp:wrapNone/>
            <wp:docPr id="107"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36.png"/>
                    <pic:cNvPicPr/>
                  </pic:nvPicPr>
                  <pic:blipFill>
                    <a:blip xmlns:r="http://schemas.openxmlformats.org/officeDocument/2006/relationships" r:embed="rId13" cstate="print"/>
                    <a:stretch>
                      <a:fillRect/>
                    </a:stretch>
                  </pic:blipFill>
                  <pic:spPr>
                    <a:xfrm>
                      <a:off x="0" y="0"/>
                      <a:ext cx="7119556" cy="50673"/>
                    </a:xfrm>
                    <a:prstGeom prst="rect">
                      <a:avLst/>
                    </a:prstGeom>
                  </pic:spPr>
                </pic:pic>
              </a:graphicData>
            </a:graphic>
          </wp:anchor>
        </w:drawing>
      </w:r>
      <w:r>
        <w:t xml:space="preserve">包括催化重整和芳烃抽提两部分。从加氢改质单元出来的重石脑油进入重整抽提单元，主要是生产高辛烷值汽油和苯。一期工程为两套 </w:t>
      </w:r>
      <w:r>
        <w:rPr>
          <w:rFonts w:ascii="Arial" w:eastAsia="Arial" w:hAnsi="Arial"/>
        </w:rPr>
        <w:t xml:space="preserve">1×60 </w:t>
      </w:r>
      <w:r>
        <w:t xml:space="preserve">万 </w:t>
      </w:r>
      <w:r>
        <w:rPr>
          <w:rFonts w:ascii="Arial" w:eastAsia="Arial" w:hAnsi="Arial"/>
        </w:rPr>
        <w:t>t/</w:t>
      </w:r>
      <w:r>
        <w:t xml:space="preserve">年装置。原料为 </w:t>
      </w:r>
      <w:r>
        <w:rPr>
          <w:rFonts w:ascii="Arial" w:eastAsia="Arial" w:hAnsi="Arial"/>
        </w:rPr>
        <w:t xml:space="preserve">54.31 </w:t>
      </w:r>
      <w:r>
        <w:t>万吨</w:t>
      </w:r>
      <w:r>
        <w:rPr>
          <w:rFonts w:ascii="Arial" w:eastAsia="Arial" w:hAnsi="Arial"/>
        </w:rPr>
        <w:t>/</w:t>
      </w:r>
      <w:r>
        <w:t>年重石脑油。</w:t>
      </w:r>
    </w:p>
    <w:p>
      <w:pPr>
        <w:pStyle w:val="BodyText"/>
        <w:spacing w:before="4"/>
        <w:rPr>
          <w:sz w:val="18"/>
        </w:rPr>
      </w:pPr>
    </w:p>
    <w:tbl>
      <w:tblPr>
        <w:tblStyle w:val="TableNormal7"/>
        <w:tblW w:w="0" w:type="auto"/>
        <w:jc w:val="left"/>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93"/>
        <w:gridCol w:w="5368"/>
        <w:gridCol w:w="2264"/>
      </w:tblGrid>
      <w:tr>
        <w:tblPrEx>
          <w:tblW w:w="0" w:type="auto"/>
          <w:jc w:val="left"/>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34"/>
          <w:jc w:val="left"/>
        </w:trPr>
        <w:tc>
          <w:tcPr>
            <w:tcW w:w="2493" w:type="dxa"/>
          </w:tcPr>
          <w:p>
            <w:pPr>
              <w:pStyle w:val="TableParagraph"/>
              <w:spacing w:before="10"/>
              <w:rPr>
                <w:rFonts w:ascii="宋体"/>
                <w:sz w:val="39"/>
              </w:rPr>
            </w:pPr>
          </w:p>
          <w:p>
            <w:pPr>
              <w:pStyle w:val="TableParagraph"/>
              <w:ind w:left="50"/>
              <w:rPr>
                <w:rFonts w:ascii="黑体" w:eastAsia="黑体" w:hint="eastAsia"/>
                <w:sz w:val="31"/>
              </w:rPr>
            </w:pPr>
            <w:r>
              <w:rPr>
                <w:rFonts w:ascii="黑体" w:eastAsia="黑体" w:hint="eastAsia"/>
                <w:sz w:val="31"/>
              </w:rPr>
              <w:t>产品</w:t>
            </w:r>
          </w:p>
        </w:tc>
        <w:tc>
          <w:tcPr>
            <w:tcW w:w="5368" w:type="dxa"/>
          </w:tcPr>
          <w:p>
            <w:pPr>
              <w:pStyle w:val="TableParagraph"/>
              <w:spacing w:line="396" w:lineRule="exact"/>
              <w:ind w:left="1163" w:right="515"/>
              <w:jc w:val="center"/>
              <w:rPr>
                <w:rFonts w:ascii="黑体" w:eastAsia="黑体" w:hint="eastAsia"/>
                <w:sz w:val="31"/>
              </w:rPr>
            </w:pPr>
            <w:r>
              <w:rPr>
                <w:rFonts w:ascii="黑体" w:eastAsia="黑体" w:hint="eastAsia"/>
                <w:spacing w:val="-37"/>
                <w:sz w:val="31"/>
              </w:rPr>
              <w:t xml:space="preserve">表 </w:t>
            </w:r>
            <w:r>
              <w:rPr>
                <w:sz w:val="31"/>
              </w:rPr>
              <w:t>3-16</w:t>
            </w:r>
            <w:r>
              <w:rPr>
                <w:spacing w:val="71"/>
                <w:sz w:val="31"/>
              </w:rPr>
              <w:t xml:space="preserve"> </w:t>
            </w:r>
            <w:r>
              <w:rPr>
                <w:rFonts w:ascii="黑体" w:eastAsia="黑体" w:hint="eastAsia"/>
                <w:sz w:val="31"/>
              </w:rPr>
              <w:t>重整抽提单元产品</w:t>
            </w:r>
          </w:p>
          <w:p>
            <w:pPr>
              <w:pStyle w:val="TableParagraph"/>
              <w:spacing w:before="114"/>
              <w:ind w:left="1138" w:right="515"/>
              <w:jc w:val="center"/>
              <w:rPr>
                <w:rFonts w:ascii="黑体" w:eastAsia="黑体" w:hint="eastAsia"/>
                <w:sz w:val="31"/>
              </w:rPr>
            </w:pPr>
            <w:r>
              <w:rPr>
                <w:rFonts w:ascii="黑体" w:eastAsia="黑体" w:hint="eastAsia"/>
                <w:sz w:val="31"/>
              </w:rPr>
              <w:t>数量 万吨</w:t>
            </w:r>
            <w:r>
              <w:rPr>
                <w:sz w:val="31"/>
              </w:rPr>
              <w:t>/</w:t>
            </w:r>
            <w:r>
              <w:rPr>
                <w:rFonts w:ascii="黑体" w:eastAsia="黑体" w:hint="eastAsia"/>
                <w:sz w:val="31"/>
              </w:rPr>
              <w:t>年</w:t>
            </w:r>
          </w:p>
        </w:tc>
        <w:tc>
          <w:tcPr>
            <w:tcW w:w="2264" w:type="dxa"/>
          </w:tcPr>
          <w:p>
            <w:pPr>
              <w:pStyle w:val="TableParagraph"/>
              <w:spacing w:before="10"/>
              <w:rPr>
                <w:rFonts w:ascii="宋体"/>
                <w:sz w:val="39"/>
              </w:rPr>
            </w:pPr>
          </w:p>
          <w:p>
            <w:pPr>
              <w:pStyle w:val="TableParagraph"/>
              <w:tabs>
                <w:tab w:val="left" w:pos="1901"/>
              </w:tabs>
              <w:ind w:left="478"/>
              <w:jc w:val="center"/>
              <w:rPr>
                <w:sz w:val="31"/>
              </w:rPr>
            </w:pPr>
            <w:r>
              <w:rPr>
                <w:rFonts w:ascii="黑体" w:eastAsia="黑体" w:hint="eastAsia"/>
                <w:sz w:val="31"/>
              </w:rPr>
              <w:t>百分比</w:t>
              <w:tab/>
            </w:r>
            <w:r>
              <w:rPr>
                <w:sz w:val="31"/>
              </w:rPr>
              <w:t>%</w:t>
            </w:r>
          </w:p>
        </w:tc>
      </w:tr>
      <w:tr>
        <w:tblPrEx>
          <w:tblW w:w="0" w:type="auto"/>
          <w:jc w:val="left"/>
          <w:tblInd w:w="601" w:type="dxa"/>
          <w:tblLayout w:type="fixed"/>
          <w:tblCellMar>
            <w:top w:w="0" w:type="dxa"/>
            <w:left w:w="0" w:type="dxa"/>
            <w:bottom w:w="0" w:type="dxa"/>
            <w:right w:w="0" w:type="dxa"/>
          </w:tblCellMar>
          <w:tblLook w:val="01E0"/>
        </w:tblPrEx>
        <w:trPr>
          <w:trHeight w:val="480"/>
          <w:jc w:val="left"/>
        </w:trPr>
        <w:tc>
          <w:tcPr>
            <w:tcW w:w="2493" w:type="dxa"/>
          </w:tcPr>
          <w:p>
            <w:pPr>
              <w:pStyle w:val="TableParagraph"/>
              <w:spacing w:before="69" w:line="392" w:lineRule="exact"/>
              <w:ind w:left="50"/>
              <w:rPr>
                <w:rFonts w:ascii="黑体" w:eastAsia="黑体" w:hint="eastAsia"/>
                <w:sz w:val="31"/>
              </w:rPr>
            </w:pPr>
            <w:r>
              <w:rPr>
                <w:rFonts w:ascii="黑体" w:eastAsia="黑体" w:hint="eastAsia"/>
                <w:sz w:val="31"/>
              </w:rPr>
              <w:t>含氢气体</w:t>
            </w:r>
          </w:p>
        </w:tc>
        <w:tc>
          <w:tcPr>
            <w:tcW w:w="5368" w:type="dxa"/>
          </w:tcPr>
          <w:p>
            <w:pPr>
              <w:pStyle w:val="TableParagraph"/>
              <w:spacing w:before="88"/>
              <w:ind w:right="2091"/>
              <w:jc w:val="right"/>
              <w:rPr>
                <w:sz w:val="31"/>
              </w:rPr>
            </w:pPr>
            <w:r>
              <w:rPr>
                <w:w w:val="90"/>
                <w:sz w:val="31"/>
              </w:rPr>
              <w:t>4.76</w:t>
            </w:r>
          </w:p>
        </w:tc>
        <w:tc>
          <w:tcPr>
            <w:tcW w:w="2264" w:type="dxa"/>
          </w:tcPr>
          <w:p>
            <w:pPr>
              <w:pStyle w:val="TableParagraph"/>
              <w:spacing w:before="88"/>
              <w:ind w:left="478"/>
              <w:jc w:val="center"/>
              <w:rPr>
                <w:sz w:val="31"/>
              </w:rPr>
            </w:pPr>
            <w:r>
              <w:rPr>
                <w:sz w:val="31"/>
              </w:rPr>
              <w:t>8.77</w:t>
            </w:r>
          </w:p>
        </w:tc>
      </w:tr>
      <w:tr>
        <w:tblPrEx>
          <w:tblW w:w="0" w:type="auto"/>
          <w:jc w:val="left"/>
          <w:tblInd w:w="601" w:type="dxa"/>
          <w:tblLayout w:type="fixed"/>
          <w:tblCellMar>
            <w:top w:w="0" w:type="dxa"/>
            <w:left w:w="0" w:type="dxa"/>
            <w:bottom w:w="0" w:type="dxa"/>
            <w:right w:w="0" w:type="dxa"/>
          </w:tblCellMar>
          <w:tblLook w:val="01E0"/>
        </w:tblPrEx>
        <w:trPr>
          <w:trHeight w:val="468"/>
          <w:jc w:val="left"/>
        </w:trPr>
        <w:tc>
          <w:tcPr>
            <w:tcW w:w="2493" w:type="dxa"/>
          </w:tcPr>
          <w:p>
            <w:pPr>
              <w:pStyle w:val="TableParagraph"/>
              <w:spacing w:before="56" w:line="392" w:lineRule="exact"/>
              <w:ind w:left="50"/>
              <w:rPr>
                <w:rFonts w:ascii="黑体" w:eastAsia="黑体" w:hint="eastAsia"/>
                <w:sz w:val="31"/>
              </w:rPr>
            </w:pPr>
            <w:r>
              <w:rPr>
                <w:rFonts w:ascii="黑体" w:eastAsia="黑体" w:hint="eastAsia"/>
                <w:sz w:val="31"/>
              </w:rPr>
              <w:t>其中纯氢</w:t>
            </w:r>
          </w:p>
        </w:tc>
        <w:tc>
          <w:tcPr>
            <w:tcW w:w="5368" w:type="dxa"/>
          </w:tcPr>
          <w:p>
            <w:pPr>
              <w:pStyle w:val="TableParagraph"/>
              <w:spacing w:before="75"/>
              <w:ind w:right="2091"/>
              <w:jc w:val="right"/>
              <w:rPr>
                <w:sz w:val="31"/>
              </w:rPr>
            </w:pPr>
            <w:r>
              <w:rPr>
                <w:w w:val="90"/>
                <w:sz w:val="31"/>
              </w:rPr>
              <w:t>1.84</w:t>
            </w:r>
          </w:p>
        </w:tc>
        <w:tc>
          <w:tcPr>
            <w:tcW w:w="2264" w:type="dxa"/>
          </w:tcPr>
          <w:p>
            <w:pPr>
              <w:pStyle w:val="TableParagraph"/>
              <w:spacing w:before="75"/>
              <w:ind w:left="478"/>
              <w:jc w:val="center"/>
              <w:rPr>
                <w:sz w:val="31"/>
              </w:rPr>
            </w:pPr>
            <w:r>
              <w:rPr>
                <w:sz w:val="31"/>
              </w:rPr>
              <w:t>3.39</w:t>
            </w:r>
          </w:p>
        </w:tc>
      </w:tr>
      <w:tr>
        <w:tblPrEx>
          <w:tblW w:w="0" w:type="auto"/>
          <w:jc w:val="left"/>
          <w:tblInd w:w="601" w:type="dxa"/>
          <w:tblLayout w:type="fixed"/>
          <w:tblCellMar>
            <w:top w:w="0" w:type="dxa"/>
            <w:left w:w="0" w:type="dxa"/>
            <w:bottom w:w="0" w:type="dxa"/>
            <w:right w:w="0" w:type="dxa"/>
          </w:tblCellMar>
          <w:tblLook w:val="01E0"/>
        </w:tblPrEx>
        <w:trPr>
          <w:trHeight w:val="449"/>
          <w:jc w:val="left"/>
        </w:trPr>
        <w:tc>
          <w:tcPr>
            <w:tcW w:w="2493" w:type="dxa"/>
          </w:tcPr>
          <w:p>
            <w:pPr>
              <w:pStyle w:val="TableParagraph"/>
              <w:spacing w:before="75" w:line="354" w:lineRule="exact"/>
              <w:ind w:left="50"/>
              <w:rPr>
                <w:sz w:val="31"/>
              </w:rPr>
            </w:pPr>
            <w:r>
              <w:rPr>
                <w:sz w:val="31"/>
              </w:rPr>
              <w:t>LPG</w:t>
            </w:r>
          </w:p>
        </w:tc>
        <w:tc>
          <w:tcPr>
            <w:tcW w:w="5368" w:type="dxa"/>
          </w:tcPr>
          <w:p>
            <w:pPr>
              <w:pStyle w:val="TableParagraph"/>
              <w:spacing w:before="75" w:line="354" w:lineRule="exact"/>
              <w:ind w:right="2091"/>
              <w:jc w:val="right"/>
              <w:rPr>
                <w:sz w:val="31"/>
              </w:rPr>
            </w:pPr>
            <w:r>
              <w:rPr>
                <w:w w:val="90"/>
                <w:sz w:val="31"/>
              </w:rPr>
              <w:t>1.41</w:t>
            </w:r>
          </w:p>
        </w:tc>
        <w:tc>
          <w:tcPr>
            <w:tcW w:w="2264" w:type="dxa"/>
          </w:tcPr>
          <w:p>
            <w:pPr>
              <w:pStyle w:val="TableParagraph"/>
              <w:spacing w:before="75" w:line="354" w:lineRule="exact"/>
              <w:ind w:left="478"/>
              <w:jc w:val="center"/>
              <w:rPr>
                <w:sz w:val="31"/>
              </w:rPr>
            </w:pPr>
            <w:r>
              <w:rPr>
                <w:sz w:val="31"/>
              </w:rPr>
              <w:t>2.59</w:t>
            </w:r>
          </w:p>
        </w:tc>
      </w:tr>
      <w:tr>
        <w:tblPrEx>
          <w:tblW w:w="0" w:type="auto"/>
          <w:jc w:val="left"/>
          <w:tblInd w:w="601" w:type="dxa"/>
          <w:tblLayout w:type="fixed"/>
          <w:tblCellMar>
            <w:top w:w="0" w:type="dxa"/>
            <w:left w:w="0" w:type="dxa"/>
            <w:bottom w:w="0" w:type="dxa"/>
            <w:right w:w="0" w:type="dxa"/>
          </w:tblCellMar>
          <w:tblLook w:val="01E0"/>
        </w:tblPrEx>
        <w:trPr>
          <w:trHeight w:val="486"/>
          <w:jc w:val="left"/>
        </w:trPr>
        <w:tc>
          <w:tcPr>
            <w:tcW w:w="2493" w:type="dxa"/>
          </w:tcPr>
          <w:p>
            <w:pPr>
              <w:pStyle w:val="TableParagraph"/>
              <w:spacing w:before="75" w:line="392" w:lineRule="exact"/>
              <w:ind w:left="50"/>
              <w:rPr>
                <w:rFonts w:ascii="黑体" w:eastAsia="黑体" w:hint="eastAsia"/>
                <w:sz w:val="31"/>
              </w:rPr>
            </w:pPr>
            <w:r>
              <w:rPr>
                <w:rFonts w:ascii="黑体" w:eastAsia="黑体" w:hint="eastAsia"/>
                <w:sz w:val="31"/>
              </w:rPr>
              <w:t>燃料气</w:t>
            </w:r>
          </w:p>
        </w:tc>
        <w:tc>
          <w:tcPr>
            <w:tcW w:w="5368" w:type="dxa"/>
          </w:tcPr>
          <w:p>
            <w:pPr>
              <w:pStyle w:val="TableParagraph"/>
              <w:spacing w:before="94"/>
              <w:ind w:right="2091"/>
              <w:jc w:val="right"/>
              <w:rPr>
                <w:sz w:val="31"/>
              </w:rPr>
            </w:pPr>
            <w:r>
              <w:rPr>
                <w:w w:val="90"/>
                <w:sz w:val="31"/>
              </w:rPr>
              <w:t>0.54</w:t>
            </w:r>
          </w:p>
        </w:tc>
        <w:tc>
          <w:tcPr>
            <w:tcW w:w="2264" w:type="dxa"/>
          </w:tcPr>
          <w:p>
            <w:pPr>
              <w:pStyle w:val="TableParagraph"/>
              <w:spacing w:before="94"/>
              <w:ind w:left="478"/>
              <w:jc w:val="center"/>
              <w:rPr>
                <w:sz w:val="31"/>
              </w:rPr>
            </w:pPr>
            <w:r>
              <w:rPr>
                <w:sz w:val="31"/>
              </w:rPr>
              <w:t>1.00</w:t>
            </w:r>
          </w:p>
        </w:tc>
      </w:tr>
      <w:tr>
        <w:tblPrEx>
          <w:tblW w:w="0" w:type="auto"/>
          <w:jc w:val="left"/>
          <w:tblInd w:w="601" w:type="dxa"/>
          <w:tblLayout w:type="fixed"/>
          <w:tblCellMar>
            <w:top w:w="0" w:type="dxa"/>
            <w:left w:w="0" w:type="dxa"/>
            <w:bottom w:w="0" w:type="dxa"/>
            <w:right w:w="0" w:type="dxa"/>
          </w:tblCellMar>
          <w:tblLook w:val="01E0"/>
        </w:tblPrEx>
        <w:trPr>
          <w:trHeight w:val="468"/>
          <w:jc w:val="left"/>
        </w:trPr>
        <w:tc>
          <w:tcPr>
            <w:tcW w:w="2493" w:type="dxa"/>
          </w:tcPr>
          <w:p>
            <w:pPr>
              <w:pStyle w:val="TableParagraph"/>
              <w:spacing w:before="56" w:line="392" w:lineRule="exact"/>
              <w:ind w:left="50"/>
              <w:rPr>
                <w:rFonts w:ascii="黑体" w:eastAsia="黑体" w:hint="eastAsia"/>
                <w:sz w:val="31"/>
              </w:rPr>
            </w:pPr>
            <w:r>
              <w:rPr>
                <w:rFonts w:ascii="黑体" w:eastAsia="黑体" w:hint="eastAsia"/>
                <w:w w:val="102"/>
                <w:sz w:val="31"/>
              </w:rPr>
              <w:t>苯</w:t>
            </w:r>
          </w:p>
        </w:tc>
        <w:tc>
          <w:tcPr>
            <w:tcW w:w="5368" w:type="dxa"/>
          </w:tcPr>
          <w:p>
            <w:pPr>
              <w:pStyle w:val="TableParagraph"/>
              <w:spacing w:before="75"/>
              <w:ind w:right="2091"/>
              <w:jc w:val="right"/>
              <w:rPr>
                <w:sz w:val="31"/>
              </w:rPr>
            </w:pPr>
            <w:r>
              <w:rPr>
                <w:w w:val="90"/>
                <w:sz w:val="31"/>
              </w:rPr>
              <w:t>6.06</w:t>
            </w:r>
          </w:p>
        </w:tc>
        <w:tc>
          <w:tcPr>
            <w:tcW w:w="2264" w:type="dxa"/>
          </w:tcPr>
          <w:p>
            <w:pPr>
              <w:pStyle w:val="TableParagraph"/>
              <w:spacing w:before="75"/>
              <w:ind w:left="485"/>
              <w:jc w:val="center"/>
              <w:rPr>
                <w:sz w:val="31"/>
              </w:rPr>
            </w:pPr>
            <w:r>
              <w:rPr>
                <w:sz w:val="31"/>
              </w:rPr>
              <w:t>11.16</w:t>
            </w:r>
          </w:p>
        </w:tc>
      </w:tr>
      <w:tr>
        <w:tblPrEx>
          <w:tblW w:w="0" w:type="auto"/>
          <w:jc w:val="left"/>
          <w:tblInd w:w="601" w:type="dxa"/>
          <w:tblLayout w:type="fixed"/>
          <w:tblCellMar>
            <w:top w:w="0" w:type="dxa"/>
            <w:left w:w="0" w:type="dxa"/>
            <w:bottom w:w="0" w:type="dxa"/>
            <w:right w:w="0" w:type="dxa"/>
          </w:tblCellMar>
          <w:tblLook w:val="01E0"/>
        </w:tblPrEx>
        <w:trPr>
          <w:trHeight w:val="467"/>
          <w:jc w:val="left"/>
        </w:trPr>
        <w:tc>
          <w:tcPr>
            <w:tcW w:w="2493" w:type="dxa"/>
          </w:tcPr>
          <w:p>
            <w:pPr>
              <w:pStyle w:val="TableParagraph"/>
              <w:spacing w:before="56" w:line="392" w:lineRule="exact"/>
              <w:ind w:left="50"/>
              <w:rPr>
                <w:rFonts w:ascii="黑体" w:eastAsia="黑体" w:hint="eastAsia"/>
                <w:sz w:val="31"/>
              </w:rPr>
            </w:pPr>
            <w:r>
              <w:rPr>
                <w:rFonts w:ascii="黑体" w:eastAsia="黑体" w:hint="eastAsia"/>
                <w:sz w:val="31"/>
              </w:rPr>
              <w:t>汽油组分</w:t>
            </w:r>
          </w:p>
        </w:tc>
        <w:tc>
          <w:tcPr>
            <w:tcW w:w="5368" w:type="dxa"/>
          </w:tcPr>
          <w:p>
            <w:pPr>
              <w:pStyle w:val="TableParagraph"/>
              <w:spacing w:before="75"/>
              <w:ind w:right="2012"/>
              <w:jc w:val="right"/>
              <w:rPr>
                <w:sz w:val="31"/>
              </w:rPr>
            </w:pPr>
            <w:r>
              <w:rPr>
                <w:w w:val="90"/>
                <w:sz w:val="31"/>
              </w:rPr>
              <w:t>28.46</w:t>
            </w:r>
          </w:p>
        </w:tc>
        <w:tc>
          <w:tcPr>
            <w:tcW w:w="2264" w:type="dxa"/>
          </w:tcPr>
          <w:p>
            <w:pPr>
              <w:pStyle w:val="TableParagraph"/>
              <w:spacing w:before="75"/>
              <w:ind w:left="478"/>
              <w:jc w:val="center"/>
              <w:rPr>
                <w:sz w:val="31"/>
              </w:rPr>
            </w:pPr>
            <w:r>
              <w:rPr>
                <w:sz w:val="31"/>
              </w:rPr>
              <w:t>52.39</w:t>
            </w:r>
          </w:p>
        </w:tc>
      </w:tr>
      <w:tr>
        <w:tblPrEx>
          <w:tblW w:w="0" w:type="auto"/>
          <w:jc w:val="left"/>
          <w:tblInd w:w="601" w:type="dxa"/>
          <w:tblLayout w:type="fixed"/>
          <w:tblCellMar>
            <w:top w:w="0" w:type="dxa"/>
            <w:left w:w="0" w:type="dxa"/>
            <w:bottom w:w="0" w:type="dxa"/>
            <w:right w:w="0" w:type="dxa"/>
          </w:tblCellMar>
          <w:tblLook w:val="01E0"/>
        </w:tblPrEx>
        <w:trPr>
          <w:trHeight w:val="468"/>
          <w:jc w:val="left"/>
        </w:trPr>
        <w:tc>
          <w:tcPr>
            <w:tcW w:w="2493" w:type="dxa"/>
          </w:tcPr>
          <w:p>
            <w:pPr>
              <w:pStyle w:val="TableParagraph"/>
              <w:spacing w:before="56" w:line="392" w:lineRule="exact"/>
              <w:ind w:left="50"/>
              <w:rPr>
                <w:sz w:val="31"/>
              </w:rPr>
            </w:pPr>
            <w:r>
              <w:rPr>
                <w:rFonts w:ascii="黑体" w:eastAsia="黑体" w:hint="eastAsia"/>
                <w:sz w:val="31"/>
              </w:rPr>
              <w:t>混合</w:t>
            </w:r>
            <w:r>
              <w:rPr>
                <w:sz w:val="31"/>
              </w:rPr>
              <w:t>C8</w:t>
            </w:r>
          </w:p>
        </w:tc>
        <w:tc>
          <w:tcPr>
            <w:tcW w:w="5368" w:type="dxa"/>
          </w:tcPr>
          <w:p>
            <w:pPr>
              <w:pStyle w:val="TableParagraph"/>
              <w:spacing w:before="75"/>
              <w:ind w:right="2008"/>
              <w:jc w:val="right"/>
              <w:rPr>
                <w:sz w:val="31"/>
              </w:rPr>
            </w:pPr>
            <w:r>
              <w:rPr>
                <w:w w:val="90"/>
                <w:sz w:val="31"/>
              </w:rPr>
              <w:t>11.09</w:t>
            </w:r>
          </w:p>
        </w:tc>
        <w:tc>
          <w:tcPr>
            <w:tcW w:w="2264" w:type="dxa"/>
          </w:tcPr>
          <w:p>
            <w:pPr>
              <w:pStyle w:val="TableParagraph"/>
              <w:spacing w:before="75"/>
              <w:ind w:left="478"/>
              <w:jc w:val="center"/>
              <w:rPr>
                <w:sz w:val="31"/>
              </w:rPr>
            </w:pPr>
            <w:r>
              <w:rPr>
                <w:sz w:val="31"/>
              </w:rPr>
              <w:t>24.10</w:t>
            </w:r>
          </w:p>
        </w:tc>
      </w:tr>
      <w:tr>
        <w:tblPrEx>
          <w:tblW w:w="0" w:type="auto"/>
          <w:jc w:val="left"/>
          <w:tblInd w:w="601" w:type="dxa"/>
          <w:tblLayout w:type="fixed"/>
          <w:tblCellMar>
            <w:top w:w="0" w:type="dxa"/>
            <w:left w:w="0" w:type="dxa"/>
            <w:bottom w:w="0" w:type="dxa"/>
            <w:right w:w="0" w:type="dxa"/>
          </w:tblCellMar>
          <w:tblLook w:val="01E0"/>
        </w:tblPrEx>
        <w:trPr>
          <w:trHeight w:val="410"/>
          <w:jc w:val="left"/>
        </w:trPr>
        <w:tc>
          <w:tcPr>
            <w:tcW w:w="2493" w:type="dxa"/>
          </w:tcPr>
          <w:p>
            <w:pPr>
              <w:pStyle w:val="TableParagraph"/>
              <w:spacing w:before="56" w:line="335" w:lineRule="exact"/>
              <w:ind w:left="50"/>
              <w:rPr>
                <w:rFonts w:ascii="黑体" w:eastAsia="黑体" w:hint="eastAsia"/>
                <w:sz w:val="31"/>
              </w:rPr>
            </w:pPr>
            <w:r>
              <w:rPr>
                <w:rFonts w:ascii="黑体" w:eastAsia="黑体" w:hint="eastAsia"/>
                <w:sz w:val="31"/>
              </w:rPr>
              <w:t>合计</w:t>
            </w:r>
          </w:p>
        </w:tc>
        <w:tc>
          <w:tcPr>
            <w:tcW w:w="5368" w:type="dxa"/>
          </w:tcPr>
          <w:p>
            <w:pPr>
              <w:pStyle w:val="TableParagraph"/>
              <w:spacing w:before="75" w:line="315" w:lineRule="exact"/>
              <w:ind w:right="2012"/>
              <w:jc w:val="right"/>
              <w:rPr>
                <w:sz w:val="31"/>
              </w:rPr>
            </w:pPr>
            <w:r>
              <w:rPr>
                <w:w w:val="90"/>
                <w:sz w:val="31"/>
              </w:rPr>
              <w:t>54.31</w:t>
            </w:r>
          </w:p>
        </w:tc>
        <w:tc>
          <w:tcPr>
            <w:tcW w:w="2264" w:type="dxa"/>
          </w:tcPr>
          <w:p>
            <w:pPr>
              <w:pStyle w:val="TableParagraph"/>
              <w:spacing w:before="75" w:line="315" w:lineRule="exact"/>
              <w:ind w:left="478"/>
              <w:jc w:val="center"/>
              <w:rPr>
                <w:sz w:val="31"/>
              </w:rPr>
            </w:pPr>
            <w:r>
              <w:rPr>
                <w:sz w:val="31"/>
              </w:rPr>
              <w:t>100</w:t>
            </w:r>
          </w:p>
        </w:tc>
      </w:tr>
    </w:tbl>
    <w:p>
      <w:pPr>
        <w:pStyle w:val="BodyText"/>
        <w:spacing w:before="2"/>
        <w:rPr>
          <w:sz w:val="3"/>
        </w:rPr>
      </w:pPr>
    </w:p>
    <w:p>
      <w:pPr>
        <w:pStyle w:val="BodyText"/>
        <w:spacing w:line="79" w:lineRule="exact"/>
        <w:ind w:left="460"/>
        <w:rPr>
          <w:sz w:val="7"/>
        </w:rPr>
      </w:pPr>
      <w:r>
        <w:rPr>
          <w:position w:val="-1"/>
          <w:sz w:val="7"/>
        </w:rPr>
        <w:drawing>
          <wp:inline distT="0" distB="0" distL="0" distR="0">
            <wp:extent cx="7132224" cy="50673"/>
            <wp:effectExtent l="0" t="0" r="0" b="0"/>
            <wp:docPr id="109"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39.png"/>
                    <pic:cNvPicPr/>
                  </pic:nvPicPr>
                  <pic:blipFill>
                    <a:blip xmlns:r="http://schemas.openxmlformats.org/officeDocument/2006/relationships" r:embed="rId17" cstate="print"/>
                    <a:stretch>
                      <a:fillRect/>
                    </a:stretch>
                  </pic:blipFill>
                  <pic:spPr>
                    <a:xfrm>
                      <a:off x="0" y="0"/>
                      <a:ext cx="7132224" cy="50673"/>
                    </a:xfrm>
                    <a:prstGeom prst="rect">
                      <a:avLst/>
                    </a:prstGeom>
                  </pic:spPr>
                </pic:pic>
              </a:graphicData>
            </a:graphic>
          </wp:inline>
        </w:drawing>
      </w:r>
    </w:p>
    <w:p>
      <w:pPr>
        <w:pStyle w:val="BodyText"/>
        <w:spacing w:before="12"/>
        <w:rPr>
          <w:sz w:val="22"/>
        </w:rPr>
      </w:pPr>
    </w:p>
    <w:p>
      <w:pPr>
        <w:pStyle w:val="ListParagraph"/>
        <w:numPr>
          <w:ilvl w:val="2"/>
          <w:numId w:val="40"/>
        </w:numPr>
        <w:tabs>
          <w:tab w:val="left" w:pos="1454"/>
        </w:tabs>
        <w:spacing w:before="92" w:after="0" w:line="240" w:lineRule="auto"/>
        <w:ind w:left="1453" w:right="0" w:hanging="810"/>
        <w:jc w:val="left"/>
        <w:rPr>
          <w:rFonts w:ascii="Arial" w:eastAsia="Arial"/>
          <w:sz w:val="36"/>
        </w:rPr>
      </w:pPr>
      <w:r>
        <w:rPr>
          <w:rFonts w:ascii="黑体" w:eastAsia="黑体" w:hint="eastAsia"/>
          <w:sz w:val="36"/>
        </w:rPr>
        <w:t>异构化单元</w:t>
      </w:r>
    </w:p>
    <w:p>
      <w:pPr>
        <w:pStyle w:val="BodyText"/>
        <w:spacing w:before="150" w:line="316" w:lineRule="auto"/>
        <w:ind w:left="644" w:right="2295" w:firstLine="719"/>
      </w:pPr>
      <w:r>
        <w:t>异构化过程是在一定的反应条件和有催化剂存在下，将正构烷烃转变为异构烷烃。异构化过程可用于制造高辛烷值汽油组分。加氢改</w:t>
      </w:r>
    </w:p>
    <w:p>
      <w:pPr>
        <w:spacing w:after="0" w:line="316" w:lineRule="auto"/>
        <w:sectPr>
          <w:pgSz w:w="15480" w:h="21860"/>
          <w:pgMar w:top="2040" w:right="0" w:bottom="280" w:left="1740" w:header="708" w:footer="708"/>
          <w:pgNumType w:start="37"/>
          <w:cols w:space="708"/>
        </w:sectPr>
      </w:pPr>
    </w:p>
    <w:p>
      <w:pPr>
        <w:pStyle w:val="BodyText"/>
        <w:spacing w:before="44" w:line="316" w:lineRule="auto"/>
        <w:ind w:left="644" w:right="2205"/>
      </w:pPr>
      <w:r>
        <w:drawing>
          <wp:anchor distT="0" distB="0" distL="0" distR="0" simplePos="0" relativeHeight="251704320" behindDoc="0" locked="0" layoutInCell="1" allowOverlap="1">
            <wp:simplePos x="0" y="0"/>
            <wp:positionH relativeFrom="page">
              <wp:posOffset>1409700</wp:posOffset>
            </wp:positionH>
            <wp:positionV relativeFrom="paragraph">
              <wp:posOffset>1524127</wp:posOffset>
            </wp:positionV>
            <wp:extent cx="7137400" cy="38100"/>
            <wp:effectExtent l="0" t="0" r="0" b="0"/>
            <wp:wrapNone/>
            <wp:docPr id="111"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40.png"/>
                    <pic:cNvPicPr/>
                  </pic:nvPicPr>
                  <pic:blipFill>
                    <a:blip xmlns:r="http://schemas.openxmlformats.org/officeDocument/2006/relationships" r:embed="rId15" cstate="print"/>
                    <a:stretch>
                      <a:fillRect/>
                    </a:stretch>
                  </pic:blipFill>
                  <pic:spPr>
                    <a:xfrm>
                      <a:off x="0" y="0"/>
                      <a:ext cx="7137400" cy="38100"/>
                    </a:xfrm>
                    <a:prstGeom prst="rect">
                      <a:avLst/>
                    </a:prstGeom>
                  </pic:spPr>
                </pic:pic>
              </a:graphicData>
            </a:graphic>
          </wp:anchor>
        </w:drawing>
      </w:r>
      <w:r>
        <w:drawing>
          <wp:anchor distT="0" distB="0" distL="0" distR="0" simplePos="0" relativeHeight="251705344" behindDoc="0" locked="0" layoutInCell="1" allowOverlap="1">
            <wp:simplePos x="0" y="0"/>
            <wp:positionH relativeFrom="page">
              <wp:posOffset>1397000</wp:posOffset>
            </wp:positionH>
            <wp:positionV relativeFrom="page">
              <wp:posOffset>3416299</wp:posOffset>
            </wp:positionV>
            <wp:extent cx="7150100" cy="50800"/>
            <wp:effectExtent l="0" t="0" r="0" b="0"/>
            <wp:wrapNone/>
            <wp:docPr id="113"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41.png"/>
                    <pic:cNvPicPr/>
                  </pic:nvPicPr>
                  <pic:blipFill>
                    <a:blip xmlns:r="http://schemas.openxmlformats.org/officeDocument/2006/relationships" r:embed="rId14" cstate="print"/>
                    <a:stretch>
                      <a:fillRect/>
                    </a:stretch>
                  </pic:blipFill>
                  <pic:spPr>
                    <a:xfrm>
                      <a:off x="0" y="0"/>
                      <a:ext cx="7150100" cy="50800"/>
                    </a:xfrm>
                    <a:prstGeom prst="rect">
                      <a:avLst/>
                    </a:prstGeom>
                  </pic:spPr>
                </pic:pic>
              </a:graphicData>
            </a:graphic>
          </wp:anchor>
        </w:drawing>
      </w:r>
      <w:r>
        <w:drawing>
          <wp:anchor distT="0" distB="0" distL="0" distR="0" simplePos="0" relativeHeight="251706368" behindDoc="0" locked="0" layoutInCell="1" allowOverlap="1">
            <wp:simplePos x="0" y="0"/>
            <wp:positionH relativeFrom="page">
              <wp:posOffset>1409700</wp:posOffset>
            </wp:positionH>
            <wp:positionV relativeFrom="page">
              <wp:posOffset>4216399</wp:posOffset>
            </wp:positionV>
            <wp:extent cx="7137400" cy="38100"/>
            <wp:effectExtent l="0" t="0" r="0" b="0"/>
            <wp:wrapNone/>
            <wp:docPr id="115"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42.png"/>
                    <pic:cNvPicPr/>
                  </pic:nvPicPr>
                  <pic:blipFill>
                    <a:blip xmlns:r="http://schemas.openxmlformats.org/officeDocument/2006/relationships" r:embed="rId19" cstate="print"/>
                    <a:stretch>
                      <a:fillRect/>
                    </a:stretch>
                  </pic:blipFill>
                  <pic:spPr>
                    <a:xfrm>
                      <a:off x="0" y="0"/>
                      <a:ext cx="7137400" cy="38100"/>
                    </a:xfrm>
                    <a:prstGeom prst="rect">
                      <a:avLst/>
                    </a:prstGeom>
                  </pic:spPr>
                </pic:pic>
              </a:graphicData>
            </a:graphic>
          </wp:anchor>
        </w:drawing>
      </w:r>
      <w:r>
        <w:drawing>
          <wp:anchor distT="0" distB="0" distL="0" distR="0" simplePos="0" relativeHeight="251707392" behindDoc="0" locked="0" layoutInCell="1" allowOverlap="1">
            <wp:simplePos x="0" y="0"/>
            <wp:positionH relativeFrom="page">
              <wp:posOffset>1409700</wp:posOffset>
            </wp:positionH>
            <wp:positionV relativeFrom="page">
              <wp:posOffset>3886199</wp:posOffset>
            </wp:positionV>
            <wp:extent cx="7137400" cy="50800"/>
            <wp:effectExtent l="0" t="0" r="0" b="0"/>
            <wp:wrapNone/>
            <wp:docPr id="117"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43.png"/>
                    <pic:cNvPicPr/>
                  </pic:nvPicPr>
                  <pic:blipFill>
                    <a:blip xmlns:r="http://schemas.openxmlformats.org/officeDocument/2006/relationships" r:embed="rId16" cstate="print"/>
                    <a:stretch>
                      <a:fillRect/>
                    </a:stretch>
                  </pic:blipFill>
                  <pic:spPr>
                    <a:xfrm>
                      <a:off x="0" y="0"/>
                      <a:ext cx="7137400" cy="50800"/>
                    </a:xfrm>
                    <a:prstGeom prst="rect">
                      <a:avLst/>
                    </a:prstGeom>
                  </pic:spPr>
                </pic:pic>
              </a:graphicData>
            </a:graphic>
          </wp:anchor>
        </w:drawing>
      </w:r>
      <w:r>
        <w:drawing>
          <wp:anchor distT="0" distB="0" distL="0" distR="0" simplePos="0" relativeHeight="251708416" behindDoc="0" locked="0" layoutInCell="1" allowOverlap="1">
            <wp:simplePos x="0" y="0"/>
            <wp:positionH relativeFrom="page">
              <wp:posOffset>1409700</wp:posOffset>
            </wp:positionH>
            <wp:positionV relativeFrom="paragraph">
              <wp:posOffset>1193927</wp:posOffset>
            </wp:positionV>
            <wp:extent cx="7137400" cy="50800"/>
            <wp:effectExtent l="0" t="0" r="0" b="0"/>
            <wp:wrapNone/>
            <wp:docPr id="119"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43.png"/>
                    <pic:cNvPicPr/>
                  </pic:nvPicPr>
                  <pic:blipFill>
                    <a:blip xmlns:r="http://schemas.openxmlformats.org/officeDocument/2006/relationships" r:embed="rId16" cstate="print"/>
                    <a:stretch>
                      <a:fillRect/>
                    </a:stretch>
                  </pic:blipFill>
                  <pic:spPr>
                    <a:xfrm>
                      <a:off x="0" y="0"/>
                      <a:ext cx="7137400" cy="50800"/>
                    </a:xfrm>
                    <a:prstGeom prst="rect">
                      <a:avLst/>
                    </a:prstGeom>
                  </pic:spPr>
                </pic:pic>
              </a:graphicData>
            </a:graphic>
          </wp:anchor>
        </w:drawing>
      </w:r>
      <w:r>
        <w:rPr>
          <w:spacing w:val="-7"/>
        </w:rPr>
        <w:t xml:space="preserve">质单元出来的轻石脑油进入异构化单元。一期工程为两套 </w:t>
      </w:r>
      <w:r>
        <w:rPr>
          <w:rFonts w:ascii="Times New Roman" w:eastAsia="Times New Roman" w:hAnsi="Times New Roman"/>
        </w:rPr>
        <w:t xml:space="preserve">1×25 </w:t>
      </w:r>
      <w:r>
        <w:rPr>
          <w:spacing w:val="-45"/>
        </w:rPr>
        <w:t xml:space="preserve">万 </w:t>
      </w:r>
      <w:r>
        <w:rPr>
          <w:rFonts w:ascii="Times New Roman" w:eastAsia="Times New Roman" w:hAnsi="Times New Roman"/>
        </w:rPr>
        <w:t>t/</w:t>
      </w:r>
      <w:r>
        <w:rPr>
          <w:spacing w:val="-17"/>
        </w:rPr>
        <w:t>年</w:t>
      </w:r>
      <w:r>
        <w:t>装置。</w:t>
      </w:r>
    </w:p>
    <w:p>
      <w:pPr>
        <w:pStyle w:val="BodyText"/>
        <w:spacing w:before="7"/>
        <w:rPr>
          <w:sz w:val="20"/>
        </w:rPr>
      </w:pPr>
    </w:p>
    <w:tbl>
      <w:tblPr>
        <w:tblStyle w:val="TableNormal8"/>
        <w:tblW w:w="0" w:type="auto"/>
        <w:jc w:val="left"/>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72"/>
        <w:gridCol w:w="5325"/>
        <w:gridCol w:w="2145"/>
      </w:tblGrid>
      <w:tr>
        <w:tblPrEx>
          <w:tblW w:w="0" w:type="auto"/>
          <w:jc w:val="left"/>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26"/>
          <w:jc w:val="left"/>
        </w:trPr>
        <w:tc>
          <w:tcPr>
            <w:tcW w:w="2572" w:type="dxa"/>
          </w:tcPr>
          <w:p>
            <w:pPr>
              <w:pStyle w:val="TableParagraph"/>
              <w:spacing w:before="7"/>
              <w:rPr>
                <w:rFonts w:ascii="宋体"/>
                <w:sz w:val="37"/>
              </w:rPr>
            </w:pPr>
          </w:p>
          <w:p>
            <w:pPr>
              <w:pStyle w:val="TableParagraph"/>
              <w:spacing w:before="1"/>
              <w:ind w:left="50"/>
              <w:rPr>
                <w:rFonts w:ascii="黑体" w:eastAsia="黑体" w:hint="eastAsia"/>
                <w:sz w:val="31"/>
              </w:rPr>
            </w:pPr>
            <w:r>
              <w:rPr>
                <w:rFonts w:ascii="黑体" w:eastAsia="黑体" w:hint="eastAsia"/>
                <w:sz w:val="31"/>
              </w:rPr>
              <w:t>原料</w:t>
            </w:r>
          </w:p>
        </w:tc>
        <w:tc>
          <w:tcPr>
            <w:tcW w:w="5325" w:type="dxa"/>
          </w:tcPr>
          <w:p>
            <w:pPr>
              <w:pStyle w:val="TableParagraph"/>
              <w:spacing w:line="368" w:lineRule="exact"/>
              <w:ind w:left="1268" w:right="735"/>
              <w:jc w:val="center"/>
              <w:rPr>
                <w:rFonts w:ascii="黑体" w:eastAsia="黑体" w:hint="eastAsia"/>
                <w:sz w:val="31"/>
              </w:rPr>
            </w:pPr>
            <w:r>
              <w:rPr>
                <w:rFonts w:ascii="黑体" w:eastAsia="黑体" w:hint="eastAsia"/>
                <w:sz w:val="31"/>
              </w:rPr>
              <w:t xml:space="preserve">表 </w:t>
            </w:r>
            <w:r>
              <w:rPr>
                <w:rFonts w:ascii="Times New Roman" w:eastAsia="Times New Roman"/>
                <w:sz w:val="31"/>
              </w:rPr>
              <w:t xml:space="preserve">3-17 </w:t>
            </w:r>
            <w:r>
              <w:rPr>
                <w:rFonts w:ascii="黑体" w:eastAsia="黑体" w:hint="eastAsia"/>
                <w:sz w:val="31"/>
              </w:rPr>
              <w:t>异构化单元进料</w:t>
            </w:r>
          </w:p>
          <w:p>
            <w:pPr>
              <w:pStyle w:val="TableParagraph"/>
              <w:spacing w:before="114"/>
              <w:ind w:left="1236" w:right="735"/>
              <w:jc w:val="center"/>
              <w:rPr>
                <w:rFonts w:ascii="黑体" w:eastAsia="黑体" w:hint="eastAsia"/>
                <w:sz w:val="31"/>
              </w:rPr>
            </w:pPr>
            <w:r>
              <w:rPr>
                <w:rFonts w:ascii="黑体" w:eastAsia="黑体" w:hint="eastAsia"/>
                <w:sz w:val="31"/>
              </w:rPr>
              <w:t>数量 万吨</w:t>
            </w:r>
            <w:r>
              <w:rPr>
                <w:rFonts w:ascii="Times New Roman" w:eastAsia="Times New Roman"/>
                <w:sz w:val="31"/>
              </w:rPr>
              <w:t>/</w:t>
            </w:r>
            <w:r>
              <w:rPr>
                <w:rFonts w:ascii="黑体" w:eastAsia="黑体" w:hint="eastAsia"/>
                <w:sz w:val="31"/>
              </w:rPr>
              <w:t>年</w:t>
            </w:r>
          </w:p>
        </w:tc>
        <w:tc>
          <w:tcPr>
            <w:tcW w:w="2145" w:type="dxa"/>
          </w:tcPr>
          <w:p>
            <w:pPr>
              <w:pStyle w:val="TableParagraph"/>
              <w:spacing w:before="7"/>
              <w:rPr>
                <w:rFonts w:ascii="宋体"/>
                <w:sz w:val="37"/>
              </w:rPr>
            </w:pPr>
          </w:p>
          <w:p>
            <w:pPr>
              <w:pStyle w:val="TableParagraph"/>
              <w:spacing w:before="1"/>
              <w:ind w:right="47"/>
              <w:jc w:val="right"/>
              <w:rPr>
                <w:rFonts w:ascii="Times New Roman" w:eastAsia="Times New Roman"/>
                <w:sz w:val="31"/>
              </w:rPr>
            </w:pPr>
            <w:r>
              <w:rPr>
                <w:rFonts w:ascii="黑体" w:eastAsia="黑体" w:hint="eastAsia"/>
                <w:sz w:val="31"/>
              </w:rPr>
              <w:t xml:space="preserve">百分比 </w:t>
            </w:r>
            <w:r>
              <w:rPr>
                <w:rFonts w:ascii="Times New Roman" w:eastAsia="Times New Roman"/>
                <w:sz w:val="31"/>
              </w:rPr>
              <w:t>%</w:t>
            </w:r>
          </w:p>
        </w:tc>
      </w:tr>
      <w:tr>
        <w:tblPrEx>
          <w:tblW w:w="0" w:type="auto"/>
          <w:jc w:val="left"/>
          <w:tblInd w:w="601" w:type="dxa"/>
          <w:tblLayout w:type="fixed"/>
          <w:tblCellMar>
            <w:top w:w="0" w:type="dxa"/>
            <w:left w:w="0" w:type="dxa"/>
            <w:bottom w:w="0" w:type="dxa"/>
            <w:right w:w="0" w:type="dxa"/>
          </w:tblCellMar>
          <w:tblLook w:val="01E0"/>
        </w:tblPrEx>
        <w:trPr>
          <w:trHeight w:val="480"/>
          <w:jc w:val="left"/>
        </w:trPr>
        <w:tc>
          <w:tcPr>
            <w:tcW w:w="2572" w:type="dxa"/>
          </w:tcPr>
          <w:p>
            <w:pPr>
              <w:pStyle w:val="TableParagraph"/>
              <w:spacing w:before="49"/>
              <w:ind w:left="50"/>
              <w:rPr>
                <w:rFonts w:ascii="黑体" w:eastAsia="黑体" w:hint="eastAsia"/>
                <w:sz w:val="31"/>
              </w:rPr>
            </w:pPr>
            <w:r>
              <w:rPr>
                <w:rFonts w:ascii="黑体" w:eastAsia="黑体" w:hint="eastAsia"/>
                <w:sz w:val="31"/>
              </w:rPr>
              <w:t>纯氢气</w:t>
            </w:r>
          </w:p>
        </w:tc>
        <w:tc>
          <w:tcPr>
            <w:tcW w:w="5325" w:type="dxa"/>
          </w:tcPr>
          <w:p>
            <w:pPr>
              <w:pStyle w:val="TableParagraph"/>
              <w:spacing w:before="69"/>
              <w:ind w:left="1246" w:right="735"/>
              <w:jc w:val="center"/>
              <w:rPr>
                <w:rFonts w:ascii="Times New Roman"/>
                <w:sz w:val="31"/>
              </w:rPr>
            </w:pPr>
            <w:r>
              <w:rPr>
                <w:rFonts w:ascii="Times New Roman"/>
                <w:sz w:val="31"/>
              </w:rPr>
              <w:t>0.11</w:t>
            </w:r>
          </w:p>
        </w:tc>
        <w:tc>
          <w:tcPr>
            <w:tcW w:w="2145" w:type="dxa"/>
          </w:tcPr>
          <w:p>
            <w:pPr>
              <w:pStyle w:val="TableParagraph"/>
              <w:spacing w:before="69"/>
              <w:ind w:left="1054"/>
              <w:rPr>
                <w:rFonts w:ascii="Times New Roman"/>
                <w:sz w:val="31"/>
              </w:rPr>
            </w:pPr>
            <w:r>
              <w:rPr>
                <w:rFonts w:ascii="Times New Roman"/>
                <w:sz w:val="31"/>
              </w:rPr>
              <w:t>0.50</w:t>
            </w:r>
          </w:p>
        </w:tc>
      </w:tr>
      <w:tr>
        <w:tblPrEx>
          <w:tblW w:w="0" w:type="auto"/>
          <w:jc w:val="left"/>
          <w:tblInd w:w="601" w:type="dxa"/>
          <w:tblLayout w:type="fixed"/>
          <w:tblCellMar>
            <w:top w:w="0" w:type="dxa"/>
            <w:left w:w="0" w:type="dxa"/>
            <w:bottom w:w="0" w:type="dxa"/>
            <w:right w:w="0" w:type="dxa"/>
          </w:tblCellMar>
          <w:tblLook w:val="01E0"/>
        </w:tblPrEx>
        <w:trPr>
          <w:trHeight w:val="606"/>
          <w:jc w:val="left"/>
        </w:trPr>
        <w:tc>
          <w:tcPr>
            <w:tcW w:w="2572" w:type="dxa"/>
          </w:tcPr>
          <w:p>
            <w:pPr>
              <w:pStyle w:val="TableParagraph"/>
              <w:spacing w:before="36"/>
              <w:ind w:left="50"/>
              <w:rPr>
                <w:rFonts w:ascii="黑体" w:eastAsia="黑体" w:hint="eastAsia"/>
                <w:sz w:val="31"/>
              </w:rPr>
            </w:pPr>
            <w:r>
              <w:rPr>
                <w:rFonts w:ascii="黑体" w:eastAsia="黑体" w:hint="eastAsia"/>
                <w:sz w:val="31"/>
              </w:rPr>
              <w:t>轻石脑油</w:t>
            </w:r>
          </w:p>
        </w:tc>
        <w:tc>
          <w:tcPr>
            <w:tcW w:w="5325" w:type="dxa"/>
          </w:tcPr>
          <w:p>
            <w:pPr>
              <w:pStyle w:val="TableParagraph"/>
              <w:spacing w:before="57"/>
              <w:ind w:left="1239" w:right="735"/>
              <w:jc w:val="center"/>
              <w:rPr>
                <w:rFonts w:ascii="Times New Roman"/>
                <w:sz w:val="31"/>
              </w:rPr>
            </w:pPr>
            <w:r>
              <w:rPr>
                <w:rFonts w:ascii="Times New Roman"/>
                <w:sz w:val="31"/>
              </w:rPr>
              <w:t>22.15</w:t>
            </w:r>
          </w:p>
        </w:tc>
        <w:tc>
          <w:tcPr>
            <w:tcW w:w="2145" w:type="dxa"/>
          </w:tcPr>
          <w:p>
            <w:pPr>
              <w:pStyle w:val="TableParagraph"/>
              <w:spacing w:before="57"/>
              <w:ind w:left="1054"/>
              <w:rPr>
                <w:rFonts w:ascii="Times New Roman"/>
                <w:sz w:val="31"/>
              </w:rPr>
            </w:pPr>
            <w:r>
              <w:rPr>
                <w:rFonts w:ascii="Times New Roman"/>
                <w:sz w:val="31"/>
              </w:rPr>
              <w:t>99.5</w:t>
            </w:r>
          </w:p>
        </w:tc>
      </w:tr>
      <w:tr>
        <w:tblPrEx>
          <w:tblW w:w="0" w:type="auto"/>
          <w:jc w:val="left"/>
          <w:tblInd w:w="601" w:type="dxa"/>
          <w:tblLayout w:type="fixed"/>
          <w:tblCellMar>
            <w:top w:w="0" w:type="dxa"/>
            <w:left w:w="0" w:type="dxa"/>
            <w:bottom w:w="0" w:type="dxa"/>
            <w:right w:w="0" w:type="dxa"/>
          </w:tblCellMar>
          <w:tblLook w:val="01E0"/>
        </w:tblPrEx>
        <w:trPr>
          <w:trHeight w:val="630"/>
          <w:jc w:val="left"/>
        </w:trPr>
        <w:tc>
          <w:tcPr>
            <w:tcW w:w="2572" w:type="dxa"/>
          </w:tcPr>
          <w:p>
            <w:pPr>
              <w:pStyle w:val="TableParagraph"/>
              <w:rPr>
                <w:rFonts w:ascii="Times New Roman"/>
                <w:sz w:val="34"/>
              </w:rPr>
            </w:pPr>
          </w:p>
        </w:tc>
        <w:tc>
          <w:tcPr>
            <w:tcW w:w="5325" w:type="dxa"/>
          </w:tcPr>
          <w:p>
            <w:pPr>
              <w:pStyle w:val="TableParagraph"/>
              <w:spacing w:before="175"/>
              <w:ind w:left="1268" w:right="735"/>
              <w:jc w:val="center"/>
              <w:rPr>
                <w:rFonts w:ascii="黑体" w:eastAsia="黑体" w:hint="eastAsia"/>
                <w:sz w:val="31"/>
              </w:rPr>
            </w:pPr>
            <w:r>
              <w:rPr>
                <w:rFonts w:ascii="黑体" w:eastAsia="黑体" w:hint="eastAsia"/>
                <w:sz w:val="31"/>
              </w:rPr>
              <w:t xml:space="preserve">表 </w:t>
            </w:r>
            <w:r>
              <w:rPr>
                <w:rFonts w:ascii="Times New Roman" w:eastAsia="Times New Roman"/>
                <w:sz w:val="31"/>
              </w:rPr>
              <w:t xml:space="preserve">3-18 </w:t>
            </w:r>
            <w:r>
              <w:rPr>
                <w:rFonts w:ascii="黑体" w:eastAsia="黑体" w:hint="eastAsia"/>
                <w:sz w:val="31"/>
              </w:rPr>
              <w:t>异构化单元产品</w:t>
            </w:r>
          </w:p>
        </w:tc>
        <w:tc>
          <w:tcPr>
            <w:tcW w:w="2145" w:type="dxa"/>
          </w:tcPr>
          <w:p>
            <w:pPr>
              <w:pStyle w:val="TableParagraph"/>
              <w:rPr>
                <w:rFonts w:ascii="Times New Roman"/>
                <w:sz w:val="34"/>
              </w:rPr>
            </w:pPr>
          </w:p>
        </w:tc>
      </w:tr>
      <w:tr>
        <w:tblPrEx>
          <w:tblW w:w="0" w:type="auto"/>
          <w:jc w:val="left"/>
          <w:tblInd w:w="601" w:type="dxa"/>
          <w:tblLayout w:type="fixed"/>
          <w:tblCellMar>
            <w:top w:w="0" w:type="dxa"/>
            <w:left w:w="0" w:type="dxa"/>
            <w:bottom w:w="0" w:type="dxa"/>
            <w:right w:w="0" w:type="dxa"/>
          </w:tblCellMar>
          <w:tblLook w:val="01E0"/>
        </w:tblPrEx>
        <w:trPr>
          <w:trHeight w:val="502"/>
          <w:jc w:val="left"/>
        </w:trPr>
        <w:tc>
          <w:tcPr>
            <w:tcW w:w="2572" w:type="dxa"/>
          </w:tcPr>
          <w:p>
            <w:pPr>
              <w:pStyle w:val="TableParagraph"/>
              <w:spacing w:before="60"/>
              <w:ind w:left="50"/>
              <w:rPr>
                <w:rFonts w:ascii="黑体" w:eastAsia="黑体" w:hint="eastAsia"/>
                <w:sz w:val="31"/>
              </w:rPr>
            </w:pPr>
            <w:r>
              <w:rPr>
                <w:rFonts w:ascii="黑体" w:eastAsia="黑体" w:hint="eastAsia"/>
                <w:sz w:val="31"/>
              </w:rPr>
              <w:t>产品</w:t>
            </w:r>
          </w:p>
        </w:tc>
        <w:tc>
          <w:tcPr>
            <w:tcW w:w="5325" w:type="dxa"/>
          </w:tcPr>
          <w:p>
            <w:pPr>
              <w:pStyle w:val="TableParagraph"/>
              <w:spacing w:before="60"/>
              <w:ind w:left="1229" w:right="735"/>
              <w:jc w:val="center"/>
              <w:rPr>
                <w:rFonts w:ascii="黑体" w:eastAsia="黑体" w:hint="eastAsia"/>
                <w:sz w:val="31"/>
              </w:rPr>
            </w:pPr>
            <w:r>
              <w:rPr>
                <w:rFonts w:ascii="黑体" w:eastAsia="黑体" w:hint="eastAsia"/>
                <w:sz w:val="31"/>
              </w:rPr>
              <w:t>数量 万吨</w:t>
            </w:r>
            <w:r>
              <w:rPr>
                <w:rFonts w:ascii="Times New Roman" w:eastAsia="Times New Roman"/>
                <w:sz w:val="31"/>
              </w:rPr>
              <w:t>/</w:t>
            </w:r>
            <w:r>
              <w:rPr>
                <w:rFonts w:ascii="黑体" w:eastAsia="黑体" w:hint="eastAsia"/>
                <w:sz w:val="31"/>
              </w:rPr>
              <w:t>年</w:t>
            </w:r>
          </w:p>
        </w:tc>
        <w:tc>
          <w:tcPr>
            <w:tcW w:w="2145" w:type="dxa"/>
          </w:tcPr>
          <w:p>
            <w:pPr>
              <w:pStyle w:val="TableParagraph"/>
              <w:spacing w:before="60"/>
              <w:ind w:right="50"/>
              <w:jc w:val="right"/>
              <w:rPr>
                <w:rFonts w:ascii="Times New Roman" w:eastAsia="Times New Roman"/>
                <w:sz w:val="31"/>
              </w:rPr>
            </w:pPr>
            <w:r>
              <w:rPr>
                <w:rFonts w:ascii="黑体" w:eastAsia="黑体" w:hint="eastAsia"/>
                <w:sz w:val="31"/>
              </w:rPr>
              <w:t xml:space="preserve">百分比 </w:t>
            </w:r>
            <w:r>
              <w:rPr>
                <w:rFonts w:ascii="Times New Roman" w:eastAsia="Times New Roman"/>
                <w:sz w:val="31"/>
              </w:rPr>
              <w:t>%</w:t>
            </w:r>
          </w:p>
        </w:tc>
      </w:tr>
      <w:tr>
        <w:tblPrEx>
          <w:tblW w:w="0" w:type="auto"/>
          <w:jc w:val="left"/>
          <w:tblInd w:w="601" w:type="dxa"/>
          <w:tblLayout w:type="fixed"/>
          <w:tblCellMar>
            <w:top w:w="0" w:type="dxa"/>
            <w:left w:w="0" w:type="dxa"/>
            <w:bottom w:w="0" w:type="dxa"/>
            <w:right w:w="0" w:type="dxa"/>
          </w:tblCellMar>
          <w:tblLook w:val="01E0"/>
        </w:tblPrEx>
        <w:trPr>
          <w:trHeight w:val="478"/>
          <w:jc w:val="left"/>
        </w:trPr>
        <w:tc>
          <w:tcPr>
            <w:tcW w:w="2572" w:type="dxa"/>
          </w:tcPr>
          <w:p>
            <w:pPr>
              <w:pStyle w:val="TableParagraph"/>
              <w:spacing w:before="47"/>
              <w:ind w:left="50"/>
              <w:rPr>
                <w:rFonts w:ascii="黑体" w:eastAsia="黑体" w:hint="eastAsia"/>
                <w:sz w:val="31"/>
              </w:rPr>
            </w:pPr>
            <w:r>
              <w:rPr>
                <w:rFonts w:ascii="黑体" w:eastAsia="黑体" w:hint="eastAsia"/>
                <w:sz w:val="31"/>
              </w:rPr>
              <w:t>燃料气</w:t>
            </w:r>
          </w:p>
        </w:tc>
        <w:tc>
          <w:tcPr>
            <w:tcW w:w="5325" w:type="dxa"/>
          </w:tcPr>
          <w:p>
            <w:pPr>
              <w:pStyle w:val="TableParagraph"/>
              <w:spacing w:before="67"/>
              <w:ind w:left="1224" w:right="735"/>
              <w:jc w:val="center"/>
              <w:rPr>
                <w:rFonts w:ascii="Times New Roman"/>
                <w:sz w:val="31"/>
              </w:rPr>
            </w:pPr>
            <w:r>
              <w:rPr>
                <w:rFonts w:ascii="Times New Roman"/>
                <w:sz w:val="31"/>
              </w:rPr>
              <w:t>0.34</w:t>
            </w:r>
          </w:p>
        </w:tc>
        <w:tc>
          <w:tcPr>
            <w:tcW w:w="2145" w:type="dxa"/>
          </w:tcPr>
          <w:p>
            <w:pPr>
              <w:pStyle w:val="TableParagraph"/>
              <w:spacing w:before="67"/>
              <w:ind w:left="1050"/>
              <w:rPr>
                <w:rFonts w:ascii="Times New Roman"/>
                <w:sz w:val="31"/>
              </w:rPr>
            </w:pPr>
            <w:r>
              <w:rPr>
                <w:rFonts w:ascii="Times New Roman"/>
                <w:sz w:val="31"/>
              </w:rPr>
              <w:t>1.53</w:t>
            </w:r>
          </w:p>
        </w:tc>
      </w:tr>
      <w:tr>
        <w:tblPrEx>
          <w:tblW w:w="0" w:type="auto"/>
          <w:jc w:val="left"/>
          <w:tblInd w:w="601" w:type="dxa"/>
          <w:tblLayout w:type="fixed"/>
          <w:tblCellMar>
            <w:top w:w="0" w:type="dxa"/>
            <w:left w:w="0" w:type="dxa"/>
            <w:bottom w:w="0" w:type="dxa"/>
            <w:right w:w="0" w:type="dxa"/>
          </w:tblCellMar>
          <w:tblLook w:val="01E0"/>
        </w:tblPrEx>
        <w:trPr>
          <w:trHeight w:val="467"/>
          <w:jc w:val="left"/>
        </w:trPr>
        <w:tc>
          <w:tcPr>
            <w:tcW w:w="2572" w:type="dxa"/>
          </w:tcPr>
          <w:p>
            <w:pPr>
              <w:pStyle w:val="TableParagraph"/>
              <w:spacing w:before="36"/>
              <w:ind w:left="50"/>
              <w:rPr>
                <w:rFonts w:ascii="黑体" w:eastAsia="黑体" w:hint="eastAsia"/>
                <w:sz w:val="31"/>
              </w:rPr>
            </w:pPr>
            <w:r>
              <w:rPr>
                <w:rFonts w:ascii="黑体" w:eastAsia="黑体" w:hint="eastAsia"/>
                <w:sz w:val="31"/>
              </w:rPr>
              <w:t>液化气</w:t>
            </w:r>
          </w:p>
        </w:tc>
        <w:tc>
          <w:tcPr>
            <w:tcW w:w="5325" w:type="dxa"/>
          </w:tcPr>
          <w:p>
            <w:pPr>
              <w:pStyle w:val="TableParagraph"/>
              <w:spacing w:before="57"/>
              <w:ind w:left="1224" w:right="735"/>
              <w:jc w:val="center"/>
              <w:rPr>
                <w:rFonts w:ascii="Times New Roman"/>
                <w:sz w:val="31"/>
              </w:rPr>
            </w:pPr>
            <w:r>
              <w:rPr>
                <w:rFonts w:ascii="Times New Roman"/>
                <w:sz w:val="31"/>
              </w:rPr>
              <w:t>0.24</w:t>
            </w:r>
          </w:p>
        </w:tc>
        <w:tc>
          <w:tcPr>
            <w:tcW w:w="2145" w:type="dxa"/>
          </w:tcPr>
          <w:p>
            <w:pPr>
              <w:pStyle w:val="TableParagraph"/>
              <w:spacing w:before="57"/>
              <w:ind w:left="1050"/>
              <w:rPr>
                <w:rFonts w:ascii="Times New Roman"/>
                <w:sz w:val="31"/>
              </w:rPr>
            </w:pPr>
            <w:r>
              <w:rPr>
                <w:rFonts w:ascii="Times New Roman"/>
                <w:sz w:val="31"/>
              </w:rPr>
              <w:t>1.07</w:t>
            </w:r>
          </w:p>
        </w:tc>
      </w:tr>
      <w:tr>
        <w:tblPrEx>
          <w:tblW w:w="0" w:type="auto"/>
          <w:jc w:val="left"/>
          <w:tblInd w:w="601" w:type="dxa"/>
          <w:tblLayout w:type="fixed"/>
          <w:tblCellMar>
            <w:top w:w="0" w:type="dxa"/>
            <w:left w:w="0" w:type="dxa"/>
            <w:bottom w:w="0" w:type="dxa"/>
            <w:right w:w="0" w:type="dxa"/>
          </w:tblCellMar>
          <w:tblLook w:val="01E0"/>
        </w:tblPrEx>
        <w:trPr>
          <w:trHeight w:val="468"/>
          <w:jc w:val="left"/>
        </w:trPr>
        <w:tc>
          <w:tcPr>
            <w:tcW w:w="2572" w:type="dxa"/>
          </w:tcPr>
          <w:p>
            <w:pPr>
              <w:pStyle w:val="TableParagraph"/>
              <w:spacing w:before="36"/>
              <w:ind w:left="50"/>
              <w:rPr>
                <w:rFonts w:ascii="黑体" w:eastAsia="黑体" w:hint="eastAsia"/>
                <w:sz w:val="31"/>
              </w:rPr>
            </w:pPr>
            <w:r>
              <w:rPr>
                <w:rFonts w:ascii="黑体" w:eastAsia="黑体" w:hint="eastAsia"/>
                <w:sz w:val="31"/>
              </w:rPr>
              <w:t>异构化油</w:t>
            </w:r>
          </w:p>
        </w:tc>
        <w:tc>
          <w:tcPr>
            <w:tcW w:w="5325" w:type="dxa"/>
          </w:tcPr>
          <w:p>
            <w:pPr>
              <w:pStyle w:val="TableParagraph"/>
              <w:spacing w:before="57"/>
              <w:ind w:left="1225" w:right="735"/>
              <w:jc w:val="center"/>
              <w:rPr>
                <w:rFonts w:ascii="Times New Roman"/>
                <w:sz w:val="31"/>
              </w:rPr>
            </w:pPr>
            <w:r>
              <w:rPr>
                <w:rFonts w:ascii="Times New Roman"/>
                <w:sz w:val="31"/>
              </w:rPr>
              <w:t>21.69</w:t>
            </w:r>
          </w:p>
        </w:tc>
        <w:tc>
          <w:tcPr>
            <w:tcW w:w="2145" w:type="dxa"/>
          </w:tcPr>
          <w:p>
            <w:pPr>
              <w:pStyle w:val="TableParagraph"/>
              <w:spacing w:before="57"/>
              <w:ind w:left="971"/>
              <w:rPr>
                <w:rFonts w:ascii="Times New Roman"/>
                <w:sz w:val="31"/>
              </w:rPr>
            </w:pPr>
            <w:r>
              <w:rPr>
                <w:rFonts w:ascii="Times New Roman"/>
                <w:sz w:val="31"/>
              </w:rPr>
              <w:t>97.90</w:t>
            </w:r>
          </w:p>
        </w:tc>
      </w:tr>
      <w:tr>
        <w:tblPrEx>
          <w:tblW w:w="0" w:type="auto"/>
          <w:jc w:val="left"/>
          <w:tblInd w:w="601" w:type="dxa"/>
          <w:tblLayout w:type="fixed"/>
          <w:tblCellMar>
            <w:top w:w="0" w:type="dxa"/>
            <w:left w:w="0" w:type="dxa"/>
            <w:bottom w:w="0" w:type="dxa"/>
            <w:right w:w="0" w:type="dxa"/>
          </w:tblCellMar>
          <w:tblLook w:val="01E0"/>
        </w:tblPrEx>
        <w:trPr>
          <w:trHeight w:val="402"/>
          <w:jc w:val="left"/>
        </w:trPr>
        <w:tc>
          <w:tcPr>
            <w:tcW w:w="2572" w:type="dxa"/>
          </w:tcPr>
          <w:p>
            <w:pPr>
              <w:pStyle w:val="TableParagraph"/>
              <w:spacing w:before="36" w:line="346" w:lineRule="exact"/>
              <w:ind w:left="50"/>
              <w:rPr>
                <w:rFonts w:ascii="黑体" w:eastAsia="黑体" w:hint="eastAsia"/>
                <w:sz w:val="31"/>
              </w:rPr>
            </w:pPr>
            <w:r>
              <w:rPr>
                <w:rFonts w:ascii="黑体" w:eastAsia="黑体" w:hint="eastAsia"/>
                <w:sz w:val="31"/>
              </w:rPr>
              <w:t>合计</w:t>
            </w:r>
          </w:p>
        </w:tc>
        <w:tc>
          <w:tcPr>
            <w:tcW w:w="5325" w:type="dxa"/>
          </w:tcPr>
          <w:p>
            <w:pPr>
              <w:pStyle w:val="TableParagraph"/>
              <w:spacing w:before="57" w:line="325" w:lineRule="exact"/>
              <w:ind w:left="1225" w:right="735"/>
              <w:jc w:val="center"/>
              <w:rPr>
                <w:rFonts w:ascii="Times New Roman"/>
                <w:sz w:val="31"/>
              </w:rPr>
            </w:pPr>
            <w:r>
              <w:rPr>
                <w:rFonts w:ascii="Times New Roman"/>
                <w:sz w:val="31"/>
              </w:rPr>
              <w:t>22.15</w:t>
            </w:r>
          </w:p>
        </w:tc>
        <w:tc>
          <w:tcPr>
            <w:tcW w:w="2145" w:type="dxa"/>
          </w:tcPr>
          <w:p>
            <w:pPr>
              <w:pStyle w:val="TableParagraph"/>
              <w:spacing w:before="57" w:line="325" w:lineRule="exact"/>
              <w:ind w:left="1090"/>
              <w:rPr>
                <w:rFonts w:ascii="Times New Roman"/>
                <w:sz w:val="31"/>
              </w:rPr>
            </w:pPr>
            <w:r>
              <w:rPr>
                <w:rFonts w:ascii="Times New Roman"/>
                <w:sz w:val="31"/>
              </w:rPr>
              <w:t>100</w:t>
            </w:r>
          </w:p>
        </w:tc>
      </w:tr>
    </w:tbl>
    <w:p>
      <w:pPr>
        <w:pStyle w:val="BodyText"/>
        <w:spacing w:before="6"/>
        <w:rPr>
          <w:sz w:val="2"/>
        </w:rPr>
      </w:pPr>
    </w:p>
    <w:p>
      <w:pPr>
        <w:pStyle w:val="BodyText"/>
        <w:spacing w:line="79" w:lineRule="exact"/>
        <w:ind w:left="460"/>
        <w:rPr>
          <w:sz w:val="7"/>
        </w:rPr>
      </w:pPr>
      <w:r>
        <w:rPr>
          <w:position w:val="-1"/>
          <w:sz w:val="7"/>
        </w:rPr>
        <w:drawing>
          <wp:inline distT="0" distB="0" distL="0" distR="0">
            <wp:extent cx="7132224" cy="50673"/>
            <wp:effectExtent l="0" t="0" r="0" b="0"/>
            <wp:docPr id="121"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44.png"/>
                    <pic:cNvPicPr/>
                  </pic:nvPicPr>
                  <pic:blipFill>
                    <a:blip xmlns:r="http://schemas.openxmlformats.org/officeDocument/2006/relationships" r:embed="rId17" cstate="print"/>
                    <a:stretch>
                      <a:fillRect/>
                    </a:stretch>
                  </pic:blipFill>
                  <pic:spPr>
                    <a:xfrm>
                      <a:off x="0" y="0"/>
                      <a:ext cx="7132224" cy="50673"/>
                    </a:xfrm>
                    <a:prstGeom prst="rect">
                      <a:avLst/>
                    </a:prstGeom>
                  </pic:spPr>
                </pic:pic>
              </a:graphicData>
            </a:graphic>
          </wp:inline>
        </w:drawing>
      </w:r>
    </w:p>
    <w:p>
      <w:pPr>
        <w:pStyle w:val="BodyText"/>
        <w:spacing w:before="3"/>
        <w:rPr>
          <w:sz w:val="25"/>
        </w:rPr>
      </w:pPr>
    </w:p>
    <w:p>
      <w:pPr>
        <w:pStyle w:val="ListParagraph"/>
        <w:numPr>
          <w:ilvl w:val="2"/>
          <w:numId w:val="41"/>
        </w:numPr>
        <w:tabs>
          <w:tab w:val="left" w:pos="1454"/>
        </w:tabs>
        <w:spacing w:before="59" w:after="0" w:line="240" w:lineRule="auto"/>
        <w:ind w:left="1453" w:right="0" w:hanging="810"/>
        <w:jc w:val="left"/>
        <w:rPr>
          <w:rFonts w:ascii="Times New Roman" w:eastAsia="Times New Roman"/>
          <w:sz w:val="36"/>
        </w:rPr>
      </w:pPr>
      <w:r>
        <w:rPr>
          <w:rFonts w:ascii="黑体" w:eastAsia="黑体" w:hint="eastAsia"/>
          <w:sz w:val="36"/>
        </w:rPr>
        <w:t>煤制氢单元</w:t>
      </w:r>
    </w:p>
    <w:p>
      <w:pPr>
        <w:pStyle w:val="BodyText"/>
        <w:spacing w:before="151" w:line="316" w:lineRule="auto"/>
        <w:ind w:left="644" w:right="2202" w:firstLine="719"/>
      </w:pPr>
      <w:r>
        <w:rPr>
          <w:spacing w:val="-5"/>
        </w:rPr>
        <w:t xml:space="preserve">神华煤炭直接液化项目所需要的氢气由 </w:t>
      </w:r>
      <w:r>
        <w:rPr>
          <w:rFonts w:ascii="Times New Roman" w:eastAsia="Times New Roman"/>
        </w:rPr>
        <w:t>2</w:t>
      </w:r>
      <w:r>
        <w:rPr>
          <w:rFonts w:ascii="Times New Roman" w:eastAsia="Times New Roman"/>
          <w:spacing w:val="1"/>
        </w:rPr>
        <w:t xml:space="preserve"> </w:t>
      </w:r>
      <w:r>
        <w:rPr>
          <w:spacing w:val="-11"/>
        </w:rPr>
        <w:t xml:space="preserve">套干煤处理能力为 </w:t>
      </w:r>
      <w:r>
        <w:rPr>
          <w:rFonts w:ascii="Times New Roman" w:eastAsia="Times New Roman"/>
          <w:spacing w:val="-4"/>
        </w:rPr>
        <w:t xml:space="preserve">2000 </w:t>
      </w:r>
      <w:r>
        <w:rPr>
          <w:rFonts w:ascii="Times New Roman" w:eastAsia="Times New Roman"/>
        </w:rPr>
        <w:t>t/h</w:t>
      </w:r>
      <w:r>
        <w:rPr>
          <w:rFonts w:ascii="Times New Roman" w:eastAsia="Times New Roman"/>
          <w:spacing w:val="48"/>
        </w:rPr>
        <w:t xml:space="preserve"> </w:t>
      </w:r>
      <w:r>
        <w:rPr>
          <w:spacing w:val="-4"/>
        </w:rPr>
        <w:t xml:space="preserve">的煤制氢装置供给，采用 </w:t>
      </w:r>
      <w:r>
        <w:rPr>
          <w:rFonts w:ascii="Times New Roman" w:eastAsia="Times New Roman"/>
        </w:rPr>
        <w:t>Shell</w:t>
      </w:r>
      <w:r>
        <w:rPr>
          <w:rFonts w:ascii="Times New Roman" w:eastAsia="Times New Roman"/>
          <w:spacing w:val="49"/>
        </w:rPr>
        <w:t xml:space="preserve"> </w:t>
      </w:r>
      <w:r>
        <w:rPr>
          <w:spacing w:val="-2"/>
        </w:rPr>
        <w:t>粉煤加压气化工艺，该工艺是目前</w:t>
      </w:r>
    </w:p>
    <w:p>
      <w:pPr>
        <w:pStyle w:val="BodyText"/>
        <w:spacing w:line="273" w:lineRule="auto"/>
        <w:ind w:left="644" w:right="2200"/>
      </w:pPr>
      <w:r>
        <w:rPr>
          <w:spacing w:val="-9"/>
        </w:rPr>
        <w:t>世界上较先进的典型的煤气化工艺之一，气化炉有效气体</w:t>
      </w:r>
      <w:r>
        <w:rPr>
          <w:rFonts w:ascii="Times New Roman" w:eastAsia="Times New Roman"/>
        </w:rPr>
        <w:t>(CO+H</w:t>
      </w:r>
      <w:r>
        <w:rPr>
          <w:rFonts w:ascii="Times New Roman" w:eastAsia="Times New Roman"/>
          <w:position w:val="-12"/>
          <w:sz w:val="24"/>
        </w:rPr>
        <w:t>2</w:t>
      </w:r>
      <w:r>
        <w:rPr>
          <w:rFonts w:ascii="Times New Roman" w:eastAsia="Times New Roman"/>
        </w:rPr>
        <w:t>)</w:t>
      </w:r>
      <w:r>
        <w:t>生产</w:t>
      </w:r>
      <w:r>
        <w:rPr>
          <w:spacing w:val="-23"/>
        </w:rPr>
        <w:t xml:space="preserve">能力为 </w:t>
      </w:r>
      <w:r>
        <w:rPr>
          <w:rFonts w:ascii="Times New Roman" w:eastAsia="Times New Roman"/>
        </w:rPr>
        <w:t>150</w:t>
      </w:r>
      <w:r>
        <w:rPr>
          <w:rFonts w:ascii="Times New Roman" w:eastAsia="Times New Roman"/>
          <w:spacing w:val="1"/>
        </w:rPr>
        <w:t xml:space="preserve"> </w:t>
      </w:r>
      <w:r>
        <w:rPr>
          <w:rFonts w:ascii="Times New Roman" w:eastAsia="Times New Roman"/>
        </w:rPr>
        <w:t>000m</w:t>
      </w:r>
      <w:r>
        <w:rPr>
          <w:rFonts w:ascii="Times New Roman" w:eastAsia="Times New Roman"/>
          <w:position w:val="3"/>
          <w:sz w:val="24"/>
        </w:rPr>
        <w:t>3</w:t>
      </w:r>
      <w:r>
        <w:rPr>
          <w:rFonts w:ascii="Times New Roman" w:eastAsia="Times New Roman"/>
        </w:rPr>
        <w:t>/h</w:t>
      </w:r>
      <w:r>
        <w:rPr>
          <w:spacing w:val="7"/>
        </w:rPr>
        <w:t>。煤气化生产的合成气经</w:t>
      </w:r>
      <w:r>
        <w:rPr>
          <w:rFonts w:ascii="Times New Roman" w:eastAsia="Times New Roman"/>
        </w:rPr>
        <w:t>CO</w:t>
      </w:r>
      <w:r>
        <w:rPr>
          <w:rFonts w:ascii="Times New Roman" w:eastAsia="Times New Roman"/>
          <w:spacing w:val="1"/>
        </w:rPr>
        <w:t xml:space="preserve"> </w:t>
      </w:r>
      <w:r>
        <w:rPr>
          <w:spacing w:val="-2"/>
        </w:rPr>
        <w:t>变换、低温甲醇洗净</w:t>
      </w:r>
    </w:p>
    <w:p>
      <w:pPr>
        <w:pStyle w:val="BodyText"/>
        <w:spacing w:before="84" w:line="316" w:lineRule="auto"/>
        <w:ind w:left="644" w:right="2026"/>
      </w:pPr>
      <w:r>
        <w:rPr>
          <w:spacing w:val="-2"/>
        </w:rPr>
        <w:t>化和变压吸附提浓后供各装置使用。</w:t>
      </w:r>
      <w:r>
        <w:rPr>
          <w:rFonts w:ascii="Times New Roman" w:eastAsia="Times New Roman"/>
        </w:rPr>
        <w:t xml:space="preserve">Shell </w:t>
      </w:r>
      <w:r>
        <w:t>煤气化属加压气流床粉煤气化，以干煤粉进料，纯氧做气化剂，液态排渣。煤气中的有效成分高</w:t>
      </w:r>
      <w:r>
        <w:rPr>
          <w:spacing w:val="-39"/>
        </w:rPr>
        <w:t xml:space="preserve">达 </w:t>
      </w:r>
      <w:r>
        <w:rPr>
          <w:rFonts w:ascii="Times New Roman" w:eastAsia="Times New Roman"/>
        </w:rPr>
        <w:t>90%</w:t>
      </w:r>
      <w:r>
        <w:rPr>
          <w:spacing w:val="-6"/>
        </w:rPr>
        <w:t xml:space="preserve">以上，甲烷含量很低，煤中约 </w:t>
      </w:r>
      <w:r>
        <w:rPr>
          <w:rFonts w:ascii="Times New Roman" w:eastAsia="Times New Roman"/>
        </w:rPr>
        <w:t>83%</w:t>
      </w:r>
      <w:r>
        <w:t xml:space="preserve">以上的热能转化为有效气， </w:t>
      </w:r>
      <w:r>
        <w:rPr>
          <w:spacing w:val="-1"/>
        </w:rPr>
        <w:t xml:space="preserve">约 </w:t>
      </w:r>
      <w:r>
        <w:rPr>
          <w:rFonts w:ascii="Times New Roman" w:eastAsia="Times New Roman"/>
        </w:rPr>
        <w:t>15%</w:t>
      </w:r>
      <w:r>
        <w:t xml:space="preserve">的热能以中压蒸汽的形式回收。由于煤炭的氢含量只有 </w:t>
      </w:r>
      <w:r>
        <w:rPr>
          <w:rFonts w:ascii="Times New Roman" w:eastAsia="Times New Roman"/>
          <w:spacing w:val="3"/>
        </w:rPr>
        <w:t>4%</w:t>
      </w:r>
      <w:r>
        <w:t>左右，在煤炭直接液化生产液体油品的过程中要消耗大量的氢气，因此</w:t>
      </w:r>
      <w:r>
        <w:rPr>
          <w:spacing w:val="-6"/>
        </w:rPr>
        <w:t>煤炭直接液化项目的氢气产量和消耗量巨大，又加上耗氢的装置较多、</w:t>
      </w:r>
      <w:r>
        <w:t>系统复杂，所以煤炭液化项目的之前制氢系统就显得非常重要。</w:t>
      </w:r>
    </w:p>
    <w:p>
      <w:pPr>
        <w:spacing w:after="0" w:line="316" w:lineRule="auto"/>
        <w:sectPr>
          <w:pgSz w:w="15480" w:h="21860"/>
          <w:pgMar w:top="2000" w:right="0" w:bottom="280" w:left="1740" w:header="708" w:footer="708"/>
          <w:pgNumType w:start="38"/>
          <w:cols w:space="708"/>
        </w:sectPr>
      </w:pPr>
    </w:p>
    <w:p>
      <w:pPr>
        <w:spacing w:before="45"/>
        <w:ind w:left="3474" w:right="0" w:firstLine="0"/>
        <w:jc w:val="left"/>
        <w:rPr>
          <w:rFonts w:ascii="黑体" w:eastAsia="黑体" w:hint="eastAsia"/>
          <w:sz w:val="31"/>
        </w:rPr>
      </w:pPr>
      <w:r>
        <w:drawing>
          <wp:anchor distT="0" distB="0" distL="0" distR="0" simplePos="0" relativeHeight="251711488" behindDoc="1" locked="0" layoutInCell="1" allowOverlap="1">
            <wp:simplePos x="0" y="0"/>
            <wp:positionH relativeFrom="page">
              <wp:posOffset>1409700</wp:posOffset>
            </wp:positionH>
            <wp:positionV relativeFrom="paragraph">
              <wp:posOffset>597280</wp:posOffset>
            </wp:positionV>
            <wp:extent cx="7119556" cy="38004"/>
            <wp:effectExtent l="0" t="0" r="0" b="0"/>
            <wp:wrapNone/>
            <wp:docPr id="123"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45.png"/>
                    <pic:cNvPicPr/>
                  </pic:nvPicPr>
                  <pic:blipFill>
                    <a:blip xmlns:r="http://schemas.openxmlformats.org/officeDocument/2006/relationships" r:embed="rId12" cstate="print"/>
                    <a:stretch>
                      <a:fillRect/>
                    </a:stretch>
                  </pic:blipFill>
                  <pic:spPr>
                    <a:xfrm>
                      <a:off x="0" y="0"/>
                      <a:ext cx="7119556" cy="38004"/>
                    </a:xfrm>
                    <a:prstGeom prst="rect">
                      <a:avLst/>
                    </a:prstGeom>
                  </pic:spPr>
                </pic:pic>
              </a:graphicData>
            </a:graphic>
          </wp:anchor>
        </w:drawing>
      </w:r>
      <w:r>
        <w:rPr>
          <w:rFonts w:ascii="黑体" w:eastAsia="黑体" w:hint="eastAsia"/>
          <w:sz w:val="31"/>
        </w:rPr>
        <w:t xml:space="preserve">表 </w:t>
      </w:r>
      <w:r>
        <w:rPr>
          <w:rFonts w:ascii="Times New Roman" w:eastAsia="Times New Roman"/>
          <w:sz w:val="31"/>
        </w:rPr>
        <w:t xml:space="preserve">3-19 </w:t>
      </w:r>
      <w:r>
        <w:rPr>
          <w:rFonts w:ascii="黑体" w:eastAsia="黑体" w:hint="eastAsia"/>
          <w:sz w:val="31"/>
        </w:rPr>
        <w:t>神华煤炭直接液化项目氢气消耗</w:t>
      </w:r>
    </w:p>
    <w:p>
      <w:pPr>
        <w:pStyle w:val="BodyText"/>
        <w:spacing w:line="78" w:lineRule="exact"/>
        <w:ind w:left="480"/>
        <w:rPr>
          <w:rFonts w:ascii="黑体"/>
          <w:sz w:val="7"/>
        </w:rPr>
      </w:pPr>
      <w:r>
        <w:rPr>
          <w:rFonts w:ascii="黑体"/>
          <w:position w:val="-1"/>
          <w:sz w:val="7"/>
        </w:rPr>
        <w:drawing>
          <wp:inline distT="0" distB="0" distL="0" distR="0">
            <wp:extent cx="7136265" cy="49910"/>
            <wp:effectExtent l="0" t="0" r="0" b="0"/>
            <wp:docPr id="125"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46.png"/>
                    <pic:cNvPicPr/>
                  </pic:nvPicPr>
                  <pic:blipFill>
                    <a:blip xmlns:r="http://schemas.openxmlformats.org/officeDocument/2006/relationships" r:embed="rId13" cstate="print"/>
                    <a:stretch>
                      <a:fillRect/>
                    </a:stretch>
                  </pic:blipFill>
                  <pic:spPr>
                    <a:xfrm>
                      <a:off x="0" y="0"/>
                      <a:ext cx="7136265" cy="49910"/>
                    </a:xfrm>
                    <a:prstGeom prst="rect">
                      <a:avLst/>
                    </a:prstGeom>
                  </pic:spPr>
                </pic:pic>
              </a:graphicData>
            </a:graphic>
          </wp:inline>
        </w:drawing>
      </w:r>
    </w:p>
    <w:p>
      <w:pPr>
        <w:pStyle w:val="BodyText"/>
        <w:spacing w:before="1"/>
        <w:rPr>
          <w:rFonts w:ascii="黑体"/>
          <w:sz w:val="5"/>
        </w:rPr>
      </w:pPr>
    </w:p>
    <w:tbl>
      <w:tblPr>
        <w:tblStyle w:val="TableNormal9"/>
        <w:tblW w:w="0" w:type="auto"/>
        <w:jc w:val="left"/>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35"/>
        <w:gridCol w:w="3188"/>
        <w:gridCol w:w="2564"/>
        <w:gridCol w:w="2515"/>
      </w:tblGrid>
      <w:tr>
        <w:tblPrEx>
          <w:tblW w:w="0" w:type="auto"/>
          <w:jc w:val="left"/>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4"/>
          <w:jc w:val="left"/>
        </w:trPr>
        <w:tc>
          <w:tcPr>
            <w:tcW w:w="2435" w:type="dxa"/>
          </w:tcPr>
          <w:p>
            <w:pPr>
              <w:pStyle w:val="TableParagraph"/>
              <w:spacing w:line="368" w:lineRule="exact"/>
              <w:ind w:left="50"/>
              <w:rPr>
                <w:rFonts w:ascii="黑体" w:eastAsia="黑体" w:hint="eastAsia"/>
                <w:sz w:val="31"/>
              </w:rPr>
            </w:pPr>
            <w:r>
              <w:rPr>
                <w:rFonts w:ascii="黑体" w:eastAsia="黑体" w:hint="eastAsia"/>
                <w:sz w:val="31"/>
              </w:rPr>
              <w:t>项目</w:t>
            </w:r>
          </w:p>
        </w:tc>
        <w:tc>
          <w:tcPr>
            <w:tcW w:w="3188" w:type="dxa"/>
          </w:tcPr>
          <w:p>
            <w:pPr>
              <w:pStyle w:val="TableParagraph"/>
              <w:spacing w:line="368" w:lineRule="exact"/>
              <w:ind w:left="482" w:right="432"/>
              <w:jc w:val="center"/>
              <w:rPr>
                <w:rFonts w:ascii="Times New Roman" w:eastAsia="Times New Roman" w:hAnsi="Times New Roman"/>
                <w:sz w:val="21"/>
              </w:rPr>
            </w:pPr>
            <w:r>
              <w:rPr>
                <w:rFonts w:ascii="黑体" w:eastAsia="黑体" w:hAnsi="黑体" w:hint="eastAsia"/>
                <w:sz w:val="31"/>
              </w:rPr>
              <w:t>装置处理量</w:t>
            </w:r>
            <w:r>
              <w:rPr>
                <w:rFonts w:ascii="Times New Roman" w:eastAsia="Times New Roman" w:hAnsi="Times New Roman"/>
                <w:sz w:val="31"/>
              </w:rPr>
              <w:t>/ t·h</w:t>
            </w:r>
            <w:r>
              <w:rPr>
                <w:rFonts w:ascii="Times New Roman" w:eastAsia="Times New Roman" w:hAnsi="Times New Roman"/>
                <w:position w:val="1"/>
                <w:sz w:val="21"/>
              </w:rPr>
              <w:t>-1</w:t>
            </w:r>
          </w:p>
        </w:tc>
        <w:tc>
          <w:tcPr>
            <w:tcW w:w="2564" w:type="dxa"/>
          </w:tcPr>
          <w:p>
            <w:pPr>
              <w:pStyle w:val="TableParagraph"/>
              <w:spacing w:line="368" w:lineRule="exact"/>
              <w:ind w:left="433" w:right="506"/>
              <w:jc w:val="center"/>
              <w:rPr>
                <w:rFonts w:ascii="Times New Roman" w:eastAsia="Times New Roman"/>
                <w:sz w:val="31"/>
              </w:rPr>
            </w:pPr>
            <w:r>
              <w:rPr>
                <w:rFonts w:ascii="黑体" w:eastAsia="黑体" w:hint="eastAsia"/>
                <w:sz w:val="31"/>
              </w:rPr>
              <w:t>化学氢耗</w:t>
            </w:r>
            <w:r>
              <w:rPr>
                <w:rFonts w:ascii="Times New Roman" w:eastAsia="Times New Roman"/>
                <w:sz w:val="31"/>
              </w:rPr>
              <w:t>/%</w:t>
            </w:r>
          </w:p>
        </w:tc>
        <w:tc>
          <w:tcPr>
            <w:tcW w:w="2515" w:type="dxa"/>
          </w:tcPr>
          <w:p>
            <w:pPr>
              <w:pStyle w:val="TableParagraph"/>
              <w:spacing w:line="368" w:lineRule="exact"/>
              <w:ind w:left="510" w:right="41"/>
              <w:jc w:val="center"/>
              <w:rPr>
                <w:rFonts w:ascii="Times New Roman" w:eastAsia="Times New Roman" w:hAnsi="Times New Roman"/>
                <w:sz w:val="21"/>
              </w:rPr>
            </w:pPr>
            <w:r>
              <w:rPr>
                <w:rFonts w:ascii="黑体" w:eastAsia="黑体" w:hAnsi="黑体" w:hint="eastAsia"/>
                <w:sz w:val="31"/>
              </w:rPr>
              <w:t>净耗氢量</w:t>
            </w:r>
            <w:r>
              <w:rPr>
                <w:rFonts w:ascii="Times New Roman" w:eastAsia="Times New Roman" w:hAnsi="Times New Roman"/>
                <w:sz w:val="31"/>
              </w:rPr>
              <w:t>/ t·h</w:t>
            </w:r>
            <w:r>
              <w:rPr>
                <w:rFonts w:ascii="Times New Roman" w:eastAsia="Times New Roman" w:hAnsi="Times New Roman"/>
                <w:position w:val="1"/>
                <w:sz w:val="21"/>
              </w:rPr>
              <w:t>-1</w:t>
            </w:r>
          </w:p>
        </w:tc>
      </w:tr>
      <w:tr>
        <w:tblPrEx>
          <w:tblW w:w="0" w:type="auto"/>
          <w:jc w:val="left"/>
          <w:tblInd w:w="601" w:type="dxa"/>
          <w:tblLayout w:type="fixed"/>
          <w:tblCellMar>
            <w:top w:w="0" w:type="dxa"/>
            <w:left w:w="0" w:type="dxa"/>
            <w:bottom w:w="0" w:type="dxa"/>
            <w:right w:w="0" w:type="dxa"/>
          </w:tblCellMar>
          <w:tblLook w:val="01E0"/>
        </w:tblPrEx>
        <w:trPr>
          <w:trHeight w:val="480"/>
          <w:jc w:val="left"/>
        </w:trPr>
        <w:tc>
          <w:tcPr>
            <w:tcW w:w="2435" w:type="dxa"/>
          </w:tcPr>
          <w:p>
            <w:pPr>
              <w:pStyle w:val="TableParagraph"/>
              <w:spacing w:before="49"/>
              <w:ind w:left="50"/>
              <w:rPr>
                <w:rFonts w:ascii="黑体" w:eastAsia="黑体" w:hint="eastAsia"/>
                <w:sz w:val="31"/>
              </w:rPr>
            </w:pPr>
            <w:r>
              <w:rPr>
                <w:rFonts w:ascii="黑体" w:eastAsia="黑体" w:hint="eastAsia"/>
                <w:sz w:val="31"/>
              </w:rPr>
              <w:t>煤炭液化</w:t>
            </w:r>
          </w:p>
        </w:tc>
        <w:tc>
          <w:tcPr>
            <w:tcW w:w="3188" w:type="dxa"/>
          </w:tcPr>
          <w:p>
            <w:pPr>
              <w:pStyle w:val="TableParagraph"/>
              <w:spacing w:before="69"/>
              <w:ind w:left="482" w:right="432"/>
              <w:jc w:val="center"/>
              <w:rPr>
                <w:rFonts w:ascii="Times New Roman"/>
                <w:sz w:val="31"/>
              </w:rPr>
            </w:pPr>
            <w:r>
              <w:rPr>
                <w:rFonts w:ascii="Times New Roman"/>
                <w:sz w:val="31"/>
              </w:rPr>
              <w:t>250</w:t>
            </w:r>
          </w:p>
        </w:tc>
        <w:tc>
          <w:tcPr>
            <w:tcW w:w="2564" w:type="dxa"/>
          </w:tcPr>
          <w:p>
            <w:pPr>
              <w:pStyle w:val="TableParagraph"/>
              <w:spacing w:before="69"/>
              <w:ind w:left="429" w:right="506"/>
              <w:jc w:val="center"/>
              <w:rPr>
                <w:rFonts w:ascii="Times New Roman"/>
                <w:sz w:val="31"/>
              </w:rPr>
            </w:pPr>
            <w:r>
              <w:rPr>
                <w:rFonts w:ascii="Times New Roman"/>
                <w:sz w:val="31"/>
              </w:rPr>
              <w:t>5.75</w:t>
            </w:r>
          </w:p>
        </w:tc>
        <w:tc>
          <w:tcPr>
            <w:tcW w:w="2515" w:type="dxa"/>
          </w:tcPr>
          <w:p>
            <w:pPr>
              <w:pStyle w:val="TableParagraph"/>
              <w:spacing w:before="69"/>
              <w:ind w:left="509" w:right="41"/>
              <w:jc w:val="center"/>
              <w:rPr>
                <w:rFonts w:ascii="Times New Roman"/>
                <w:sz w:val="31"/>
              </w:rPr>
            </w:pPr>
            <w:r>
              <w:rPr>
                <w:rFonts w:ascii="Times New Roman"/>
                <w:sz w:val="31"/>
              </w:rPr>
              <w:t>14.375</w:t>
            </w:r>
          </w:p>
        </w:tc>
      </w:tr>
      <w:tr>
        <w:tblPrEx>
          <w:tblW w:w="0" w:type="auto"/>
          <w:jc w:val="left"/>
          <w:tblInd w:w="601" w:type="dxa"/>
          <w:tblLayout w:type="fixed"/>
          <w:tblCellMar>
            <w:top w:w="0" w:type="dxa"/>
            <w:left w:w="0" w:type="dxa"/>
            <w:bottom w:w="0" w:type="dxa"/>
            <w:right w:w="0" w:type="dxa"/>
          </w:tblCellMar>
          <w:tblLook w:val="01E0"/>
        </w:tblPrEx>
        <w:trPr>
          <w:trHeight w:val="467"/>
          <w:jc w:val="left"/>
        </w:trPr>
        <w:tc>
          <w:tcPr>
            <w:tcW w:w="2435" w:type="dxa"/>
          </w:tcPr>
          <w:p>
            <w:pPr>
              <w:pStyle w:val="TableParagraph"/>
              <w:spacing w:before="36"/>
              <w:ind w:left="50"/>
              <w:rPr>
                <w:rFonts w:ascii="黑体" w:eastAsia="黑体" w:hint="eastAsia"/>
                <w:sz w:val="31"/>
              </w:rPr>
            </w:pPr>
            <w:r>
              <w:rPr>
                <w:rFonts w:ascii="黑体" w:eastAsia="黑体" w:hint="eastAsia"/>
                <w:sz w:val="31"/>
              </w:rPr>
              <w:t>加氢稳定</w:t>
            </w:r>
          </w:p>
        </w:tc>
        <w:tc>
          <w:tcPr>
            <w:tcW w:w="3188" w:type="dxa"/>
          </w:tcPr>
          <w:p>
            <w:pPr>
              <w:pStyle w:val="TableParagraph"/>
              <w:spacing w:before="57"/>
              <w:ind w:left="481" w:right="432"/>
              <w:jc w:val="center"/>
              <w:rPr>
                <w:rFonts w:ascii="Times New Roman"/>
                <w:sz w:val="31"/>
              </w:rPr>
            </w:pPr>
            <w:r>
              <w:rPr>
                <w:rFonts w:ascii="Times New Roman"/>
                <w:sz w:val="31"/>
              </w:rPr>
              <w:t>436.63</w:t>
            </w:r>
          </w:p>
        </w:tc>
        <w:tc>
          <w:tcPr>
            <w:tcW w:w="2564" w:type="dxa"/>
          </w:tcPr>
          <w:p>
            <w:pPr>
              <w:pStyle w:val="TableParagraph"/>
              <w:spacing w:before="57"/>
              <w:ind w:left="429" w:right="506"/>
              <w:jc w:val="center"/>
              <w:rPr>
                <w:rFonts w:ascii="Times New Roman"/>
                <w:sz w:val="31"/>
              </w:rPr>
            </w:pPr>
            <w:r>
              <w:rPr>
                <w:rFonts w:ascii="Times New Roman"/>
                <w:sz w:val="31"/>
              </w:rPr>
              <w:t>0.83</w:t>
            </w:r>
          </w:p>
        </w:tc>
        <w:tc>
          <w:tcPr>
            <w:tcW w:w="2515" w:type="dxa"/>
          </w:tcPr>
          <w:p>
            <w:pPr>
              <w:pStyle w:val="TableParagraph"/>
              <w:spacing w:before="57"/>
              <w:ind w:left="509" w:right="41"/>
              <w:jc w:val="center"/>
              <w:rPr>
                <w:rFonts w:ascii="Times New Roman"/>
                <w:sz w:val="31"/>
              </w:rPr>
            </w:pPr>
            <w:r>
              <w:rPr>
                <w:rFonts w:ascii="Times New Roman"/>
                <w:sz w:val="31"/>
              </w:rPr>
              <w:t>3.625</w:t>
            </w:r>
          </w:p>
        </w:tc>
      </w:tr>
      <w:tr>
        <w:tblPrEx>
          <w:tblW w:w="0" w:type="auto"/>
          <w:jc w:val="left"/>
          <w:tblInd w:w="601" w:type="dxa"/>
          <w:tblLayout w:type="fixed"/>
          <w:tblCellMar>
            <w:top w:w="0" w:type="dxa"/>
            <w:left w:w="0" w:type="dxa"/>
            <w:bottom w:w="0" w:type="dxa"/>
            <w:right w:w="0" w:type="dxa"/>
          </w:tblCellMar>
          <w:tblLook w:val="01E0"/>
        </w:tblPrEx>
        <w:trPr>
          <w:trHeight w:val="468"/>
          <w:jc w:val="left"/>
        </w:trPr>
        <w:tc>
          <w:tcPr>
            <w:tcW w:w="2435" w:type="dxa"/>
          </w:tcPr>
          <w:p>
            <w:pPr>
              <w:pStyle w:val="TableParagraph"/>
              <w:spacing w:before="36"/>
              <w:ind w:left="50"/>
              <w:rPr>
                <w:rFonts w:ascii="黑体" w:eastAsia="黑体" w:hint="eastAsia"/>
                <w:sz w:val="31"/>
              </w:rPr>
            </w:pPr>
            <w:r>
              <w:rPr>
                <w:rFonts w:ascii="黑体" w:eastAsia="黑体" w:hint="eastAsia"/>
                <w:sz w:val="31"/>
              </w:rPr>
              <w:t>加氢改制</w:t>
            </w:r>
          </w:p>
        </w:tc>
        <w:tc>
          <w:tcPr>
            <w:tcW w:w="3188" w:type="dxa"/>
          </w:tcPr>
          <w:p>
            <w:pPr>
              <w:pStyle w:val="TableParagraph"/>
              <w:spacing w:before="57"/>
              <w:ind w:left="481" w:right="432"/>
              <w:jc w:val="center"/>
              <w:rPr>
                <w:rFonts w:ascii="Times New Roman"/>
                <w:sz w:val="31"/>
              </w:rPr>
            </w:pPr>
            <w:r>
              <w:rPr>
                <w:rFonts w:ascii="Times New Roman"/>
                <w:sz w:val="31"/>
              </w:rPr>
              <w:t>133.41</w:t>
            </w:r>
          </w:p>
        </w:tc>
        <w:tc>
          <w:tcPr>
            <w:tcW w:w="2564" w:type="dxa"/>
          </w:tcPr>
          <w:p>
            <w:pPr>
              <w:pStyle w:val="TableParagraph"/>
              <w:spacing w:before="57"/>
              <w:ind w:left="429" w:right="506"/>
              <w:jc w:val="center"/>
              <w:rPr>
                <w:rFonts w:ascii="Times New Roman"/>
                <w:sz w:val="31"/>
              </w:rPr>
            </w:pPr>
            <w:r>
              <w:rPr>
                <w:rFonts w:ascii="Times New Roman"/>
                <w:sz w:val="31"/>
              </w:rPr>
              <w:t>2.12</w:t>
            </w:r>
          </w:p>
        </w:tc>
        <w:tc>
          <w:tcPr>
            <w:tcW w:w="2515" w:type="dxa"/>
          </w:tcPr>
          <w:p>
            <w:pPr>
              <w:pStyle w:val="TableParagraph"/>
              <w:spacing w:before="57"/>
              <w:ind w:left="509" w:right="41"/>
              <w:jc w:val="center"/>
              <w:rPr>
                <w:rFonts w:ascii="Times New Roman"/>
                <w:sz w:val="31"/>
              </w:rPr>
            </w:pPr>
            <w:r>
              <w:rPr>
                <w:rFonts w:ascii="Times New Roman"/>
                <w:sz w:val="31"/>
              </w:rPr>
              <w:t>2.828</w:t>
            </w:r>
          </w:p>
        </w:tc>
      </w:tr>
      <w:tr>
        <w:tblPrEx>
          <w:tblW w:w="0" w:type="auto"/>
          <w:jc w:val="left"/>
          <w:tblInd w:w="601" w:type="dxa"/>
          <w:tblLayout w:type="fixed"/>
          <w:tblCellMar>
            <w:top w:w="0" w:type="dxa"/>
            <w:left w:w="0" w:type="dxa"/>
            <w:bottom w:w="0" w:type="dxa"/>
            <w:right w:w="0" w:type="dxa"/>
          </w:tblCellMar>
          <w:tblLook w:val="01E0"/>
        </w:tblPrEx>
        <w:trPr>
          <w:trHeight w:val="467"/>
          <w:jc w:val="left"/>
        </w:trPr>
        <w:tc>
          <w:tcPr>
            <w:tcW w:w="2435" w:type="dxa"/>
          </w:tcPr>
          <w:p>
            <w:pPr>
              <w:pStyle w:val="TableParagraph"/>
              <w:spacing w:before="36"/>
              <w:ind w:left="50"/>
              <w:rPr>
                <w:rFonts w:ascii="黑体" w:eastAsia="黑体" w:hint="eastAsia"/>
                <w:sz w:val="31"/>
              </w:rPr>
            </w:pPr>
            <w:r>
              <w:rPr>
                <w:rFonts w:ascii="黑体" w:eastAsia="黑体" w:hint="eastAsia"/>
                <w:sz w:val="31"/>
              </w:rPr>
              <w:t>硫磺回收尾气</w:t>
            </w:r>
          </w:p>
        </w:tc>
        <w:tc>
          <w:tcPr>
            <w:tcW w:w="3188" w:type="dxa"/>
          </w:tcPr>
          <w:p>
            <w:pPr>
              <w:pStyle w:val="TableParagraph"/>
              <w:rPr>
                <w:rFonts w:ascii="Times New Roman"/>
                <w:sz w:val="32"/>
              </w:rPr>
            </w:pPr>
          </w:p>
        </w:tc>
        <w:tc>
          <w:tcPr>
            <w:tcW w:w="2564" w:type="dxa"/>
          </w:tcPr>
          <w:p>
            <w:pPr>
              <w:pStyle w:val="TableParagraph"/>
              <w:rPr>
                <w:rFonts w:ascii="Times New Roman"/>
                <w:sz w:val="32"/>
              </w:rPr>
            </w:pPr>
          </w:p>
        </w:tc>
        <w:tc>
          <w:tcPr>
            <w:tcW w:w="2515" w:type="dxa"/>
          </w:tcPr>
          <w:p>
            <w:pPr>
              <w:pStyle w:val="TableParagraph"/>
              <w:spacing w:before="57"/>
              <w:ind w:left="509" w:right="41"/>
              <w:jc w:val="center"/>
              <w:rPr>
                <w:rFonts w:ascii="Times New Roman"/>
                <w:sz w:val="31"/>
              </w:rPr>
            </w:pPr>
            <w:r>
              <w:rPr>
                <w:rFonts w:ascii="Times New Roman"/>
                <w:sz w:val="31"/>
              </w:rPr>
              <w:t>0.008</w:t>
            </w:r>
          </w:p>
        </w:tc>
      </w:tr>
      <w:tr>
        <w:tblPrEx>
          <w:tblW w:w="0" w:type="auto"/>
          <w:jc w:val="left"/>
          <w:tblInd w:w="601" w:type="dxa"/>
          <w:tblLayout w:type="fixed"/>
          <w:tblCellMar>
            <w:top w:w="0" w:type="dxa"/>
            <w:left w:w="0" w:type="dxa"/>
            <w:bottom w:w="0" w:type="dxa"/>
            <w:right w:w="0" w:type="dxa"/>
          </w:tblCellMar>
          <w:tblLook w:val="01E0"/>
        </w:tblPrEx>
        <w:trPr>
          <w:trHeight w:val="402"/>
          <w:jc w:val="left"/>
        </w:trPr>
        <w:tc>
          <w:tcPr>
            <w:tcW w:w="2435" w:type="dxa"/>
          </w:tcPr>
          <w:p>
            <w:pPr>
              <w:pStyle w:val="TableParagraph"/>
              <w:spacing w:before="36" w:line="346" w:lineRule="exact"/>
              <w:ind w:left="50"/>
              <w:rPr>
                <w:rFonts w:ascii="黑体" w:eastAsia="黑体" w:hint="eastAsia"/>
                <w:sz w:val="31"/>
              </w:rPr>
            </w:pPr>
            <w:r>
              <w:rPr>
                <w:rFonts w:ascii="黑体" w:eastAsia="黑体" w:hint="eastAsia"/>
                <w:sz w:val="31"/>
              </w:rPr>
              <w:t>合计</w:t>
            </w:r>
          </w:p>
        </w:tc>
        <w:tc>
          <w:tcPr>
            <w:tcW w:w="3188" w:type="dxa"/>
          </w:tcPr>
          <w:p>
            <w:pPr>
              <w:pStyle w:val="TableParagraph"/>
              <w:rPr>
                <w:rFonts w:ascii="Times New Roman"/>
                <w:sz w:val="30"/>
              </w:rPr>
            </w:pPr>
          </w:p>
        </w:tc>
        <w:tc>
          <w:tcPr>
            <w:tcW w:w="2564" w:type="dxa"/>
          </w:tcPr>
          <w:p>
            <w:pPr>
              <w:pStyle w:val="TableParagraph"/>
              <w:rPr>
                <w:rFonts w:ascii="Times New Roman"/>
                <w:sz w:val="30"/>
              </w:rPr>
            </w:pPr>
          </w:p>
        </w:tc>
        <w:tc>
          <w:tcPr>
            <w:tcW w:w="2515" w:type="dxa"/>
          </w:tcPr>
          <w:p>
            <w:pPr>
              <w:pStyle w:val="TableParagraph"/>
              <w:spacing w:before="57" w:line="325" w:lineRule="exact"/>
              <w:ind w:left="509" w:right="41"/>
              <w:jc w:val="center"/>
              <w:rPr>
                <w:rFonts w:ascii="Times New Roman"/>
                <w:sz w:val="31"/>
              </w:rPr>
            </w:pPr>
            <w:r>
              <w:rPr>
                <w:rFonts w:ascii="Times New Roman"/>
                <w:sz w:val="31"/>
              </w:rPr>
              <w:t>20.836</w:t>
            </w:r>
          </w:p>
        </w:tc>
      </w:tr>
    </w:tbl>
    <w:p>
      <w:pPr>
        <w:pStyle w:val="BodyText"/>
        <w:spacing w:before="7"/>
        <w:rPr>
          <w:rFonts w:ascii="黑体"/>
          <w:sz w:val="2"/>
        </w:rPr>
      </w:pPr>
    </w:p>
    <w:p>
      <w:pPr>
        <w:pStyle w:val="BodyText"/>
        <w:spacing w:line="79" w:lineRule="exact"/>
        <w:ind w:left="460"/>
        <w:rPr>
          <w:rFonts w:ascii="黑体"/>
          <w:sz w:val="7"/>
        </w:rPr>
      </w:pPr>
      <w:r>
        <w:rPr>
          <w:rFonts w:ascii="黑体"/>
          <w:position w:val="-1"/>
          <w:sz w:val="7"/>
        </w:rPr>
        <w:drawing>
          <wp:inline distT="0" distB="0" distL="0" distR="0">
            <wp:extent cx="7132224" cy="50673"/>
            <wp:effectExtent l="0" t="0" r="0" b="0"/>
            <wp:docPr id="127"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44.png"/>
                    <pic:cNvPicPr/>
                  </pic:nvPicPr>
                  <pic:blipFill>
                    <a:blip xmlns:r="http://schemas.openxmlformats.org/officeDocument/2006/relationships" r:embed="rId17" cstate="print"/>
                    <a:stretch>
                      <a:fillRect/>
                    </a:stretch>
                  </pic:blipFill>
                  <pic:spPr>
                    <a:xfrm>
                      <a:off x="0" y="0"/>
                      <a:ext cx="7132224" cy="50673"/>
                    </a:xfrm>
                    <a:prstGeom prst="rect">
                      <a:avLst/>
                    </a:prstGeom>
                  </pic:spPr>
                </pic:pic>
              </a:graphicData>
            </a:graphic>
          </wp:inline>
        </w:drawing>
      </w:r>
    </w:p>
    <w:p>
      <w:pPr>
        <w:spacing w:before="267"/>
        <w:ind w:left="2843" w:right="0" w:firstLine="0"/>
        <w:jc w:val="left"/>
        <w:rPr>
          <w:rFonts w:ascii="黑体" w:eastAsia="黑体" w:hint="eastAsia"/>
          <w:sz w:val="31"/>
        </w:rPr>
      </w:pPr>
      <w:r>
        <w:drawing>
          <wp:anchor distT="0" distB="0" distL="0" distR="0" simplePos="0" relativeHeight="251709440" behindDoc="0" locked="0" layoutInCell="1" allowOverlap="1">
            <wp:simplePos x="0" y="0"/>
            <wp:positionH relativeFrom="page">
              <wp:posOffset>1409700</wp:posOffset>
            </wp:positionH>
            <wp:positionV relativeFrom="paragraph">
              <wp:posOffset>1359534</wp:posOffset>
            </wp:positionV>
            <wp:extent cx="7150100" cy="38100"/>
            <wp:effectExtent l="0" t="0" r="0" b="0"/>
            <wp:wrapNone/>
            <wp:docPr id="129"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47.png"/>
                    <pic:cNvPicPr/>
                  </pic:nvPicPr>
                  <pic:blipFill>
                    <a:blip xmlns:r="http://schemas.openxmlformats.org/officeDocument/2006/relationships" r:embed="rId20" cstate="print"/>
                    <a:stretch>
                      <a:fillRect/>
                    </a:stretch>
                  </pic:blipFill>
                  <pic:spPr>
                    <a:xfrm>
                      <a:off x="0" y="0"/>
                      <a:ext cx="7150100" cy="38100"/>
                    </a:xfrm>
                    <a:prstGeom prst="rect">
                      <a:avLst/>
                    </a:prstGeom>
                  </pic:spPr>
                </pic:pic>
              </a:graphicData>
            </a:graphic>
          </wp:anchor>
        </w:drawing>
      </w:r>
      <w:r>
        <w:drawing>
          <wp:anchor distT="0" distB="0" distL="0" distR="0" simplePos="0" relativeHeight="251710464" behindDoc="0" locked="0" layoutInCell="1" allowOverlap="1">
            <wp:simplePos x="0" y="0"/>
            <wp:positionH relativeFrom="page">
              <wp:posOffset>2882900</wp:posOffset>
            </wp:positionH>
            <wp:positionV relativeFrom="paragraph">
              <wp:posOffset>749934</wp:posOffset>
            </wp:positionV>
            <wp:extent cx="5676900" cy="38100"/>
            <wp:effectExtent l="0" t="0" r="0" b="0"/>
            <wp:wrapNone/>
            <wp:docPr id="131"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48.png"/>
                    <pic:cNvPicPr/>
                  </pic:nvPicPr>
                  <pic:blipFill>
                    <a:blip xmlns:r="http://schemas.openxmlformats.org/officeDocument/2006/relationships" r:embed="rId21" cstate="print"/>
                    <a:stretch>
                      <a:fillRect/>
                    </a:stretch>
                  </pic:blipFill>
                  <pic:spPr>
                    <a:xfrm>
                      <a:off x="0" y="0"/>
                      <a:ext cx="5676900" cy="38100"/>
                    </a:xfrm>
                    <a:prstGeom prst="rect">
                      <a:avLst/>
                    </a:prstGeom>
                  </pic:spPr>
                </pic:pic>
              </a:graphicData>
            </a:graphic>
          </wp:anchor>
        </w:drawing>
      </w:r>
      <w:r>
        <w:rPr>
          <w:rFonts w:ascii="黑体" w:eastAsia="黑体" w:hint="eastAsia"/>
          <w:sz w:val="31"/>
        </w:rPr>
        <w:t xml:space="preserve">表 </w:t>
      </w:r>
      <w:r>
        <w:rPr>
          <w:rFonts w:ascii="Times New Roman" w:eastAsia="Times New Roman"/>
          <w:sz w:val="31"/>
        </w:rPr>
        <w:t xml:space="preserve">3-20 </w:t>
      </w:r>
      <w:r>
        <w:rPr>
          <w:rFonts w:ascii="黑体" w:eastAsia="黑体" w:hint="eastAsia"/>
          <w:sz w:val="31"/>
        </w:rPr>
        <w:t>神华煤炭直接液化项目氢气需求与供应</w:t>
      </w:r>
    </w:p>
    <w:p>
      <w:pPr>
        <w:pStyle w:val="BodyText"/>
        <w:spacing w:line="77" w:lineRule="exact"/>
        <w:ind w:left="480"/>
        <w:rPr>
          <w:rFonts w:ascii="黑体"/>
          <w:sz w:val="7"/>
        </w:rPr>
      </w:pPr>
      <w:r>
        <w:rPr>
          <w:rFonts w:ascii="黑体"/>
          <w:position w:val="-1"/>
          <w:sz w:val="7"/>
        </w:rPr>
        <w:drawing>
          <wp:inline distT="0" distB="0" distL="0" distR="0">
            <wp:extent cx="7158062" cy="49149"/>
            <wp:effectExtent l="0" t="0" r="0" b="0"/>
            <wp:docPr id="133"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49.png"/>
                    <pic:cNvPicPr/>
                  </pic:nvPicPr>
                  <pic:blipFill>
                    <a:blip xmlns:r="http://schemas.openxmlformats.org/officeDocument/2006/relationships" r:embed="rId22" cstate="print"/>
                    <a:stretch>
                      <a:fillRect/>
                    </a:stretch>
                  </pic:blipFill>
                  <pic:spPr>
                    <a:xfrm>
                      <a:off x="0" y="0"/>
                      <a:ext cx="7158062" cy="49149"/>
                    </a:xfrm>
                    <a:prstGeom prst="rect">
                      <a:avLst/>
                    </a:prstGeom>
                  </pic:spPr>
                </pic:pic>
              </a:graphicData>
            </a:graphic>
          </wp:inline>
        </w:drawing>
      </w:r>
    </w:p>
    <w:p>
      <w:pPr>
        <w:pStyle w:val="BodyText"/>
        <w:spacing w:before="2" w:after="1"/>
        <w:rPr>
          <w:rFonts w:ascii="黑体"/>
          <w:sz w:val="6"/>
        </w:rPr>
      </w:pPr>
    </w:p>
    <w:tbl>
      <w:tblPr>
        <w:tblStyle w:val="TableNormal9"/>
        <w:tblW w:w="0" w:type="auto"/>
        <w:jc w:val="left"/>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68"/>
        <w:gridCol w:w="1197"/>
        <w:gridCol w:w="731"/>
        <w:gridCol w:w="1189"/>
        <w:gridCol w:w="1349"/>
        <w:gridCol w:w="1704"/>
        <w:gridCol w:w="1461"/>
        <w:gridCol w:w="1039"/>
      </w:tblGrid>
      <w:tr>
        <w:tblPrEx>
          <w:tblW w:w="0" w:type="auto"/>
          <w:jc w:val="left"/>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356"/>
          <w:jc w:val="left"/>
        </w:trPr>
        <w:tc>
          <w:tcPr>
            <w:tcW w:w="2268" w:type="dxa"/>
          </w:tcPr>
          <w:p>
            <w:pPr>
              <w:pStyle w:val="TableParagraph"/>
              <w:spacing w:before="5"/>
              <w:rPr>
                <w:rFonts w:ascii="黑体"/>
                <w:sz w:val="34"/>
              </w:rPr>
            </w:pPr>
          </w:p>
          <w:p>
            <w:pPr>
              <w:pStyle w:val="TableParagraph"/>
              <w:ind w:left="733"/>
              <w:rPr>
                <w:rFonts w:ascii="黑体" w:eastAsia="黑体" w:hint="eastAsia"/>
                <w:sz w:val="31"/>
              </w:rPr>
            </w:pPr>
            <w:r>
              <w:rPr>
                <w:rFonts w:ascii="黑体" w:eastAsia="黑体" w:hint="eastAsia"/>
                <w:sz w:val="31"/>
              </w:rPr>
              <w:t>项目</w:t>
            </w:r>
          </w:p>
        </w:tc>
        <w:tc>
          <w:tcPr>
            <w:tcW w:w="1197" w:type="dxa"/>
          </w:tcPr>
          <w:p>
            <w:pPr>
              <w:pStyle w:val="TableParagraph"/>
              <w:spacing w:before="7"/>
              <w:rPr>
                <w:rFonts w:ascii="黑体"/>
                <w:sz w:val="29"/>
              </w:rPr>
            </w:pPr>
          </w:p>
          <w:p>
            <w:pPr>
              <w:pStyle w:val="TableParagraph"/>
              <w:spacing w:line="470" w:lineRule="atLeast"/>
              <w:ind w:left="435" w:right="125"/>
              <w:rPr>
                <w:rFonts w:ascii="黑体" w:eastAsia="黑体" w:hint="eastAsia"/>
                <w:sz w:val="31"/>
              </w:rPr>
            </w:pPr>
            <w:r>
              <w:rPr>
                <w:rFonts w:ascii="黑体" w:eastAsia="黑体" w:hint="eastAsia"/>
                <w:sz w:val="31"/>
              </w:rPr>
              <w:t>煤炭液化</w:t>
            </w:r>
          </w:p>
        </w:tc>
        <w:tc>
          <w:tcPr>
            <w:tcW w:w="731" w:type="dxa"/>
          </w:tcPr>
          <w:p>
            <w:pPr>
              <w:pStyle w:val="TableParagraph"/>
              <w:spacing w:line="359" w:lineRule="exact"/>
              <w:ind w:left="9"/>
              <w:rPr>
                <w:rFonts w:ascii="黑体" w:eastAsia="黑体" w:hint="eastAsia"/>
                <w:sz w:val="31"/>
              </w:rPr>
            </w:pPr>
            <w:r>
              <w:rPr>
                <w:rFonts w:ascii="黑体" w:eastAsia="黑体" w:hint="eastAsia"/>
                <w:sz w:val="31"/>
              </w:rPr>
              <w:t>需求</w:t>
            </w:r>
          </w:p>
        </w:tc>
        <w:tc>
          <w:tcPr>
            <w:tcW w:w="1189" w:type="dxa"/>
          </w:tcPr>
          <w:p>
            <w:pPr>
              <w:pStyle w:val="TableParagraph"/>
              <w:spacing w:before="7"/>
              <w:rPr>
                <w:rFonts w:ascii="黑体"/>
                <w:sz w:val="29"/>
              </w:rPr>
            </w:pPr>
          </w:p>
          <w:p>
            <w:pPr>
              <w:pStyle w:val="TableParagraph"/>
              <w:spacing w:line="470" w:lineRule="atLeast"/>
              <w:ind w:left="127" w:right="425"/>
              <w:rPr>
                <w:rFonts w:ascii="黑体" w:eastAsia="黑体" w:hint="eastAsia"/>
                <w:sz w:val="31"/>
              </w:rPr>
            </w:pPr>
            <w:r>
              <w:rPr>
                <w:rFonts w:ascii="黑体" w:eastAsia="黑体" w:hint="eastAsia"/>
                <w:sz w:val="31"/>
              </w:rPr>
              <w:t>加氢稳定</w:t>
            </w:r>
          </w:p>
        </w:tc>
        <w:tc>
          <w:tcPr>
            <w:tcW w:w="1349" w:type="dxa"/>
          </w:tcPr>
          <w:p>
            <w:pPr>
              <w:pStyle w:val="TableParagraph"/>
              <w:spacing w:before="7"/>
              <w:rPr>
                <w:rFonts w:ascii="黑体"/>
                <w:sz w:val="29"/>
              </w:rPr>
            </w:pPr>
          </w:p>
          <w:p>
            <w:pPr>
              <w:pStyle w:val="TableParagraph"/>
              <w:spacing w:line="470" w:lineRule="atLeast"/>
              <w:ind w:left="426" w:right="288"/>
              <w:rPr>
                <w:rFonts w:ascii="黑体" w:eastAsia="黑体" w:hint="eastAsia"/>
                <w:sz w:val="31"/>
              </w:rPr>
            </w:pPr>
            <w:r>
              <w:rPr>
                <w:rFonts w:ascii="黑体" w:eastAsia="黑体" w:hint="eastAsia"/>
                <w:sz w:val="31"/>
              </w:rPr>
              <w:t>加氢改质</w:t>
            </w:r>
          </w:p>
        </w:tc>
        <w:tc>
          <w:tcPr>
            <w:tcW w:w="1704" w:type="dxa"/>
          </w:tcPr>
          <w:p>
            <w:pPr>
              <w:pStyle w:val="TableParagraph"/>
              <w:spacing w:before="7"/>
              <w:rPr>
                <w:rFonts w:ascii="黑体"/>
                <w:sz w:val="29"/>
              </w:rPr>
            </w:pPr>
          </w:p>
          <w:p>
            <w:pPr>
              <w:pStyle w:val="TableParagraph"/>
              <w:spacing w:line="470" w:lineRule="atLeast"/>
              <w:ind w:left="247" w:right="187"/>
              <w:rPr>
                <w:rFonts w:ascii="黑体" w:eastAsia="黑体" w:hint="eastAsia"/>
                <w:sz w:val="31"/>
              </w:rPr>
            </w:pPr>
            <w:r>
              <w:rPr>
                <w:rFonts w:ascii="黑体" w:eastAsia="黑体" w:hint="eastAsia"/>
                <w:sz w:val="31"/>
              </w:rPr>
              <w:t>硫磺回收尾气处理</w:t>
            </w:r>
          </w:p>
        </w:tc>
        <w:tc>
          <w:tcPr>
            <w:tcW w:w="1461" w:type="dxa"/>
          </w:tcPr>
          <w:p>
            <w:pPr>
              <w:pStyle w:val="TableParagraph"/>
              <w:spacing w:line="359" w:lineRule="exact"/>
              <w:ind w:left="707"/>
              <w:rPr>
                <w:rFonts w:ascii="黑体" w:eastAsia="黑体" w:hint="eastAsia"/>
                <w:sz w:val="31"/>
              </w:rPr>
            </w:pPr>
            <w:r>
              <w:rPr>
                <w:rFonts w:ascii="黑体" w:eastAsia="黑体" w:hint="eastAsia"/>
                <w:sz w:val="31"/>
              </w:rPr>
              <w:t>供应</w:t>
            </w:r>
          </w:p>
          <w:p>
            <w:pPr>
              <w:pStyle w:val="TableParagraph"/>
              <w:spacing w:before="19" w:line="470" w:lineRule="atLeast"/>
              <w:ind w:left="185" w:right="322"/>
              <w:rPr>
                <w:rFonts w:ascii="黑体" w:eastAsia="黑体" w:hint="eastAsia"/>
                <w:sz w:val="31"/>
              </w:rPr>
            </w:pPr>
            <w:r>
              <w:rPr>
                <w:rFonts w:ascii="黑体" w:eastAsia="黑体" w:hint="eastAsia"/>
                <w:sz w:val="31"/>
              </w:rPr>
              <w:t>轻烃回收氢气</w:t>
            </w:r>
          </w:p>
        </w:tc>
        <w:tc>
          <w:tcPr>
            <w:tcW w:w="1039" w:type="dxa"/>
          </w:tcPr>
          <w:p>
            <w:pPr>
              <w:pStyle w:val="TableParagraph"/>
              <w:spacing w:before="7"/>
              <w:rPr>
                <w:rFonts w:ascii="黑体"/>
                <w:sz w:val="29"/>
              </w:rPr>
            </w:pPr>
          </w:p>
          <w:p>
            <w:pPr>
              <w:pStyle w:val="TableParagraph"/>
              <w:spacing w:line="470" w:lineRule="atLeast"/>
              <w:ind w:left="233" w:right="170"/>
              <w:rPr>
                <w:rFonts w:ascii="黑体" w:eastAsia="黑体" w:hint="eastAsia"/>
                <w:sz w:val="31"/>
              </w:rPr>
            </w:pPr>
            <w:r>
              <w:rPr>
                <w:rFonts w:ascii="黑体" w:eastAsia="黑体" w:hint="eastAsia"/>
                <w:sz w:val="31"/>
              </w:rPr>
              <w:t>煤制氢气</w:t>
            </w:r>
          </w:p>
        </w:tc>
      </w:tr>
      <w:tr>
        <w:tblPrEx>
          <w:tblW w:w="0" w:type="auto"/>
          <w:jc w:val="left"/>
          <w:tblInd w:w="601" w:type="dxa"/>
          <w:tblLayout w:type="fixed"/>
          <w:tblCellMar>
            <w:top w:w="0" w:type="dxa"/>
            <w:left w:w="0" w:type="dxa"/>
            <w:bottom w:w="0" w:type="dxa"/>
            <w:right w:w="0" w:type="dxa"/>
          </w:tblCellMar>
          <w:tblLook w:val="01E0"/>
        </w:tblPrEx>
        <w:trPr>
          <w:trHeight w:val="488"/>
          <w:jc w:val="left"/>
        </w:trPr>
        <w:tc>
          <w:tcPr>
            <w:tcW w:w="2268" w:type="dxa"/>
          </w:tcPr>
          <w:p>
            <w:pPr>
              <w:pStyle w:val="TableParagraph"/>
              <w:spacing w:before="53"/>
              <w:ind w:left="50"/>
              <w:rPr>
                <w:rFonts w:ascii="Times New Roman" w:eastAsia="Times New Roman" w:hAnsi="Times New Roman"/>
                <w:sz w:val="21"/>
              </w:rPr>
            </w:pPr>
            <w:r>
              <w:rPr>
                <w:rFonts w:ascii="黑体" w:eastAsia="黑体" w:hAnsi="黑体" w:hint="eastAsia"/>
                <w:sz w:val="31"/>
              </w:rPr>
              <w:t>氢气量</w:t>
            </w:r>
            <w:r>
              <w:rPr>
                <w:rFonts w:ascii="Times New Roman" w:eastAsia="Times New Roman" w:hAnsi="Times New Roman"/>
                <w:sz w:val="31"/>
              </w:rPr>
              <w:t>/ t·h</w:t>
            </w:r>
            <w:r>
              <w:rPr>
                <w:rFonts w:ascii="Times New Roman" w:eastAsia="Times New Roman" w:hAnsi="Times New Roman"/>
                <w:position w:val="1"/>
                <w:sz w:val="21"/>
              </w:rPr>
              <w:t>-1</w:t>
            </w:r>
          </w:p>
        </w:tc>
        <w:tc>
          <w:tcPr>
            <w:tcW w:w="1197" w:type="dxa"/>
          </w:tcPr>
          <w:p>
            <w:pPr>
              <w:pStyle w:val="TableParagraph"/>
              <w:spacing w:before="73"/>
              <w:ind w:left="308"/>
              <w:jc w:val="center"/>
              <w:rPr>
                <w:rFonts w:ascii="Times New Roman"/>
                <w:sz w:val="31"/>
              </w:rPr>
            </w:pPr>
            <w:r>
              <w:rPr>
                <w:rFonts w:ascii="Times New Roman"/>
                <w:sz w:val="31"/>
              </w:rPr>
              <w:t>19.186</w:t>
            </w:r>
          </w:p>
        </w:tc>
        <w:tc>
          <w:tcPr>
            <w:tcW w:w="731" w:type="dxa"/>
          </w:tcPr>
          <w:p>
            <w:pPr>
              <w:pStyle w:val="TableParagraph"/>
              <w:rPr>
                <w:rFonts w:ascii="Times New Roman"/>
                <w:sz w:val="32"/>
              </w:rPr>
            </w:pPr>
          </w:p>
        </w:tc>
        <w:tc>
          <w:tcPr>
            <w:tcW w:w="1189" w:type="dxa"/>
          </w:tcPr>
          <w:p>
            <w:pPr>
              <w:pStyle w:val="TableParagraph"/>
              <w:spacing w:before="73"/>
              <w:ind w:left="77" w:right="374"/>
              <w:jc w:val="center"/>
              <w:rPr>
                <w:rFonts w:ascii="Times New Roman"/>
                <w:sz w:val="31"/>
              </w:rPr>
            </w:pPr>
            <w:r>
              <w:rPr>
                <w:rFonts w:ascii="Times New Roman"/>
                <w:sz w:val="31"/>
              </w:rPr>
              <w:t>5.150</w:t>
            </w:r>
          </w:p>
        </w:tc>
        <w:tc>
          <w:tcPr>
            <w:tcW w:w="1349" w:type="dxa"/>
          </w:tcPr>
          <w:p>
            <w:pPr>
              <w:pStyle w:val="TableParagraph"/>
              <w:spacing w:before="73"/>
              <w:ind w:left="374" w:right="237"/>
              <w:jc w:val="center"/>
              <w:rPr>
                <w:rFonts w:ascii="Times New Roman"/>
                <w:sz w:val="31"/>
              </w:rPr>
            </w:pPr>
            <w:r>
              <w:rPr>
                <w:rFonts w:ascii="Times New Roman"/>
                <w:sz w:val="31"/>
              </w:rPr>
              <w:t>3.200</w:t>
            </w:r>
          </w:p>
        </w:tc>
        <w:tc>
          <w:tcPr>
            <w:tcW w:w="1704" w:type="dxa"/>
          </w:tcPr>
          <w:p>
            <w:pPr>
              <w:pStyle w:val="TableParagraph"/>
              <w:spacing w:before="73"/>
              <w:ind w:left="520"/>
              <w:rPr>
                <w:rFonts w:ascii="Times New Roman"/>
                <w:sz w:val="31"/>
              </w:rPr>
            </w:pPr>
            <w:r>
              <w:rPr>
                <w:rFonts w:ascii="Times New Roman"/>
                <w:sz w:val="31"/>
              </w:rPr>
              <w:t>0.010</w:t>
            </w:r>
          </w:p>
        </w:tc>
        <w:tc>
          <w:tcPr>
            <w:tcW w:w="1461" w:type="dxa"/>
          </w:tcPr>
          <w:p>
            <w:pPr>
              <w:pStyle w:val="TableParagraph"/>
              <w:spacing w:before="73"/>
              <w:ind w:left="292" w:right="430"/>
              <w:jc w:val="center"/>
              <w:rPr>
                <w:rFonts w:ascii="Times New Roman"/>
                <w:sz w:val="31"/>
              </w:rPr>
            </w:pPr>
            <w:r>
              <w:rPr>
                <w:rFonts w:ascii="Times New Roman"/>
                <w:sz w:val="31"/>
              </w:rPr>
              <w:t>4.015</w:t>
            </w:r>
          </w:p>
        </w:tc>
        <w:tc>
          <w:tcPr>
            <w:tcW w:w="1039" w:type="dxa"/>
          </w:tcPr>
          <w:p>
            <w:pPr>
              <w:pStyle w:val="TableParagraph"/>
              <w:spacing w:before="73"/>
              <w:ind w:left="103" w:right="42"/>
              <w:jc w:val="center"/>
              <w:rPr>
                <w:rFonts w:ascii="Times New Roman"/>
                <w:sz w:val="31"/>
              </w:rPr>
            </w:pPr>
            <w:r>
              <w:rPr>
                <w:rFonts w:ascii="Times New Roman"/>
                <w:sz w:val="31"/>
              </w:rPr>
              <w:t>23.531</w:t>
            </w:r>
          </w:p>
        </w:tc>
      </w:tr>
      <w:tr>
        <w:tblPrEx>
          <w:tblW w:w="0" w:type="auto"/>
          <w:jc w:val="left"/>
          <w:tblInd w:w="601" w:type="dxa"/>
          <w:tblLayout w:type="fixed"/>
          <w:tblCellMar>
            <w:top w:w="0" w:type="dxa"/>
            <w:left w:w="0" w:type="dxa"/>
            <w:bottom w:w="0" w:type="dxa"/>
            <w:right w:w="0" w:type="dxa"/>
          </w:tblCellMar>
          <w:tblLook w:val="01E0"/>
        </w:tblPrEx>
        <w:trPr>
          <w:trHeight w:val="458"/>
          <w:jc w:val="left"/>
        </w:trPr>
        <w:tc>
          <w:tcPr>
            <w:tcW w:w="2268" w:type="dxa"/>
          </w:tcPr>
          <w:p>
            <w:pPr>
              <w:pStyle w:val="TableParagraph"/>
              <w:spacing w:before="32"/>
              <w:ind w:left="50"/>
              <w:rPr>
                <w:rFonts w:ascii="黑体" w:eastAsia="黑体" w:hint="eastAsia"/>
                <w:sz w:val="31"/>
              </w:rPr>
            </w:pPr>
            <w:r>
              <w:rPr>
                <w:rFonts w:ascii="黑体" w:eastAsia="黑体" w:hint="eastAsia"/>
                <w:sz w:val="31"/>
              </w:rPr>
              <w:t>氢气摩尔组成</w:t>
            </w:r>
          </w:p>
        </w:tc>
        <w:tc>
          <w:tcPr>
            <w:tcW w:w="1197" w:type="dxa"/>
          </w:tcPr>
          <w:p>
            <w:pPr>
              <w:pStyle w:val="TableParagraph"/>
              <w:rPr>
                <w:rFonts w:ascii="Times New Roman"/>
                <w:sz w:val="32"/>
              </w:rPr>
            </w:pPr>
          </w:p>
        </w:tc>
        <w:tc>
          <w:tcPr>
            <w:tcW w:w="731" w:type="dxa"/>
          </w:tcPr>
          <w:p>
            <w:pPr>
              <w:pStyle w:val="TableParagraph"/>
              <w:rPr>
                <w:rFonts w:ascii="Times New Roman"/>
                <w:sz w:val="32"/>
              </w:rPr>
            </w:pPr>
          </w:p>
        </w:tc>
        <w:tc>
          <w:tcPr>
            <w:tcW w:w="1189" w:type="dxa"/>
          </w:tcPr>
          <w:p>
            <w:pPr>
              <w:pStyle w:val="TableParagraph"/>
              <w:rPr>
                <w:rFonts w:ascii="Times New Roman"/>
                <w:sz w:val="32"/>
              </w:rPr>
            </w:pPr>
          </w:p>
        </w:tc>
        <w:tc>
          <w:tcPr>
            <w:tcW w:w="1349" w:type="dxa"/>
          </w:tcPr>
          <w:p>
            <w:pPr>
              <w:pStyle w:val="TableParagraph"/>
              <w:rPr>
                <w:rFonts w:ascii="Times New Roman"/>
                <w:sz w:val="32"/>
              </w:rPr>
            </w:pPr>
          </w:p>
        </w:tc>
        <w:tc>
          <w:tcPr>
            <w:tcW w:w="1704" w:type="dxa"/>
          </w:tcPr>
          <w:p>
            <w:pPr>
              <w:pStyle w:val="TableParagraph"/>
              <w:rPr>
                <w:rFonts w:ascii="Times New Roman"/>
                <w:sz w:val="32"/>
              </w:rPr>
            </w:pPr>
          </w:p>
        </w:tc>
        <w:tc>
          <w:tcPr>
            <w:tcW w:w="1461" w:type="dxa"/>
          </w:tcPr>
          <w:p>
            <w:pPr>
              <w:pStyle w:val="TableParagraph"/>
              <w:rPr>
                <w:rFonts w:ascii="Times New Roman"/>
                <w:sz w:val="32"/>
              </w:rPr>
            </w:pPr>
          </w:p>
        </w:tc>
        <w:tc>
          <w:tcPr>
            <w:tcW w:w="1039" w:type="dxa"/>
          </w:tcPr>
          <w:p>
            <w:pPr>
              <w:pStyle w:val="TableParagraph"/>
              <w:rPr>
                <w:rFonts w:ascii="Times New Roman"/>
                <w:sz w:val="32"/>
              </w:rPr>
            </w:pPr>
          </w:p>
        </w:tc>
      </w:tr>
      <w:tr>
        <w:tblPrEx>
          <w:tblW w:w="0" w:type="auto"/>
          <w:jc w:val="left"/>
          <w:tblInd w:w="601" w:type="dxa"/>
          <w:tblLayout w:type="fixed"/>
          <w:tblCellMar>
            <w:top w:w="0" w:type="dxa"/>
            <w:left w:w="0" w:type="dxa"/>
            <w:bottom w:w="0" w:type="dxa"/>
            <w:right w:w="0" w:type="dxa"/>
          </w:tblCellMar>
          <w:tblLook w:val="01E0"/>
        </w:tblPrEx>
        <w:trPr>
          <w:trHeight w:val="525"/>
          <w:jc w:val="left"/>
        </w:trPr>
        <w:tc>
          <w:tcPr>
            <w:tcW w:w="2268" w:type="dxa"/>
          </w:tcPr>
          <w:p>
            <w:pPr>
              <w:pStyle w:val="TableParagraph"/>
              <w:spacing w:before="78" w:line="220" w:lineRule="auto"/>
              <w:ind w:left="50"/>
              <w:rPr>
                <w:rFonts w:ascii="Times New Roman"/>
                <w:sz w:val="21"/>
              </w:rPr>
            </w:pPr>
            <w:r>
              <w:rPr>
                <w:rFonts w:ascii="Times New Roman"/>
                <w:sz w:val="31"/>
              </w:rPr>
              <w:t>H</w:t>
            </w:r>
            <w:r>
              <w:rPr>
                <w:rFonts w:ascii="Times New Roman"/>
                <w:position w:val="-11"/>
                <w:sz w:val="21"/>
              </w:rPr>
              <w:t>2</w:t>
            </w:r>
          </w:p>
        </w:tc>
        <w:tc>
          <w:tcPr>
            <w:tcW w:w="1197" w:type="dxa"/>
          </w:tcPr>
          <w:p>
            <w:pPr>
              <w:pStyle w:val="TableParagraph"/>
              <w:spacing w:before="62"/>
              <w:ind w:left="308"/>
              <w:jc w:val="center"/>
              <w:rPr>
                <w:rFonts w:ascii="Times New Roman"/>
                <w:sz w:val="31"/>
              </w:rPr>
            </w:pPr>
            <w:r>
              <w:rPr>
                <w:rFonts w:ascii="Times New Roman"/>
                <w:sz w:val="31"/>
              </w:rPr>
              <w:t>99.5</w:t>
            </w:r>
          </w:p>
        </w:tc>
        <w:tc>
          <w:tcPr>
            <w:tcW w:w="731" w:type="dxa"/>
          </w:tcPr>
          <w:p>
            <w:pPr>
              <w:pStyle w:val="TableParagraph"/>
              <w:rPr>
                <w:rFonts w:ascii="Times New Roman"/>
                <w:sz w:val="32"/>
              </w:rPr>
            </w:pPr>
          </w:p>
        </w:tc>
        <w:tc>
          <w:tcPr>
            <w:tcW w:w="1189" w:type="dxa"/>
          </w:tcPr>
          <w:p>
            <w:pPr>
              <w:pStyle w:val="TableParagraph"/>
              <w:spacing w:before="62"/>
              <w:ind w:left="77" w:right="374"/>
              <w:jc w:val="center"/>
              <w:rPr>
                <w:rFonts w:ascii="Times New Roman"/>
                <w:sz w:val="31"/>
              </w:rPr>
            </w:pPr>
            <w:r>
              <w:rPr>
                <w:rFonts w:ascii="Times New Roman"/>
                <w:sz w:val="31"/>
              </w:rPr>
              <w:t>99.5</w:t>
            </w:r>
          </w:p>
        </w:tc>
        <w:tc>
          <w:tcPr>
            <w:tcW w:w="1349" w:type="dxa"/>
          </w:tcPr>
          <w:p>
            <w:pPr>
              <w:pStyle w:val="TableParagraph"/>
              <w:spacing w:before="62"/>
              <w:ind w:left="374" w:right="237"/>
              <w:jc w:val="center"/>
              <w:rPr>
                <w:rFonts w:ascii="Times New Roman"/>
                <w:sz w:val="31"/>
              </w:rPr>
            </w:pPr>
            <w:r>
              <w:rPr>
                <w:rFonts w:ascii="Times New Roman"/>
                <w:sz w:val="31"/>
              </w:rPr>
              <w:t>99.5</w:t>
            </w:r>
          </w:p>
        </w:tc>
        <w:tc>
          <w:tcPr>
            <w:tcW w:w="1704" w:type="dxa"/>
          </w:tcPr>
          <w:p>
            <w:pPr>
              <w:pStyle w:val="TableParagraph"/>
              <w:rPr>
                <w:rFonts w:ascii="Times New Roman"/>
                <w:sz w:val="32"/>
              </w:rPr>
            </w:pPr>
          </w:p>
        </w:tc>
        <w:tc>
          <w:tcPr>
            <w:tcW w:w="1461" w:type="dxa"/>
          </w:tcPr>
          <w:p>
            <w:pPr>
              <w:pStyle w:val="TableParagraph"/>
              <w:spacing w:before="62"/>
              <w:ind w:left="292" w:right="430"/>
              <w:jc w:val="center"/>
              <w:rPr>
                <w:rFonts w:ascii="Times New Roman"/>
                <w:sz w:val="31"/>
              </w:rPr>
            </w:pPr>
            <w:r>
              <w:rPr>
                <w:rFonts w:ascii="Times New Roman"/>
                <w:sz w:val="31"/>
              </w:rPr>
              <w:t>100</w:t>
            </w:r>
          </w:p>
        </w:tc>
        <w:tc>
          <w:tcPr>
            <w:tcW w:w="1039" w:type="dxa"/>
          </w:tcPr>
          <w:p>
            <w:pPr>
              <w:pStyle w:val="TableParagraph"/>
              <w:spacing w:before="62"/>
              <w:ind w:left="103" w:right="42"/>
              <w:jc w:val="center"/>
              <w:rPr>
                <w:rFonts w:ascii="Times New Roman"/>
                <w:sz w:val="31"/>
              </w:rPr>
            </w:pPr>
            <w:r>
              <w:rPr>
                <w:rFonts w:ascii="Times New Roman"/>
                <w:sz w:val="31"/>
              </w:rPr>
              <w:t>99.5</w:t>
            </w:r>
          </w:p>
        </w:tc>
      </w:tr>
      <w:tr>
        <w:tblPrEx>
          <w:tblW w:w="0" w:type="auto"/>
          <w:jc w:val="left"/>
          <w:tblInd w:w="601" w:type="dxa"/>
          <w:tblLayout w:type="fixed"/>
          <w:tblCellMar>
            <w:top w:w="0" w:type="dxa"/>
            <w:left w:w="0" w:type="dxa"/>
            <w:bottom w:w="0" w:type="dxa"/>
            <w:right w:w="0" w:type="dxa"/>
          </w:tblCellMar>
          <w:tblLook w:val="01E0"/>
        </w:tblPrEx>
        <w:trPr>
          <w:trHeight w:val="467"/>
          <w:jc w:val="left"/>
        </w:trPr>
        <w:tc>
          <w:tcPr>
            <w:tcW w:w="2268" w:type="dxa"/>
          </w:tcPr>
          <w:p>
            <w:pPr>
              <w:pStyle w:val="TableParagraph"/>
              <w:spacing w:before="21" w:line="220" w:lineRule="auto"/>
              <w:ind w:left="50"/>
              <w:rPr>
                <w:rFonts w:ascii="Times New Roman"/>
                <w:sz w:val="21"/>
              </w:rPr>
            </w:pPr>
            <w:r>
              <w:rPr>
                <w:rFonts w:ascii="Times New Roman"/>
                <w:sz w:val="31"/>
              </w:rPr>
              <w:t>N</w:t>
            </w:r>
            <w:r>
              <w:rPr>
                <w:rFonts w:ascii="Times New Roman"/>
                <w:position w:val="-11"/>
                <w:sz w:val="21"/>
              </w:rPr>
              <w:t>2</w:t>
            </w:r>
          </w:p>
        </w:tc>
        <w:tc>
          <w:tcPr>
            <w:tcW w:w="1197" w:type="dxa"/>
          </w:tcPr>
          <w:p>
            <w:pPr>
              <w:pStyle w:val="TableParagraph"/>
              <w:spacing w:before="5"/>
              <w:ind w:left="308"/>
              <w:jc w:val="center"/>
              <w:rPr>
                <w:rFonts w:ascii="Times New Roman"/>
                <w:sz w:val="31"/>
              </w:rPr>
            </w:pPr>
            <w:r>
              <w:rPr>
                <w:rFonts w:ascii="Times New Roman"/>
                <w:sz w:val="31"/>
              </w:rPr>
              <w:t>0.27</w:t>
            </w:r>
          </w:p>
        </w:tc>
        <w:tc>
          <w:tcPr>
            <w:tcW w:w="731" w:type="dxa"/>
          </w:tcPr>
          <w:p>
            <w:pPr>
              <w:pStyle w:val="TableParagraph"/>
              <w:rPr>
                <w:rFonts w:ascii="Times New Roman"/>
                <w:sz w:val="32"/>
              </w:rPr>
            </w:pPr>
          </w:p>
        </w:tc>
        <w:tc>
          <w:tcPr>
            <w:tcW w:w="1189" w:type="dxa"/>
          </w:tcPr>
          <w:p>
            <w:pPr>
              <w:pStyle w:val="TableParagraph"/>
              <w:spacing w:before="5"/>
              <w:ind w:left="77" w:right="374"/>
              <w:jc w:val="center"/>
              <w:rPr>
                <w:rFonts w:ascii="Times New Roman"/>
                <w:sz w:val="31"/>
              </w:rPr>
            </w:pPr>
            <w:r>
              <w:rPr>
                <w:rFonts w:ascii="Times New Roman"/>
                <w:sz w:val="31"/>
              </w:rPr>
              <w:t>0.27</w:t>
            </w:r>
          </w:p>
        </w:tc>
        <w:tc>
          <w:tcPr>
            <w:tcW w:w="1349" w:type="dxa"/>
          </w:tcPr>
          <w:p>
            <w:pPr>
              <w:pStyle w:val="TableParagraph"/>
              <w:spacing w:before="5"/>
              <w:ind w:left="374" w:right="237"/>
              <w:jc w:val="center"/>
              <w:rPr>
                <w:rFonts w:ascii="Times New Roman"/>
                <w:sz w:val="31"/>
              </w:rPr>
            </w:pPr>
            <w:r>
              <w:rPr>
                <w:rFonts w:ascii="Times New Roman"/>
                <w:sz w:val="31"/>
              </w:rPr>
              <w:t>0.27</w:t>
            </w:r>
          </w:p>
        </w:tc>
        <w:tc>
          <w:tcPr>
            <w:tcW w:w="1704" w:type="dxa"/>
          </w:tcPr>
          <w:p>
            <w:pPr>
              <w:pStyle w:val="TableParagraph"/>
              <w:rPr>
                <w:rFonts w:ascii="Times New Roman"/>
                <w:sz w:val="32"/>
              </w:rPr>
            </w:pPr>
          </w:p>
        </w:tc>
        <w:tc>
          <w:tcPr>
            <w:tcW w:w="1461" w:type="dxa"/>
          </w:tcPr>
          <w:p>
            <w:pPr>
              <w:pStyle w:val="TableParagraph"/>
              <w:rPr>
                <w:rFonts w:ascii="Times New Roman"/>
                <w:sz w:val="32"/>
              </w:rPr>
            </w:pPr>
          </w:p>
        </w:tc>
        <w:tc>
          <w:tcPr>
            <w:tcW w:w="1039" w:type="dxa"/>
          </w:tcPr>
          <w:p>
            <w:pPr>
              <w:pStyle w:val="TableParagraph"/>
              <w:spacing w:before="5"/>
              <w:ind w:left="103" w:right="42"/>
              <w:jc w:val="center"/>
              <w:rPr>
                <w:rFonts w:ascii="Times New Roman"/>
                <w:sz w:val="31"/>
              </w:rPr>
            </w:pPr>
            <w:r>
              <w:rPr>
                <w:rFonts w:ascii="Times New Roman"/>
                <w:sz w:val="31"/>
              </w:rPr>
              <w:t>0.27</w:t>
            </w:r>
          </w:p>
        </w:tc>
      </w:tr>
      <w:tr>
        <w:tblPrEx>
          <w:tblW w:w="0" w:type="auto"/>
          <w:jc w:val="left"/>
          <w:tblInd w:w="601" w:type="dxa"/>
          <w:tblLayout w:type="fixed"/>
          <w:tblCellMar>
            <w:top w:w="0" w:type="dxa"/>
            <w:left w:w="0" w:type="dxa"/>
            <w:bottom w:w="0" w:type="dxa"/>
            <w:right w:w="0" w:type="dxa"/>
          </w:tblCellMar>
          <w:tblLook w:val="01E0"/>
        </w:tblPrEx>
        <w:trPr>
          <w:trHeight w:val="921"/>
          <w:jc w:val="left"/>
        </w:trPr>
        <w:tc>
          <w:tcPr>
            <w:tcW w:w="2268" w:type="dxa"/>
          </w:tcPr>
          <w:p>
            <w:pPr>
              <w:pStyle w:val="TableParagraph"/>
              <w:spacing w:before="5"/>
              <w:ind w:left="50"/>
              <w:rPr>
                <w:rFonts w:ascii="Times New Roman"/>
                <w:sz w:val="21"/>
              </w:rPr>
            </w:pPr>
            <w:r>
              <w:rPr>
                <w:rFonts w:ascii="Times New Roman"/>
                <w:sz w:val="31"/>
              </w:rPr>
              <w:t>CH</w:t>
            </w:r>
            <w:r>
              <w:rPr>
                <w:rFonts w:ascii="Times New Roman"/>
                <w:position w:val="-11"/>
                <w:sz w:val="21"/>
              </w:rPr>
              <w:t>4</w:t>
            </w:r>
          </w:p>
          <w:p>
            <w:pPr>
              <w:pStyle w:val="TableParagraph"/>
              <w:spacing w:before="44" w:line="199" w:lineRule="auto"/>
              <w:ind w:left="50"/>
              <w:rPr>
                <w:rFonts w:ascii="Times New Roman"/>
                <w:sz w:val="21"/>
              </w:rPr>
            </w:pPr>
            <w:r>
              <w:rPr>
                <w:rFonts w:ascii="Times New Roman"/>
                <w:sz w:val="31"/>
              </w:rPr>
              <w:t>CO+CO</w:t>
            </w:r>
            <w:r>
              <w:rPr>
                <w:rFonts w:ascii="Times New Roman"/>
                <w:position w:val="-11"/>
                <w:sz w:val="21"/>
              </w:rPr>
              <w:t>2</w:t>
            </w:r>
          </w:p>
        </w:tc>
        <w:tc>
          <w:tcPr>
            <w:tcW w:w="1197" w:type="dxa"/>
          </w:tcPr>
          <w:p>
            <w:pPr>
              <w:pStyle w:val="TableParagraph"/>
              <w:spacing w:before="5"/>
              <w:ind w:left="475"/>
              <w:rPr>
                <w:rFonts w:ascii="Times New Roman"/>
                <w:sz w:val="31"/>
              </w:rPr>
            </w:pPr>
            <w:r>
              <w:rPr>
                <w:rFonts w:ascii="Times New Roman"/>
                <w:sz w:val="31"/>
              </w:rPr>
              <w:t>0.23</w:t>
            </w:r>
          </w:p>
          <w:p>
            <w:pPr>
              <w:pStyle w:val="TableParagraph"/>
              <w:spacing w:before="112"/>
              <w:ind w:left="504"/>
              <w:rPr>
                <w:rFonts w:ascii="Times New Roman"/>
                <w:sz w:val="31"/>
              </w:rPr>
            </w:pPr>
            <w:r>
              <w:rPr>
                <w:rFonts w:ascii="Times New Roman"/>
                <w:sz w:val="31"/>
              </w:rPr>
              <w:t>&lt;20</w:t>
            </w:r>
          </w:p>
        </w:tc>
        <w:tc>
          <w:tcPr>
            <w:tcW w:w="731" w:type="dxa"/>
          </w:tcPr>
          <w:p>
            <w:pPr>
              <w:pStyle w:val="TableParagraph"/>
              <w:rPr>
                <w:rFonts w:ascii="Times New Roman"/>
                <w:sz w:val="32"/>
              </w:rPr>
            </w:pPr>
          </w:p>
        </w:tc>
        <w:tc>
          <w:tcPr>
            <w:tcW w:w="1189" w:type="dxa"/>
          </w:tcPr>
          <w:p>
            <w:pPr>
              <w:pStyle w:val="TableParagraph"/>
              <w:spacing w:before="5"/>
              <w:ind w:left="167"/>
              <w:rPr>
                <w:rFonts w:ascii="Times New Roman"/>
                <w:sz w:val="31"/>
              </w:rPr>
            </w:pPr>
            <w:r>
              <w:rPr>
                <w:rFonts w:ascii="Times New Roman"/>
                <w:sz w:val="31"/>
              </w:rPr>
              <w:t>0.23</w:t>
            </w:r>
          </w:p>
          <w:p>
            <w:pPr>
              <w:pStyle w:val="TableParagraph"/>
              <w:spacing w:before="112"/>
              <w:ind w:left="196"/>
              <w:rPr>
                <w:rFonts w:ascii="Times New Roman"/>
                <w:sz w:val="31"/>
              </w:rPr>
            </w:pPr>
            <w:r>
              <w:rPr>
                <w:rFonts w:ascii="Times New Roman"/>
                <w:sz w:val="31"/>
              </w:rPr>
              <w:t>&lt;20</w:t>
            </w:r>
          </w:p>
        </w:tc>
        <w:tc>
          <w:tcPr>
            <w:tcW w:w="1349" w:type="dxa"/>
          </w:tcPr>
          <w:p>
            <w:pPr>
              <w:pStyle w:val="TableParagraph"/>
              <w:spacing w:before="5"/>
              <w:ind w:left="465"/>
              <w:rPr>
                <w:rFonts w:ascii="Times New Roman"/>
                <w:sz w:val="31"/>
              </w:rPr>
            </w:pPr>
            <w:r>
              <w:rPr>
                <w:rFonts w:ascii="Times New Roman"/>
                <w:sz w:val="31"/>
              </w:rPr>
              <w:t>0.23</w:t>
            </w:r>
          </w:p>
          <w:p>
            <w:pPr>
              <w:pStyle w:val="TableParagraph"/>
              <w:spacing w:before="112"/>
              <w:ind w:left="494"/>
              <w:rPr>
                <w:rFonts w:ascii="Times New Roman"/>
                <w:sz w:val="31"/>
              </w:rPr>
            </w:pPr>
            <w:r>
              <w:rPr>
                <w:rFonts w:ascii="Times New Roman"/>
                <w:sz w:val="31"/>
              </w:rPr>
              <w:t>&lt;20</w:t>
            </w:r>
          </w:p>
        </w:tc>
        <w:tc>
          <w:tcPr>
            <w:tcW w:w="1704" w:type="dxa"/>
          </w:tcPr>
          <w:p>
            <w:pPr>
              <w:pStyle w:val="TableParagraph"/>
              <w:rPr>
                <w:rFonts w:ascii="Times New Roman"/>
                <w:sz w:val="32"/>
              </w:rPr>
            </w:pPr>
          </w:p>
        </w:tc>
        <w:tc>
          <w:tcPr>
            <w:tcW w:w="1461" w:type="dxa"/>
          </w:tcPr>
          <w:p>
            <w:pPr>
              <w:pStyle w:val="TableParagraph"/>
              <w:rPr>
                <w:rFonts w:ascii="Times New Roman"/>
                <w:sz w:val="32"/>
              </w:rPr>
            </w:pPr>
          </w:p>
        </w:tc>
        <w:tc>
          <w:tcPr>
            <w:tcW w:w="1039" w:type="dxa"/>
          </w:tcPr>
          <w:p>
            <w:pPr>
              <w:pStyle w:val="TableParagraph"/>
              <w:spacing w:before="5"/>
              <w:ind w:left="272"/>
              <w:rPr>
                <w:rFonts w:ascii="Times New Roman"/>
                <w:sz w:val="31"/>
              </w:rPr>
            </w:pPr>
            <w:r>
              <w:rPr>
                <w:rFonts w:ascii="Times New Roman"/>
                <w:sz w:val="31"/>
              </w:rPr>
              <w:t>0.23</w:t>
            </w:r>
          </w:p>
          <w:p>
            <w:pPr>
              <w:pStyle w:val="TableParagraph"/>
              <w:spacing w:before="112"/>
              <w:ind w:left="301"/>
              <w:rPr>
                <w:rFonts w:ascii="Times New Roman"/>
                <w:sz w:val="31"/>
              </w:rPr>
            </w:pPr>
            <w:r>
              <w:rPr>
                <w:rFonts w:ascii="Times New Roman"/>
                <w:sz w:val="31"/>
              </w:rPr>
              <w:t>&lt;20</w:t>
            </w:r>
          </w:p>
        </w:tc>
      </w:tr>
    </w:tbl>
    <w:p>
      <w:pPr>
        <w:pStyle w:val="ListParagraph"/>
        <w:numPr>
          <w:ilvl w:val="3"/>
          <w:numId w:val="42"/>
        </w:numPr>
        <w:tabs>
          <w:tab w:val="left" w:pos="1226"/>
        </w:tabs>
        <w:spacing w:before="47" w:after="0" w:line="240" w:lineRule="auto"/>
        <w:ind w:left="1225" w:right="0" w:hanging="266"/>
        <w:jc w:val="left"/>
        <w:rPr>
          <w:rFonts w:ascii="幼圆" w:eastAsia="幼圆" w:hAnsi="幼圆" w:hint="eastAsia"/>
          <w:sz w:val="31"/>
        </w:rPr>
      </w:pPr>
      <w:r>
        <w:drawing>
          <wp:anchor distT="0" distB="0" distL="0" distR="0" simplePos="0" relativeHeight="251712512" behindDoc="1" locked="0" layoutInCell="1" allowOverlap="1">
            <wp:simplePos x="0" y="0"/>
            <wp:positionH relativeFrom="page">
              <wp:posOffset>1397000</wp:posOffset>
            </wp:positionH>
            <wp:positionV relativeFrom="paragraph">
              <wp:posOffset>-49149</wp:posOffset>
            </wp:positionV>
            <wp:extent cx="7144893" cy="50673"/>
            <wp:effectExtent l="0" t="0" r="0" b="0"/>
            <wp:wrapNone/>
            <wp:docPr id="135"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50.png"/>
                    <pic:cNvPicPr/>
                  </pic:nvPicPr>
                  <pic:blipFill>
                    <a:blip xmlns:r="http://schemas.openxmlformats.org/officeDocument/2006/relationships" r:embed="rId23" cstate="print"/>
                    <a:stretch>
                      <a:fillRect/>
                    </a:stretch>
                  </pic:blipFill>
                  <pic:spPr>
                    <a:xfrm>
                      <a:off x="0" y="0"/>
                      <a:ext cx="7144893" cy="50673"/>
                    </a:xfrm>
                    <a:prstGeom prst="rect">
                      <a:avLst/>
                    </a:prstGeom>
                  </pic:spPr>
                </pic:pic>
              </a:graphicData>
            </a:graphic>
          </wp:anchor>
        </w:drawing>
      </w:r>
      <w:r>
        <w:rPr>
          <w:rFonts w:ascii="黑体" w:eastAsia="黑体" w:hAnsi="黑体" w:hint="eastAsia"/>
          <w:spacing w:val="25"/>
          <w:sz w:val="31"/>
        </w:rPr>
        <w:t>单位为</w:t>
      </w:r>
      <w:r>
        <w:rPr>
          <w:rFonts w:ascii="幼圆" w:eastAsia="幼圆" w:hAnsi="幼圆" w:hint="eastAsia"/>
          <w:spacing w:val="-21"/>
          <w:sz w:val="31"/>
        </w:rPr>
        <w:t>μg/</w:t>
      </w:r>
      <w:r>
        <w:rPr>
          <w:rFonts w:ascii="黑体" w:eastAsia="黑体" w:hAnsi="黑体" w:hint="eastAsia"/>
          <w:spacing w:val="-256"/>
          <w:sz w:val="31"/>
        </w:rPr>
        <w:t>。</w:t>
      </w:r>
      <w:r>
        <w:rPr>
          <w:rFonts w:ascii="幼圆" w:eastAsia="幼圆" w:hAnsi="幼圆" w:hint="eastAsia"/>
          <w:sz w:val="31"/>
        </w:rPr>
        <w:t>g</w:t>
      </w:r>
    </w:p>
    <w:p>
      <w:pPr>
        <w:pStyle w:val="BodyText"/>
        <w:spacing w:before="70" w:line="316" w:lineRule="auto"/>
        <w:ind w:left="644" w:right="2205" w:firstLine="719"/>
        <w:jc w:val="both"/>
      </w:pPr>
      <w:r>
        <w:rPr>
          <w:spacing w:val="-14"/>
        </w:rPr>
        <w:t xml:space="preserve">数据表明，煤制氢装置要生产 </w:t>
      </w:r>
      <w:r>
        <w:rPr>
          <w:rFonts w:ascii="Times New Roman" w:eastAsia="Times New Roman"/>
        </w:rPr>
        <w:t xml:space="preserve">23.441 t/h </w:t>
      </w:r>
      <w:r>
        <w:rPr>
          <w:spacing w:val="-15"/>
        </w:rPr>
        <w:t xml:space="preserve">摩尔含量为 </w:t>
      </w:r>
      <w:r>
        <w:rPr>
          <w:rFonts w:ascii="Times New Roman" w:eastAsia="Times New Roman"/>
        </w:rPr>
        <w:t>99.5%</w:t>
      </w:r>
      <w:r>
        <w:rPr>
          <w:spacing w:val="-6"/>
        </w:rPr>
        <w:t>的氢气</w:t>
      </w:r>
      <w:r>
        <w:t>才能满足煤炭液化项目的需要。</w:t>
      </w:r>
    </w:p>
    <w:p>
      <w:pPr>
        <w:pStyle w:val="BodyText"/>
        <w:spacing w:before="2"/>
        <w:rPr>
          <w:sz w:val="27"/>
        </w:rPr>
      </w:pPr>
    </w:p>
    <w:p>
      <w:pPr>
        <w:pStyle w:val="ListParagraph"/>
        <w:numPr>
          <w:ilvl w:val="2"/>
          <w:numId w:val="42"/>
        </w:numPr>
        <w:tabs>
          <w:tab w:val="left" w:pos="1454"/>
        </w:tabs>
        <w:spacing w:before="0" w:after="0" w:line="240" w:lineRule="auto"/>
        <w:ind w:left="1453" w:right="0" w:hanging="810"/>
        <w:jc w:val="left"/>
        <w:rPr>
          <w:rFonts w:ascii="Times New Roman" w:eastAsia="Times New Roman"/>
          <w:sz w:val="36"/>
        </w:rPr>
      </w:pPr>
      <w:r>
        <w:rPr>
          <w:rFonts w:ascii="黑体" w:eastAsia="黑体" w:hint="eastAsia"/>
          <w:sz w:val="36"/>
        </w:rPr>
        <w:t>空分装置</w:t>
      </w:r>
    </w:p>
    <w:p>
      <w:pPr>
        <w:pStyle w:val="BodyText"/>
        <w:spacing w:before="147" w:line="316" w:lineRule="auto"/>
        <w:ind w:left="644" w:right="2208" w:firstLine="719"/>
        <w:jc w:val="both"/>
      </w:pPr>
      <w:r>
        <w:t>采用德国林德公司空分技术，由两条生产线组成，单条生产线制</w:t>
      </w:r>
      <w:r>
        <w:rPr>
          <w:spacing w:val="-12"/>
        </w:rPr>
        <w:t xml:space="preserve">氧能力为 </w:t>
      </w:r>
      <w:r>
        <w:rPr>
          <w:rFonts w:ascii="Times New Roman" w:eastAsia="Times New Roman"/>
        </w:rPr>
        <w:t>50</w:t>
      </w:r>
      <w:r>
        <w:rPr>
          <w:rFonts w:ascii="Times New Roman" w:eastAsia="Times New Roman"/>
          <w:spacing w:val="89"/>
        </w:rPr>
        <w:t xml:space="preserve"> </w:t>
      </w:r>
      <w:r>
        <w:rPr>
          <w:rFonts w:ascii="Times New Roman" w:eastAsia="Times New Roman"/>
        </w:rPr>
        <w:t>000m</w:t>
      </w:r>
      <w:r>
        <w:rPr>
          <w:rFonts w:ascii="Times New Roman" w:eastAsia="Times New Roman"/>
          <w:position w:val="3"/>
          <w:sz w:val="24"/>
        </w:rPr>
        <w:t>3</w:t>
      </w:r>
      <w:r>
        <w:rPr>
          <w:rFonts w:ascii="Times New Roman" w:eastAsia="Times New Roman"/>
        </w:rPr>
        <w:t>/h</w:t>
      </w:r>
      <w:r>
        <w:rPr>
          <w:spacing w:val="-1"/>
        </w:rPr>
        <w:t>。空分装置主要为煤制氢装置提供高压高纯度氧</w:t>
      </w:r>
      <w:r>
        <w:t>气，为煤液化、煤制氢、加氢改质、轻烃回收等装置提供高、中、低压高纯度氮气，为各装置提供仪表空气。</w:t>
      </w:r>
    </w:p>
    <w:p>
      <w:pPr>
        <w:pStyle w:val="BodyText"/>
        <w:spacing w:before="2"/>
        <w:rPr>
          <w:sz w:val="27"/>
        </w:rPr>
      </w:pPr>
    </w:p>
    <w:p>
      <w:pPr>
        <w:pStyle w:val="ListParagraph"/>
        <w:numPr>
          <w:ilvl w:val="2"/>
          <w:numId w:val="42"/>
        </w:numPr>
        <w:tabs>
          <w:tab w:val="left" w:pos="1454"/>
        </w:tabs>
        <w:spacing w:before="1" w:after="0" w:line="240" w:lineRule="auto"/>
        <w:ind w:left="1453" w:right="0" w:hanging="810"/>
        <w:jc w:val="left"/>
        <w:rPr>
          <w:rFonts w:ascii="Times New Roman" w:eastAsia="Times New Roman"/>
          <w:sz w:val="36"/>
        </w:rPr>
      </w:pPr>
      <w:r>
        <w:rPr>
          <w:rFonts w:ascii="黑体" w:eastAsia="黑体" w:hint="eastAsia"/>
          <w:sz w:val="36"/>
        </w:rPr>
        <w:t>自备电站</w:t>
      </w:r>
    </w:p>
    <w:p>
      <w:pPr>
        <w:pStyle w:val="BodyText"/>
        <w:spacing w:before="150" w:line="316" w:lineRule="auto"/>
        <w:ind w:left="644" w:right="2079" w:firstLine="719"/>
      </w:pPr>
      <w:r>
        <w:rPr>
          <w:spacing w:val="-4"/>
        </w:rPr>
        <w:t xml:space="preserve">神华煤直接液化项目一期工程第一条生产线用电负荷为 </w:t>
      </w:r>
      <w:r>
        <w:rPr>
          <w:rFonts w:ascii="Times New Roman" w:eastAsia="Times New Roman"/>
          <w:spacing w:val="-3"/>
        </w:rPr>
        <w:t>142MW</w:t>
      </w:r>
      <w:r>
        <w:rPr>
          <w:spacing w:val="-3"/>
        </w:rPr>
        <w:t xml:space="preserve">， </w:t>
      </w:r>
      <w:r>
        <w:rPr>
          <w:spacing w:val="-13"/>
        </w:rPr>
        <w:t xml:space="preserve">需工业蒸汽 </w:t>
      </w:r>
      <w:r>
        <w:rPr>
          <w:rFonts w:ascii="Times New Roman" w:eastAsia="Times New Roman"/>
        </w:rPr>
        <w:t>400t/h</w:t>
      </w:r>
      <w:r>
        <w:rPr>
          <w:spacing w:val="-11"/>
        </w:rPr>
        <w:t xml:space="preserve">，年排出油渣 </w:t>
      </w:r>
      <w:r>
        <w:rPr>
          <w:rFonts w:ascii="Times New Roman" w:eastAsia="Times New Roman"/>
        </w:rPr>
        <w:t xml:space="preserve">60 </w:t>
      </w:r>
      <w:r>
        <w:rPr>
          <w:spacing w:val="-36"/>
        </w:rPr>
        <w:t xml:space="preserve">万 </w:t>
      </w:r>
      <w:r>
        <w:rPr>
          <w:rFonts w:ascii="Times New Roman" w:eastAsia="Times New Roman"/>
        </w:rPr>
        <w:t>t</w:t>
      </w:r>
      <w:r>
        <w:rPr>
          <w:spacing w:val="-14"/>
        </w:rPr>
        <w:t xml:space="preserve">、洗中煤 </w:t>
      </w:r>
      <w:r>
        <w:rPr>
          <w:rFonts w:ascii="Times New Roman" w:eastAsia="Times New Roman"/>
        </w:rPr>
        <w:t xml:space="preserve">33 </w:t>
      </w:r>
      <w:r>
        <w:rPr>
          <w:spacing w:val="-36"/>
        </w:rPr>
        <w:t xml:space="preserve">万 </w:t>
      </w:r>
      <w:r>
        <w:rPr>
          <w:rFonts w:ascii="Times New Roman" w:eastAsia="Times New Roman"/>
        </w:rPr>
        <w:t>t</w:t>
      </w:r>
      <w:r>
        <w:t>，可燃性化工</w:t>
      </w:r>
      <w:r>
        <w:rPr>
          <w:spacing w:val="-31"/>
        </w:rPr>
        <w:t xml:space="preserve">尾气 </w:t>
      </w:r>
      <w:r>
        <w:rPr>
          <w:rFonts w:ascii="Times New Roman" w:eastAsia="Times New Roman"/>
        </w:rPr>
        <w:t>14 000 ~30 000m</w:t>
      </w:r>
      <w:r>
        <w:rPr>
          <w:rFonts w:ascii="Times New Roman" w:eastAsia="Times New Roman"/>
          <w:position w:val="3"/>
          <w:sz w:val="24"/>
        </w:rPr>
        <w:t>3</w:t>
      </w:r>
      <w:r>
        <w:rPr>
          <w:rFonts w:ascii="Times New Roman" w:eastAsia="Times New Roman"/>
        </w:rPr>
        <w:t>/h</w:t>
      </w:r>
      <w:r>
        <w:rPr>
          <w:spacing w:val="-9"/>
        </w:rPr>
        <w:t>。自备电站的燃料主要来源于煤直接液化所产生的油渣、洗中煤和可燃性化工尾气，不足部分补充洗中煤，电站总</w:t>
      </w:r>
      <w:r>
        <w:rPr>
          <w:spacing w:val="-23"/>
        </w:rPr>
        <w:t xml:space="preserve">装机容量为 </w:t>
      </w:r>
      <w:r>
        <w:rPr>
          <w:rFonts w:ascii="Times New Roman" w:eastAsia="Times New Roman"/>
        </w:rPr>
        <w:t>500MW</w:t>
      </w:r>
      <w:r>
        <w:rPr>
          <w:spacing w:val="-8"/>
        </w:rPr>
        <w:t xml:space="preserve">，其中一期工程装机容量为 </w:t>
      </w:r>
      <w:r>
        <w:rPr>
          <w:rFonts w:ascii="Times New Roman" w:eastAsia="Times New Roman"/>
        </w:rPr>
        <w:t>200MW</w:t>
      </w:r>
      <w:r>
        <w:t>。</w:t>
      </w:r>
    </w:p>
    <w:p>
      <w:pPr>
        <w:spacing w:after="0" w:line="316" w:lineRule="auto"/>
        <w:sectPr>
          <w:pgSz w:w="15480" w:h="21860"/>
          <w:pgMar w:top="2000" w:right="0" w:bottom="280" w:left="1740" w:header="708" w:footer="708"/>
          <w:pgNumType w:start="39"/>
          <w:cols w:space="708"/>
        </w:sectPr>
      </w:pPr>
    </w:p>
    <w:p>
      <w:pPr>
        <w:pStyle w:val="ListParagraph"/>
        <w:numPr>
          <w:ilvl w:val="2"/>
          <w:numId w:val="17"/>
        </w:numPr>
        <w:tabs>
          <w:tab w:val="left" w:pos="1454"/>
        </w:tabs>
        <w:spacing w:before="81" w:after="0" w:line="240" w:lineRule="auto"/>
        <w:ind w:left="1453" w:right="0" w:hanging="810"/>
        <w:jc w:val="left"/>
        <w:rPr>
          <w:rFonts w:ascii="Arial" w:eastAsia="Arial"/>
          <w:sz w:val="36"/>
        </w:rPr>
      </w:pPr>
      <w:r>
        <w:rPr>
          <w:rFonts w:ascii="黑体" w:eastAsia="黑体" w:hint="eastAsia"/>
          <w:sz w:val="36"/>
        </w:rPr>
        <w:t>水处理装置</w:t>
      </w:r>
    </w:p>
    <w:p>
      <w:pPr>
        <w:pStyle w:val="BodyText"/>
        <w:spacing w:before="150" w:line="316" w:lineRule="auto"/>
        <w:ind w:left="644" w:right="2294" w:firstLine="719"/>
      </w:pPr>
      <w:r>
        <w:t>采用先进的水处理技术对各装置排出污水进行处理，采用克劳斯法处理酸性气体进行硫回收，争取达到零排放。</w:t>
      </w:r>
    </w:p>
    <w:p>
      <w:pPr>
        <w:pStyle w:val="Heading2"/>
        <w:numPr>
          <w:ilvl w:val="1"/>
          <w:numId w:val="19"/>
        </w:numPr>
        <w:tabs>
          <w:tab w:val="left" w:pos="1274"/>
        </w:tabs>
        <w:spacing w:before="305" w:after="0" w:line="240" w:lineRule="auto"/>
        <w:ind w:left="1273" w:right="0" w:hanging="630"/>
        <w:jc w:val="left"/>
      </w:pPr>
      <w:bookmarkStart w:id="11" w:name="_TOC_250020"/>
      <w:bookmarkEnd w:id="11"/>
      <w:r>
        <w:t>小结</w:t>
      </w:r>
    </w:p>
    <w:p>
      <w:pPr>
        <w:pStyle w:val="BodyText"/>
        <w:spacing w:before="326" w:line="316" w:lineRule="auto"/>
        <w:ind w:left="644" w:right="2181" w:firstLine="360"/>
        <w:jc w:val="both"/>
      </w:pPr>
      <w:r>
        <w:t>详细介绍了神华煤直接液化工艺流程图。重点介绍了工艺流程图中</w:t>
      </w:r>
      <w:r>
        <w:rPr>
          <w:w w:val="95"/>
        </w:rPr>
        <w:t>的关键装置，例如：液化反应单元，</w:t>
      </w:r>
      <w:r>
        <w:rPr>
          <w:rFonts w:ascii="Arial" w:eastAsia="Arial"/>
          <w:w w:val="95"/>
        </w:rPr>
        <w:t xml:space="preserve">T-star  </w:t>
      </w:r>
      <w:r>
        <w:rPr>
          <w:w w:val="95"/>
        </w:rPr>
        <w:t>单元。该工艺流程图已经进</w:t>
      </w:r>
      <w:r>
        <w:t>过详细的整体优化，尽量争取达到了一个最优化的组合。</w:t>
      </w:r>
    </w:p>
    <w:p>
      <w:pPr>
        <w:spacing w:after="0" w:line="316"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4" w:history="1">
        <w:r>
          <w:rPr>
            <w:rFonts w:ascii="SimSun" w:eastAsia="SimSun" w:hAnsi="SimSun" w:cs="SimSun"/>
            <w:b/>
            <w:bCs/>
            <w:color w:val="0000EE"/>
            <w:sz w:val="30"/>
            <w:szCs w:val="30"/>
            <w:u w:val="single" w:color="0000EE"/>
          </w:rPr>
          <w:t>https://d.book118.com/176142012155010041</w:t>
        </w:r>
      </w:hyperlink>
    </w:p>
    <w:p>
      <w:pPr>
        <w:spacing w:after="0" w:line="316" w:lineRule="auto"/>
        <w:jc w:val="both"/>
      </w:pPr>
    </w:p>
    <w:sectPr>
      <w:pgSz w:w="15480" w:h="21860"/>
      <w:pgMar w:top="1960" w:right="0" w:bottom="280" w:left="1740" w:header="708" w:footer="708"/>
      <w:pgNumType w:start="4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5F938"/>
    <w:multiLevelType w:val="hybridMultilevel"/>
    <w:tmpl w:val="00000000"/>
    <w:lvl w:ilvl="0">
      <w:start w:val="7"/>
      <w:numFmt w:val="decimal"/>
      <w:lvlText w:val="%1"/>
      <w:lvlJc w:val="left"/>
      <w:pPr>
        <w:ind w:left="1813" w:hanging="540"/>
        <w:jc w:val="left"/>
      </w:pPr>
      <w:rPr>
        <w:rFonts w:hint="default"/>
      </w:rPr>
    </w:lvl>
    <w:lvl w:ilvl="1">
      <w:start w:val="1"/>
      <w:numFmt w:val="decimal"/>
      <w:lvlText w:val="%1.%2"/>
      <w:lvlJc w:val="left"/>
      <w:pPr>
        <w:ind w:left="1813" w:hanging="540"/>
        <w:jc w:val="left"/>
      </w:pPr>
      <w:rPr>
        <w:rFonts w:ascii="Arial" w:eastAsia="Arial" w:hAnsi="Arial" w:cs="Arial" w:hint="default"/>
        <w:w w:val="89"/>
        <w:sz w:val="36"/>
        <w:szCs w:val="36"/>
      </w:rPr>
    </w:lvl>
    <w:lvl w:ilvl="2">
      <w:start w:val="1"/>
      <w:numFmt w:val="decimal"/>
      <w:lvlText w:val="%1.%2.%3"/>
      <w:lvlJc w:val="left"/>
      <w:pPr>
        <w:ind w:left="2713" w:hanging="810"/>
        <w:jc w:val="left"/>
      </w:pPr>
      <w:rPr>
        <w:rFonts w:ascii="Arial" w:eastAsia="Arial" w:hAnsi="Arial" w:cs="Arial" w:hint="default"/>
        <w:w w:val="89"/>
        <w:sz w:val="36"/>
        <w:szCs w:val="36"/>
      </w:rPr>
    </w:lvl>
    <w:lvl w:ilvl="3">
      <w:start w:val="0"/>
      <w:numFmt w:val="bullet"/>
      <w:lvlText w:val="•"/>
      <w:lvlJc w:val="left"/>
      <w:pPr>
        <w:ind w:left="5168" w:hanging="810"/>
      </w:pPr>
      <w:rPr>
        <w:rFonts w:hint="default"/>
      </w:rPr>
    </w:lvl>
    <w:lvl w:ilvl="4">
      <w:start w:val="0"/>
      <w:numFmt w:val="bullet"/>
      <w:lvlText w:val="•"/>
      <w:lvlJc w:val="left"/>
      <w:pPr>
        <w:ind w:left="6393" w:hanging="810"/>
      </w:pPr>
      <w:rPr>
        <w:rFonts w:hint="default"/>
      </w:rPr>
    </w:lvl>
    <w:lvl w:ilvl="5">
      <w:start w:val="0"/>
      <w:numFmt w:val="bullet"/>
      <w:lvlText w:val="•"/>
      <w:lvlJc w:val="left"/>
      <w:pPr>
        <w:ind w:left="7617" w:hanging="810"/>
      </w:pPr>
      <w:rPr>
        <w:rFonts w:hint="default"/>
      </w:rPr>
    </w:lvl>
    <w:lvl w:ilvl="6">
      <w:start w:val="0"/>
      <w:numFmt w:val="bullet"/>
      <w:lvlText w:val="•"/>
      <w:lvlJc w:val="left"/>
      <w:pPr>
        <w:ind w:left="8842" w:hanging="810"/>
      </w:pPr>
      <w:rPr>
        <w:rFonts w:hint="default"/>
      </w:rPr>
    </w:lvl>
    <w:lvl w:ilvl="7">
      <w:start w:val="0"/>
      <w:numFmt w:val="bullet"/>
      <w:lvlText w:val="•"/>
      <w:lvlJc w:val="left"/>
      <w:pPr>
        <w:ind w:left="10066" w:hanging="810"/>
      </w:pPr>
      <w:rPr>
        <w:rFonts w:hint="default"/>
      </w:rPr>
    </w:lvl>
    <w:lvl w:ilvl="8">
      <w:start w:val="0"/>
      <w:numFmt w:val="bullet"/>
      <w:lvlText w:val="•"/>
      <w:lvlJc w:val="left"/>
      <w:pPr>
        <w:ind w:left="11291" w:hanging="810"/>
      </w:pPr>
      <w:rPr>
        <w:rFonts w:hint="default"/>
      </w:rPr>
    </w:lvl>
  </w:abstractNum>
  <w:abstractNum w:abstractNumId="1">
    <w:nsid w:val="0681EFA3"/>
    <w:multiLevelType w:val="hybridMultilevel"/>
    <w:tmpl w:val="00000000"/>
    <w:lvl w:ilvl="0">
      <w:start w:val="1"/>
      <w:numFmt w:val="decimal"/>
      <w:lvlText w:val="(%1)"/>
      <w:lvlJc w:val="left"/>
      <w:pPr>
        <w:ind w:left="1694" w:hanging="421"/>
        <w:jc w:val="left"/>
      </w:pPr>
      <w:rPr>
        <w:rFonts w:hint="default"/>
        <w:spacing w:val="-3"/>
        <w:w w:val="96"/>
      </w:rPr>
    </w:lvl>
    <w:lvl w:ilvl="1">
      <w:start w:val="0"/>
      <w:numFmt w:val="bullet"/>
      <w:lvlText w:val="•"/>
      <w:lvlJc w:val="left"/>
      <w:pPr>
        <w:ind w:left="2904" w:hanging="421"/>
      </w:pPr>
      <w:rPr>
        <w:rFonts w:hint="default"/>
      </w:rPr>
    </w:lvl>
    <w:lvl w:ilvl="2">
      <w:start w:val="0"/>
      <w:numFmt w:val="bullet"/>
      <w:lvlText w:val="•"/>
      <w:lvlJc w:val="left"/>
      <w:pPr>
        <w:ind w:left="4108" w:hanging="421"/>
      </w:pPr>
      <w:rPr>
        <w:rFonts w:hint="default"/>
      </w:rPr>
    </w:lvl>
    <w:lvl w:ilvl="3">
      <w:start w:val="0"/>
      <w:numFmt w:val="bullet"/>
      <w:lvlText w:val="•"/>
      <w:lvlJc w:val="left"/>
      <w:pPr>
        <w:ind w:left="5312" w:hanging="421"/>
      </w:pPr>
      <w:rPr>
        <w:rFonts w:hint="default"/>
      </w:rPr>
    </w:lvl>
    <w:lvl w:ilvl="4">
      <w:start w:val="0"/>
      <w:numFmt w:val="bullet"/>
      <w:lvlText w:val="•"/>
      <w:lvlJc w:val="left"/>
      <w:pPr>
        <w:ind w:left="6516" w:hanging="421"/>
      </w:pPr>
      <w:rPr>
        <w:rFonts w:hint="default"/>
      </w:rPr>
    </w:lvl>
    <w:lvl w:ilvl="5">
      <w:start w:val="0"/>
      <w:numFmt w:val="bullet"/>
      <w:lvlText w:val="•"/>
      <w:lvlJc w:val="left"/>
      <w:pPr>
        <w:ind w:left="7720" w:hanging="421"/>
      </w:pPr>
      <w:rPr>
        <w:rFonts w:hint="default"/>
      </w:rPr>
    </w:lvl>
    <w:lvl w:ilvl="6">
      <w:start w:val="0"/>
      <w:numFmt w:val="bullet"/>
      <w:lvlText w:val="•"/>
      <w:lvlJc w:val="left"/>
      <w:pPr>
        <w:ind w:left="8924" w:hanging="421"/>
      </w:pPr>
      <w:rPr>
        <w:rFonts w:hint="default"/>
      </w:rPr>
    </w:lvl>
    <w:lvl w:ilvl="7">
      <w:start w:val="0"/>
      <w:numFmt w:val="bullet"/>
      <w:lvlText w:val="•"/>
      <w:lvlJc w:val="left"/>
      <w:pPr>
        <w:ind w:left="10128" w:hanging="421"/>
      </w:pPr>
      <w:rPr>
        <w:rFonts w:hint="default"/>
      </w:rPr>
    </w:lvl>
    <w:lvl w:ilvl="8">
      <w:start w:val="0"/>
      <w:numFmt w:val="bullet"/>
      <w:lvlText w:val="•"/>
      <w:lvlJc w:val="left"/>
      <w:pPr>
        <w:ind w:left="11332" w:hanging="421"/>
      </w:pPr>
      <w:rPr>
        <w:rFonts w:hint="default"/>
      </w:rPr>
    </w:lvl>
  </w:abstractNum>
  <w:abstractNum w:abstractNumId="2">
    <w:nsid w:val="078166E6"/>
    <w:multiLevelType w:val="hybridMultilevel"/>
    <w:tmpl w:val="00000000"/>
    <w:lvl w:ilvl="0">
      <w:start w:val="6"/>
      <w:numFmt w:val="decimal"/>
      <w:lvlText w:val="%1"/>
      <w:lvlJc w:val="left"/>
      <w:pPr>
        <w:ind w:left="1273" w:hanging="630"/>
        <w:jc w:val="left"/>
      </w:pPr>
      <w:rPr>
        <w:rFonts w:hint="default"/>
      </w:rPr>
    </w:lvl>
    <w:lvl w:ilvl="1">
      <w:start w:val="1"/>
      <w:numFmt w:val="decimal"/>
      <w:lvlText w:val="%1.%2"/>
      <w:lvlJc w:val="left"/>
      <w:pPr>
        <w:ind w:left="1273" w:hanging="630"/>
        <w:jc w:val="left"/>
      </w:pPr>
      <w:rPr>
        <w:rFonts w:ascii="Arial" w:eastAsia="Arial" w:hAnsi="Arial" w:cs="Arial" w:hint="default"/>
        <w:w w:val="90"/>
        <w:sz w:val="42"/>
        <w:szCs w:val="42"/>
      </w:rPr>
    </w:lvl>
    <w:lvl w:ilvl="2">
      <w:start w:val="1"/>
      <w:numFmt w:val="decimal"/>
      <w:lvlText w:val="%1.%2.%3"/>
      <w:lvlJc w:val="left"/>
      <w:pPr>
        <w:ind w:left="1453" w:hanging="810"/>
        <w:jc w:val="left"/>
      </w:pPr>
      <w:rPr>
        <w:rFonts w:hint="default"/>
        <w:w w:val="89"/>
      </w:rPr>
    </w:lvl>
    <w:lvl w:ilvl="3">
      <w:start w:val="0"/>
      <w:numFmt w:val="bullet"/>
      <w:lvlText w:val="•"/>
      <w:lvlJc w:val="left"/>
      <w:pPr>
        <w:ind w:left="4188" w:hanging="810"/>
      </w:pPr>
      <w:rPr>
        <w:rFonts w:hint="default"/>
      </w:rPr>
    </w:lvl>
    <w:lvl w:ilvl="4">
      <w:start w:val="0"/>
      <w:numFmt w:val="bullet"/>
      <w:lvlText w:val="•"/>
      <w:lvlJc w:val="left"/>
      <w:pPr>
        <w:ind w:left="5553" w:hanging="810"/>
      </w:pPr>
      <w:rPr>
        <w:rFonts w:hint="default"/>
      </w:rPr>
    </w:lvl>
    <w:lvl w:ilvl="5">
      <w:start w:val="0"/>
      <w:numFmt w:val="bullet"/>
      <w:lvlText w:val="•"/>
      <w:lvlJc w:val="left"/>
      <w:pPr>
        <w:ind w:left="6917" w:hanging="810"/>
      </w:pPr>
      <w:rPr>
        <w:rFonts w:hint="default"/>
      </w:rPr>
    </w:lvl>
    <w:lvl w:ilvl="6">
      <w:start w:val="0"/>
      <w:numFmt w:val="bullet"/>
      <w:lvlText w:val="•"/>
      <w:lvlJc w:val="left"/>
      <w:pPr>
        <w:ind w:left="8282" w:hanging="810"/>
      </w:pPr>
      <w:rPr>
        <w:rFonts w:hint="default"/>
      </w:rPr>
    </w:lvl>
    <w:lvl w:ilvl="7">
      <w:start w:val="0"/>
      <w:numFmt w:val="bullet"/>
      <w:lvlText w:val="•"/>
      <w:lvlJc w:val="left"/>
      <w:pPr>
        <w:ind w:left="9646" w:hanging="810"/>
      </w:pPr>
      <w:rPr>
        <w:rFonts w:hint="default"/>
      </w:rPr>
    </w:lvl>
    <w:lvl w:ilvl="8">
      <w:start w:val="0"/>
      <w:numFmt w:val="bullet"/>
      <w:lvlText w:val="•"/>
      <w:lvlJc w:val="left"/>
      <w:pPr>
        <w:ind w:left="11011" w:hanging="810"/>
      </w:pPr>
      <w:rPr>
        <w:rFonts w:hint="default"/>
      </w:rPr>
    </w:lvl>
  </w:abstractNum>
  <w:abstractNum w:abstractNumId="3">
    <w:nsid w:val="089103D6"/>
    <w:multiLevelType w:val="hybridMultilevel"/>
    <w:tmpl w:val="00000000"/>
    <w:lvl w:ilvl="0">
      <w:start w:val="2"/>
      <w:numFmt w:val="decimal"/>
      <w:lvlText w:val="%1"/>
      <w:lvlJc w:val="left"/>
      <w:pPr>
        <w:ind w:left="1273" w:hanging="630"/>
        <w:jc w:val="left"/>
      </w:pPr>
      <w:rPr>
        <w:rFonts w:hint="default"/>
      </w:rPr>
    </w:lvl>
    <w:lvl w:ilvl="1">
      <w:start w:val="1"/>
      <w:numFmt w:val="decimal"/>
      <w:lvlText w:val="%1.%2"/>
      <w:lvlJc w:val="left"/>
      <w:pPr>
        <w:ind w:left="1273" w:hanging="630"/>
        <w:jc w:val="left"/>
      </w:pPr>
      <w:rPr>
        <w:rFonts w:hint="default"/>
        <w:w w:val="90"/>
      </w:rPr>
    </w:lvl>
    <w:lvl w:ilvl="2">
      <w:start w:val="1"/>
      <w:numFmt w:val="decimal"/>
      <w:lvlText w:val="%1.%2.%3"/>
      <w:lvlJc w:val="left"/>
      <w:pPr>
        <w:ind w:left="1453" w:hanging="810"/>
        <w:jc w:val="left"/>
      </w:pPr>
      <w:rPr>
        <w:rFonts w:hint="default"/>
        <w:w w:val="100"/>
      </w:rPr>
    </w:lvl>
    <w:lvl w:ilvl="3">
      <w:start w:val="1"/>
      <w:numFmt w:val="decimal"/>
      <w:lvlText w:val="（%4）"/>
      <w:lvlJc w:val="left"/>
      <w:pPr>
        <w:ind w:left="644" w:hanging="810"/>
        <w:jc w:val="left"/>
      </w:pPr>
      <w:rPr>
        <w:rFonts w:ascii="宋体" w:eastAsia="宋体" w:hAnsi="宋体" w:cs="宋体" w:hint="default"/>
        <w:w w:val="89"/>
        <w:sz w:val="34"/>
        <w:szCs w:val="34"/>
      </w:rPr>
    </w:lvl>
    <w:lvl w:ilvl="4">
      <w:start w:val="0"/>
      <w:numFmt w:val="bullet"/>
      <w:lvlText w:val="•"/>
      <w:lvlJc w:val="left"/>
      <w:pPr>
        <w:ind w:left="4530" w:hanging="810"/>
      </w:pPr>
      <w:rPr>
        <w:rFonts w:hint="default"/>
      </w:rPr>
    </w:lvl>
    <w:lvl w:ilvl="5">
      <w:start w:val="0"/>
      <w:numFmt w:val="bullet"/>
      <w:lvlText w:val="•"/>
      <w:lvlJc w:val="left"/>
      <w:pPr>
        <w:ind w:left="6065" w:hanging="810"/>
      </w:pPr>
      <w:rPr>
        <w:rFonts w:hint="default"/>
      </w:rPr>
    </w:lvl>
    <w:lvl w:ilvl="6">
      <w:start w:val="0"/>
      <w:numFmt w:val="bullet"/>
      <w:lvlText w:val="•"/>
      <w:lvlJc w:val="left"/>
      <w:pPr>
        <w:ind w:left="7600" w:hanging="810"/>
      </w:pPr>
      <w:rPr>
        <w:rFonts w:hint="default"/>
      </w:rPr>
    </w:lvl>
    <w:lvl w:ilvl="7">
      <w:start w:val="0"/>
      <w:numFmt w:val="bullet"/>
      <w:lvlText w:val="•"/>
      <w:lvlJc w:val="left"/>
      <w:pPr>
        <w:ind w:left="9135" w:hanging="810"/>
      </w:pPr>
      <w:rPr>
        <w:rFonts w:hint="default"/>
      </w:rPr>
    </w:lvl>
    <w:lvl w:ilvl="8">
      <w:start w:val="0"/>
      <w:numFmt w:val="bullet"/>
      <w:lvlText w:val="•"/>
      <w:lvlJc w:val="left"/>
      <w:pPr>
        <w:ind w:left="10670" w:hanging="810"/>
      </w:pPr>
      <w:rPr>
        <w:rFonts w:hint="default"/>
      </w:rPr>
    </w:lvl>
  </w:abstractNum>
  <w:abstractNum w:abstractNumId="4">
    <w:nsid w:val="0D202A72"/>
    <w:multiLevelType w:val="hybridMultilevel"/>
    <w:tmpl w:val="00000000"/>
    <w:lvl w:ilvl="0">
      <w:start w:val="3"/>
      <w:numFmt w:val="decimal"/>
      <w:lvlText w:val="%1"/>
      <w:lvlJc w:val="left"/>
      <w:pPr>
        <w:ind w:left="1273" w:hanging="630"/>
        <w:jc w:val="left"/>
      </w:pPr>
      <w:rPr>
        <w:rFonts w:hint="default"/>
      </w:rPr>
    </w:lvl>
    <w:lvl w:ilvl="1">
      <w:start w:val="1"/>
      <w:numFmt w:val="decimal"/>
      <w:lvlText w:val="%1.%2"/>
      <w:lvlJc w:val="left"/>
      <w:pPr>
        <w:ind w:left="1273" w:hanging="630"/>
        <w:jc w:val="left"/>
      </w:pPr>
      <w:rPr>
        <w:rFonts w:ascii="Arial" w:eastAsia="Arial" w:hAnsi="Arial" w:cs="Arial" w:hint="default"/>
        <w:w w:val="90"/>
        <w:sz w:val="42"/>
        <w:szCs w:val="42"/>
      </w:rPr>
    </w:lvl>
    <w:lvl w:ilvl="2">
      <w:start w:val="1"/>
      <w:numFmt w:val="decimal"/>
      <w:lvlText w:val="%1.%2.%3"/>
      <w:lvlJc w:val="left"/>
      <w:pPr>
        <w:ind w:left="1453" w:hanging="810"/>
        <w:jc w:val="left"/>
      </w:pPr>
      <w:rPr>
        <w:rFonts w:hint="default"/>
        <w:w w:val="89"/>
      </w:rPr>
    </w:lvl>
    <w:lvl w:ilvl="3">
      <w:start w:val="1"/>
      <w:numFmt w:val="decimal"/>
      <w:lvlText w:val="(%4)"/>
      <w:lvlJc w:val="left"/>
      <w:pPr>
        <w:ind w:left="644" w:hanging="421"/>
        <w:jc w:val="left"/>
      </w:pPr>
      <w:rPr>
        <w:rFonts w:ascii="Arial" w:eastAsia="Arial" w:hAnsi="Arial" w:cs="Arial" w:hint="default"/>
        <w:spacing w:val="-3"/>
        <w:w w:val="95"/>
        <w:sz w:val="34"/>
        <w:szCs w:val="34"/>
      </w:rPr>
    </w:lvl>
    <w:lvl w:ilvl="4">
      <w:start w:val="0"/>
      <w:numFmt w:val="bullet"/>
      <w:lvlText w:val="•"/>
      <w:lvlJc w:val="left"/>
      <w:pPr>
        <w:ind w:left="3648" w:hanging="421"/>
      </w:pPr>
      <w:rPr>
        <w:rFonts w:hint="default"/>
      </w:rPr>
    </w:lvl>
    <w:lvl w:ilvl="5">
      <w:start w:val="0"/>
      <w:numFmt w:val="bullet"/>
      <w:lvlText w:val="•"/>
      <w:lvlJc w:val="left"/>
      <w:pPr>
        <w:ind w:left="4742" w:hanging="421"/>
      </w:pPr>
      <w:rPr>
        <w:rFonts w:hint="default"/>
      </w:rPr>
    </w:lvl>
    <w:lvl w:ilvl="6">
      <w:start w:val="0"/>
      <w:numFmt w:val="bullet"/>
      <w:lvlText w:val="•"/>
      <w:lvlJc w:val="left"/>
      <w:pPr>
        <w:ind w:left="5836" w:hanging="421"/>
      </w:pPr>
      <w:rPr>
        <w:rFonts w:hint="default"/>
      </w:rPr>
    </w:lvl>
    <w:lvl w:ilvl="7">
      <w:start w:val="0"/>
      <w:numFmt w:val="bullet"/>
      <w:lvlText w:val="•"/>
      <w:lvlJc w:val="left"/>
      <w:pPr>
        <w:ind w:left="6930" w:hanging="421"/>
      </w:pPr>
      <w:rPr>
        <w:rFonts w:hint="default"/>
      </w:rPr>
    </w:lvl>
    <w:lvl w:ilvl="8">
      <w:start w:val="0"/>
      <w:numFmt w:val="bullet"/>
      <w:lvlText w:val="•"/>
      <w:lvlJc w:val="left"/>
      <w:pPr>
        <w:ind w:left="8024" w:hanging="421"/>
      </w:pPr>
      <w:rPr>
        <w:rFonts w:hint="default"/>
      </w:rPr>
    </w:lvl>
  </w:abstractNum>
  <w:abstractNum w:abstractNumId="5">
    <w:nsid w:val="0E54E6B8"/>
    <w:multiLevelType w:val="hybridMultilevel"/>
    <w:tmpl w:val="00000000"/>
    <w:lvl w:ilvl="0">
      <w:start w:val="4"/>
      <w:numFmt w:val="decimal"/>
      <w:lvlText w:val="%1"/>
      <w:lvlJc w:val="left"/>
      <w:pPr>
        <w:ind w:left="1453" w:hanging="810"/>
        <w:jc w:val="left"/>
      </w:pPr>
      <w:rPr>
        <w:rFonts w:hint="default"/>
      </w:rPr>
    </w:lvl>
    <w:lvl w:ilvl="1">
      <w:start w:val="4"/>
      <w:numFmt w:val="decimal"/>
      <w:lvlText w:val="%1.%2"/>
      <w:lvlJc w:val="left"/>
      <w:pPr>
        <w:ind w:left="1453" w:hanging="810"/>
        <w:jc w:val="left"/>
      </w:pPr>
      <w:rPr>
        <w:rFonts w:hint="default"/>
      </w:rPr>
    </w:lvl>
    <w:lvl w:ilvl="2">
      <w:start w:val="1"/>
      <w:numFmt w:val="decimal"/>
      <w:lvlText w:val="%1.%2.%3"/>
      <w:lvlJc w:val="left"/>
      <w:pPr>
        <w:ind w:left="1453" w:hanging="810"/>
        <w:jc w:val="left"/>
      </w:pPr>
      <w:rPr>
        <w:rFonts w:ascii="Arial" w:eastAsia="Arial" w:hAnsi="Arial" w:cs="Arial" w:hint="default"/>
        <w:w w:val="89"/>
        <w:sz w:val="36"/>
        <w:szCs w:val="36"/>
      </w:rPr>
    </w:lvl>
    <w:lvl w:ilvl="3">
      <w:start w:val="1"/>
      <w:numFmt w:val="decimal"/>
      <w:lvlText w:val="（%4）"/>
      <w:lvlJc w:val="left"/>
      <w:pPr>
        <w:ind w:left="2264" w:hanging="901"/>
        <w:jc w:val="left"/>
      </w:pPr>
      <w:rPr>
        <w:rFonts w:ascii="黑体" w:eastAsia="黑体" w:hAnsi="黑体" w:cs="黑体" w:hint="default"/>
        <w:w w:val="89"/>
        <w:sz w:val="34"/>
        <w:szCs w:val="34"/>
      </w:rPr>
    </w:lvl>
    <w:lvl w:ilvl="4">
      <w:start w:val="0"/>
      <w:numFmt w:val="bullet"/>
      <w:lvlText w:val="•"/>
      <w:lvlJc w:val="left"/>
      <w:pPr>
        <w:ind w:left="6086" w:hanging="901"/>
      </w:pPr>
      <w:rPr>
        <w:rFonts w:hint="default"/>
      </w:rPr>
    </w:lvl>
    <w:lvl w:ilvl="5">
      <w:start w:val="0"/>
      <w:numFmt w:val="bullet"/>
      <w:lvlText w:val="•"/>
      <w:lvlJc w:val="left"/>
      <w:pPr>
        <w:ind w:left="7362" w:hanging="901"/>
      </w:pPr>
      <w:rPr>
        <w:rFonts w:hint="default"/>
      </w:rPr>
    </w:lvl>
    <w:lvl w:ilvl="6">
      <w:start w:val="0"/>
      <w:numFmt w:val="bullet"/>
      <w:lvlText w:val="•"/>
      <w:lvlJc w:val="left"/>
      <w:pPr>
        <w:ind w:left="8637" w:hanging="901"/>
      </w:pPr>
      <w:rPr>
        <w:rFonts w:hint="default"/>
      </w:rPr>
    </w:lvl>
    <w:lvl w:ilvl="7">
      <w:start w:val="0"/>
      <w:numFmt w:val="bullet"/>
      <w:lvlText w:val="•"/>
      <w:lvlJc w:val="left"/>
      <w:pPr>
        <w:ind w:left="9913" w:hanging="901"/>
      </w:pPr>
      <w:rPr>
        <w:rFonts w:hint="default"/>
      </w:rPr>
    </w:lvl>
    <w:lvl w:ilvl="8">
      <w:start w:val="0"/>
      <w:numFmt w:val="bullet"/>
      <w:lvlText w:val="•"/>
      <w:lvlJc w:val="left"/>
      <w:pPr>
        <w:ind w:left="11188" w:hanging="901"/>
      </w:pPr>
      <w:rPr>
        <w:rFonts w:hint="default"/>
      </w:rPr>
    </w:lvl>
  </w:abstractNum>
  <w:abstractNum w:abstractNumId="6">
    <w:nsid w:val="138E50DD"/>
    <w:multiLevelType w:val="hybridMultilevel"/>
    <w:tmpl w:val="00000000"/>
    <w:lvl w:ilvl="0">
      <w:start w:val="1"/>
      <w:numFmt w:val="decimal"/>
      <w:lvlText w:val="%1"/>
      <w:lvlJc w:val="left"/>
      <w:pPr>
        <w:ind w:left="1119" w:hanging="476"/>
        <w:jc w:val="left"/>
      </w:pPr>
      <w:rPr>
        <w:rFonts w:ascii="Bookman Old Style" w:eastAsia="Bookman Old Style" w:hAnsi="Bookman Old Style" w:cs="Bookman Old Style" w:hint="default"/>
        <w:w w:val="82"/>
        <w:sz w:val="31"/>
        <w:szCs w:val="31"/>
      </w:rPr>
    </w:lvl>
    <w:lvl w:ilvl="1">
      <w:start w:val="0"/>
      <w:numFmt w:val="bullet"/>
      <w:lvlText w:val="•"/>
      <w:lvlJc w:val="left"/>
      <w:pPr>
        <w:ind w:left="2382" w:hanging="476"/>
      </w:pPr>
      <w:rPr>
        <w:rFonts w:hint="default"/>
      </w:rPr>
    </w:lvl>
    <w:lvl w:ilvl="2">
      <w:start w:val="0"/>
      <w:numFmt w:val="bullet"/>
      <w:lvlText w:val="•"/>
      <w:lvlJc w:val="left"/>
      <w:pPr>
        <w:ind w:left="3644" w:hanging="476"/>
      </w:pPr>
      <w:rPr>
        <w:rFonts w:hint="default"/>
      </w:rPr>
    </w:lvl>
    <w:lvl w:ilvl="3">
      <w:start w:val="0"/>
      <w:numFmt w:val="bullet"/>
      <w:lvlText w:val="•"/>
      <w:lvlJc w:val="left"/>
      <w:pPr>
        <w:ind w:left="4906" w:hanging="476"/>
      </w:pPr>
      <w:rPr>
        <w:rFonts w:hint="default"/>
      </w:rPr>
    </w:lvl>
    <w:lvl w:ilvl="4">
      <w:start w:val="0"/>
      <w:numFmt w:val="bullet"/>
      <w:lvlText w:val="•"/>
      <w:lvlJc w:val="left"/>
      <w:pPr>
        <w:ind w:left="6168" w:hanging="476"/>
      </w:pPr>
      <w:rPr>
        <w:rFonts w:hint="default"/>
      </w:rPr>
    </w:lvl>
    <w:lvl w:ilvl="5">
      <w:start w:val="0"/>
      <w:numFmt w:val="bullet"/>
      <w:lvlText w:val="•"/>
      <w:lvlJc w:val="left"/>
      <w:pPr>
        <w:ind w:left="7430" w:hanging="476"/>
      </w:pPr>
      <w:rPr>
        <w:rFonts w:hint="default"/>
      </w:rPr>
    </w:lvl>
    <w:lvl w:ilvl="6">
      <w:start w:val="0"/>
      <w:numFmt w:val="bullet"/>
      <w:lvlText w:val="•"/>
      <w:lvlJc w:val="left"/>
      <w:pPr>
        <w:ind w:left="8692" w:hanging="476"/>
      </w:pPr>
      <w:rPr>
        <w:rFonts w:hint="default"/>
      </w:rPr>
    </w:lvl>
    <w:lvl w:ilvl="7">
      <w:start w:val="0"/>
      <w:numFmt w:val="bullet"/>
      <w:lvlText w:val="•"/>
      <w:lvlJc w:val="left"/>
      <w:pPr>
        <w:ind w:left="9954" w:hanging="476"/>
      </w:pPr>
      <w:rPr>
        <w:rFonts w:hint="default"/>
      </w:rPr>
    </w:lvl>
    <w:lvl w:ilvl="8">
      <w:start w:val="0"/>
      <w:numFmt w:val="bullet"/>
      <w:lvlText w:val="•"/>
      <w:lvlJc w:val="left"/>
      <w:pPr>
        <w:ind w:left="11216" w:hanging="476"/>
      </w:pPr>
      <w:rPr>
        <w:rFonts w:hint="default"/>
      </w:rPr>
    </w:lvl>
  </w:abstractNum>
  <w:abstractNum w:abstractNumId="7">
    <w:nsid w:val="139C7745"/>
    <w:multiLevelType w:val="hybridMultilevel"/>
    <w:tmpl w:val="00000000"/>
    <w:lvl w:ilvl="0">
      <w:start w:val="3"/>
      <w:numFmt w:val="decimal"/>
      <w:lvlText w:val="%1"/>
      <w:lvlJc w:val="left"/>
      <w:pPr>
        <w:ind w:left="1453" w:hanging="810"/>
        <w:jc w:val="left"/>
      </w:pPr>
      <w:rPr>
        <w:rFonts w:hint="default"/>
      </w:rPr>
    </w:lvl>
    <w:lvl w:ilvl="1">
      <w:start w:val="2"/>
      <w:numFmt w:val="decimal"/>
      <w:lvlText w:val="%1.%2"/>
      <w:lvlJc w:val="left"/>
      <w:pPr>
        <w:ind w:left="1453" w:hanging="810"/>
        <w:jc w:val="left"/>
      </w:pPr>
      <w:rPr>
        <w:rFonts w:hint="default"/>
      </w:rPr>
    </w:lvl>
    <w:lvl w:ilvl="2">
      <w:start w:val="2"/>
      <w:numFmt w:val="decimal"/>
      <w:lvlText w:val="%1.%2.%3"/>
      <w:lvlJc w:val="left"/>
      <w:pPr>
        <w:ind w:left="1453" w:hanging="810"/>
        <w:jc w:val="left"/>
      </w:pPr>
      <w:rPr>
        <w:rFonts w:hint="default"/>
        <w:w w:val="100"/>
      </w:rPr>
    </w:lvl>
    <w:lvl w:ilvl="3">
      <w:start w:val="1"/>
      <w:numFmt w:val="decimal"/>
      <w:lvlText w:val="%4)"/>
      <w:lvlJc w:val="left"/>
      <w:pPr>
        <w:ind w:left="1225" w:hanging="265"/>
        <w:jc w:val="left"/>
      </w:pPr>
      <w:rPr>
        <w:rFonts w:ascii="Times New Roman" w:eastAsia="Times New Roman" w:hAnsi="Times New Roman" w:cs="Times New Roman" w:hint="default"/>
        <w:spacing w:val="-2"/>
        <w:w w:val="102"/>
        <w:sz w:val="29"/>
        <w:szCs w:val="29"/>
      </w:rPr>
    </w:lvl>
    <w:lvl w:ilvl="4">
      <w:start w:val="0"/>
      <w:numFmt w:val="bullet"/>
      <w:lvlText w:val="•"/>
      <w:lvlJc w:val="left"/>
      <w:pPr>
        <w:ind w:left="5553" w:hanging="265"/>
      </w:pPr>
      <w:rPr>
        <w:rFonts w:hint="default"/>
      </w:rPr>
    </w:lvl>
    <w:lvl w:ilvl="5">
      <w:start w:val="0"/>
      <w:numFmt w:val="bullet"/>
      <w:lvlText w:val="•"/>
      <w:lvlJc w:val="left"/>
      <w:pPr>
        <w:ind w:left="6917" w:hanging="265"/>
      </w:pPr>
      <w:rPr>
        <w:rFonts w:hint="default"/>
      </w:rPr>
    </w:lvl>
    <w:lvl w:ilvl="6">
      <w:start w:val="0"/>
      <w:numFmt w:val="bullet"/>
      <w:lvlText w:val="•"/>
      <w:lvlJc w:val="left"/>
      <w:pPr>
        <w:ind w:left="8282" w:hanging="265"/>
      </w:pPr>
      <w:rPr>
        <w:rFonts w:hint="default"/>
      </w:rPr>
    </w:lvl>
    <w:lvl w:ilvl="7">
      <w:start w:val="0"/>
      <w:numFmt w:val="bullet"/>
      <w:lvlText w:val="•"/>
      <w:lvlJc w:val="left"/>
      <w:pPr>
        <w:ind w:left="9646" w:hanging="265"/>
      </w:pPr>
      <w:rPr>
        <w:rFonts w:hint="default"/>
      </w:rPr>
    </w:lvl>
    <w:lvl w:ilvl="8">
      <w:start w:val="0"/>
      <w:numFmt w:val="bullet"/>
      <w:lvlText w:val="•"/>
      <w:lvlJc w:val="left"/>
      <w:pPr>
        <w:ind w:left="11011" w:hanging="265"/>
      </w:pPr>
      <w:rPr>
        <w:rFonts w:hint="default"/>
      </w:rPr>
    </w:lvl>
  </w:abstractNum>
  <w:abstractNum w:abstractNumId="8">
    <w:nsid w:val="13B06144"/>
    <w:multiLevelType w:val="hybridMultilevel"/>
    <w:tmpl w:val="00000000"/>
    <w:lvl w:ilvl="0">
      <w:start w:val="1"/>
      <w:numFmt w:val="decimal"/>
      <w:lvlText w:val="（%1）"/>
      <w:lvlJc w:val="left"/>
      <w:pPr>
        <w:ind w:left="2264" w:hanging="901"/>
        <w:jc w:val="left"/>
      </w:pPr>
      <w:rPr>
        <w:rFonts w:ascii="黑体" w:eastAsia="黑体" w:hAnsi="黑体" w:cs="黑体" w:hint="default"/>
        <w:w w:val="89"/>
        <w:sz w:val="34"/>
        <w:szCs w:val="34"/>
      </w:rPr>
    </w:lvl>
    <w:lvl w:ilvl="1">
      <w:start w:val="0"/>
      <w:numFmt w:val="bullet"/>
      <w:lvlText w:val="•"/>
      <w:lvlJc w:val="left"/>
      <w:pPr>
        <w:ind w:left="3408" w:hanging="901"/>
      </w:pPr>
      <w:rPr>
        <w:rFonts w:hint="default"/>
      </w:rPr>
    </w:lvl>
    <w:lvl w:ilvl="2">
      <w:start w:val="0"/>
      <w:numFmt w:val="bullet"/>
      <w:lvlText w:val="•"/>
      <w:lvlJc w:val="left"/>
      <w:pPr>
        <w:ind w:left="4556" w:hanging="901"/>
      </w:pPr>
      <w:rPr>
        <w:rFonts w:hint="default"/>
      </w:rPr>
    </w:lvl>
    <w:lvl w:ilvl="3">
      <w:start w:val="0"/>
      <w:numFmt w:val="bullet"/>
      <w:lvlText w:val="•"/>
      <w:lvlJc w:val="left"/>
      <w:pPr>
        <w:ind w:left="5704" w:hanging="901"/>
      </w:pPr>
      <w:rPr>
        <w:rFonts w:hint="default"/>
      </w:rPr>
    </w:lvl>
    <w:lvl w:ilvl="4">
      <w:start w:val="0"/>
      <w:numFmt w:val="bullet"/>
      <w:lvlText w:val="•"/>
      <w:lvlJc w:val="left"/>
      <w:pPr>
        <w:ind w:left="6852" w:hanging="901"/>
      </w:pPr>
      <w:rPr>
        <w:rFonts w:hint="default"/>
      </w:rPr>
    </w:lvl>
    <w:lvl w:ilvl="5">
      <w:start w:val="0"/>
      <w:numFmt w:val="bullet"/>
      <w:lvlText w:val="•"/>
      <w:lvlJc w:val="left"/>
      <w:pPr>
        <w:ind w:left="8000" w:hanging="901"/>
      </w:pPr>
      <w:rPr>
        <w:rFonts w:hint="default"/>
      </w:rPr>
    </w:lvl>
    <w:lvl w:ilvl="6">
      <w:start w:val="0"/>
      <w:numFmt w:val="bullet"/>
      <w:lvlText w:val="•"/>
      <w:lvlJc w:val="left"/>
      <w:pPr>
        <w:ind w:left="9148" w:hanging="901"/>
      </w:pPr>
      <w:rPr>
        <w:rFonts w:hint="default"/>
      </w:rPr>
    </w:lvl>
    <w:lvl w:ilvl="7">
      <w:start w:val="0"/>
      <w:numFmt w:val="bullet"/>
      <w:lvlText w:val="•"/>
      <w:lvlJc w:val="left"/>
      <w:pPr>
        <w:ind w:left="10296" w:hanging="901"/>
      </w:pPr>
      <w:rPr>
        <w:rFonts w:hint="default"/>
      </w:rPr>
    </w:lvl>
    <w:lvl w:ilvl="8">
      <w:start w:val="0"/>
      <w:numFmt w:val="bullet"/>
      <w:lvlText w:val="•"/>
      <w:lvlJc w:val="left"/>
      <w:pPr>
        <w:ind w:left="11444" w:hanging="901"/>
      </w:pPr>
      <w:rPr>
        <w:rFonts w:hint="default"/>
      </w:rPr>
    </w:lvl>
  </w:abstractNum>
  <w:abstractNum w:abstractNumId="9">
    <w:nsid w:val="14387013"/>
    <w:multiLevelType w:val="hybridMultilevel"/>
    <w:tmpl w:val="00000000"/>
    <w:lvl w:ilvl="0">
      <w:start w:val="1"/>
      <w:numFmt w:val="decimal"/>
      <w:lvlText w:val="%1）"/>
      <w:lvlJc w:val="left"/>
      <w:pPr>
        <w:ind w:left="1814" w:hanging="541"/>
        <w:jc w:val="left"/>
      </w:pPr>
      <w:rPr>
        <w:rFonts w:hint="default"/>
        <w:w w:val="89"/>
      </w:rPr>
    </w:lvl>
    <w:lvl w:ilvl="1">
      <w:start w:val="0"/>
      <w:numFmt w:val="bullet"/>
      <w:lvlText w:val="•"/>
      <w:lvlJc w:val="left"/>
      <w:pPr>
        <w:ind w:left="3012" w:hanging="541"/>
      </w:pPr>
      <w:rPr>
        <w:rFonts w:hint="default"/>
      </w:rPr>
    </w:lvl>
    <w:lvl w:ilvl="2">
      <w:start w:val="0"/>
      <w:numFmt w:val="bullet"/>
      <w:lvlText w:val="•"/>
      <w:lvlJc w:val="left"/>
      <w:pPr>
        <w:ind w:left="4204" w:hanging="541"/>
      </w:pPr>
      <w:rPr>
        <w:rFonts w:hint="default"/>
      </w:rPr>
    </w:lvl>
    <w:lvl w:ilvl="3">
      <w:start w:val="0"/>
      <w:numFmt w:val="bullet"/>
      <w:lvlText w:val="•"/>
      <w:lvlJc w:val="left"/>
      <w:pPr>
        <w:ind w:left="5396" w:hanging="541"/>
      </w:pPr>
      <w:rPr>
        <w:rFonts w:hint="default"/>
      </w:rPr>
    </w:lvl>
    <w:lvl w:ilvl="4">
      <w:start w:val="0"/>
      <w:numFmt w:val="bullet"/>
      <w:lvlText w:val="•"/>
      <w:lvlJc w:val="left"/>
      <w:pPr>
        <w:ind w:left="6588" w:hanging="541"/>
      </w:pPr>
      <w:rPr>
        <w:rFonts w:hint="default"/>
      </w:rPr>
    </w:lvl>
    <w:lvl w:ilvl="5">
      <w:start w:val="0"/>
      <w:numFmt w:val="bullet"/>
      <w:lvlText w:val="•"/>
      <w:lvlJc w:val="left"/>
      <w:pPr>
        <w:ind w:left="7780" w:hanging="541"/>
      </w:pPr>
      <w:rPr>
        <w:rFonts w:hint="default"/>
      </w:rPr>
    </w:lvl>
    <w:lvl w:ilvl="6">
      <w:start w:val="0"/>
      <w:numFmt w:val="bullet"/>
      <w:lvlText w:val="•"/>
      <w:lvlJc w:val="left"/>
      <w:pPr>
        <w:ind w:left="8972" w:hanging="541"/>
      </w:pPr>
      <w:rPr>
        <w:rFonts w:hint="default"/>
      </w:rPr>
    </w:lvl>
    <w:lvl w:ilvl="7">
      <w:start w:val="0"/>
      <w:numFmt w:val="bullet"/>
      <w:lvlText w:val="•"/>
      <w:lvlJc w:val="left"/>
      <w:pPr>
        <w:ind w:left="10164" w:hanging="541"/>
      </w:pPr>
      <w:rPr>
        <w:rFonts w:hint="default"/>
      </w:rPr>
    </w:lvl>
    <w:lvl w:ilvl="8">
      <w:start w:val="0"/>
      <w:numFmt w:val="bullet"/>
      <w:lvlText w:val="•"/>
      <w:lvlJc w:val="left"/>
      <w:pPr>
        <w:ind w:left="11356" w:hanging="541"/>
      </w:pPr>
      <w:rPr>
        <w:rFonts w:hint="default"/>
      </w:rPr>
    </w:lvl>
  </w:abstractNum>
  <w:abstractNum w:abstractNumId="10">
    <w:nsid w:val="181D8EB5"/>
    <w:multiLevelType w:val="hybridMultilevel"/>
    <w:tmpl w:val="00000000"/>
    <w:lvl w:ilvl="0">
      <w:start w:val="5"/>
      <w:numFmt w:val="decimal"/>
      <w:lvlText w:val="%1"/>
      <w:lvlJc w:val="left"/>
      <w:pPr>
        <w:ind w:left="1273" w:hanging="630"/>
        <w:jc w:val="left"/>
      </w:pPr>
      <w:rPr>
        <w:rFonts w:hint="default"/>
      </w:rPr>
    </w:lvl>
    <w:lvl w:ilvl="1">
      <w:start w:val="1"/>
      <w:numFmt w:val="decimal"/>
      <w:lvlText w:val="%1.%2"/>
      <w:lvlJc w:val="left"/>
      <w:pPr>
        <w:ind w:left="1273" w:hanging="630"/>
        <w:jc w:val="left"/>
      </w:pPr>
      <w:rPr>
        <w:rFonts w:hint="default"/>
        <w:w w:val="90"/>
      </w:rPr>
    </w:lvl>
    <w:lvl w:ilvl="2">
      <w:start w:val="1"/>
      <w:numFmt w:val="decimal"/>
      <w:lvlText w:val="%1.%2.%3"/>
      <w:lvlJc w:val="left"/>
      <w:pPr>
        <w:ind w:left="1453" w:hanging="810"/>
        <w:jc w:val="left"/>
      </w:pPr>
      <w:rPr>
        <w:rFonts w:hint="default"/>
        <w:w w:val="89"/>
      </w:rPr>
    </w:lvl>
    <w:lvl w:ilvl="3">
      <w:start w:val="1"/>
      <w:numFmt w:val="decimal"/>
      <w:lvlText w:val="(%4)"/>
      <w:lvlJc w:val="left"/>
      <w:pPr>
        <w:ind w:left="644" w:hanging="422"/>
        <w:jc w:val="left"/>
      </w:pPr>
      <w:rPr>
        <w:rFonts w:hint="default"/>
        <w:w w:val="95"/>
      </w:rPr>
    </w:lvl>
    <w:lvl w:ilvl="4">
      <w:start w:val="0"/>
      <w:numFmt w:val="bullet"/>
      <w:lvlText w:val="•"/>
      <w:lvlJc w:val="left"/>
      <w:pPr>
        <w:ind w:left="4530" w:hanging="422"/>
      </w:pPr>
      <w:rPr>
        <w:rFonts w:hint="default"/>
      </w:rPr>
    </w:lvl>
    <w:lvl w:ilvl="5">
      <w:start w:val="0"/>
      <w:numFmt w:val="bullet"/>
      <w:lvlText w:val="•"/>
      <w:lvlJc w:val="left"/>
      <w:pPr>
        <w:ind w:left="6065" w:hanging="422"/>
      </w:pPr>
      <w:rPr>
        <w:rFonts w:hint="default"/>
      </w:rPr>
    </w:lvl>
    <w:lvl w:ilvl="6">
      <w:start w:val="0"/>
      <w:numFmt w:val="bullet"/>
      <w:lvlText w:val="•"/>
      <w:lvlJc w:val="left"/>
      <w:pPr>
        <w:ind w:left="7600" w:hanging="422"/>
      </w:pPr>
      <w:rPr>
        <w:rFonts w:hint="default"/>
      </w:rPr>
    </w:lvl>
    <w:lvl w:ilvl="7">
      <w:start w:val="0"/>
      <w:numFmt w:val="bullet"/>
      <w:lvlText w:val="•"/>
      <w:lvlJc w:val="left"/>
      <w:pPr>
        <w:ind w:left="9135" w:hanging="422"/>
      </w:pPr>
      <w:rPr>
        <w:rFonts w:hint="default"/>
      </w:rPr>
    </w:lvl>
    <w:lvl w:ilvl="8">
      <w:start w:val="0"/>
      <w:numFmt w:val="bullet"/>
      <w:lvlText w:val="•"/>
      <w:lvlJc w:val="left"/>
      <w:pPr>
        <w:ind w:left="10670" w:hanging="422"/>
      </w:pPr>
      <w:rPr>
        <w:rFonts w:hint="default"/>
      </w:rPr>
    </w:lvl>
  </w:abstractNum>
  <w:abstractNum w:abstractNumId="11">
    <w:nsid w:val="19A632E5"/>
    <w:multiLevelType w:val="hybridMultilevel"/>
    <w:tmpl w:val="00000000"/>
    <w:lvl w:ilvl="0">
      <w:start w:val="1"/>
      <w:numFmt w:val="decimal"/>
      <w:lvlText w:val="(%1)"/>
      <w:lvlJc w:val="left"/>
      <w:pPr>
        <w:ind w:left="1694" w:hanging="421"/>
        <w:jc w:val="left"/>
      </w:pPr>
      <w:rPr>
        <w:rFonts w:hint="default"/>
        <w:spacing w:val="-3"/>
        <w:w w:val="96"/>
      </w:rPr>
    </w:lvl>
    <w:lvl w:ilvl="1">
      <w:start w:val="0"/>
      <w:numFmt w:val="bullet"/>
      <w:lvlText w:val="•"/>
      <w:lvlJc w:val="left"/>
      <w:pPr>
        <w:ind w:left="2904" w:hanging="421"/>
      </w:pPr>
      <w:rPr>
        <w:rFonts w:hint="default"/>
      </w:rPr>
    </w:lvl>
    <w:lvl w:ilvl="2">
      <w:start w:val="0"/>
      <w:numFmt w:val="bullet"/>
      <w:lvlText w:val="•"/>
      <w:lvlJc w:val="left"/>
      <w:pPr>
        <w:ind w:left="4108" w:hanging="421"/>
      </w:pPr>
      <w:rPr>
        <w:rFonts w:hint="default"/>
      </w:rPr>
    </w:lvl>
    <w:lvl w:ilvl="3">
      <w:start w:val="0"/>
      <w:numFmt w:val="bullet"/>
      <w:lvlText w:val="•"/>
      <w:lvlJc w:val="left"/>
      <w:pPr>
        <w:ind w:left="5312" w:hanging="421"/>
      </w:pPr>
      <w:rPr>
        <w:rFonts w:hint="default"/>
      </w:rPr>
    </w:lvl>
    <w:lvl w:ilvl="4">
      <w:start w:val="0"/>
      <w:numFmt w:val="bullet"/>
      <w:lvlText w:val="•"/>
      <w:lvlJc w:val="left"/>
      <w:pPr>
        <w:ind w:left="6516" w:hanging="421"/>
      </w:pPr>
      <w:rPr>
        <w:rFonts w:hint="default"/>
      </w:rPr>
    </w:lvl>
    <w:lvl w:ilvl="5">
      <w:start w:val="0"/>
      <w:numFmt w:val="bullet"/>
      <w:lvlText w:val="•"/>
      <w:lvlJc w:val="left"/>
      <w:pPr>
        <w:ind w:left="7720" w:hanging="421"/>
      </w:pPr>
      <w:rPr>
        <w:rFonts w:hint="default"/>
      </w:rPr>
    </w:lvl>
    <w:lvl w:ilvl="6">
      <w:start w:val="0"/>
      <w:numFmt w:val="bullet"/>
      <w:lvlText w:val="•"/>
      <w:lvlJc w:val="left"/>
      <w:pPr>
        <w:ind w:left="8924" w:hanging="421"/>
      </w:pPr>
      <w:rPr>
        <w:rFonts w:hint="default"/>
      </w:rPr>
    </w:lvl>
    <w:lvl w:ilvl="7">
      <w:start w:val="0"/>
      <w:numFmt w:val="bullet"/>
      <w:lvlText w:val="•"/>
      <w:lvlJc w:val="left"/>
      <w:pPr>
        <w:ind w:left="10128" w:hanging="421"/>
      </w:pPr>
      <w:rPr>
        <w:rFonts w:hint="default"/>
      </w:rPr>
    </w:lvl>
    <w:lvl w:ilvl="8">
      <w:start w:val="0"/>
      <w:numFmt w:val="bullet"/>
      <w:lvlText w:val="•"/>
      <w:lvlJc w:val="left"/>
      <w:pPr>
        <w:ind w:left="11332" w:hanging="421"/>
      </w:pPr>
      <w:rPr>
        <w:rFonts w:hint="default"/>
      </w:rPr>
    </w:lvl>
  </w:abstractNum>
  <w:abstractNum w:abstractNumId="12">
    <w:nsid w:val="1C2C6A4A"/>
    <w:multiLevelType w:val="hybridMultilevel"/>
    <w:tmpl w:val="00000000"/>
    <w:lvl w:ilvl="0">
      <w:start w:val="1"/>
      <w:numFmt w:val="decimal"/>
      <w:lvlText w:val="%1）"/>
      <w:lvlJc w:val="left"/>
      <w:pPr>
        <w:ind w:left="1814" w:hanging="541"/>
        <w:jc w:val="left"/>
      </w:pPr>
      <w:rPr>
        <w:rFonts w:hint="default"/>
        <w:w w:val="89"/>
      </w:rPr>
    </w:lvl>
    <w:lvl w:ilvl="1">
      <w:start w:val="0"/>
      <w:numFmt w:val="bullet"/>
      <w:lvlText w:val="•"/>
      <w:lvlJc w:val="left"/>
      <w:pPr>
        <w:ind w:left="3012" w:hanging="541"/>
      </w:pPr>
      <w:rPr>
        <w:rFonts w:hint="default"/>
      </w:rPr>
    </w:lvl>
    <w:lvl w:ilvl="2">
      <w:start w:val="0"/>
      <w:numFmt w:val="bullet"/>
      <w:lvlText w:val="•"/>
      <w:lvlJc w:val="left"/>
      <w:pPr>
        <w:ind w:left="4204" w:hanging="541"/>
      </w:pPr>
      <w:rPr>
        <w:rFonts w:hint="default"/>
      </w:rPr>
    </w:lvl>
    <w:lvl w:ilvl="3">
      <w:start w:val="0"/>
      <w:numFmt w:val="bullet"/>
      <w:lvlText w:val="•"/>
      <w:lvlJc w:val="left"/>
      <w:pPr>
        <w:ind w:left="5396" w:hanging="541"/>
      </w:pPr>
      <w:rPr>
        <w:rFonts w:hint="default"/>
      </w:rPr>
    </w:lvl>
    <w:lvl w:ilvl="4">
      <w:start w:val="0"/>
      <w:numFmt w:val="bullet"/>
      <w:lvlText w:val="•"/>
      <w:lvlJc w:val="left"/>
      <w:pPr>
        <w:ind w:left="6588" w:hanging="541"/>
      </w:pPr>
      <w:rPr>
        <w:rFonts w:hint="default"/>
      </w:rPr>
    </w:lvl>
    <w:lvl w:ilvl="5">
      <w:start w:val="0"/>
      <w:numFmt w:val="bullet"/>
      <w:lvlText w:val="•"/>
      <w:lvlJc w:val="left"/>
      <w:pPr>
        <w:ind w:left="7780" w:hanging="541"/>
      </w:pPr>
      <w:rPr>
        <w:rFonts w:hint="default"/>
      </w:rPr>
    </w:lvl>
    <w:lvl w:ilvl="6">
      <w:start w:val="0"/>
      <w:numFmt w:val="bullet"/>
      <w:lvlText w:val="•"/>
      <w:lvlJc w:val="left"/>
      <w:pPr>
        <w:ind w:left="8972" w:hanging="541"/>
      </w:pPr>
      <w:rPr>
        <w:rFonts w:hint="default"/>
      </w:rPr>
    </w:lvl>
    <w:lvl w:ilvl="7">
      <w:start w:val="0"/>
      <w:numFmt w:val="bullet"/>
      <w:lvlText w:val="•"/>
      <w:lvlJc w:val="left"/>
      <w:pPr>
        <w:ind w:left="10164" w:hanging="541"/>
      </w:pPr>
      <w:rPr>
        <w:rFonts w:hint="default"/>
      </w:rPr>
    </w:lvl>
    <w:lvl w:ilvl="8">
      <w:start w:val="0"/>
      <w:numFmt w:val="bullet"/>
      <w:lvlText w:val="•"/>
      <w:lvlJc w:val="left"/>
      <w:pPr>
        <w:ind w:left="11356" w:hanging="541"/>
      </w:pPr>
      <w:rPr>
        <w:rFonts w:hint="default"/>
      </w:rPr>
    </w:lvl>
  </w:abstractNum>
  <w:abstractNum w:abstractNumId="13">
    <w:nsid w:val="1CF8B2D3"/>
    <w:multiLevelType w:val="hybridMultilevel"/>
    <w:tmpl w:val="00000000"/>
    <w:lvl w:ilvl="0">
      <w:start w:val="2"/>
      <w:numFmt w:val="decimal"/>
      <w:lvlText w:val="（%1）"/>
      <w:lvlJc w:val="left"/>
      <w:pPr>
        <w:ind w:left="644" w:hanging="901"/>
        <w:jc w:val="left"/>
      </w:pPr>
      <w:rPr>
        <w:rFonts w:ascii="宋体" w:eastAsia="宋体" w:hAnsi="宋体" w:cs="宋体" w:hint="default"/>
        <w:spacing w:val="-47"/>
        <w:w w:val="89"/>
        <w:sz w:val="34"/>
        <w:szCs w:val="34"/>
      </w:rPr>
    </w:lvl>
    <w:lvl w:ilvl="1">
      <w:start w:val="0"/>
      <w:numFmt w:val="bullet"/>
      <w:lvlText w:val="•"/>
      <w:lvlJc w:val="left"/>
      <w:pPr>
        <w:ind w:left="1950" w:hanging="901"/>
      </w:pPr>
      <w:rPr>
        <w:rFonts w:hint="default"/>
      </w:rPr>
    </w:lvl>
    <w:lvl w:ilvl="2">
      <w:start w:val="0"/>
      <w:numFmt w:val="bullet"/>
      <w:lvlText w:val="•"/>
      <w:lvlJc w:val="left"/>
      <w:pPr>
        <w:ind w:left="3260" w:hanging="901"/>
      </w:pPr>
      <w:rPr>
        <w:rFonts w:hint="default"/>
      </w:rPr>
    </w:lvl>
    <w:lvl w:ilvl="3">
      <w:start w:val="0"/>
      <w:numFmt w:val="bullet"/>
      <w:lvlText w:val="•"/>
      <w:lvlJc w:val="left"/>
      <w:pPr>
        <w:ind w:left="4570" w:hanging="901"/>
      </w:pPr>
      <w:rPr>
        <w:rFonts w:hint="default"/>
      </w:rPr>
    </w:lvl>
    <w:lvl w:ilvl="4">
      <w:start w:val="0"/>
      <w:numFmt w:val="bullet"/>
      <w:lvlText w:val="•"/>
      <w:lvlJc w:val="left"/>
      <w:pPr>
        <w:ind w:left="5880" w:hanging="901"/>
      </w:pPr>
      <w:rPr>
        <w:rFonts w:hint="default"/>
      </w:rPr>
    </w:lvl>
    <w:lvl w:ilvl="5">
      <w:start w:val="0"/>
      <w:numFmt w:val="bullet"/>
      <w:lvlText w:val="•"/>
      <w:lvlJc w:val="left"/>
      <w:pPr>
        <w:ind w:left="7190" w:hanging="901"/>
      </w:pPr>
      <w:rPr>
        <w:rFonts w:hint="default"/>
      </w:rPr>
    </w:lvl>
    <w:lvl w:ilvl="6">
      <w:start w:val="0"/>
      <w:numFmt w:val="bullet"/>
      <w:lvlText w:val="•"/>
      <w:lvlJc w:val="left"/>
      <w:pPr>
        <w:ind w:left="8500" w:hanging="901"/>
      </w:pPr>
      <w:rPr>
        <w:rFonts w:hint="default"/>
      </w:rPr>
    </w:lvl>
    <w:lvl w:ilvl="7">
      <w:start w:val="0"/>
      <w:numFmt w:val="bullet"/>
      <w:lvlText w:val="•"/>
      <w:lvlJc w:val="left"/>
      <w:pPr>
        <w:ind w:left="9810" w:hanging="901"/>
      </w:pPr>
      <w:rPr>
        <w:rFonts w:hint="default"/>
      </w:rPr>
    </w:lvl>
    <w:lvl w:ilvl="8">
      <w:start w:val="0"/>
      <w:numFmt w:val="bullet"/>
      <w:lvlText w:val="•"/>
      <w:lvlJc w:val="left"/>
      <w:pPr>
        <w:ind w:left="11120" w:hanging="901"/>
      </w:pPr>
      <w:rPr>
        <w:rFonts w:hint="default"/>
      </w:rPr>
    </w:lvl>
  </w:abstractNum>
  <w:abstractNum w:abstractNumId="14">
    <w:nsid w:val="1DE7FD70"/>
    <w:multiLevelType w:val="hybridMultilevel"/>
    <w:tmpl w:val="00000000"/>
    <w:lvl w:ilvl="0">
      <w:start w:val="4"/>
      <w:numFmt w:val="decimal"/>
      <w:lvlText w:val="%1"/>
      <w:lvlJc w:val="left"/>
      <w:pPr>
        <w:ind w:left="1813" w:hanging="540"/>
        <w:jc w:val="left"/>
      </w:pPr>
      <w:rPr>
        <w:rFonts w:hint="default"/>
      </w:rPr>
    </w:lvl>
    <w:lvl w:ilvl="1">
      <w:start w:val="1"/>
      <w:numFmt w:val="decimal"/>
      <w:lvlText w:val="%1.%2"/>
      <w:lvlJc w:val="left"/>
      <w:pPr>
        <w:ind w:left="1813" w:hanging="540"/>
        <w:jc w:val="left"/>
      </w:pPr>
      <w:rPr>
        <w:rFonts w:ascii="Arial" w:eastAsia="Arial" w:hAnsi="Arial" w:cs="Arial" w:hint="default"/>
        <w:w w:val="89"/>
        <w:sz w:val="36"/>
        <w:szCs w:val="36"/>
      </w:rPr>
    </w:lvl>
    <w:lvl w:ilvl="2">
      <w:start w:val="1"/>
      <w:numFmt w:val="decimal"/>
      <w:lvlText w:val="%1.%2.%3"/>
      <w:lvlJc w:val="left"/>
      <w:pPr>
        <w:ind w:left="2713" w:hanging="810"/>
        <w:jc w:val="left"/>
      </w:pPr>
      <w:rPr>
        <w:rFonts w:ascii="Arial" w:eastAsia="Arial" w:hAnsi="Arial" w:cs="Arial" w:hint="default"/>
        <w:w w:val="89"/>
        <w:sz w:val="36"/>
        <w:szCs w:val="36"/>
      </w:rPr>
    </w:lvl>
    <w:lvl w:ilvl="3">
      <w:start w:val="0"/>
      <w:numFmt w:val="bullet"/>
      <w:lvlText w:val="•"/>
      <w:lvlJc w:val="left"/>
      <w:pPr>
        <w:ind w:left="5168" w:hanging="810"/>
      </w:pPr>
      <w:rPr>
        <w:rFonts w:hint="default"/>
      </w:rPr>
    </w:lvl>
    <w:lvl w:ilvl="4">
      <w:start w:val="0"/>
      <w:numFmt w:val="bullet"/>
      <w:lvlText w:val="•"/>
      <w:lvlJc w:val="left"/>
      <w:pPr>
        <w:ind w:left="6393" w:hanging="810"/>
      </w:pPr>
      <w:rPr>
        <w:rFonts w:hint="default"/>
      </w:rPr>
    </w:lvl>
    <w:lvl w:ilvl="5">
      <w:start w:val="0"/>
      <w:numFmt w:val="bullet"/>
      <w:lvlText w:val="•"/>
      <w:lvlJc w:val="left"/>
      <w:pPr>
        <w:ind w:left="7617" w:hanging="810"/>
      </w:pPr>
      <w:rPr>
        <w:rFonts w:hint="default"/>
      </w:rPr>
    </w:lvl>
    <w:lvl w:ilvl="6">
      <w:start w:val="0"/>
      <w:numFmt w:val="bullet"/>
      <w:lvlText w:val="•"/>
      <w:lvlJc w:val="left"/>
      <w:pPr>
        <w:ind w:left="8842" w:hanging="810"/>
      </w:pPr>
      <w:rPr>
        <w:rFonts w:hint="default"/>
      </w:rPr>
    </w:lvl>
    <w:lvl w:ilvl="7">
      <w:start w:val="0"/>
      <w:numFmt w:val="bullet"/>
      <w:lvlText w:val="•"/>
      <w:lvlJc w:val="left"/>
      <w:pPr>
        <w:ind w:left="10066" w:hanging="810"/>
      </w:pPr>
      <w:rPr>
        <w:rFonts w:hint="default"/>
      </w:rPr>
    </w:lvl>
    <w:lvl w:ilvl="8">
      <w:start w:val="0"/>
      <w:numFmt w:val="bullet"/>
      <w:lvlText w:val="•"/>
      <w:lvlJc w:val="left"/>
      <w:pPr>
        <w:ind w:left="11291" w:hanging="810"/>
      </w:pPr>
      <w:rPr>
        <w:rFonts w:hint="default"/>
      </w:rPr>
    </w:lvl>
  </w:abstractNum>
  <w:abstractNum w:abstractNumId="15">
    <w:nsid w:val="2AA47429"/>
    <w:multiLevelType w:val="hybridMultilevel"/>
    <w:tmpl w:val="00000000"/>
    <w:lvl w:ilvl="0">
      <w:start w:val="7"/>
      <w:numFmt w:val="decimal"/>
      <w:lvlText w:val="%1"/>
      <w:lvlJc w:val="left"/>
      <w:pPr>
        <w:ind w:left="1273" w:hanging="630"/>
        <w:jc w:val="left"/>
      </w:pPr>
      <w:rPr>
        <w:rFonts w:hint="default"/>
      </w:rPr>
    </w:lvl>
    <w:lvl w:ilvl="1">
      <w:start w:val="1"/>
      <w:numFmt w:val="decimal"/>
      <w:lvlText w:val="%1.%2"/>
      <w:lvlJc w:val="left"/>
      <w:pPr>
        <w:ind w:left="1273" w:hanging="630"/>
        <w:jc w:val="left"/>
      </w:pPr>
      <w:rPr>
        <w:rFonts w:hint="default"/>
        <w:w w:val="90"/>
      </w:rPr>
    </w:lvl>
    <w:lvl w:ilvl="2">
      <w:start w:val="1"/>
      <w:numFmt w:val="decimal"/>
      <w:lvlText w:val="%1.%2.%3"/>
      <w:lvlJc w:val="left"/>
      <w:pPr>
        <w:ind w:left="1453" w:hanging="810"/>
        <w:jc w:val="left"/>
      </w:pPr>
      <w:rPr>
        <w:rFonts w:hint="default"/>
        <w:w w:val="100"/>
      </w:rPr>
    </w:lvl>
    <w:lvl w:ilvl="3">
      <w:start w:val="1"/>
      <w:numFmt w:val="decimal"/>
      <w:lvlText w:val="(%4)"/>
      <w:lvlJc w:val="left"/>
      <w:pPr>
        <w:ind w:left="644" w:hanging="598"/>
        <w:jc w:val="left"/>
      </w:pPr>
      <w:rPr>
        <w:rFonts w:ascii="Arial" w:eastAsia="Arial" w:hAnsi="Arial" w:cs="Arial" w:hint="default"/>
        <w:w w:val="95"/>
        <w:sz w:val="36"/>
        <w:szCs w:val="36"/>
      </w:rPr>
    </w:lvl>
    <w:lvl w:ilvl="4">
      <w:start w:val="0"/>
      <w:numFmt w:val="bullet"/>
      <w:lvlText w:val="•"/>
      <w:lvlJc w:val="left"/>
      <w:pPr>
        <w:ind w:left="4530" w:hanging="598"/>
      </w:pPr>
      <w:rPr>
        <w:rFonts w:hint="default"/>
      </w:rPr>
    </w:lvl>
    <w:lvl w:ilvl="5">
      <w:start w:val="0"/>
      <w:numFmt w:val="bullet"/>
      <w:lvlText w:val="•"/>
      <w:lvlJc w:val="left"/>
      <w:pPr>
        <w:ind w:left="6065" w:hanging="598"/>
      </w:pPr>
      <w:rPr>
        <w:rFonts w:hint="default"/>
      </w:rPr>
    </w:lvl>
    <w:lvl w:ilvl="6">
      <w:start w:val="0"/>
      <w:numFmt w:val="bullet"/>
      <w:lvlText w:val="•"/>
      <w:lvlJc w:val="left"/>
      <w:pPr>
        <w:ind w:left="7600" w:hanging="598"/>
      </w:pPr>
      <w:rPr>
        <w:rFonts w:hint="default"/>
      </w:rPr>
    </w:lvl>
    <w:lvl w:ilvl="7">
      <w:start w:val="0"/>
      <w:numFmt w:val="bullet"/>
      <w:lvlText w:val="•"/>
      <w:lvlJc w:val="left"/>
      <w:pPr>
        <w:ind w:left="9135" w:hanging="598"/>
      </w:pPr>
      <w:rPr>
        <w:rFonts w:hint="default"/>
      </w:rPr>
    </w:lvl>
    <w:lvl w:ilvl="8">
      <w:start w:val="0"/>
      <w:numFmt w:val="bullet"/>
      <w:lvlText w:val="•"/>
      <w:lvlJc w:val="left"/>
      <w:pPr>
        <w:ind w:left="10670" w:hanging="598"/>
      </w:pPr>
      <w:rPr>
        <w:rFonts w:hint="default"/>
      </w:rPr>
    </w:lvl>
  </w:abstractNum>
  <w:abstractNum w:abstractNumId="16">
    <w:nsid w:val="2E5354F3"/>
    <w:multiLevelType w:val="hybridMultilevel"/>
    <w:tmpl w:val="00000000"/>
    <w:lvl w:ilvl="0">
      <w:start w:val="29"/>
      <w:numFmt w:val="decimal"/>
      <w:lvlText w:val="%1"/>
      <w:lvlJc w:val="left"/>
      <w:pPr>
        <w:ind w:left="1040" w:hanging="396"/>
        <w:jc w:val="left"/>
      </w:pPr>
      <w:rPr>
        <w:rFonts w:ascii="Bookman Old Style" w:eastAsia="Bookman Old Style" w:hAnsi="Bookman Old Style" w:cs="Bookman Old Style" w:hint="default"/>
        <w:w w:val="82"/>
        <w:sz w:val="31"/>
        <w:szCs w:val="31"/>
      </w:rPr>
    </w:lvl>
    <w:lvl w:ilvl="1">
      <w:start w:val="0"/>
      <w:numFmt w:val="bullet"/>
      <w:lvlText w:val="•"/>
      <w:lvlJc w:val="left"/>
      <w:pPr>
        <w:ind w:left="2310" w:hanging="396"/>
      </w:pPr>
      <w:rPr>
        <w:rFonts w:hint="default"/>
      </w:rPr>
    </w:lvl>
    <w:lvl w:ilvl="2">
      <w:start w:val="0"/>
      <w:numFmt w:val="bullet"/>
      <w:lvlText w:val="•"/>
      <w:lvlJc w:val="left"/>
      <w:pPr>
        <w:ind w:left="3580" w:hanging="396"/>
      </w:pPr>
      <w:rPr>
        <w:rFonts w:hint="default"/>
      </w:rPr>
    </w:lvl>
    <w:lvl w:ilvl="3">
      <w:start w:val="0"/>
      <w:numFmt w:val="bullet"/>
      <w:lvlText w:val="•"/>
      <w:lvlJc w:val="left"/>
      <w:pPr>
        <w:ind w:left="4850" w:hanging="396"/>
      </w:pPr>
      <w:rPr>
        <w:rFonts w:hint="default"/>
      </w:rPr>
    </w:lvl>
    <w:lvl w:ilvl="4">
      <w:start w:val="0"/>
      <w:numFmt w:val="bullet"/>
      <w:lvlText w:val="•"/>
      <w:lvlJc w:val="left"/>
      <w:pPr>
        <w:ind w:left="6120" w:hanging="396"/>
      </w:pPr>
      <w:rPr>
        <w:rFonts w:hint="default"/>
      </w:rPr>
    </w:lvl>
    <w:lvl w:ilvl="5">
      <w:start w:val="0"/>
      <w:numFmt w:val="bullet"/>
      <w:lvlText w:val="•"/>
      <w:lvlJc w:val="left"/>
      <w:pPr>
        <w:ind w:left="7390" w:hanging="396"/>
      </w:pPr>
      <w:rPr>
        <w:rFonts w:hint="default"/>
      </w:rPr>
    </w:lvl>
    <w:lvl w:ilvl="6">
      <w:start w:val="0"/>
      <w:numFmt w:val="bullet"/>
      <w:lvlText w:val="•"/>
      <w:lvlJc w:val="left"/>
      <w:pPr>
        <w:ind w:left="8660" w:hanging="396"/>
      </w:pPr>
      <w:rPr>
        <w:rFonts w:hint="default"/>
      </w:rPr>
    </w:lvl>
    <w:lvl w:ilvl="7">
      <w:start w:val="0"/>
      <w:numFmt w:val="bullet"/>
      <w:lvlText w:val="•"/>
      <w:lvlJc w:val="left"/>
      <w:pPr>
        <w:ind w:left="9930" w:hanging="396"/>
      </w:pPr>
      <w:rPr>
        <w:rFonts w:hint="default"/>
      </w:rPr>
    </w:lvl>
    <w:lvl w:ilvl="8">
      <w:start w:val="0"/>
      <w:numFmt w:val="bullet"/>
      <w:lvlText w:val="•"/>
      <w:lvlJc w:val="left"/>
      <w:pPr>
        <w:ind w:left="11200" w:hanging="396"/>
      </w:pPr>
      <w:rPr>
        <w:rFonts w:hint="default"/>
      </w:rPr>
    </w:lvl>
  </w:abstractNum>
  <w:abstractNum w:abstractNumId="17">
    <w:nsid w:val="2EEAF014"/>
    <w:multiLevelType w:val="hybridMultilevel"/>
    <w:tmpl w:val="00000000"/>
    <w:lvl w:ilvl="0">
      <w:start w:val="5"/>
      <w:numFmt w:val="decimal"/>
      <w:lvlText w:val="%1"/>
      <w:lvlJc w:val="left"/>
      <w:pPr>
        <w:ind w:left="2713" w:hanging="810"/>
        <w:jc w:val="left"/>
      </w:pPr>
      <w:rPr>
        <w:rFonts w:hint="default"/>
      </w:rPr>
    </w:lvl>
    <w:lvl w:ilvl="1">
      <w:start w:val="1"/>
      <w:numFmt w:val="decimal"/>
      <w:lvlText w:val="%1.%2"/>
      <w:lvlJc w:val="left"/>
      <w:pPr>
        <w:ind w:left="2713" w:hanging="810"/>
        <w:jc w:val="left"/>
      </w:pPr>
      <w:rPr>
        <w:rFonts w:hint="default"/>
      </w:rPr>
    </w:lvl>
    <w:lvl w:ilvl="2">
      <w:start w:val="7"/>
      <w:numFmt w:val="decimal"/>
      <w:lvlText w:val="%1.%2.%3"/>
      <w:lvlJc w:val="left"/>
      <w:pPr>
        <w:ind w:left="2713" w:hanging="810"/>
        <w:jc w:val="left"/>
      </w:pPr>
      <w:rPr>
        <w:rFonts w:ascii="Arial" w:eastAsia="Arial" w:hAnsi="Arial" w:cs="Arial" w:hint="default"/>
        <w:w w:val="89"/>
        <w:sz w:val="36"/>
        <w:szCs w:val="36"/>
      </w:rPr>
    </w:lvl>
    <w:lvl w:ilvl="3">
      <w:start w:val="0"/>
      <w:numFmt w:val="bullet"/>
      <w:lvlText w:val="•"/>
      <w:lvlJc w:val="left"/>
      <w:pPr>
        <w:ind w:left="6026" w:hanging="810"/>
      </w:pPr>
      <w:rPr>
        <w:rFonts w:hint="default"/>
      </w:rPr>
    </w:lvl>
    <w:lvl w:ilvl="4">
      <w:start w:val="0"/>
      <w:numFmt w:val="bullet"/>
      <w:lvlText w:val="•"/>
      <w:lvlJc w:val="left"/>
      <w:pPr>
        <w:ind w:left="7128" w:hanging="810"/>
      </w:pPr>
      <w:rPr>
        <w:rFonts w:hint="default"/>
      </w:rPr>
    </w:lvl>
    <w:lvl w:ilvl="5">
      <w:start w:val="0"/>
      <w:numFmt w:val="bullet"/>
      <w:lvlText w:val="•"/>
      <w:lvlJc w:val="left"/>
      <w:pPr>
        <w:ind w:left="8230" w:hanging="810"/>
      </w:pPr>
      <w:rPr>
        <w:rFonts w:hint="default"/>
      </w:rPr>
    </w:lvl>
    <w:lvl w:ilvl="6">
      <w:start w:val="0"/>
      <w:numFmt w:val="bullet"/>
      <w:lvlText w:val="•"/>
      <w:lvlJc w:val="left"/>
      <w:pPr>
        <w:ind w:left="9332" w:hanging="810"/>
      </w:pPr>
      <w:rPr>
        <w:rFonts w:hint="default"/>
      </w:rPr>
    </w:lvl>
    <w:lvl w:ilvl="7">
      <w:start w:val="0"/>
      <w:numFmt w:val="bullet"/>
      <w:lvlText w:val="•"/>
      <w:lvlJc w:val="left"/>
      <w:pPr>
        <w:ind w:left="10434" w:hanging="810"/>
      </w:pPr>
      <w:rPr>
        <w:rFonts w:hint="default"/>
      </w:rPr>
    </w:lvl>
    <w:lvl w:ilvl="8">
      <w:start w:val="0"/>
      <w:numFmt w:val="bullet"/>
      <w:lvlText w:val="•"/>
      <w:lvlJc w:val="left"/>
      <w:pPr>
        <w:ind w:left="11536" w:hanging="810"/>
      </w:pPr>
      <w:rPr>
        <w:rFonts w:hint="default"/>
      </w:rPr>
    </w:lvl>
  </w:abstractNum>
  <w:abstractNum w:abstractNumId="18">
    <w:nsid w:val="3096C78C"/>
    <w:multiLevelType w:val="hybridMultilevel"/>
    <w:tmpl w:val="00000000"/>
    <w:lvl w:ilvl="0">
      <w:start w:val="3"/>
      <w:numFmt w:val="decimal"/>
      <w:lvlText w:val="%1"/>
      <w:lvlJc w:val="left"/>
      <w:pPr>
        <w:ind w:left="1453" w:hanging="810"/>
        <w:jc w:val="left"/>
      </w:pPr>
      <w:rPr>
        <w:rFonts w:hint="default"/>
      </w:rPr>
    </w:lvl>
    <w:lvl w:ilvl="1">
      <w:start w:val="2"/>
      <w:numFmt w:val="decimal"/>
      <w:lvlText w:val="%1.%2"/>
      <w:lvlJc w:val="left"/>
      <w:pPr>
        <w:ind w:left="1453" w:hanging="810"/>
        <w:jc w:val="left"/>
      </w:pPr>
      <w:rPr>
        <w:rFonts w:hint="default"/>
      </w:rPr>
    </w:lvl>
    <w:lvl w:ilvl="2">
      <w:start w:val="2"/>
      <w:numFmt w:val="decimal"/>
      <w:lvlText w:val="%1.%2.%3"/>
      <w:lvlJc w:val="left"/>
      <w:pPr>
        <w:ind w:left="1453" w:hanging="810"/>
        <w:jc w:val="left"/>
      </w:pPr>
      <w:rPr>
        <w:rFonts w:hint="default"/>
        <w:w w:val="100"/>
      </w:rPr>
    </w:lvl>
    <w:lvl w:ilvl="3">
      <w:start w:val="1"/>
      <w:numFmt w:val="decimal"/>
      <w:lvlText w:val="%4)"/>
      <w:lvlJc w:val="left"/>
      <w:pPr>
        <w:ind w:left="1225" w:hanging="265"/>
        <w:jc w:val="left"/>
      </w:pPr>
      <w:rPr>
        <w:rFonts w:ascii="Times New Roman" w:eastAsia="Times New Roman" w:hAnsi="Times New Roman" w:cs="Times New Roman" w:hint="default"/>
        <w:spacing w:val="-2"/>
        <w:w w:val="102"/>
        <w:sz w:val="29"/>
        <w:szCs w:val="29"/>
      </w:rPr>
    </w:lvl>
    <w:lvl w:ilvl="4">
      <w:start w:val="0"/>
      <w:numFmt w:val="bullet"/>
      <w:lvlText w:val="•"/>
      <w:lvlJc w:val="left"/>
      <w:pPr>
        <w:ind w:left="5553" w:hanging="265"/>
      </w:pPr>
      <w:rPr>
        <w:rFonts w:hint="default"/>
      </w:rPr>
    </w:lvl>
    <w:lvl w:ilvl="5">
      <w:start w:val="0"/>
      <w:numFmt w:val="bullet"/>
      <w:lvlText w:val="•"/>
      <w:lvlJc w:val="left"/>
      <w:pPr>
        <w:ind w:left="6917" w:hanging="265"/>
      </w:pPr>
      <w:rPr>
        <w:rFonts w:hint="default"/>
      </w:rPr>
    </w:lvl>
    <w:lvl w:ilvl="6">
      <w:start w:val="0"/>
      <w:numFmt w:val="bullet"/>
      <w:lvlText w:val="•"/>
      <w:lvlJc w:val="left"/>
      <w:pPr>
        <w:ind w:left="8282" w:hanging="265"/>
      </w:pPr>
      <w:rPr>
        <w:rFonts w:hint="default"/>
      </w:rPr>
    </w:lvl>
    <w:lvl w:ilvl="7">
      <w:start w:val="0"/>
      <w:numFmt w:val="bullet"/>
      <w:lvlText w:val="•"/>
      <w:lvlJc w:val="left"/>
      <w:pPr>
        <w:ind w:left="9646" w:hanging="265"/>
      </w:pPr>
      <w:rPr>
        <w:rFonts w:hint="default"/>
      </w:rPr>
    </w:lvl>
    <w:lvl w:ilvl="8">
      <w:start w:val="0"/>
      <w:numFmt w:val="bullet"/>
      <w:lvlText w:val="•"/>
      <w:lvlJc w:val="left"/>
      <w:pPr>
        <w:ind w:left="11011" w:hanging="265"/>
      </w:pPr>
      <w:rPr>
        <w:rFonts w:hint="default"/>
      </w:rPr>
    </w:lvl>
  </w:abstractNum>
  <w:abstractNum w:abstractNumId="19">
    <w:nsid w:val="328B2788"/>
    <w:multiLevelType w:val="hybridMultilevel"/>
    <w:tmpl w:val="00000000"/>
    <w:lvl w:ilvl="0">
      <w:start w:val="3"/>
      <w:numFmt w:val="decimal"/>
      <w:lvlText w:val="%1"/>
      <w:lvlJc w:val="left"/>
      <w:pPr>
        <w:ind w:left="1273" w:hanging="630"/>
        <w:jc w:val="left"/>
      </w:pPr>
      <w:rPr>
        <w:rFonts w:hint="default"/>
      </w:rPr>
    </w:lvl>
    <w:lvl w:ilvl="1">
      <w:start w:val="1"/>
      <w:numFmt w:val="decimal"/>
      <w:lvlText w:val="%1.%2"/>
      <w:lvlJc w:val="left"/>
      <w:pPr>
        <w:ind w:left="1273" w:hanging="630"/>
        <w:jc w:val="left"/>
      </w:pPr>
      <w:rPr>
        <w:rFonts w:ascii="Arial" w:eastAsia="Arial" w:hAnsi="Arial" w:cs="Arial" w:hint="default"/>
        <w:w w:val="90"/>
        <w:sz w:val="42"/>
        <w:szCs w:val="42"/>
      </w:rPr>
    </w:lvl>
    <w:lvl w:ilvl="2">
      <w:start w:val="1"/>
      <w:numFmt w:val="decimal"/>
      <w:lvlText w:val="%1.%2.%3"/>
      <w:lvlJc w:val="left"/>
      <w:pPr>
        <w:ind w:left="1453" w:hanging="810"/>
        <w:jc w:val="left"/>
      </w:pPr>
      <w:rPr>
        <w:rFonts w:hint="default"/>
        <w:w w:val="89"/>
      </w:rPr>
    </w:lvl>
    <w:lvl w:ilvl="3">
      <w:start w:val="1"/>
      <w:numFmt w:val="decimal"/>
      <w:lvlText w:val="(%4)"/>
      <w:lvlJc w:val="left"/>
      <w:pPr>
        <w:ind w:left="644" w:hanging="421"/>
        <w:jc w:val="left"/>
      </w:pPr>
      <w:rPr>
        <w:rFonts w:ascii="Arial" w:eastAsia="Arial" w:hAnsi="Arial" w:cs="Arial" w:hint="default"/>
        <w:spacing w:val="-3"/>
        <w:w w:val="95"/>
        <w:sz w:val="34"/>
        <w:szCs w:val="34"/>
      </w:rPr>
    </w:lvl>
    <w:lvl w:ilvl="4">
      <w:start w:val="0"/>
      <w:numFmt w:val="bullet"/>
      <w:lvlText w:val="•"/>
      <w:lvlJc w:val="left"/>
      <w:pPr>
        <w:ind w:left="3648" w:hanging="421"/>
      </w:pPr>
      <w:rPr>
        <w:rFonts w:hint="default"/>
      </w:rPr>
    </w:lvl>
    <w:lvl w:ilvl="5">
      <w:start w:val="0"/>
      <w:numFmt w:val="bullet"/>
      <w:lvlText w:val="•"/>
      <w:lvlJc w:val="left"/>
      <w:pPr>
        <w:ind w:left="4742" w:hanging="421"/>
      </w:pPr>
      <w:rPr>
        <w:rFonts w:hint="default"/>
      </w:rPr>
    </w:lvl>
    <w:lvl w:ilvl="6">
      <w:start w:val="0"/>
      <w:numFmt w:val="bullet"/>
      <w:lvlText w:val="•"/>
      <w:lvlJc w:val="left"/>
      <w:pPr>
        <w:ind w:left="5836" w:hanging="421"/>
      </w:pPr>
      <w:rPr>
        <w:rFonts w:hint="default"/>
      </w:rPr>
    </w:lvl>
    <w:lvl w:ilvl="7">
      <w:start w:val="0"/>
      <w:numFmt w:val="bullet"/>
      <w:lvlText w:val="•"/>
      <w:lvlJc w:val="left"/>
      <w:pPr>
        <w:ind w:left="6930" w:hanging="421"/>
      </w:pPr>
      <w:rPr>
        <w:rFonts w:hint="default"/>
      </w:rPr>
    </w:lvl>
    <w:lvl w:ilvl="8">
      <w:start w:val="0"/>
      <w:numFmt w:val="bullet"/>
      <w:lvlText w:val="•"/>
      <w:lvlJc w:val="left"/>
      <w:pPr>
        <w:ind w:left="8024" w:hanging="421"/>
      </w:pPr>
      <w:rPr>
        <w:rFonts w:hint="default"/>
      </w:rPr>
    </w:lvl>
  </w:abstractNum>
  <w:abstractNum w:abstractNumId="20">
    <w:nsid w:val="34465F00"/>
    <w:multiLevelType w:val="hybridMultilevel"/>
    <w:tmpl w:val="00000000"/>
    <w:lvl w:ilvl="0">
      <w:start w:val="1"/>
      <w:numFmt w:val="decimal"/>
      <w:lvlText w:val="（%1）"/>
      <w:lvlJc w:val="left"/>
      <w:pPr>
        <w:ind w:left="2264" w:hanging="901"/>
        <w:jc w:val="left"/>
      </w:pPr>
      <w:rPr>
        <w:rFonts w:ascii="黑体" w:eastAsia="黑体" w:hAnsi="黑体" w:cs="黑体" w:hint="default"/>
        <w:w w:val="89"/>
        <w:sz w:val="34"/>
        <w:szCs w:val="34"/>
      </w:rPr>
    </w:lvl>
    <w:lvl w:ilvl="1">
      <w:start w:val="0"/>
      <w:numFmt w:val="bullet"/>
      <w:lvlText w:val="•"/>
      <w:lvlJc w:val="left"/>
      <w:pPr>
        <w:ind w:left="3408" w:hanging="901"/>
      </w:pPr>
      <w:rPr>
        <w:rFonts w:hint="default"/>
      </w:rPr>
    </w:lvl>
    <w:lvl w:ilvl="2">
      <w:start w:val="0"/>
      <w:numFmt w:val="bullet"/>
      <w:lvlText w:val="•"/>
      <w:lvlJc w:val="left"/>
      <w:pPr>
        <w:ind w:left="4556" w:hanging="901"/>
      </w:pPr>
      <w:rPr>
        <w:rFonts w:hint="default"/>
      </w:rPr>
    </w:lvl>
    <w:lvl w:ilvl="3">
      <w:start w:val="0"/>
      <w:numFmt w:val="bullet"/>
      <w:lvlText w:val="•"/>
      <w:lvlJc w:val="left"/>
      <w:pPr>
        <w:ind w:left="5704" w:hanging="901"/>
      </w:pPr>
      <w:rPr>
        <w:rFonts w:hint="default"/>
      </w:rPr>
    </w:lvl>
    <w:lvl w:ilvl="4">
      <w:start w:val="0"/>
      <w:numFmt w:val="bullet"/>
      <w:lvlText w:val="•"/>
      <w:lvlJc w:val="left"/>
      <w:pPr>
        <w:ind w:left="6852" w:hanging="901"/>
      </w:pPr>
      <w:rPr>
        <w:rFonts w:hint="default"/>
      </w:rPr>
    </w:lvl>
    <w:lvl w:ilvl="5">
      <w:start w:val="0"/>
      <w:numFmt w:val="bullet"/>
      <w:lvlText w:val="•"/>
      <w:lvlJc w:val="left"/>
      <w:pPr>
        <w:ind w:left="8000" w:hanging="901"/>
      </w:pPr>
      <w:rPr>
        <w:rFonts w:hint="default"/>
      </w:rPr>
    </w:lvl>
    <w:lvl w:ilvl="6">
      <w:start w:val="0"/>
      <w:numFmt w:val="bullet"/>
      <w:lvlText w:val="•"/>
      <w:lvlJc w:val="left"/>
      <w:pPr>
        <w:ind w:left="9148" w:hanging="901"/>
      </w:pPr>
      <w:rPr>
        <w:rFonts w:hint="default"/>
      </w:rPr>
    </w:lvl>
    <w:lvl w:ilvl="7">
      <w:start w:val="0"/>
      <w:numFmt w:val="bullet"/>
      <w:lvlText w:val="•"/>
      <w:lvlJc w:val="left"/>
      <w:pPr>
        <w:ind w:left="10296" w:hanging="901"/>
      </w:pPr>
      <w:rPr>
        <w:rFonts w:hint="default"/>
      </w:rPr>
    </w:lvl>
    <w:lvl w:ilvl="8">
      <w:start w:val="0"/>
      <w:numFmt w:val="bullet"/>
      <w:lvlText w:val="•"/>
      <w:lvlJc w:val="left"/>
      <w:pPr>
        <w:ind w:left="11444" w:hanging="901"/>
      </w:pPr>
      <w:rPr>
        <w:rFonts w:hint="default"/>
      </w:rPr>
    </w:lvl>
  </w:abstractNum>
  <w:abstractNum w:abstractNumId="21">
    <w:nsid w:val="382F1406"/>
    <w:multiLevelType w:val="hybridMultilevel"/>
    <w:tmpl w:val="00000000"/>
    <w:lvl w:ilvl="0">
      <w:start w:val="7"/>
      <w:numFmt w:val="decimal"/>
      <w:lvlText w:val="%1"/>
      <w:lvlJc w:val="left"/>
      <w:pPr>
        <w:ind w:left="1813" w:hanging="540"/>
        <w:jc w:val="left"/>
      </w:pPr>
      <w:rPr>
        <w:rFonts w:hint="default"/>
      </w:rPr>
    </w:lvl>
    <w:lvl w:ilvl="1">
      <w:start w:val="1"/>
      <w:numFmt w:val="decimal"/>
      <w:lvlText w:val="%1.%2"/>
      <w:lvlJc w:val="left"/>
      <w:pPr>
        <w:ind w:left="1813" w:hanging="540"/>
        <w:jc w:val="left"/>
      </w:pPr>
      <w:rPr>
        <w:rFonts w:ascii="Arial" w:eastAsia="Arial" w:hAnsi="Arial" w:cs="Arial" w:hint="default"/>
        <w:w w:val="89"/>
        <w:sz w:val="36"/>
        <w:szCs w:val="36"/>
      </w:rPr>
    </w:lvl>
    <w:lvl w:ilvl="2">
      <w:start w:val="1"/>
      <w:numFmt w:val="decimal"/>
      <w:lvlText w:val="%1.%2.%3"/>
      <w:lvlJc w:val="left"/>
      <w:pPr>
        <w:ind w:left="2713" w:hanging="810"/>
        <w:jc w:val="left"/>
      </w:pPr>
      <w:rPr>
        <w:rFonts w:ascii="Arial" w:eastAsia="Arial" w:hAnsi="Arial" w:cs="Arial" w:hint="default"/>
        <w:w w:val="89"/>
        <w:sz w:val="36"/>
        <w:szCs w:val="36"/>
      </w:rPr>
    </w:lvl>
    <w:lvl w:ilvl="3">
      <w:start w:val="0"/>
      <w:numFmt w:val="bullet"/>
      <w:lvlText w:val="•"/>
      <w:lvlJc w:val="left"/>
      <w:pPr>
        <w:ind w:left="5168" w:hanging="810"/>
      </w:pPr>
      <w:rPr>
        <w:rFonts w:hint="default"/>
      </w:rPr>
    </w:lvl>
    <w:lvl w:ilvl="4">
      <w:start w:val="0"/>
      <w:numFmt w:val="bullet"/>
      <w:lvlText w:val="•"/>
      <w:lvlJc w:val="left"/>
      <w:pPr>
        <w:ind w:left="6393" w:hanging="810"/>
      </w:pPr>
      <w:rPr>
        <w:rFonts w:hint="default"/>
      </w:rPr>
    </w:lvl>
    <w:lvl w:ilvl="5">
      <w:start w:val="0"/>
      <w:numFmt w:val="bullet"/>
      <w:lvlText w:val="•"/>
      <w:lvlJc w:val="left"/>
      <w:pPr>
        <w:ind w:left="7617" w:hanging="810"/>
      </w:pPr>
      <w:rPr>
        <w:rFonts w:hint="default"/>
      </w:rPr>
    </w:lvl>
    <w:lvl w:ilvl="6">
      <w:start w:val="0"/>
      <w:numFmt w:val="bullet"/>
      <w:lvlText w:val="•"/>
      <w:lvlJc w:val="left"/>
      <w:pPr>
        <w:ind w:left="8842" w:hanging="810"/>
      </w:pPr>
      <w:rPr>
        <w:rFonts w:hint="default"/>
      </w:rPr>
    </w:lvl>
    <w:lvl w:ilvl="7">
      <w:start w:val="0"/>
      <w:numFmt w:val="bullet"/>
      <w:lvlText w:val="•"/>
      <w:lvlJc w:val="left"/>
      <w:pPr>
        <w:ind w:left="10066" w:hanging="810"/>
      </w:pPr>
      <w:rPr>
        <w:rFonts w:hint="default"/>
      </w:rPr>
    </w:lvl>
    <w:lvl w:ilvl="8">
      <w:start w:val="0"/>
      <w:numFmt w:val="bullet"/>
      <w:lvlText w:val="•"/>
      <w:lvlJc w:val="left"/>
      <w:pPr>
        <w:ind w:left="11291" w:hanging="810"/>
      </w:pPr>
      <w:rPr>
        <w:rFonts w:hint="default"/>
      </w:rPr>
    </w:lvl>
  </w:abstractNum>
  <w:abstractNum w:abstractNumId="22">
    <w:nsid w:val="388F5595"/>
    <w:multiLevelType w:val="hybridMultilevel"/>
    <w:tmpl w:val="00000000"/>
    <w:lvl w:ilvl="0">
      <w:start w:val="3"/>
      <w:numFmt w:val="decimal"/>
      <w:lvlText w:val="%1"/>
      <w:lvlJc w:val="left"/>
      <w:pPr>
        <w:ind w:left="1273" w:hanging="630"/>
        <w:jc w:val="left"/>
      </w:pPr>
      <w:rPr>
        <w:rFonts w:hint="default"/>
      </w:rPr>
    </w:lvl>
    <w:lvl w:ilvl="1">
      <w:start w:val="1"/>
      <w:numFmt w:val="decimal"/>
      <w:lvlText w:val="%1.%2"/>
      <w:lvlJc w:val="left"/>
      <w:pPr>
        <w:ind w:left="1273" w:hanging="630"/>
        <w:jc w:val="left"/>
      </w:pPr>
      <w:rPr>
        <w:rFonts w:ascii="Arial" w:eastAsia="Arial" w:hAnsi="Arial" w:cs="Arial" w:hint="default"/>
        <w:w w:val="90"/>
        <w:sz w:val="42"/>
        <w:szCs w:val="42"/>
      </w:rPr>
    </w:lvl>
    <w:lvl w:ilvl="2">
      <w:start w:val="1"/>
      <w:numFmt w:val="decimal"/>
      <w:lvlText w:val="%1.%2.%3"/>
      <w:lvlJc w:val="left"/>
      <w:pPr>
        <w:ind w:left="1453" w:hanging="810"/>
        <w:jc w:val="left"/>
      </w:pPr>
      <w:rPr>
        <w:rFonts w:hint="default"/>
        <w:w w:val="89"/>
      </w:rPr>
    </w:lvl>
    <w:lvl w:ilvl="3">
      <w:start w:val="1"/>
      <w:numFmt w:val="decimal"/>
      <w:lvlText w:val="(%4)"/>
      <w:lvlJc w:val="left"/>
      <w:pPr>
        <w:ind w:left="644" w:hanging="421"/>
        <w:jc w:val="left"/>
      </w:pPr>
      <w:rPr>
        <w:rFonts w:ascii="Arial" w:eastAsia="Arial" w:hAnsi="Arial" w:cs="Arial" w:hint="default"/>
        <w:spacing w:val="-3"/>
        <w:w w:val="95"/>
        <w:sz w:val="34"/>
        <w:szCs w:val="34"/>
      </w:rPr>
    </w:lvl>
    <w:lvl w:ilvl="4">
      <w:start w:val="0"/>
      <w:numFmt w:val="bullet"/>
      <w:lvlText w:val="•"/>
      <w:lvlJc w:val="left"/>
      <w:pPr>
        <w:ind w:left="3648" w:hanging="421"/>
      </w:pPr>
      <w:rPr>
        <w:rFonts w:hint="default"/>
      </w:rPr>
    </w:lvl>
    <w:lvl w:ilvl="5">
      <w:start w:val="0"/>
      <w:numFmt w:val="bullet"/>
      <w:lvlText w:val="•"/>
      <w:lvlJc w:val="left"/>
      <w:pPr>
        <w:ind w:left="4742" w:hanging="421"/>
      </w:pPr>
      <w:rPr>
        <w:rFonts w:hint="default"/>
      </w:rPr>
    </w:lvl>
    <w:lvl w:ilvl="6">
      <w:start w:val="0"/>
      <w:numFmt w:val="bullet"/>
      <w:lvlText w:val="•"/>
      <w:lvlJc w:val="left"/>
      <w:pPr>
        <w:ind w:left="5836" w:hanging="421"/>
      </w:pPr>
      <w:rPr>
        <w:rFonts w:hint="default"/>
      </w:rPr>
    </w:lvl>
    <w:lvl w:ilvl="7">
      <w:start w:val="0"/>
      <w:numFmt w:val="bullet"/>
      <w:lvlText w:val="•"/>
      <w:lvlJc w:val="left"/>
      <w:pPr>
        <w:ind w:left="6930" w:hanging="421"/>
      </w:pPr>
      <w:rPr>
        <w:rFonts w:hint="default"/>
      </w:rPr>
    </w:lvl>
    <w:lvl w:ilvl="8">
      <w:start w:val="0"/>
      <w:numFmt w:val="bullet"/>
      <w:lvlText w:val="•"/>
      <w:lvlJc w:val="left"/>
      <w:pPr>
        <w:ind w:left="8024" w:hanging="421"/>
      </w:pPr>
      <w:rPr>
        <w:rFonts w:hint="default"/>
      </w:rPr>
    </w:lvl>
  </w:abstractNum>
  <w:abstractNum w:abstractNumId="23">
    <w:nsid w:val="3A40CB27"/>
    <w:multiLevelType w:val="hybridMultilevel"/>
    <w:tmpl w:val="00000000"/>
    <w:lvl w:ilvl="0">
      <w:start w:val="2"/>
      <w:numFmt w:val="decimal"/>
      <w:lvlText w:val="%1"/>
      <w:lvlJc w:val="left"/>
      <w:pPr>
        <w:ind w:left="1273" w:hanging="630"/>
        <w:jc w:val="left"/>
      </w:pPr>
      <w:rPr>
        <w:rFonts w:hint="default"/>
      </w:rPr>
    </w:lvl>
    <w:lvl w:ilvl="1">
      <w:start w:val="1"/>
      <w:numFmt w:val="decimal"/>
      <w:lvlText w:val="%1.%2"/>
      <w:lvlJc w:val="left"/>
      <w:pPr>
        <w:ind w:left="1273" w:hanging="630"/>
        <w:jc w:val="left"/>
      </w:pPr>
      <w:rPr>
        <w:rFonts w:hint="default"/>
        <w:w w:val="90"/>
      </w:rPr>
    </w:lvl>
    <w:lvl w:ilvl="2">
      <w:start w:val="1"/>
      <w:numFmt w:val="decimal"/>
      <w:lvlText w:val="%1.%2.%3"/>
      <w:lvlJc w:val="left"/>
      <w:pPr>
        <w:ind w:left="1453" w:hanging="810"/>
        <w:jc w:val="left"/>
      </w:pPr>
      <w:rPr>
        <w:rFonts w:hint="default"/>
        <w:w w:val="100"/>
      </w:rPr>
    </w:lvl>
    <w:lvl w:ilvl="3">
      <w:start w:val="1"/>
      <w:numFmt w:val="decimal"/>
      <w:lvlText w:val="（%4）"/>
      <w:lvlJc w:val="left"/>
      <w:pPr>
        <w:ind w:left="644" w:hanging="810"/>
        <w:jc w:val="left"/>
      </w:pPr>
      <w:rPr>
        <w:rFonts w:ascii="宋体" w:eastAsia="宋体" w:hAnsi="宋体" w:cs="宋体" w:hint="default"/>
        <w:w w:val="89"/>
        <w:sz w:val="34"/>
        <w:szCs w:val="34"/>
      </w:rPr>
    </w:lvl>
    <w:lvl w:ilvl="4">
      <w:start w:val="0"/>
      <w:numFmt w:val="bullet"/>
      <w:lvlText w:val="•"/>
      <w:lvlJc w:val="left"/>
      <w:pPr>
        <w:ind w:left="4530" w:hanging="810"/>
      </w:pPr>
      <w:rPr>
        <w:rFonts w:hint="default"/>
      </w:rPr>
    </w:lvl>
    <w:lvl w:ilvl="5">
      <w:start w:val="0"/>
      <w:numFmt w:val="bullet"/>
      <w:lvlText w:val="•"/>
      <w:lvlJc w:val="left"/>
      <w:pPr>
        <w:ind w:left="6065" w:hanging="810"/>
      </w:pPr>
      <w:rPr>
        <w:rFonts w:hint="default"/>
      </w:rPr>
    </w:lvl>
    <w:lvl w:ilvl="6">
      <w:start w:val="0"/>
      <w:numFmt w:val="bullet"/>
      <w:lvlText w:val="•"/>
      <w:lvlJc w:val="left"/>
      <w:pPr>
        <w:ind w:left="7600" w:hanging="810"/>
      </w:pPr>
      <w:rPr>
        <w:rFonts w:hint="default"/>
      </w:rPr>
    </w:lvl>
    <w:lvl w:ilvl="7">
      <w:start w:val="0"/>
      <w:numFmt w:val="bullet"/>
      <w:lvlText w:val="•"/>
      <w:lvlJc w:val="left"/>
      <w:pPr>
        <w:ind w:left="9135" w:hanging="810"/>
      </w:pPr>
      <w:rPr>
        <w:rFonts w:hint="default"/>
      </w:rPr>
    </w:lvl>
    <w:lvl w:ilvl="8">
      <w:start w:val="0"/>
      <w:numFmt w:val="bullet"/>
      <w:lvlText w:val="•"/>
      <w:lvlJc w:val="left"/>
      <w:pPr>
        <w:ind w:left="10670" w:hanging="810"/>
      </w:pPr>
      <w:rPr>
        <w:rFonts w:hint="default"/>
      </w:rPr>
    </w:lvl>
  </w:abstractNum>
  <w:abstractNum w:abstractNumId="24">
    <w:nsid w:val="3FBD99DD"/>
    <w:multiLevelType w:val="hybridMultilevel"/>
    <w:tmpl w:val="00000000"/>
    <w:lvl w:ilvl="0">
      <w:start w:val="3"/>
      <w:numFmt w:val="decimal"/>
      <w:lvlText w:val="%1"/>
      <w:lvlJc w:val="left"/>
      <w:pPr>
        <w:ind w:left="2713" w:hanging="810"/>
        <w:jc w:val="left"/>
      </w:pPr>
      <w:rPr>
        <w:rFonts w:hint="default"/>
      </w:rPr>
    </w:lvl>
    <w:lvl w:ilvl="1">
      <w:start w:val="2"/>
      <w:numFmt w:val="decimal"/>
      <w:lvlText w:val="%1.%2"/>
      <w:lvlJc w:val="left"/>
      <w:pPr>
        <w:ind w:left="2713" w:hanging="810"/>
        <w:jc w:val="left"/>
      </w:pPr>
      <w:rPr>
        <w:rFonts w:hint="default"/>
      </w:rPr>
    </w:lvl>
    <w:lvl w:ilvl="2">
      <w:start w:val="2"/>
      <w:numFmt w:val="decimal"/>
      <w:lvlText w:val="%1.%2.%3"/>
      <w:lvlJc w:val="left"/>
      <w:pPr>
        <w:ind w:left="2713" w:hanging="810"/>
        <w:jc w:val="left"/>
      </w:pPr>
      <w:rPr>
        <w:rFonts w:ascii="Arial" w:eastAsia="Arial" w:hAnsi="Arial" w:cs="Arial" w:hint="default"/>
        <w:w w:val="89"/>
        <w:sz w:val="36"/>
        <w:szCs w:val="36"/>
      </w:rPr>
    </w:lvl>
    <w:lvl w:ilvl="3">
      <w:start w:val="0"/>
      <w:numFmt w:val="bullet"/>
      <w:lvlText w:val="•"/>
      <w:lvlJc w:val="left"/>
      <w:pPr>
        <w:ind w:left="6026" w:hanging="810"/>
      </w:pPr>
      <w:rPr>
        <w:rFonts w:hint="default"/>
      </w:rPr>
    </w:lvl>
    <w:lvl w:ilvl="4">
      <w:start w:val="0"/>
      <w:numFmt w:val="bullet"/>
      <w:lvlText w:val="•"/>
      <w:lvlJc w:val="left"/>
      <w:pPr>
        <w:ind w:left="7128" w:hanging="810"/>
      </w:pPr>
      <w:rPr>
        <w:rFonts w:hint="default"/>
      </w:rPr>
    </w:lvl>
    <w:lvl w:ilvl="5">
      <w:start w:val="0"/>
      <w:numFmt w:val="bullet"/>
      <w:lvlText w:val="•"/>
      <w:lvlJc w:val="left"/>
      <w:pPr>
        <w:ind w:left="8230" w:hanging="810"/>
      </w:pPr>
      <w:rPr>
        <w:rFonts w:hint="default"/>
      </w:rPr>
    </w:lvl>
    <w:lvl w:ilvl="6">
      <w:start w:val="0"/>
      <w:numFmt w:val="bullet"/>
      <w:lvlText w:val="•"/>
      <w:lvlJc w:val="left"/>
      <w:pPr>
        <w:ind w:left="9332" w:hanging="810"/>
      </w:pPr>
      <w:rPr>
        <w:rFonts w:hint="default"/>
      </w:rPr>
    </w:lvl>
    <w:lvl w:ilvl="7">
      <w:start w:val="0"/>
      <w:numFmt w:val="bullet"/>
      <w:lvlText w:val="•"/>
      <w:lvlJc w:val="left"/>
      <w:pPr>
        <w:ind w:left="10434" w:hanging="810"/>
      </w:pPr>
      <w:rPr>
        <w:rFonts w:hint="default"/>
      </w:rPr>
    </w:lvl>
    <w:lvl w:ilvl="8">
      <w:start w:val="0"/>
      <w:numFmt w:val="bullet"/>
      <w:lvlText w:val="•"/>
      <w:lvlJc w:val="left"/>
      <w:pPr>
        <w:ind w:left="11536" w:hanging="810"/>
      </w:pPr>
      <w:rPr>
        <w:rFonts w:hint="default"/>
      </w:rPr>
    </w:lvl>
  </w:abstractNum>
  <w:abstractNum w:abstractNumId="25">
    <w:nsid w:val="445567A7"/>
    <w:multiLevelType w:val="hybridMultilevel"/>
    <w:tmpl w:val="00000000"/>
    <w:lvl w:ilvl="0">
      <w:start w:val="3"/>
      <w:numFmt w:val="decimal"/>
      <w:lvlText w:val="%1"/>
      <w:lvlJc w:val="left"/>
      <w:pPr>
        <w:ind w:left="1453" w:hanging="810"/>
        <w:jc w:val="left"/>
      </w:pPr>
      <w:rPr>
        <w:rFonts w:hint="default"/>
      </w:rPr>
    </w:lvl>
    <w:lvl w:ilvl="1">
      <w:start w:val="2"/>
      <w:numFmt w:val="decimal"/>
      <w:lvlText w:val="%1.%2"/>
      <w:lvlJc w:val="left"/>
      <w:pPr>
        <w:ind w:left="1453" w:hanging="810"/>
        <w:jc w:val="left"/>
      </w:pPr>
      <w:rPr>
        <w:rFonts w:hint="default"/>
      </w:rPr>
    </w:lvl>
    <w:lvl w:ilvl="2">
      <w:start w:val="2"/>
      <w:numFmt w:val="decimal"/>
      <w:lvlText w:val="%1.%2.%3"/>
      <w:lvlJc w:val="left"/>
      <w:pPr>
        <w:ind w:left="1453" w:hanging="810"/>
        <w:jc w:val="left"/>
      </w:pPr>
      <w:rPr>
        <w:rFonts w:hint="default"/>
        <w:w w:val="100"/>
      </w:rPr>
    </w:lvl>
    <w:lvl w:ilvl="3">
      <w:start w:val="1"/>
      <w:numFmt w:val="decimal"/>
      <w:lvlText w:val="%4)"/>
      <w:lvlJc w:val="left"/>
      <w:pPr>
        <w:ind w:left="1225" w:hanging="265"/>
        <w:jc w:val="left"/>
      </w:pPr>
      <w:rPr>
        <w:rFonts w:ascii="Times New Roman" w:eastAsia="Times New Roman" w:hAnsi="Times New Roman" w:cs="Times New Roman" w:hint="default"/>
        <w:spacing w:val="-2"/>
        <w:w w:val="102"/>
        <w:sz w:val="29"/>
        <w:szCs w:val="29"/>
      </w:rPr>
    </w:lvl>
    <w:lvl w:ilvl="4">
      <w:start w:val="0"/>
      <w:numFmt w:val="bullet"/>
      <w:lvlText w:val="•"/>
      <w:lvlJc w:val="left"/>
      <w:pPr>
        <w:ind w:left="5553" w:hanging="265"/>
      </w:pPr>
      <w:rPr>
        <w:rFonts w:hint="default"/>
      </w:rPr>
    </w:lvl>
    <w:lvl w:ilvl="5">
      <w:start w:val="0"/>
      <w:numFmt w:val="bullet"/>
      <w:lvlText w:val="•"/>
      <w:lvlJc w:val="left"/>
      <w:pPr>
        <w:ind w:left="6917" w:hanging="265"/>
      </w:pPr>
      <w:rPr>
        <w:rFonts w:hint="default"/>
      </w:rPr>
    </w:lvl>
    <w:lvl w:ilvl="6">
      <w:start w:val="0"/>
      <w:numFmt w:val="bullet"/>
      <w:lvlText w:val="•"/>
      <w:lvlJc w:val="left"/>
      <w:pPr>
        <w:ind w:left="8282" w:hanging="265"/>
      </w:pPr>
      <w:rPr>
        <w:rFonts w:hint="default"/>
      </w:rPr>
    </w:lvl>
    <w:lvl w:ilvl="7">
      <w:start w:val="0"/>
      <w:numFmt w:val="bullet"/>
      <w:lvlText w:val="•"/>
      <w:lvlJc w:val="left"/>
      <w:pPr>
        <w:ind w:left="9646" w:hanging="265"/>
      </w:pPr>
      <w:rPr>
        <w:rFonts w:hint="default"/>
      </w:rPr>
    </w:lvl>
    <w:lvl w:ilvl="8">
      <w:start w:val="0"/>
      <w:numFmt w:val="bullet"/>
      <w:lvlText w:val="•"/>
      <w:lvlJc w:val="left"/>
      <w:pPr>
        <w:ind w:left="11011" w:hanging="265"/>
      </w:pPr>
      <w:rPr>
        <w:rFonts w:hint="default"/>
      </w:rPr>
    </w:lvl>
  </w:abstractNum>
  <w:abstractNum w:abstractNumId="26">
    <w:nsid w:val="45E3809E"/>
    <w:multiLevelType w:val="hybridMultilevel"/>
    <w:tmpl w:val="00000000"/>
    <w:lvl w:ilvl="0">
      <w:start w:val="2"/>
      <w:numFmt w:val="decimal"/>
      <w:lvlText w:val="%1"/>
      <w:lvlJc w:val="left"/>
      <w:pPr>
        <w:ind w:left="1813" w:hanging="540"/>
        <w:jc w:val="left"/>
      </w:pPr>
      <w:rPr>
        <w:rFonts w:hint="default"/>
      </w:rPr>
    </w:lvl>
    <w:lvl w:ilvl="1">
      <w:start w:val="1"/>
      <w:numFmt w:val="decimal"/>
      <w:lvlText w:val="%1.%2"/>
      <w:lvlJc w:val="left"/>
      <w:pPr>
        <w:ind w:left="1813" w:hanging="540"/>
        <w:jc w:val="left"/>
      </w:pPr>
      <w:rPr>
        <w:rFonts w:ascii="Arial" w:eastAsia="Arial" w:hAnsi="Arial" w:cs="Arial" w:hint="default"/>
        <w:w w:val="89"/>
        <w:sz w:val="36"/>
        <w:szCs w:val="36"/>
      </w:rPr>
    </w:lvl>
    <w:lvl w:ilvl="2">
      <w:start w:val="1"/>
      <w:numFmt w:val="decimal"/>
      <w:lvlText w:val="%1.%2.%3"/>
      <w:lvlJc w:val="left"/>
      <w:pPr>
        <w:ind w:left="2713" w:hanging="810"/>
        <w:jc w:val="left"/>
      </w:pPr>
      <w:rPr>
        <w:rFonts w:ascii="Arial" w:eastAsia="Arial" w:hAnsi="Arial" w:cs="Arial" w:hint="default"/>
        <w:w w:val="89"/>
        <w:sz w:val="36"/>
        <w:szCs w:val="36"/>
      </w:rPr>
    </w:lvl>
    <w:lvl w:ilvl="3">
      <w:start w:val="0"/>
      <w:numFmt w:val="bullet"/>
      <w:lvlText w:val="•"/>
      <w:lvlJc w:val="left"/>
      <w:pPr>
        <w:ind w:left="5168" w:hanging="810"/>
      </w:pPr>
      <w:rPr>
        <w:rFonts w:hint="default"/>
      </w:rPr>
    </w:lvl>
    <w:lvl w:ilvl="4">
      <w:start w:val="0"/>
      <w:numFmt w:val="bullet"/>
      <w:lvlText w:val="•"/>
      <w:lvlJc w:val="left"/>
      <w:pPr>
        <w:ind w:left="6393" w:hanging="810"/>
      </w:pPr>
      <w:rPr>
        <w:rFonts w:hint="default"/>
      </w:rPr>
    </w:lvl>
    <w:lvl w:ilvl="5">
      <w:start w:val="0"/>
      <w:numFmt w:val="bullet"/>
      <w:lvlText w:val="•"/>
      <w:lvlJc w:val="left"/>
      <w:pPr>
        <w:ind w:left="7617" w:hanging="810"/>
      </w:pPr>
      <w:rPr>
        <w:rFonts w:hint="default"/>
      </w:rPr>
    </w:lvl>
    <w:lvl w:ilvl="6">
      <w:start w:val="0"/>
      <w:numFmt w:val="bullet"/>
      <w:lvlText w:val="•"/>
      <w:lvlJc w:val="left"/>
      <w:pPr>
        <w:ind w:left="8842" w:hanging="810"/>
      </w:pPr>
      <w:rPr>
        <w:rFonts w:hint="default"/>
      </w:rPr>
    </w:lvl>
    <w:lvl w:ilvl="7">
      <w:start w:val="0"/>
      <w:numFmt w:val="bullet"/>
      <w:lvlText w:val="•"/>
      <w:lvlJc w:val="left"/>
      <w:pPr>
        <w:ind w:left="10066" w:hanging="810"/>
      </w:pPr>
      <w:rPr>
        <w:rFonts w:hint="default"/>
      </w:rPr>
    </w:lvl>
    <w:lvl w:ilvl="8">
      <w:start w:val="0"/>
      <w:numFmt w:val="bullet"/>
      <w:lvlText w:val="•"/>
      <w:lvlJc w:val="left"/>
      <w:pPr>
        <w:ind w:left="11291" w:hanging="810"/>
      </w:pPr>
      <w:rPr>
        <w:rFonts w:hint="default"/>
      </w:rPr>
    </w:lvl>
  </w:abstractNum>
  <w:abstractNum w:abstractNumId="27">
    <w:nsid w:val="519F5F9C"/>
    <w:multiLevelType w:val="hybridMultilevel"/>
    <w:tmpl w:val="00000000"/>
    <w:lvl w:ilvl="0">
      <w:start w:val="4"/>
      <w:numFmt w:val="decimal"/>
      <w:lvlText w:val="%1"/>
      <w:lvlJc w:val="left"/>
      <w:pPr>
        <w:ind w:left="1273" w:hanging="630"/>
        <w:jc w:val="left"/>
      </w:pPr>
      <w:rPr>
        <w:rFonts w:hint="default"/>
      </w:rPr>
    </w:lvl>
    <w:lvl w:ilvl="1">
      <w:start w:val="1"/>
      <w:numFmt w:val="decimal"/>
      <w:lvlText w:val="%1.%2"/>
      <w:lvlJc w:val="left"/>
      <w:pPr>
        <w:ind w:left="1273" w:hanging="630"/>
        <w:jc w:val="left"/>
      </w:pPr>
      <w:rPr>
        <w:rFonts w:ascii="Arial" w:eastAsia="Arial" w:hAnsi="Arial" w:cs="Arial" w:hint="default"/>
        <w:w w:val="90"/>
        <w:sz w:val="42"/>
        <w:szCs w:val="42"/>
      </w:rPr>
    </w:lvl>
    <w:lvl w:ilvl="2">
      <w:start w:val="1"/>
      <w:numFmt w:val="decimal"/>
      <w:lvlText w:val="%1.%2.%3"/>
      <w:lvlJc w:val="left"/>
      <w:pPr>
        <w:ind w:left="1453" w:hanging="810"/>
        <w:jc w:val="left"/>
      </w:pPr>
      <w:rPr>
        <w:rFonts w:ascii="Arial" w:eastAsia="Arial" w:hAnsi="Arial" w:cs="Arial" w:hint="default"/>
        <w:w w:val="89"/>
        <w:sz w:val="36"/>
        <w:szCs w:val="36"/>
      </w:rPr>
    </w:lvl>
    <w:lvl w:ilvl="3">
      <w:start w:val="1"/>
      <w:numFmt w:val="decimal"/>
      <w:lvlText w:val="（%4）"/>
      <w:lvlJc w:val="left"/>
      <w:pPr>
        <w:ind w:left="2264" w:hanging="901"/>
        <w:jc w:val="left"/>
      </w:pPr>
      <w:rPr>
        <w:rFonts w:hint="default"/>
        <w:w w:val="89"/>
      </w:rPr>
    </w:lvl>
    <w:lvl w:ilvl="4">
      <w:start w:val="0"/>
      <w:numFmt w:val="bullet"/>
      <w:lvlText w:val="•"/>
      <w:lvlJc w:val="left"/>
      <w:pPr>
        <w:ind w:left="5130" w:hanging="901"/>
      </w:pPr>
      <w:rPr>
        <w:rFonts w:hint="default"/>
      </w:rPr>
    </w:lvl>
    <w:lvl w:ilvl="5">
      <w:start w:val="0"/>
      <w:numFmt w:val="bullet"/>
      <w:lvlText w:val="•"/>
      <w:lvlJc w:val="left"/>
      <w:pPr>
        <w:ind w:left="6565" w:hanging="901"/>
      </w:pPr>
      <w:rPr>
        <w:rFonts w:hint="default"/>
      </w:rPr>
    </w:lvl>
    <w:lvl w:ilvl="6">
      <w:start w:val="0"/>
      <w:numFmt w:val="bullet"/>
      <w:lvlText w:val="•"/>
      <w:lvlJc w:val="left"/>
      <w:pPr>
        <w:ind w:left="8000" w:hanging="901"/>
      </w:pPr>
      <w:rPr>
        <w:rFonts w:hint="default"/>
      </w:rPr>
    </w:lvl>
    <w:lvl w:ilvl="7">
      <w:start w:val="0"/>
      <w:numFmt w:val="bullet"/>
      <w:lvlText w:val="•"/>
      <w:lvlJc w:val="left"/>
      <w:pPr>
        <w:ind w:left="9435" w:hanging="901"/>
      </w:pPr>
      <w:rPr>
        <w:rFonts w:hint="default"/>
      </w:rPr>
    </w:lvl>
    <w:lvl w:ilvl="8">
      <w:start w:val="0"/>
      <w:numFmt w:val="bullet"/>
      <w:lvlText w:val="•"/>
      <w:lvlJc w:val="left"/>
      <w:pPr>
        <w:ind w:left="10870" w:hanging="901"/>
      </w:pPr>
      <w:rPr>
        <w:rFonts w:hint="default"/>
      </w:rPr>
    </w:lvl>
  </w:abstractNum>
  <w:abstractNum w:abstractNumId="28">
    <w:nsid w:val="5348FC37"/>
    <w:multiLevelType w:val="hybridMultilevel"/>
    <w:tmpl w:val="00000000"/>
    <w:lvl w:ilvl="0">
      <w:start w:val="1"/>
      <w:numFmt w:val="decimal"/>
      <w:lvlText w:val="%1）"/>
      <w:lvlJc w:val="left"/>
      <w:pPr>
        <w:ind w:left="1814" w:hanging="541"/>
        <w:jc w:val="left"/>
      </w:pPr>
      <w:rPr>
        <w:rFonts w:hint="default"/>
        <w:w w:val="89"/>
      </w:rPr>
    </w:lvl>
    <w:lvl w:ilvl="1">
      <w:start w:val="0"/>
      <w:numFmt w:val="bullet"/>
      <w:lvlText w:val="•"/>
      <w:lvlJc w:val="left"/>
      <w:pPr>
        <w:ind w:left="3012" w:hanging="541"/>
      </w:pPr>
      <w:rPr>
        <w:rFonts w:hint="default"/>
      </w:rPr>
    </w:lvl>
    <w:lvl w:ilvl="2">
      <w:start w:val="0"/>
      <w:numFmt w:val="bullet"/>
      <w:lvlText w:val="•"/>
      <w:lvlJc w:val="left"/>
      <w:pPr>
        <w:ind w:left="4204" w:hanging="541"/>
      </w:pPr>
      <w:rPr>
        <w:rFonts w:hint="default"/>
      </w:rPr>
    </w:lvl>
    <w:lvl w:ilvl="3">
      <w:start w:val="0"/>
      <w:numFmt w:val="bullet"/>
      <w:lvlText w:val="•"/>
      <w:lvlJc w:val="left"/>
      <w:pPr>
        <w:ind w:left="5396" w:hanging="541"/>
      </w:pPr>
      <w:rPr>
        <w:rFonts w:hint="default"/>
      </w:rPr>
    </w:lvl>
    <w:lvl w:ilvl="4">
      <w:start w:val="0"/>
      <w:numFmt w:val="bullet"/>
      <w:lvlText w:val="•"/>
      <w:lvlJc w:val="left"/>
      <w:pPr>
        <w:ind w:left="6588" w:hanging="541"/>
      </w:pPr>
      <w:rPr>
        <w:rFonts w:hint="default"/>
      </w:rPr>
    </w:lvl>
    <w:lvl w:ilvl="5">
      <w:start w:val="0"/>
      <w:numFmt w:val="bullet"/>
      <w:lvlText w:val="•"/>
      <w:lvlJc w:val="left"/>
      <w:pPr>
        <w:ind w:left="7780" w:hanging="541"/>
      </w:pPr>
      <w:rPr>
        <w:rFonts w:hint="default"/>
      </w:rPr>
    </w:lvl>
    <w:lvl w:ilvl="6">
      <w:start w:val="0"/>
      <w:numFmt w:val="bullet"/>
      <w:lvlText w:val="•"/>
      <w:lvlJc w:val="left"/>
      <w:pPr>
        <w:ind w:left="8972" w:hanging="541"/>
      </w:pPr>
      <w:rPr>
        <w:rFonts w:hint="default"/>
      </w:rPr>
    </w:lvl>
    <w:lvl w:ilvl="7">
      <w:start w:val="0"/>
      <w:numFmt w:val="bullet"/>
      <w:lvlText w:val="•"/>
      <w:lvlJc w:val="left"/>
      <w:pPr>
        <w:ind w:left="10164" w:hanging="541"/>
      </w:pPr>
      <w:rPr>
        <w:rFonts w:hint="default"/>
      </w:rPr>
    </w:lvl>
    <w:lvl w:ilvl="8">
      <w:start w:val="0"/>
      <w:numFmt w:val="bullet"/>
      <w:lvlText w:val="•"/>
      <w:lvlJc w:val="left"/>
      <w:pPr>
        <w:ind w:left="11356" w:hanging="541"/>
      </w:pPr>
      <w:rPr>
        <w:rFonts w:hint="default"/>
      </w:rPr>
    </w:lvl>
  </w:abstractNum>
  <w:abstractNum w:abstractNumId="29">
    <w:nsid w:val="59F616BE"/>
    <w:multiLevelType w:val="hybridMultilevel"/>
    <w:tmpl w:val="00000000"/>
    <w:lvl w:ilvl="0">
      <w:start w:val="5"/>
      <w:numFmt w:val="decimal"/>
      <w:lvlText w:val="%1"/>
      <w:lvlJc w:val="left"/>
      <w:pPr>
        <w:ind w:left="1813" w:hanging="540"/>
        <w:jc w:val="left"/>
      </w:pPr>
      <w:rPr>
        <w:rFonts w:hint="default"/>
      </w:rPr>
    </w:lvl>
    <w:lvl w:ilvl="1">
      <w:start w:val="1"/>
      <w:numFmt w:val="decimal"/>
      <w:lvlText w:val="%1.%2"/>
      <w:lvlJc w:val="left"/>
      <w:pPr>
        <w:ind w:left="1813" w:hanging="540"/>
        <w:jc w:val="left"/>
      </w:pPr>
      <w:rPr>
        <w:rFonts w:ascii="Arial" w:eastAsia="Arial" w:hAnsi="Arial" w:cs="Arial" w:hint="default"/>
        <w:w w:val="89"/>
        <w:sz w:val="36"/>
        <w:szCs w:val="36"/>
      </w:rPr>
    </w:lvl>
    <w:lvl w:ilvl="2">
      <w:start w:val="1"/>
      <w:numFmt w:val="decimal"/>
      <w:lvlText w:val="%1.%2.%3"/>
      <w:lvlJc w:val="left"/>
      <w:pPr>
        <w:ind w:left="2713" w:hanging="810"/>
        <w:jc w:val="left"/>
      </w:pPr>
      <w:rPr>
        <w:rFonts w:ascii="Arial" w:eastAsia="Arial" w:hAnsi="Arial" w:cs="Arial" w:hint="default"/>
        <w:w w:val="89"/>
        <w:sz w:val="36"/>
        <w:szCs w:val="36"/>
      </w:rPr>
    </w:lvl>
    <w:lvl w:ilvl="3">
      <w:start w:val="0"/>
      <w:numFmt w:val="bullet"/>
      <w:lvlText w:val="•"/>
      <w:lvlJc w:val="left"/>
      <w:pPr>
        <w:ind w:left="5168" w:hanging="810"/>
      </w:pPr>
      <w:rPr>
        <w:rFonts w:hint="default"/>
      </w:rPr>
    </w:lvl>
    <w:lvl w:ilvl="4">
      <w:start w:val="0"/>
      <w:numFmt w:val="bullet"/>
      <w:lvlText w:val="•"/>
      <w:lvlJc w:val="left"/>
      <w:pPr>
        <w:ind w:left="6393" w:hanging="810"/>
      </w:pPr>
      <w:rPr>
        <w:rFonts w:hint="default"/>
      </w:rPr>
    </w:lvl>
    <w:lvl w:ilvl="5">
      <w:start w:val="0"/>
      <w:numFmt w:val="bullet"/>
      <w:lvlText w:val="•"/>
      <w:lvlJc w:val="left"/>
      <w:pPr>
        <w:ind w:left="7617" w:hanging="810"/>
      </w:pPr>
      <w:rPr>
        <w:rFonts w:hint="default"/>
      </w:rPr>
    </w:lvl>
    <w:lvl w:ilvl="6">
      <w:start w:val="0"/>
      <w:numFmt w:val="bullet"/>
      <w:lvlText w:val="•"/>
      <w:lvlJc w:val="left"/>
      <w:pPr>
        <w:ind w:left="8842" w:hanging="810"/>
      </w:pPr>
      <w:rPr>
        <w:rFonts w:hint="default"/>
      </w:rPr>
    </w:lvl>
    <w:lvl w:ilvl="7">
      <w:start w:val="0"/>
      <w:numFmt w:val="bullet"/>
      <w:lvlText w:val="•"/>
      <w:lvlJc w:val="left"/>
      <w:pPr>
        <w:ind w:left="10066" w:hanging="810"/>
      </w:pPr>
      <w:rPr>
        <w:rFonts w:hint="default"/>
      </w:rPr>
    </w:lvl>
    <w:lvl w:ilvl="8">
      <w:start w:val="0"/>
      <w:numFmt w:val="bullet"/>
      <w:lvlText w:val="•"/>
      <w:lvlJc w:val="left"/>
      <w:pPr>
        <w:ind w:left="11291" w:hanging="810"/>
      </w:pPr>
      <w:rPr>
        <w:rFonts w:hint="default"/>
      </w:rPr>
    </w:lvl>
  </w:abstractNum>
  <w:abstractNum w:abstractNumId="30">
    <w:nsid w:val="5AE020D0"/>
    <w:multiLevelType w:val="hybridMultilevel"/>
    <w:tmpl w:val="00000000"/>
    <w:lvl w:ilvl="0">
      <w:start w:val="3"/>
      <w:numFmt w:val="decimal"/>
      <w:lvlText w:val="%1"/>
      <w:lvlJc w:val="left"/>
      <w:pPr>
        <w:ind w:left="1273" w:hanging="630"/>
        <w:jc w:val="left"/>
      </w:pPr>
      <w:rPr>
        <w:rFonts w:hint="default"/>
      </w:rPr>
    </w:lvl>
    <w:lvl w:ilvl="1">
      <w:start w:val="1"/>
      <w:numFmt w:val="decimal"/>
      <w:lvlText w:val="%1.%2"/>
      <w:lvlJc w:val="left"/>
      <w:pPr>
        <w:ind w:left="1273" w:hanging="630"/>
        <w:jc w:val="left"/>
      </w:pPr>
      <w:rPr>
        <w:rFonts w:ascii="Arial" w:eastAsia="Arial" w:hAnsi="Arial" w:cs="Arial" w:hint="default"/>
        <w:w w:val="90"/>
        <w:sz w:val="42"/>
        <w:szCs w:val="42"/>
      </w:rPr>
    </w:lvl>
    <w:lvl w:ilvl="2">
      <w:start w:val="1"/>
      <w:numFmt w:val="decimal"/>
      <w:lvlText w:val="%1.%2.%3"/>
      <w:lvlJc w:val="left"/>
      <w:pPr>
        <w:ind w:left="1453" w:hanging="810"/>
        <w:jc w:val="left"/>
      </w:pPr>
      <w:rPr>
        <w:rFonts w:hint="default"/>
        <w:w w:val="89"/>
      </w:rPr>
    </w:lvl>
    <w:lvl w:ilvl="3">
      <w:start w:val="1"/>
      <w:numFmt w:val="decimal"/>
      <w:lvlText w:val="(%4)"/>
      <w:lvlJc w:val="left"/>
      <w:pPr>
        <w:ind w:left="644" w:hanging="421"/>
        <w:jc w:val="left"/>
      </w:pPr>
      <w:rPr>
        <w:rFonts w:ascii="Arial" w:eastAsia="Arial" w:hAnsi="Arial" w:cs="Arial" w:hint="default"/>
        <w:spacing w:val="-3"/>
        <w:w w:val="95"/>
        <w:sz w:val="34"/>
        <w:szCs w:val="34"/>
      </w:rPr>
    </w:lvl>
    <w:lvl w:ilvl="4">
      <w:start w:val="0"/>
      <w:numFmt w:val="bullet"/>
      <w:lvlText w:val="•"/>
      <w:lvlJc w:val="left"/>
      <w:pPr>
        <w:ind w:left="3648" w:hanging="421"/>
      </w:pPr>
      <w:rPr>
        <w:rFonts w:hint="default"/>
      </w:rPr>
    </w:lvl>
    <w:lvl w:ilvl="5">
      <w:start w:val="0"/>
      <w:numFmt w:val="bullet"/>
      <w:lvlText w:val="•"/>
      <w:lvlJc w:val="left"/>
      <w:pPr>
        <w:ind w:left="4742" w:hanging="421"/>
      </w:pPr>
      <w:rPr>
        <w:rFonts w:hint="default"/>
      </w:rPr>
    </w:lvl>
    <w:lvl w:ilvl="6">
      <w:start w:val="0"/>
      <w:numFmt w:val="bullet"/>
      <w:lvlText w:val="•"/>
      <w:lvlJc w:val="left"/>
      <w:pPr>
        <w:ind w:left="5836" w:hanging="421"/>
      </w:pPr>
      <w:rPr>
        <w:rFonts w:hint="default"/>
      </w:rPr>
    </w:lvl>
    <w:lvl w:ilvl="7">
      <w:start w:val="0"/>
      <w:numFmt w:val="bullet"/>
      <w:lvlText w:val="•"/>
      <w:lvlJc w:val="left"/>
      <w:pPr>
        <w:ind w:left="6930" w:hanging="421"/>
      </w:pPr>
      <w:rPr>
        <w:rFonts w:hint="default"/>
      </w:rPr>
    </w:lvl>
    <w:lvl w:ilvl="8">
      <w:start w:val="0"/>
      <w:numFmt w:val="bullet"/>
      <w:lvlText w:val="•"/>
      <w:lvlJc w:val="left"/>
      <w:pPr>
        <w:ind w:left="8024" w:hanging="421"/>
      </w:pPr>
      <w:rPr>
        <w:rFonts w:hint="default"/>
      </w:rPr>
    </w:lvl>
  </w:abstractNum>
  <w:abstractNum w:abstractNumId="31">
    <w:nsid w:val="5ECD5AB8"/>
    <w:multiLevelType w:val="hybridMultilevel"/>
    <w:tmpl w:val="00000000"/>
    <w:lvl w:ilvl="0">
      <w:start w:val="5"/>
      <w:numFmt w:val="decimal"/>
      <w:lvlText w:val="%1"/>
      <w:lvlJc w:val="left"/>
      <w:pPr>
        <w:ind w:left="1453" w:hanging="810"/>
        <w:jc w:val="left"/>
      </w:pPr>
      <w:rPr>
        <w:rFonts w:hint="default"/>
      </w:rPr>
    </w:lvl>
    <w:lvl w:ilvl="1">
      <w:start w:val="1"/>
      <w:numFmt w:val="decimal"/>
      <w:lvlText w:val="%1.%2"/>
      <w:lvlJc w:val="left"/>
      <w:pPr>
        <w:ind w:left="1453" w:hanging="810"/>
        <w:jc w:val="left"/>
      </w:pPr>
      <w:rPr>
        <w:rFonts w:hint="default"/>
      </w:rPr>
    </w:lvl>
    <w:lvl w:ilvl="2">
      <w:start w:val="7"/>
      <w:numFmt w:val="decimal"/>
      <w:lvlText w:val="%1.%2.%3"/>
      <w:lvlJc w:val="left"/>
      <w:pPr>
        <w:ind w:left="1453" w:hanging="810"/>
        <w:jc w:val="left"/>
      </w:pPr>
      <w:rPr>
        <w:rFonts w:ascii="Bookman Old Style" w:eastAsia="Bookman Old Style" w:hAnsi="Bookman Old Style" w:cs="Bookman Old Style" w:hint="default"/>
        <w:w w:val="80"/>
        <w:sz w:val="36"/>
        <w:szCs w:val="36"/>
      </w:rPr>
    </w:lvl>
    <w:lvl w:ilvl="3">
      <w:start w:val="0"/>
      <w:numFmt w:val="bullet"/>
      <w:lvlText w:val="•"/>
      <w:lvlJc w:val="left"/>
      <w:pPr>
        <w:ind w:left="5144" w:hanging="810"/>
      </w:pPr>
      <w:rPr>
        <w:rFonts w:hint="default"/>
      </w:rPr>
    </w:lvl>
    <w:lvl w:ilvl="4">
      <w:start w:val="0"/>
      <w:numFmt w:val="bullet"/>
      <w:lvlText w:val="•"/>
      <w:lvlJc w:val="left"/>
      <w:pPr>
        <w:ind w:left="6372" w:hanging="810"/>
      </w:pPr>
      <w:rPr>
        <w:rFonts w:hint="default"/>
      </w:rPr>
    </w:lvl>
    <w:lvl w:ilvl="5">
      <w:start w:val="0"/>
      <w:numFmt w:val="bullet"/>
      <w:lvlText w:val="•"/>
      <w:lvlJc w:val="left"/>
      <w:pPr>
        <w:ind w:left="7600" w:hanging="810"/>
      </w:pPr>
      <w:rPr>
        <w:rFonts w:hint="default"/>
      </w:rPr>
    </w:lvl>
    <w:lvl w:ilvl="6">
      <w:start w:val="0"/>
      <w:numFmt w:val="bullet"/>
      <w:lvlText w:val="•"/>
      <w:lvlJc w:val="left"/>
      <w:pPr>
        <w:ind w:left="8828" w:hanging="810"/>
      </w:pPr>
      <w:rPr>
        <w:rFonts w:hint="default"/>
      </w:rPr>
    </w:lvl>
    <w:lvl w:ilvl="7">
      <w:start w:val="0"/>
      <w:numFmt w:val="bullet"/>
      <w:lvlText w:val="•"/>
      <w:lvlJc w:val="left"/>
      <w:pPr>
        <w:ind w:left="10056" w:hanging="810"/>
      </w:pPr>
      <w:rPr>
        <w:rFonts w:hint="default"/>
      </w:rPr>
    </w:lvl>
    <w:lvl w:ilvl="8">
      <w:start w:val="0"/>
      <w:numFmt w:val="bullet"/>
      <w:lvlText w:val="•"/>
      <w:lvlJc w:val="left"/>
      <w:pPr>
        <w:ind w:left="11284" w:hanging="810"/>
      </w:pPr>
      <w:rPr>
        <w:rFonts w:hint="default"/>
      </w:rPr>
    </w:lvl>
  </w:abstractNum>
  <w:abstractNum w:abstractNumId="32">
    <w:nsid w:val="611A1216"/>
    <w:multiLevelType w:val="hybridMultilevel"/>
    <w:tmpl w:val="00000000"/>
    <w:lvl w:ilvl="0">
      <w:start w:val="6"/>
      <w:numFmt w:val="decimal"/>
      <w:lvlText w:val="%1"/>
      <w:lvlJc w:val="left"/>
      <w:pPr>
        <w:ind w:left="1813" w:hanging="540"/>
        <w:jc w:val="left"/>
      </w:pPr>
      <w:rPr>
        <w:rFonts w:hint="default"/>
      </w:rPr>
    </w:lvl>
    <w:lvl w:ilvl="1">
      <w:start w:val="1"/>
      <w:numFmt w:val="decimal"/>
      <w:lvlText w:val="%1.%2"/>
      <w:lvlJc w:val="left"/>
      <w:pPr>
        <w:ind w:left="1813" w:hanging="540"/>
        <w:jc w:val="left"/>
      </w:pPr>
      <w:rPr>
        <w:rFonts w:ascii="Arial" w:eastAsia="Arial" w:hAnsi="Arial" w:cs="Arial" w:hint="default"/>
        <w:w w:val="89"/>
        <w:sz w:val="36"/>
        <w:szCs w:val="36"/>
      </w:rPr>
    </w:lvl>
    <w:lvl w:ilvl="2">
      <w:start w:val="1"/>
      <w:numFmt w:val="decimal"/>
      <w:lvlText w:val="%1.%2.%3"/>
      <w:lvlJc w:val="left"/>
      <w:pPr>
        <w:ind w:left="2713" w:hanging="810"/>
        <w:jc w:val="left"/>
      </w:pPr>
      <w:rPr>
        <w:rFonts w:ascii="Arial" w:eastAsia="Arial" w:hAnsi="Arial" w:cs="Arial" w:hint="default"/>
        <w:w w:val="89"/>
        <w:sz w:val="36"/>
        <w:szCs w:val="36"/>
      </w:rPr>
    </w:lvl>
    <w:lvl w:ilvl="3">
      <w:start w:val="0"/>
      <w:numFmt w:val="bullet"/>
      <w:lvlText w:val="•"/>
      <w:lvlJc w:val="left"/>
      <w:pPr>
        <w:ind w:left="5168" w:hanging="810"/>
      </w:pPr>
      <w:rPr>
        <w:rFonts w:hint="default"/>
      </w:rPr>
    </w:lvl>
    <w:lvl w:ilvl="4">
      <w:start w:val="0"/>
      <w:numFmt w:val="bullet"/>
      <w:lvlText w:val="•"/>
      <w:lvlJc w:val="left"/>
      <w:pPr>
        <w:ind w:left="6393" w:hanging="810"/>
      </w:pPr>
      <w:rPr>
        <w:rFonts w:hint="default"/>
      </w:rPr>
    </w:lvl>
    <w:lvl w:ilvl="5">
      <w:start w:val="0"/>
      <w:numFmt w:val="bullet"/>
      <w:lvlText w:val="•"/>
      <w:lvlJc w:val="left"/>
      <w:pPr>
        <w:ind w:left="7617" w:hanging="810"/>
      </w:pPr>
      <w:rPr>
        <w:rFonts w:hint="default"/>
      </w:rPr>
    </w:lvl>
    <w:lvl w:ilvl="6">
      <w:start w:val="0"/>
      <w:numFmt w:val="bullet"/>
      <w:lvlText w:val="•"/>
      <w:lvlJc w:val="left"/>
      <w:pPr>
        <w:ind w:left="8842" w:hanging="810"/>
      </w:pPr>
      <w:rPr>
        <w:rFonts w:hint="default"/>
      </w:rPr>
    </w:lvl>
    <w:lvl w:ilvl="7">
      <w:start w:val="0"/>
      <w:numFmt w:val="bullet"/>
      <w:lvlText w:val="•"/>
      <w:lvlJc w:val="left"/>
      <w:pPr>
        <w:ind w:left="10066" w:hanging="810"/>
      </w:pPr>
      <w:rPr>
        <w:rFonts w:hint="default"/>
      </w:rPr>
    </w:lvl>
    <w:lvl w:ilvl="8">
      <w:start w:val="0"/>
      <w:numFmt w:val="bullet"/>
      <w:lvlText w:val="•"/>
      <w:lvlJc w:val="left"/>
      <w:pPr>
        <w:ind w:left="11291" w:hanging="810"/>
      </w:pPr>
      <w:rPr>
        <w:rFonts w:hint="default"/>
      </w:rPr>
    </w:lvl>
  </w:abstractNum>
  <w:abstractNum w:abstractNumId="33">
    <w:nsid w:val="66C21F39"/>
    <w:multiLevelType w:val="hybridMultilevel"/>
    <w:tmpl w:val="00000000"/>
    <w:lvl w:ilvl="0">
      <w:start w:val="1"/>
      <w:numFmt w:val="decimal"/>
      <w:lvlText w:val="%1）"/>
      <w:lvlJc w:val="left"/>
      <w:pPr>
        <w:ind w:left="1185" w:hanging="541"/>
        <w:jc w:val="left"/>
      </w:pPr>
      <w:rPr>
        <w:rFonts w:hint="default"/>
        <w:w w:val="96"/>
      </w:rPr>
    </w:lvl>
    <w:lvl w:ilvl="1">
      <w:start w:val="0"/>
      <w:numFmt w:val="bullet"/>
      <w:lvlText w:val="•"/>
      <w:lvlJc w:val="left"/>
      <w:pPr>
        <w:ind w:left="2436" w:hanging="541"/>
      </w:pPr>
      <w:rPr>
        <w:rFonts w:hint="default"/>
      </w:rPr>
    </w:lvl>
    <w:lvl w:ilvl="2">
      <w:start w:val="0"/>
      <w:numFmt w:val="bullet"/>
      <w:lvlText w:val="•"/>
      <w:lvlJc w:val="left"/>
      <w:pPr>
        <w:ind w:left="3692" w:hanging="541"/>
      </w:pPr>
      <w:rPr>
        <w:rFonts w:hint="default"/>
      </w:rPr>
    </w:lvl>
    <w:lvl w:ilvl="3">
      <w:start w:val="0"/>
      <w:numFmt w:val="bullet"/>
      <w:lvlText w:val="•"/>
      <w:lvlJc w:val="left"/>
      <w:pPr>
        <w:ind w:left="4948" w:hanging="541"/>
      </w:pPr>
      <w:rPr>
        <w:rFonts w:hint="default"/>
      </w:rPr>
    </w:lvl>
    <w:lvl w:ilvl="4">
      <w:start w:val="0"/>
      <w:numFmt w:val="bullet"/>
      <w:lvlText w:val="•"/>
      <w:lvlJc w:val="left"/>
      <w:pPr>
        <w:ind w:left="6204" w:hanging="541"/>
      </w:pPr>
      <w:rPr>
        <w:rFonts w:hint="default"/>
      </w:rPr>
    </w:lvl>
    <w:lvl w:ilvl="5">
      <w:start w:val="0"/>
      <w:numFmt w:val="bullet"/>
      <w:lvlText w:val="•"/>
      <w:lvlJc w:val="left"/>
      <w:pPr>
        <w:ind w:left="7460" w:hanging="541"/>
      </w:pPr>
      <w:rPr>
        <w:rFonts w:hint="default"/>
      </w:rPr>
    </w:lvl>
    <w:lvl w:ilvl="6">
      <w:start w:val="0"/>
      <w:numFmt w:val="bullet"/>
      <w:lvlText w:val="•"/>
      <w:lvlJc w:val="left"/>
      <w:pPr>
        <w:ind w:left="8716" w:hanging="541"/>
      </w:pPr>
      <w:rPr>
        <w:rFonts w:hint="default"/>
      </w:rPr>
    </w:lvl>
    <w:lvl w:ilvl="7">
      <w:start w:val="0"/>
      <w:numFmt w:val="bullet"/>
      <w:lvlText w:val="•"/>
      <w:lvlJc w:val="left"/>
      <w:pPr>
        <w:ind w:left="9972" w:hanging="541"/>
      </w:pPr>
      <w:rPr>
        <w:rFonts w:hint="default"/>
      </w:rPr>
    </w:lvl>
    <w:lvl w:ilvl="8">
      <w:start w:val="0"/>
      <w:numFmt w:val="bullet"/>
      <w:lvlText w:val="•"/>
      <w:lvlJc w:val="left"/>
      <w:pPr>
        <w:ind w:left="11228" w:hanging="541"/>
      </w:pPr>
      <w:rPr>
        <w:rFonts w:hint="default"/>
      </w:rPr>
    </w:lvl>
  </w:abstractNum>
  <w:abstractNum w:abstractNumId="34">
    <w:nsid w:val="6F3B1EDA"/>
    <w:multiLevelType w:val="hybridMultilevel"/>
    <w:tmpl w:val="00000000"/>
    <w:lvl w:ilvl="0">
      <w:start w:val="1"/>
      <w:numFmt w:val="decimal"/>
      <w:lvlText w:val="（%1）"/>
      <w:lvlJc w:val="left"/>
      <w:pPr>
        <w:ind w:left="2264" w:hanging="901"/>
        <w:jc w:val="left"/>
      </w:pPr>
      <w:rPr>
        <w:rFonts w:ascii="黑体" w:eastAsia="黑体" w:hAnsi="黑体" w:cs="黑体" w:hint="default"/>
        <w:w w:val="89"/>
        <w:sz w:val="34"/>
        <w:szCs w:val="34"/>
      </w:rPr>
    </w:lvl>
    <w:lvl w:ilvl="1">
      <w:start w:val="0"/>
      <w:numFmt w:val="bullet"/>
      <w:lvlText w:val="•"/>
      <w:lvlJc w:val="left"/>
      <w:pPr>
        <w:ind w:left="3408" w:hanging="901"/>
      </w:pPr>
      <w:rPr>
        <w:rFonts w:hint="default"/>
      </w:rPr>
    </w:lvl>
    <w:lvl w:ilvl="2">
      <w:start w:val="0"/>
      <w:numFmt w:val="bullet"/>
      <w:lvlText w:val="•"/>
      <w:lvlJc w:val="left"/>
      <w:pPr>
        <w:ind w:left="4556" w:hanging="901"/>
      </w:pPr>
      <w:rPr>
        <w:rFonts w:hint="default"/>
      </w:rPr>
    </w:lvl>
    <w:lvl w:ilvl="3">
      <w:start w:val="0"/>
      <w:numFmt w:val="bullet"/>
      <w:lvlText w:val="•"/>
      <w:lvlJc w:val="left"/>
      <w:pPr>
        <w:ind w:left="5704" w:hanging="901"/>
      </w:pPr>
      <w:rPr>
        <w:rFonts w:hint="default"/>
      </w:rPr>
    </w:lvl>
    <w:lvl w:ilvl="4">
      <w:start w:val="0"/>
      <w:numFmt w:val="bullet"/>
      <w:lvlText w:val="•"/>
      <w:lvlJc w:val="left"/>
      <w:pPr>
        <w:ind w:left="6852" w:hanging="901"/>
      </w:pPr>
      <w:rPr>
        <w:rFonts w:hint="default"/>
      </w:rPr>
    </w:lvl>
    <w:lvl w:ilvl="5">
      <w:start w:val="0"/>
      <w:numFmt w:val="bullet"/>
      <w:lvlText w:val="•"/>
      <w:lvlJc w:val="left"/>
      <w:pPr>
        <w:ind w:left="8000" w:hanging="901"/>
      </w:pPr>
      <w:rPr>
        <w:rFonts w:hint="default"/>
      </w:rPr>
    </w:lvl>
    <w:lvl w:ilvl="6">
      <w:start w:val="0"/>
      <w:numFmt w:val="bullet"/>
      <w:lvlText w:val="•"/>
      <w:lvlJc w:val="left"/>
      <w:pPr>
        <w:ind w:left="9148" w:hanging="901"/>
      </w:pPr>
      <w:rPr>
        <w:rFonts w:hint="default"/>
      </w:rPr>
    </w:lvl>
    <w:lvl w:ilvl="7">
      <w:start w:val="0"/>
      <w:numFmt w:val="bullet"/>
      <w:lvlText w:val="•"/>
      <w:lvlJc w:val="left"/>
      <w:pPr>
        <w:ind w:left="10296" w:hanging="901"/>
      </w:pPr>
      <w:rPr>
        <w:rFonts w:hint="default"/>
      </w:rPr>
    </w:lvl>
    <w:lvl w:ilvl="8">
      <w:start w:val="0"/>
      <w:numFmt w:val="bullet"/>
      <w:lvlText w:val="•"/>
      <w:lvlJc w:val="left"/>
      <w:pPr>
        <w:ind w:left="11444" w:hanging="901"/>
      </w:pPr>
      <w:rPr>
        <w:rFonts w:hint="default"/>
      </w:rPr>
    </w:lvl>
  </w:abstractNum>
  <w:abstractNum w:abstractNumId="35">
    <w:nsid w:val="7167E8CF"/>
    <w:multiLevelType w:val="hybridMultilevel"/>
    <w:tmpl w:val="00000000"/>
    <w:lvl w:ilvl="0">
      <w:start w:val="39"/>
      <w:numFmt w:val="decimal"/>
      <w:lvlText w:val="%1"/>
      <w:lvlJc w:val="left"/>
      <w:pPr>
        <w:ind w:left="1115" w:hanging="476"/>
        <w:jc w:val="left"/>
      </w:pPr>
      <w:rPr>
        <w:rFonts w:hint="default"/>
        <w:w w:val="82"/>
      </w:rPr>
    </w:lvl>
    <w:lvl w:ilvl="1">
      <w:start w:val="0"/>
      <w:numFmt w:val="bullet"/>
      <w:lvlText w:val="•"/>
      <w:lvlJc w:val="left"/>
      <w:pPr>
        <w:ind w:left="2382" w:hanging="476"/>
      </w:pPr>
      <w:rPr>
        <w:rFonts w:hint="default"/>
      </w:rPr>
    </w:lvl>
    <w:lvl w:ilvl="2">
      <w:start w:val="0"/>
      <w:numFmt w:val="bullet"/>
      <w:lvlText w:val="•"/>
      <w:lvlJc w:val="left"/>
      <w:pPr>
        <w:ind w:left="3644" w:hanging="476"/>
      </w:pPr>
      <w:rPr>
        <w:rFonts w:hint="default"/>
      </w:rPr>
    </w:lvl>
    <w:lvl w:ilvl="3">
      <w:start w:val="0"/>
      <w:numFmt w:val="bullet"/>
      <w:lvlText w:val="•"/>
      <w:lvlJc w:val="left"/>
      <w:pPr>
        <w:ind w:left="4906" w:hanging="476"/>
      </w:pPr>
      <w:rPr>
        <w:rFonts w:hint="default"/>
      </w:rPr>
    </w:lvl>
    <w:lvl w:ilvl="4">
      <w:start w:val="0"/>
      <w:numFmt w:val="bullet"/>
      <w:lvlText w:val="•"/>
      <w:lvlJc w:val="left"/>
      <w:pPr>
        <w:ind w:left="6168" w:hanging="476"/>
      </w:pPr>
      <w:rPr>
        <w:rFonts w:hint="default"/>
      </w:rPr>
    </w:lvl>
    <w:lvl w:ilvl="5">
      <w:start w:val="0"/>
      <w:numFmt w:val="bullet"/>
      <w:lvlText w:val="•"/>
      <w:lvlJc w:val="left"/>
      <w:pPr>
        <w:ind w:left="7430" w:hanging="476"/>
      </w:pPr>
      <w:rPr>
        <w:rFonts w:hint="default"/>
      </w:rPr>
    </w:lvl>
    <w:lvl w:ilvl="6">
      <w:start w:val="0"/>
      <w:numFmt w:val="bullet"/>
      <w:lvlText w:val="•"/>
      <w:lvlJc w:val="left"/>
      <w:pPr>
        <w:ind w:left="8692" w:hanging="476"/>
      </w:pPr>
      <w:rPr>
        <w:rFonts w:hint="default"/>
      </w:rPr>
    </w:lvl>
    <w:lvl w:ilvl="7">
      <w:start w:val="0"/>
      <w:numFmt w:val="bullet"/>
      <w:lvlText w:val="•"/>
      <w:lvlJc w:val="left"/>
      <w:pPr>
        <w:ind w:left="9954" w:hanging="476"/>
      </w:pPr>
      <w:rPr>
        <w:rFonts w:hint="default"/>
      </w:rPr>
    </w:lvl>
    <w:lvl w:ilvl="8">
      <w:start w:val="0"/>
      <w:numFmt w:val="bullet"/>
      <w:lvlText w:val="•"/>
      <w:lvlJc w:val="left"/>
      <w:pPr>
        <w:ind w:left="11216" w:hanging="476"/>
      </w:pPr>
      <w:rPr>
        <w:rFonts w:hint="default"/>
      </w:rPr>
    </w:lvl>
  </w:abstractNum>
  <w:abstractNum w:abstractNumId="36">
    <w:nsid w:val="7284F8B9"/>
    <w:multiLevelType w:val="hybridMultilevel"/>
    <w:tmpl w:val="00000000"/>
    <w:lvl w:ilvl="0">
      <w:start w:val="3"/>
      <w:numFmt w:val="decimal"/>
      <w:lvlText w:val="%1"/>
      <w:lvlJc w:val="left"/>
      <w:pPr>
        <w:ind w:left="1813" w:hanging="540"/>
        <w:jc w:val="left"/>
      </w:pPr>
      <w:rPr>
        <w:rFonts w:hint="default"/>
      </w:rPr>
    </w:lvl>
    <w:lvl w:ilvl="1">
      <w:start w:val="1"/>
      <w:numFmt w:val="decimal"/>
      <w:lvlText w:val="%1.%2"/>
      <w:lvlJc w:val="left"/>
      <w:pPr>
        <w:ind w:left="1813" w:hanging="540"/>
        <w:jc w:val="left"/>
      </w:pPr>
      <w:rPr>
        <w:rFonts w:ascii="Arial" w:eastAsia="Arial" w:hAnsi="Arial" w:cs="Arial" w:hint="default"/>
        <w:w w:val="89"/>
        <w:sz w:val="36"/>
        <w:szCs w:val="36"/>
      </w:rPr>
    </w:lvl>
    <w:lvl w:ilvl="2">
      <w:start w:val="1"/>
      <w:numFmt w:val="decimal"/>
      <w:lvlText w:val="%1.%2.%3"/>
      <w:lvlJc w:val="left"/>
      <w:pPr>
        <w:ind w:left="2713" w:hanging="810"/>
        <w:jc w:val="left"/>
      </w:pPr>
      <w:rPr>
        <w:rFonts w:ascii="Arial" w:eastAsia="Arial" w:hAnsi="Arial" w:cs="Arial" w:hint="default"/>
        <w:w w:val="89"/>
        <w:sz w:val="36"/>
        <w:szCs w:val="36"/>
      </w:rPr>
    </w:lvl>
    <w:lvl w:ilvl="3">
      <w:start w:val="0"/>
      <w:numFmt w:val="bullet"/>
      <w:lvlText w:val="•"/>
      <w:lvlJc w:val="left"/>
      <w:pPr>
        <w:ind w:left="5168" w:hanging="810"/>
      </w:pPr>
      <w:rPr>
        <w:rFonts w:hint="default"/>
      </w:rPr>
    </w:lvl>
    <w:lvl w:ilvl="4">
      <w:start w:val="0"/>
      <w:numFmt w:val="bullet"/>
      <w:lvlText w:val="•"/>
      <w:lvlJc w:val="left"/>
      <w:pPr>
        <w:ind w:left="6393" w:hanging="810"/>
      </w:pPr>
      <w:rPr>
        <w:rFonts w:hint="default"/>
      </w:rPr>
    </w:lvl>
    <w:lvl w:ilvl="5">
      <w:start w:val="0"/>
      <w:numFmt w:val="bullet"/>
      <w:lvlText w:val="•"/>
      <w:lvlJc w:val="left"/>
      <w:pPr>
        <w:ind w:left="7617" w:hanging="810"/>
      </w:pPr>
      <w:rPr>
        <w:rFonts w:hint="default"/>
      </w:rPr>
    </w:lvl>
    <w:lvl w:ilvl="6">
      <w:start w:val="0"/>
      <w:numFmt w:val="bullet"/>
      <w:lvlText w:val="•"/>
      <w:lvlJc w:val="left"/>
      <w:pPr>
        <w:ind w:left="8842" w:hanging="810"/>
      </w:pPr>
      <w:rPr>
        <w:rFonts w:hint="default"/>
      </w:rPr>
    </w:lvl>
    <w:lvl w:ilvl="7">
      <w:start w:val="0"/>
      <w:numFmt w:val="bullet"/>
      <w:lvlText w:val="•"/>
      <w:lvlJc w:val="left"/>
      <w:pPr>
        <w:ind w:left="10066" w:hanging="810"/>
      </w:pPr>
      <w:rPr>
        <w:rFonts w:hint="default"/>
      </w:rPr>
    </w:lvl>
    <w:lvl w:ilvl="8">
      <w:start w:val="0"/>
      <w:numFmt w:val="bullet"/>
      <w:lvlText w:val="•"/>
      <w:lvlJc w:val="left"/>
      <w:pPr>
        <w:ind w:left="11291" w:hanging="810"/>
      </w:pPr>
      <w:rPr>
        <w:rFonts w:hint="default"/>
      </w:rPr>
    </w:lvl>
  </w:abstractNum>
  <w:abstractNum w:abstractNumId="37">
    <w:nsid w:val="73E4F970"/>
    <w:multiLevelType w:val="hybridMultilevel"/>
    <w:tmpl w:val="00000000"/>
    <w:lvl w:ilvl="0">
      <w:start w:val="1"/>
      <w:numFmt w:val="decimal"/>
      <w:lvlText w:val="（%1）"/>
      <w:lvlJc w:val="left"/>
      <w:pPr>
        <w:ind w:left="2264" w:hanging="901"/>
        <w:jc w:val="left"/>
      </w:pPr>
      <w:rPr>
        <w:rFonts w:ascii="黑体" w:eastAsia="黑体" w:hAnsi="黑体" w:cs="黑体" w:hint="default"/>
        <w:w w:val="89"/>
        <w:sz w:val="34"/>
        <w:szCs w:val="34"/>
      </w:rPr>
    </w:lvl>
    <w:lvl w:ilvl="1">
      <w:start w:val="0"/>
      <w:numFmt w:val="bullet"/>
      <w:lvlText w:val="•"/>
      <w:lvlJc w:val="left"/>
      <w:pPr>
        <w:ind w:left="3408" w:hanging="901"/>
      </w:pPr>
      <w:rPr>
        <w:rFonts w:hint="default"/>
      </w:rPr>
    </w:lvl>
    <w:lvl w:ilvl="2">
      <w:start w:val="0"/>
      <w:numFmt w:val="bullet"/>
      <w:lvlText w:val="•"/>
      <w:lvlJc w:val="left"/>
      <w:pPr>
        <w:ind w:left="4556" w:hanging="901"/>
      </w:pPr>
      <w:rPr>
        <w:rFonts w:hint="default"/>
      </w:rPr>
    </w:lvl>
    <w:lvl w:ilvl="3">
      <w:start w:val="0"/>
      <w:numFmt w:val="bullet"/>
      <w:lvlText w:val="•"/>
      <w:lvlJc w:val="left"/>
      <w:pPr>
        <w:ind w:left="5704" w:hanging="901"/>
      </w:pPr>
      <w:rPr>
        <w:rFonts w:hint="default"/>
      </w:rPr>
    </w:lvl>
    <w:lvl w:ilvl="4">
      <w:start w:val="0"/>
      <w:numFmt w:val="bullet"/>
      <w:lvlText w:val="•"/>
      <w:lvlJc w:val="left"/>
      <w:pPr>
        <w:ind w:left="6852" w:hanging="901"/>
      </w:pPr>
      <w:rPr>
        <w:rFonts w:hint="default"/>
      </w:rPr>
    </w:lvl>
    <w:lvl w:ilvl="5">
      <w:start w:val="0"/>
      <w:numFmt w:val="bullet"/>
      <w:lvlText w:val="•"/>
      <w:lvlJc w:val="left"/>
      <w:pPr>
        <w:ind w:left="8000" w:hanging="901"/>
      </w:pPr>
      <w:rPr>
        <w:rFonts w:hint="default"/>
      </w:rPr>
    </w:lvl>
    <w:lvl w:ilvl="6">
      <w:start w:val="0"/>
      <w:numFmt w:val="bullet"/>
      <w:lvlText w:val="•"/>
      <w:lvlJc w:val="left"/>
      <w:pPr>
        <w:ind w:left="9148" w:hanging="901"/>
      </w:pPr>
      <w:rPr>
        <w:rFonts w:hint="default"/>
      </w:rPr>
    </w:lvl>
    <w:lvl w:ilvl="7">
      <w:start w:val="0"/>
      <w:numFmt w:val="bullet"/>
      <w:lvlText w:val="•"/>
      <w:lvlJc w:val="left"/>
      <w:pPr>
        <w:ind w:left="10296" w:hanging="901"/>
      </w:pPr>
      <w:rPr>
        <w:rFonts w:hint="default"/>
      </w:rPr>
    </w:lvl>
    <w:lvl w:ilvl="8">
      <w:start w:val="0"/>
      <w:numFmt w:val="bullet"/>
      <w:lvlText w:val="•"/>
      <w:lvlJc w:val="left"/>
      <w:pPr>
        <w:ind w:left="11444" w:hanging="901"/>
      </w:pPr>
      <w:rPr>
        <w:rFonts w:hint="default"/>
      </w:rPr>
    </w:lvl>
  </w:abstractNum>
  <w:abstractNum w:abstractNumId="38">
    <w:nsid w:val="7DBDCA6F"/>
    <w:multiLevelType w:val="hybridMultilevel"/>
    <w:tmpl w:val="00000000"/>
    <w:lvl w:ilvl="0">
      <w:start w:val="2"/>
      <w:numFmt w:val="decimal"/>
      <w:lvlText w:val="%1"/>
      <w:lvlJc w:val="left"/>
      <w:pPr>
        <w:ind w:left="1813" w:hanging="540"/>
        <w:jc w:val="left"/>
      </w:pPr>
      <w:rPr>
        <w:rFonts w:hint="default"/>
      </w:rPr>
    </w:lvl>
    <w:lvl w:ilvl="1">
      <w:start w:val="1"/>
      <w:numFmt w:val="decimal"/>
      <w:lvlText w:val="%1.%2"/>
      <w:lvlJc w:val="left"/>
      <w:pPr>
        <w:ind w:left="1813" w:hanging="540"/>
        <w:jc w:val="left"/>
      </w:pPr>
      <w:rPr>
        <w:rFonts w:ascii="Arial" w:eastAsia="Arial" w:hAnsi="Arial" w:cs="Arial" w:hint="default"/>
        <w:w w:val="89"/>
        <w:sz w:val="36"/>
        <w:szCs w:val="36"/>
      </w:rPr>
    </w:lvl>
    <w:lvl w:ilvl="2">
      <w:start w:val="1"/>
      <w:numFmt w:val="decimal"/>
      <w:lvlText w:val="%1.%2.%3"/>
      <w:lvlJc w:val="left"/>
      <w:pPr>
        <w:ind w:left="2713" w:hanging="810"/>
        <w:jc w:val="left"/>
      </w:pPr>
      <w:rPr>
        <w:rFonts w:ascii="Arial" w:eastAsia="Arial" w:hAnsi="Arial" w:cs="Arial" w:hint="default"/>
        <w:w w:val="89"/>
        <w:sz w:val="36"/>
        <w:szCs w:val="36"/>
      </w:rPr>
    </w:lvl>
    <w:lvl w:ilvl="3">
      <w:start w:val="0"/>
      <w:numFmt w:val="bullet"/>
      <w:lvlText w:val="•"/>
      <w:lvlJc w:val="left"/>
      <w:pPr>
        <w:ind w:left="5168" w:hanging="810"/>
      </w:pPr>
      <w:rPr>
        <w:rFonts w:hint="default"/>
      </w:rPr>
    </w:lvl>
    <w:lvl w:ilvl="4">
      <w:start w:val="0"/>
      <w:numFmt w:val="bullet"/>
      <w:lvlText w:val="•"/>
      <w:lvlJc w:val="left"/>
      <w:pPr>
        <w:ind w:left="6393" w:hanging="810"/>
      </w:pPr>
      <w:rPr>
        <w:rFonts w:hint="default"/>
      </w:rPr>
    </w:lvl>
    <w:lvl w:ilvl="5">
      <w:start w:val="0"/>
      <w:numFmt w:val="bullet"/>
      <w:lvlText w:val="•"/>
      <w:lvlJc w:val="left"/>
      <w:pPr>
        <w:ind w:left="7617" w:hanging="810"/>
      </w:pPr>
      <w:rPr>
        <w:rFonts w:hint="default"/>
      </w:rPr>
    </w:lvl>
    <w:lvl w:ilvl="6">
      <w:start w:val="0"/>
      <w:numFmt w:val="bullet"/>
      <w:lvlText w:val="•"/>
      <w:lvlJc w:val="left"/>
      <w:pPr>
        <w:ind w:left="8842" w:hanging="810"/>
      </w:pPr>
      <w:rPr>
        <w:rFonts w:hint="default"/>
      </w:rPr>
    </w:lvl>
    <w:lvl w:ilvl="7">
      <w:start w:val="0"/>
      <w:numFmt w:val="bullet"/>
      <w:lvlText w:val="•"/>
      <w:lvlJc w:val="left"/>
      <w:pPr>
        <w:ind w:left="10066" w:hanging="810"/>
      </w:pPr>
      <w:rPr>
        <w:rFonts w:hint="default"/>
      </w:rPr>
    </w:lvl>
    <w:lvl w:ilvl="8">
      <w:start w:val="0"/>
      <w:numFmt w:val="bullet"/>
      <w:lvlText w:val="•"/>
      <w:lvlJc w:val="left"/>
      <w:pPr>
        <w:ind w:left="11291" w:hanging="810"/>
      </w:pPr>
      <w:rPr>
        <w:rFonts w:hint="default"/>
      </w:rPr>
    </w:lvl>
  </w:abstractNum>
  <w:abstractNum w:abstractNumId="39">
    <w:nsid w:val="7EF79E87"/>
    <w:multiLevelType w:val="hybridMultilevel"/>
    <w:tmpl w:val="00000000"/>
    <w:lvl w:ilvl="0">
      <w:start w:val="1"/>
      <w:numFmt w:val="decimal"/>
      <w:lvlText w:val="（%1）"/>
      <w:lvlJc w:val="left"/>
      <w:pPr>
        <w:ind w:left="2264" w:hanging="901"/>
        <w:jc w:val="left"/>
      </w:pPr>
      <w:rPr>
        <w:rFonts w:ascii="黑体" w:eastAsia="黑体" w:hAnsi="黑体" w:cs="黑体" w:hint="default"/>
        <w:w w:val="89"/>
        <w:sz w:val="34"/>
        <w:szCs w:val="34"/>
      </w:rPr>
    </w:lvl>
    <w:lvl w:ilvl="1">
      <w:start w:val="0"/>
      <w:numFmt w:val="bullet"/>
      <w:lvlText w:val="•"/>
      <w:lvlJc w:val="left"/>
      <w:pPr>
        <w:ind w:left="7280" w:hanging="901"/>
      </w:pPr>
      <w:rPr>
        <w:rFonts w:hint="default"/>
      </w:rPr>
    </w:lvl>
    <w:lvl w:ilvl="2">
      <w:start w:val="0"/>
      <w:numFmt w:val="bullet"/>
      <w:lvlText w:val="•"/>
      <w:lvlJc w:val="left"/>
      <w:pPr>
        <w:ind w:left="7997" w:hanging="901"/>
      </w:pPr>
      <w:rPr>
        <w:rFonts w:hint="default"/>
      </w:rPr>
    </w:lvl>
    <w:lvl w:ilvl="3">
      <w:start w:val="0"/>
      <w:numFmt w:val="bullet"/>
      <w:lvlText w:val="•"/>
      <w:lvlJc w:val="left"/>
      <w:pPr>
        <w:ind w:left="8715" w:hanging="901"/>
      </w:pPr>
      <w:rPr>
        <w:rFonts w:hint="default"/>
      </w:rPr>
    </w:lvl>
    <w:lvl w:ilvl="4">
      <w:start w:val="0"/>
      <w:numFmt w:val="bullet"/>
      <w:lvlText w:val="•"/>
      <w:lvlJc w:val="left"/>
      <w:pPr>
        <w:ind w:left="9433" w:hanging="901"/>
      </w:pPr>
      <w:rPr>
        <w:rFonts w:hint="default"/>
      </w:rPr>
    </w:lvl>
    <w:lvl w:ilvl="5">
      <w:start w:val="0"/>
      <w:numFmt w:val="bullet"/>
      <w:lvlText w:val="•"/>
      <w:lvlJc w:val="left"/>
      <w:pPr>
        <w:ind w:left="10151" w:hanging="901"/>
      </w:pPr>
      <w:rPr>
        <w:rFonts w:hint="default"/>
      </w:rPr>
    </w:lvl>
    <w:lvl w:ilvl="6">
      <w:start w:val="0"/>
      <w:numFmt w:val="bullet"/>
      <w:lvlText w:val="•"/>
      <w:lvlJc w:val="left"/>
      <w:pPr>
        <w:ind w:left="10868" w:hanging="901"/>
      </w:pPr>
      <w:rPr>
        <w:rFonts w:hint="default"/>
      </w:rPr>
    </w:lvl>
    <w:lvl w:ilvl="7">
      <w:start w:val="0"/>
      <w:numFmt w:val="bullet"/>
      <w:lvlText w:val="•"/>
      <w:lvlJc w:val="left"/>
      <w:pPr>
        <w:ind w:left="11586" w:hanging="901"/>
      </w:pPr>
      <w:rPr>
        <w:rFonts w:hint="default"/>
      </w:rPr>
    </w:lvl>
    <w:lvl w:ilvl="8">
      <w:start w:val="0"/>
      <w:numFmt w:val="bullet"/>
      <w:lvlText w:val="•"/>
      <w:lvlJc w:val="left"/>
      <w:pPr>
        <w:ind w:left="12304" w:hanging="901"/>
      </w:pPr>
      <w:rPr>
        <w:rFonts w:hint="default"/>
      </w:rPr>
    </w:lvl>
  </w:abstractNum>
  <w:abstractNum w:abstractNumId="40">
    <w:nsid w:val="7F625535"/>
    <w:multiLevelType w:val="hybridMultilevel"/>
    <w:tmpl w:val="00000000"/>
    <w:lvl w:ilvl="0">
      <w:start w:val="1"/>
      <w:numFmt w:val="decimal"/>
      <w:lvlText w:val="（%1）"/>
      <w:lvlJc w:val="left"/>
      <w:pPr>
        <w:ind w:left="644" w:hanging="901"/>
        <w:jc w:val="left"/>
      </w:pPr>
      <w:rPr>
        <w:rFonts w:ascii="宋体" w:eastAsia="宋体" w:hAnsi="宋体" w:cs="宋体" w:hint="default"/>
        <w:w w:val="89"/>
        <w:sz w:val="34"/>
        <w:szCs w:val="34"/>
      </w:rPr>
    </w:lvl>
    <w:lvl w:ilvl="1">
      <w:start w:val="0"/>
      <w:numFmt w:val="bullet"/>
      <w:lvlText w:val="•"/>
      <w:lvlJc w:val="left"/>
      <w:pPr>
        <w:ind w:left="1950" w:hanging="901"/>
      </w:pPr>
      <w:rPr>
        <w:rFonts w:hint="default"/>
      </w:rPr>
    </w:lvl>
    <w:lvl w:ilvl="2">
      <w:start w:val="0"/>
      <w:numFmt w:val="bullet"/>
      <w:lvlText w:val="•"/>
      <w:lvlJc w:val="left"/>
      <w:pPr>
        <w:ind w:left="3260" w:hanging="901"/>
      </w:pPr>
      <w:rPr>
        <w:rFonts w:hint="default"/>
      </w:rPr>
    </w:lvl>
    <w:lvl w:ilvl="3">
      <w:start w:val="0"/>
      <w:numFmt w:val="bullet"/>
      <w:lvlText w:val="•"/>
      <w:lvlJc w:val="left"/>
      <w:pPr>
        <w:ind w:left="4570" w:hanging="901"/>
      </w:pPr>
      <w:rPr>
        <w:rFonts w:hint="default"/>
      </w:rPr>
    </w:lvl>
    <w:lvl w:ilvl="4">
      <w:start w:val="0"/>
      <w:numFmt w:val="bullet"/>
      <w:lvlText w:val="•"/>
      <w:lvlJc w:val="left"/>
      <w:pPr>
        <w:ind w:left="5880" w:hanging="901"/>
      </w:pPr>
      <w:rPr>
        <w:rFonts w:hint="default"/>
      </w:rPr>
    </w:lvl>
    <w:lvl w:ilvl="5">
      <w:start w:val="0"/>
      <w:numFmt w:val="bullet"/>
      <w:lvlText w:val="•"/>
      <w:lvlJc w:val="left"/>
      <w:pPr>
        <w:ind w:left="7190" w:hanging="901"/>
      </w:pPr>
      <w:rPr>
        <w:rFonts w:hint="default"/>
      </w:rPr>
    </w:lvl>
    <w:lvl w:ilvl="6">
      <w:start w:val="0"/>
      <w:numFmt w:val="bullet"/>
      <w:lvlText w:val="•"/>
      <w:lvlJc w:val="left"/>
      <w:pPr>
        <w:ind w:left="8500" w:hanging="901"/>
      </w:pPr>
      <w:rPr>
        <w:rFonts w:hint="default"/>
      </w:rPr>
    </w:lvl>
    <w:lvl w:ilvl="7">
      <w:start w:val="0"/>
      <w:numFmt w:val="bullet"/>
      <w:lvlText w:val="•"/>
      <w:lvlJc w:val="left"/>
      <w:pPr>
        <w:ind w:left="9810" w:hanging="901"/>
      </w:pPr>
      <w:rPr>
        <w:rFonts w:hint="default"/>
      </w:rPr>
    </w:lvl>
    <w:lvl w:ilvl="8">
      <w:start w:val="0"/>
      <w:numFmt w:val="bullet"/>
      <w:lvlText w:val="•"/>
      <w:lvlJc w:val="left"/>
      <w:pPr>
        <w:ind w:left="11120" w:hanging="901"/>
      </w:pPr>
      <w:rPr>
        <w:rFonts w:hint="default"/>
      </w:rPr>
    </w:lvl>
  </w:abstractNum>
  <w:abstractNum w:abstractNumId="41">
    <w:nsid w:val="7F68923F"/>
    <w:multiLevelType w:val="hybridMultilevel"/>
    <w:tmpl w:val="00000000"/>
    <w:lvl w:ilvl="0">
      <w:start w:val="3"/>
      <w:numFmt w:val="decimal"/>
      <w:lvlText w:val="%1"/>
      <w:lvlJc w:val="left"/>
      <w:pPr>
        <w:ind w:left="1453" w:hanging="810"/>
        <w:jc w:val="left"/>
      </w:pPr>
      <w:rPr>
        <w:rFonts w:hint="default"/>
      </w:rPr>
    </w:lvl>
    <w:lvl w:ilvl="1">
      <w:start w:val="2"/>
      <w:numFmt w:val="decimal"/>
      <w:lvlText w:val="%1.%2"/>
      <w:lvlJc w:val="left"/>
      <w:pPr>
        <w:ind w:left="1453" w:hanging="810"/>
        <w:jc w:val="left"/>
      </w:pPr>
      <w:rPr>
        <w:rFonts w:hint="default"/>
      </w:rPr>
    </w:lvl>
    <w:lvl w:ilvl="2">
      <w:start w:val="2"/>
      <w:numFmt w:val="decimal"/>
      <w:lvlText w:val="%1.%2.%3"/>
      <w:lvlJc w:val="left"/>
      <w:pPr>
        <w:ind w:left="1453" w:hanging="810"/>
        <w:jc w:val="left"/>
      </w:pPr>
      <w:rPr>
        <w:rFonts w:hint="default"/>
        <w:w w:val="100"/>
      </w:rPr>
    </w:lvl>
    <w:lvl w:ilvl="3">
      <w:start w:val="1"/>
      <w:numFmt w:val="decimal"/>
      <w:lvlText w:val="%4)"/>
      <w:lvlJc w:val="left"/>
      <w:pPr>
        <w:ind w:left="1225" w:hanging="265"/>
        <w:jc w:val="left"/>
      </w:pPr>
      <w:rPr>
        <w:rFonts w:ascii="Times New Roman" w:eastAsia="Times New Roman" w:hAnsi="Times New Roman" w:cs="Times New Roman" w:hint="default"/>
        <w:spacing w:val="-2"/>
        <w:w w:val="102"/>
        <w:sz w:val="29"/>
        <w:szCs w:val="29"/>
      </w:rPr>
    </w:lvl>
    <w:lvl w:ilvl="4">
      <w:start w:val="0"/>
      <w:numFmt w:val="bullet"/>
      <w:lvlText w:val="•"/>
      <w:lvlJc w:val="left"/>
      <w:pPr>
        <w:ind w:left="5553" w:hanging="265"/>
      </w:pPr>
      <w:rPr>
        <w:rFonts w:hint="default"/>
      </w:rPr>
    </w:lvl>
    <w:lvl w:ilvl="5">
      <w:start w:val="0"/>
      <w:numFmt w:val="bullet"/>
      <w:lvlText w:val="•"/>
      <w:lvlJc w:val="left"/>
      <w:pPr>
        <w:ind w:left="6917" w:hanging="265"/>
      </w:pPr>
      <w:rPr>
        <w:rFonts w:hint="default"/>
      </w:rPr>
    </w:lvl>
    <w:lvl w:ilvl="6">
      <w:start w:val="0"/>
      <w:numFmt w:val="bullet"/>
      <w:lvlText w:val="•"/>
      <w:lvlJc w:val="left"/>
      <w:pPr>
        <w:ind w:left="8282" w:hanging="265"/>
      </w:pPr>
      <w:rPr>
        <w:rFonts w:hint="default"/>
      </w:rPr>
    </w:lvl>
    <w:lvl w:ilvl="7">
      <w:start w:val="0"/>
      <w:numFmt w:val="bullet"/>
      <w:lvlText w:val="•"/>
      <w:lvlJc w:val="left"/>
      <w:pPr>
        <w:ind w:left="9646" w:hanging="265"/>
      </w:pPr>
      <w:rPr>
        <w:rFonts w:hint="default"/>
      </w:rPr>
    </w:lvl>
    <w:lvl w:ilvl="8">
      <w:start w:val="0"/>
      <w:numFmt w:val="bullet"/>
      <w:lvlText w:val="•"/>
      <w:lvlJc w:val="left"/>
      <w:pPr>
        <w:ind w:left="11011" w:hanging="265"/>
      </w:pPr>
      <w:rPr>
        <w:rFonts w:hint="default"/>
      </w:rPr>
    </w:lvl>
  </w:abstractNum>
  <w:num w:numId="1">
    <w:abstractNumId w:val="35"/>
  </w:num>
  <w:num w:numId="2">
    <w:abstractNumId w:val="16"/>
  </w:num>
  <w:num w:numId="3">
    <w:abstractNumId w:val="6"/>
  </w:num>
  <w:num w:numId="4">
    <w:abstractNumId w:val="40"/>
  </w:num>
  <w:num w:numId="5">
    <w:abstractNumId w:val="13"/>
  </w:num>
  <w:num w:numId="6">
    <w:abstractNumId w:val="15"/>
  </w:num>
  <w:num w:numId="7">
    <w:abstractNumId w:val="2"/>
  </w:num>
  <w:num w:numId="8">
    <w:abstractNumId w:val="31"/>
  </w:num>
  <w:num w:numId="9">
    <w:abstractNumId w:val="10"/>
  </w:num>
  <w:num w:numId="10">
    <w:abstractNumId w:val="34"/>
  </w:num>
  <w:num w:numId="11">
    <w:abstractNumId w:val="20"/>
  </w:num>
  <w:num w:numId="12">
    <w:abstractNumId w:val="5"/>
  </w:num>
  <w:num w:numId="13">
    <w:abstractNumId w:val="8"/>
  </w:num>
  <w:num w:numId="14">
    <w:abstractNumId w:val="37"/>
  </w:num>
  <w:num w:numId="15">
    <w:abstractNumId w:val="39"/>
  </w:num>
  <w:num w:numId="16">
    <w:abstractNumId w:val="27"/>
  </w:num>
  <w:num w:numId="17">
    <w:abstractNumId w:val="41"/>
  </w:num>
  <w:num w:numId="18">
    <w:abstractNumId w:val="33"/>
  </w:num>
  <w:num w:numId="19">
    <w:abstractNumId w:val="22"/>
  </w:num>
  <w:num w:numId="20">
    <w:abstractNumId w:val="1"/>
  </w:num>
  <w:num w:numId="21">
    <w:abstractNumId w:val="12"/>
  </w:num>
  <w:num w:numId="22">
    <w:abstractNumId w:val="3"/>
  </w:num>
  <w:num w:numId="23">
    <w:abstractNumId w:val="0"/>
  </w:num>
  <w:num w:numId="24">
    <w:abstractNumId w:val="32"/>
  </w:num>
  <w:num w:numId="25">
    <w:abstractNumId w:val="17"/>
  </w:num>
  <w:num w:numId="26">
    <w:abstractNumId w:val="29"/>
  </w:num>
  <w:num w:numId="27">
    <w:abstractNumId w:val="14"/>
  </w:num>
  <w:num w:numId="28">
    <w:abstractNumId w:val="24"/>
  </w:num>
  <w:num w:numId="29">
    <w:abstractNumId w:val="36"/>
  </w:num>
  <w:num w:numId="30">
    <w:abstractNumId w:val="38"/>
  </w:num>
  <w:num w:numId="31">
    <w:abstractNumId w:val="26"/>
  </w:num>
  <w:num w:numId="32">
    <w:abstractNumId w:val="21"/>
  </w:num>
  <w:num w:numId="33">
    <w:abstractNumId w:val="23"/>
  </w:num>
  <w:num w:numId="34">
    <w:abstractNumId w:val="28"/>
  </w:num>
  <w:num w:numId="35">
    <w:abstractNumId w:val="9"/>
  </w:num>
  <w:num w:numId="36">
    <w:abstractNumId w:val="11"/>
  </w:num>
  <w:num w:numId="37">
    <w:abstractNumId w:val="30"/>
  </w:num>
  <w:num w:numId="38">
    <w:abstractNumId w:val="4"/>
  </w:num>
  <w:num w:numId="39">
    <w:abstractNumId w:val="19"/>
  </w:num>
  <w:num w:numId="40">
    <w:abstractNumId w:val="25"/>
  </w:num>
  <w:num w:numId="41">
    <w:abstractNumId w:val="18"/>
  </w:num>
  <w:num w:numId="4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181"/>
      <w:outlineLvl w:val="0"/>
    </w:pPr>
    <w:rPr>
      <w:rFonts w:ascii="黑体" w:eastAsia="黑体" w:hAnsi="黑体" w:cs="黑体"/>
      <w:sz w:val="45"/>
      <w:szCs w:val="45"/>
    </w:rPr>
  </w:style>
  <w:style w:type="paragraph" w:styleId="Heading2">
    <w:name w:val="heading 2"/>
    <w:basedOn w:val="Normal"/>
    <w:uiPriority w:val="1"/>
    <w:qFormat/>
    <w:pPr>
      <w:spacing w:before="303"/>
      <w:ind w:left="1273" w:hanging="630"/>
      <w:outlineLvl w:val="1"/>
    </w:pPr>
    <w:rPr>
      <w:rFonts w:ascii="黑体" w:eastAsia="黑体" w:hAnsi="黑体" w:cs="黑体"/>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147"/>
      <w:ind w:left="644"/>
    </w:pPr>
    <w:rPr>
      <w:rFonts w:ascii="宋体" w:eastAsia="宋体" w:hAnsi="宋体" w:cs="宋体"/>
      <w:sz w:val="36"/>
      <w:szCs w:val="36"/>
    </w:rPr>
  </w:style>
  <w:style w:type="paragraph" w:styleId="TOC2">
    <w:name w:val="toc 2"/>
    <w:basedOn w:val="Normal"/>
    <w:uiPriority w:val="1"/>
    <w:qFormat/>
    <w:pPr>
      <w:spacing w:before="147"/>
      <w:ind w:left="1813" w:hanging="541"/>
    </w:pPr>
    <w:rPr>
      <w:rFonts w:ascii="宋体" w:eastAsia="宋体" w:hAnsi="宋体" w:cs="宋体"/>
      <w:sz w:val="36"/>
      <w:szCs w:val="36"/>
    </w:rPr>
  </w:style>
  <w:style w:type="paragraph" w:styleId="TOC3">
    <w:name w:val="toc 3"/>
    <w:basedOn w:val="Normal"/>
    <w:uiPriority w:val="1"/>
    <w:qFormat/>
    <w:pPr>
      <w:spacing w:before="147"/>
      <w:ind w:left="2713" w:hanging="811"/>
    </w:pPr>
    <w:rPr>
      <w:rFonts w:ascii="宋体" w:eastAsia="宋体" w:hAnsi="宋体" w:cs="宋体"/>
      <w:sz w:val="36"/>
      <w:szCs w:val="36"/>
    </w:r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ind w:left="1453" w:hanging="810"/>
    </w:pPr>
    <w:rPr>
      <w:rFonts w:ascii="宋体" w:eastAsia="宋体" w:hAnsi="宋体" w:cs="宋体"/>
    </w:rPr>
  </w:style>
  <w:style w:type="paragraph" w:customStyle="1" w:styleId="TableParagraph">
    <w:name w:val="Table Paragraph"/>
    <w:basedOn w:val="Normal"/>
    <w:uiPriority w:val="1"/>
    <w:qFormat/>
    <w:rPr>
      <w:rFonts w:ascii="Arial" w:eastAsia="Arial" w:hAnsi="Arial" w:cs="Arial"/>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 w:type="table" w:customStyle="1" w:styleId="TableNormal8">
    <w:name w:val="Table Normal_8"/>
    <w:uiPriority w:val="2"/>
    <w:semiHidden/>
    <w:unhideWhenUsed/>
    <w:qFormat/>
    <w:tblPr>
      <w:tblInd w:w="0" w:type="dxa"/>
      <w:tblCellMar>
        <w:top w:w="0" w:type="dxa"/>
        <w:left w:w="0" w:type="dxa"/>
        <w:bottom w:w="0" w:type="dxa"/>
        <w:right w:w="0" w:type="dxa"/>
      </w:tblCellMar>
    </w:tblPr>
  </w:style>
  <w:style w:type="table" w:customStyle="1" w:styleId="TableNormal9">
    <w:name w:val="Table Normal_9"/>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hyperlink" Target="https://d.book118.com/176142012155010041" TargetMode="External" /><Relationship Id="rId25" Type="http://schemas.openxmlformats.org/officeDocument/2006/relationships/theme" Target="theme/theme1.xml" /><Relationship Id="rId26" Type="http://schemas.openxmlformats.org/officeDocument/2006/relationships/numbering" Target="numbering.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2023-12-27T16:04:39Z</dcterms:created>
  <dcterms:modified xsi:type="dcterms:W3CDTF">2023-12-27T16:04:39Z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2022-11-04T00:00:00Z</vt:filetime>
  </property>
  <property fmtid="{D5CDD505-2E9C-101B-9397-08002B2CF9AE}" pid="3" name="LastSaved">
    <vt:filetime>2023-12-27T00:00:00Z</vt:filetime>
  </property>
</Properties>
</file>