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固体废弃物处理项目计划设计方案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88" w:history="1">
        <w:r>
          <w:rPr>
            <w:rFonts w:ascii="仿宋" w:eastAsia="仿宋" w:hAnsi="仿宋" w:cs="仿宋" w:hint="eastAsia"/>
            <w:lang w:eastAsia="zh-CN"/>
          </w:rPr>
          <w:t>概论</w:t>
        </w:r>
        <w:r>
          <w:tab/>
        </w:r>
        <w:r>
          <w:fldChar w:fldCharType="begin"/>
        </w:r>
        <w:r>
          <w:instrText xml:space="preserve"> PAGEREF _Toc7888 \h </w:instrText>
        </w:r>
        <w:r>
          <w:fldChar w:fldCharType="separate"/>
        </w:r>
        <w:r>
          <w:t>3</w:t>
        </w:r>
        <w:r>
          <w:fldChar w:fldCharType="end"/>
        </w:r>
      </w:hyperlink>
    </w:p>
    <w:p>
      <w:pPr>
        <w:pStyle w:val="TOC1"/>
        <w:tabs>
          <w:tab w:val="right" w:leader="dot" w:pos="8306"/>
        </w:tabs>
      </w:pPr>
      <w:hyperlink w:anchor="_Toc17211" w:history="1">
        <w:r>
          <w:rPr>
            <w:rFonts w:ascii="仿宋" w:eastAsia="仿宋" w:hAnsi="仿宋" w:cs="仿宋" w:hint="eastAsia"/>
            <w:lang w:eastAsia="zh-CN"/>
          </w:rPr>
          <w:t>一、工艺说明</w:t>
        </w:r>
        <w:r>
          <w:tab/>
        </w:r>
        <w:r>
          <w:fldChar w:fldCharType="begin"/>
        </w:r>
        <w:r>
          <w:instrText xml:space="preserve"> PAGEREF _Toc17211 \h </w:instrText>
        </w:r>
        <w:r>
          <w:fldChar w:fldCharType="separate"/>
        </w:r>
        <w:r>
          <w:t>3</w:t>
        </w:r>
        <w:r>
          <w:fldChar w:fldCharType="end"/>
        </w:r>
      </w:hyperlink>
    </w:p>
    <w:p>
      <w:pPr>
        <w:pStyle w:val="TOC2"/>
        <w:tabs>
          <w:tab w:val="right" w:leader="dot" w:pos="8306"/>
        </w:tabs>
      </w:pPr>
      <w:hyperlink w:anchor="_Toc19034" w:history="1">
        <w:r>
          <w:rPr>
            <w:rFonts w:ascii="仿宋" w:eastAsia="仿宋" w:hAnsi="仿宋" w:cs="仿宋" w:hint="eastAsia"/>
            <w:lang w:eastAsia="zh-CN"/>
          </w:rPr>
          <w:t>(一)、技术管理特点</w:t>
        </w:r>
        <w:r>
          <w:tab/>
        </w:r>
        <w:r>
          <w:fldChar w:fldCharType="begin"/>
        </w:r>
        <w:r>
          <w:instrText xml:space="preserve"> PAGEREF _Toc19034 \h </w:instrText>
        </w:r>
        <w:r>
          <w:fldChar w:fldCharType="separate"/>
        </w:r>
        <w:r>
          <w:t>3</w:t>
        </w:r>
        <w:r>
          <w:fldChar w:fldCharType="end"/>
        </w:r>
      </w:hyperlink>
    </w:p>
    <w:p>
      <w:pPr>
        <w:pStyle w:val="TOC2"/>
        <w:tabs>
          <w:tab w:val="right" w:leader="dot" w:pos="8306"/>
        </w:tabs>
      </w:pPr>
      <w:hyperlink w:anchor="_Toc29194" w:history="1">
        <w:r>
          <w:rPr>
            <w:rFonts w:ascii="仿宋" w:eastAsia="仿宋" w:hAnsi="仿宋" w:cs="仿宋" w:hint="eastAsia"/>
            <w:lang w:eastAsia="zh-CN"/>
          </w:rPr>
          <w:t>(二)、固体废弃物处理项目工艺技术设计方案</w:t>
        </w:r>
        <w:r>
          <w:tab/>
        </w:r>
        <w:r>
          <w:fldChar w:fldCharType="begin"/>
        </w:r>
        <w:r>
          <w:instrText xml:space="preserve"> PAGEREF _Toc29194 \h </w:instrText>
        </w:r>
        <w:r>
          <w:fldChar w:fldCharType="separate"/>
        </w:r>
        <w:r>
          <w:t>4</w:t>
        </w:r>
        <w:r>
          <w:fldChar w:fldCharType="end"/>
        </w:r>
      </w:hyperlink>
    </w:p>
    <w:p>
      <w:pPr>
        <w:pStyle w:val="TOC2"/>
        <w:tabs>
          <w:tab w:val="right" w:leader="dot" w:pos="8306"/>
        </w:tabs>
      </w:pPr>
      <w:hyperlink w:anchor="_Toc13634" w:history="1">
        <w:r>
          <w:rPr>
            <w:rFonts w:ascii="仿宋" w:eastAsia="仿宋" w:hAnsi="仿宋" w:cs="仿宋" w:hint="eastAsia"/>
            <w:lang w:eastAsia="zh-CN"/>
          </w:rPr>
          <w:t>(三)、设备选型方案</w:t>
        </w:r>
        <w:r>
          <w:tab/>
        </w:r>
        <w:r>
          <w:fldChar w:fldCharType="begin"/>
        </w:r>
        <w:r>
          <w:instrText xml:space="preserve"> PAGEREF _Toc13634 \h </w:instrText>
        </w:r>
        <w:r>
          <w:fldChar w:fldCharType="separate"/>
        </w:r>
        <w:r>
          <w:t>5</w:t>
        </w:r>
        <w:r>
          <w:fldChar w:fldCharType="end"/>
        </w:r>
      </w:hyperlink>
    </w:p>
    <w:p>
      <w:pPr>
        <w:pStyle w:val="TOC1"/>
        <w:tabs>
          <w:tab w:val="right" w:leader="dot" w:pos="8306"/>
        </w:tabs>
      </w:pPr>
      <w:hyperlink w:anchor="_Toc10356" w:history="1">
        <w:r>
          <w:rPr>
            <w:rFonts w:ascii="仿宋" w:eastAsia="仿宋" w:hAnsi="仿宋" w:cs="仿宋" w:hint="eastAsia"/>
            <w:lang w:eastAsia="zh-CN"/>
          </w:rPr>
          <w:t>二、固体废弃物处理项目绩效评估</w:t>
        </w:r>
        <w:r>
          <w:tab/>
        </w:r>
        <w:r>
          <w:fldChar w:fldCharType="begin"/>
        </w:r>
        <w:r>
          <w:instrText xml:space="preserve"> PAGEREF _Toc10356 \h </w:instrText>
        </w:r>
        <w:r>
          <w:fldChar w:fldCharType="separate"/>
        </w:r>
        <w:r>
          <w:t>7</w:t>
        </w:r>
        <w:r>
          <w:fldChar w:fldCharType="end"/>
        </w:r>
      </w:hyperlink>
    </w:p>
    <w:p>
      <w:pPr>
        <w:pStyle w:val="TOC2"/>
        <w:tabs>
          <w:tab w:val="right" w:leader="dot" w:pos="8306"/>
        </w:tabs>
      </w:pPr>
      <w:hyperlink w:anchor="_Toc5438" w:history="1">
        <w:r>
          <w:rPr>
            <w:rFonts w:ascii="仿宋" w:eastAsia="仿宋" w:hAnsi="仿宋" w:cs="仿宋" w:hint="eastAsia"/>
            <w:lang w:eastAsia="zh-CN"/>
          </w:rPr>
          <w:t>(一)、绩效评估指标</w:t>
        </w:r>
        <w:r>
          <w:tab/>
        </w:r>
        <w:r>
          <w:fldChar w:fldCharType="begin"/>
        </w:r>
        <w:r>
          <w:instrText xml:space="preserve"> PAGEREF _Toc5438 \h </w:instrText>
        </w:r>
        <w:r>
          <w:fldChar w:fldCharType="separate"/>
        </w:r>
        <w:r>
          <w:t>7</w:t>
        </w:r>
        <w:r>
          <w:fldChar w:fldCharType="end"/>
        </w:r>
      </w:hyperlink>
    </w:p>
    <w:p>
      <w:pPr>
        <w:pStyle w:val="TOC2"/>
        <w:tabs>
          <w:tab w:val="right" w:leader="dot" w:pos="8306"/>
        </w:tabs>
      </w:pPr>
      <w:hyperlink w:anchor="_Toc17646" w:history="1">
        <w:r>
          <w:rPr>
            <w:rFonts w:ascii="仿宋" w:eastAsia="仿宋" w:hAnsi="仿宋" w:cs="仿宋" w:hint="eastAsia"/>
            <w:lang w:eastAsia="zh-CN"/>
          </w:rPr>
          <w:t>(二)、绩效评估方法</w:t>
        </w:r>
        <w:r>
          <w:tab/>
        </w:r>
        <w:r>
          <w:fldChar w:fldCharType="begin"/>
        </w:r>
        <w:r>
          <w:instrText xml:space="preserve"> PAGEREF _Toc17646 \h </w:instrText>
        </w:r>
        <w:r>
          <w:fldChar w:fldCharType="separate"/>
        </w:r>
        <w:r>
          <w:t>8</w:t>
        </w:r>
        <w:r>
          <w:fldChar w:fldCharType="end"/>
        </w:r>
      </w:hyperlink>
    </w:p>
    <w:p>
      <w:pPr>
        <w:pStyle w:val="TOC2"/>
        <w:tabs>
          <w:tab w:val="right" w:leader="dot" w:pos="8306"/>
        </w:tabs>
      </w:pPr>
      <w:hyperlink w:anchor="_Toc14371" w:history="1">
        <w:r>
          <w:rPr>
            <w:rFonts w:ascii="仿宋" w:eastAsia="仿宋" w:hAnsi="仿宋" w:cs="仿宋" w:hint="eastAsia"/>
            <w:lang w:eastAsia="zh-CN"/>
          </w:rPr>
          <w:t>(三)、绩效评估周期</w:t>
        </w:r>
        <w:r>
          <w:tab/>
        </w:r>
        <w:r>
          <w:fldChar w:fldCharType="begin"/>
        </w:r>
        <w:r>
          <w:instrText xml:space="preserve"> PAGEREF _Toc14371 \h </w:instrText>
        </w:r>
        <w:r>
          <w:fldChar w:fldCharType="separate"/>
        </w:r>
        <w:r>
          <w:t>9</w:t>
        </w:r>
        <w:r>
          <w:fldChar w:fldCharType="end"/>
        </w:r>
      </w:hyperlink>
    </w:p>
    <w:p>
      <w:pPr>
        <w:pStyle w:val="TOC1"/>
        <w:tabs>
          <w:tab w:val="right" w:leader="dot" w:pos="8306"/>
        </w:tabs>
      </w:pPr>
      <w:hyperlink w:anchor="_Toc27238" w:history="1">
        <w:r>
          <w:rPr>
            <w:rFonts w:ascii="仿宋" w:eastAsia="仿宋" w:hAnsi="仿宋" w:cs="仿宋" w:hint="eastAsia"/>
            <w:lang w:eastAsia="zh-CN"/>
          </w:rPr>
          <w:t>三、固体废弃物处理项目建设背景及必要性分析</w:t>
        </w:r>
        <w:r>
          <w:tab/>
        </w:r>
        <w:r>
          <w:fldChar w:fldCharType="begin"/>
        </w:r>
        <w:r>
          <w:instrText xml:space="preserve"> PAGEREF _Toc27238 \h </w:instrText>
        </w:r>
        <w:r>
          <w:fldChar w:fldCharType="separate"/>
        </w:r>
        <w:r>
          <w:t>10</w:t>
        </w:r>
        <w:r>
          <w:fldChar w:fldCharType="end"/>
        </w:r>
      </w:hyperlink>
    </w:p>
    <w:p>
      <w:pPr>
        <w:pStyle w:val="TOC2"/>
        <w:tabs>
          <w:tab w:val="right" w:leader="dot" w:pos="8306"/>
        </w:tabs>
      </w:pPr>
      <w:hyperlink w:anchor="_Toc14313" w:history="1">
        <w:r>
          <w:rPr>
            <w:rFonts w:ascii="仿宋" w:eastAsia="仿宋" w:hAnsi="仿宋" w:cs="仿宋" w:hint="eastAsia"/>
            <w:lang w:eastAsia="zh-CN"/>
          </w:rPr>
          <w:t>(一)、固体废弃物处理项目背景分析</w:t>
        </w:r>
        <w:r>
          <w:tab/>
        </w:r>
        <w:r>
          <w:fldChar w:fldCharType="begin"/>
        </w:r>
        <w:r>
          <w:instrText xml:space="preserve"> PAGEREF _Toc14313 \h </w:instrText>
        </w:r>
        <w:r>
          <w:fldChar w:fldCharType="separate"/>
        </w:r>
        <w:r>
          <w:t>10</w:t>
        </w:r>
        <w:r>
          <w:fldChar w:fldCharType="end"/>
        </w:r>
      </w:hyperlink>
    </w:p>
    <w:p>
      <w:pPr>
        <w:pStyle w:val="TOC2"/>
        <w:tabs>
          <w:tab w:val="right" w:leader="dot" w:pos="8306"/>
        </w:tabs>
      </w:pPr>
      <w:hyperlink w:anchor="_Toc19116" w:history="1">
        <w:r>
          <w:rPr>
            <w:rFonts w:ascii="仿宋" w:eastAsia="仿宋" w:hAnsi="仿宋" w:cs="仿宋" w:hint="eastAsia"/>
            <w:lang w:eastAsia="zh-CN"/>
          </w:rPr>
          <w:t>(二)、固体废弃物处理项目建设必要性分析</w:t>
        </w:r>
        <w:r>
          <w:tab/>
        </w:r>
        <w:r>
          <w:fldChar w:fldCharType="begin"/>
        </w:r>
        <w:r>
          <w:instrText xml:space="preserve"> PAGEREF _Toc19116 \h </w:instrText>
        </w:r>
        <w:r>
          <w:fldChar w:fldCharType="separate"/>
        </w:r>
        <w:r>
          <w:t>12</w:t>
        </w:r>
        <w:r>
          <w:fldChar w:fldCharType="end"/>
        </w:r>
      </w:hyperlink>
    </w:p>
    <w:p>
      <w:pPr>
        <w:pStyle w:val="TOC1"/>
        <w:tabs>
          <w:tab w:val="right" w:leader="dot" w:pos="8306"/>
        </w:tabs>
      </w:pPr>
      <w:hyperlink w:anchor="_Toc26610" w:history="1">
        <w:r>
          <w:rPr>
            <w:rFonts w:ascii="仿宋" w:eastAsia="仿宋" w:hAnsi="仿宋" w:cs="仿宋" w:hint="eastAsia"/>
            <w:lang w:eastAsia="zh-CN"/>
          </w:rPr>
          <w:t>四、固体废弃物处理项目建设单位说明</w:t>
        </w:r>
        <w:r>
          <w:tab/>
        </w:r>
        <w:r>
          <w:fldChar w:fldCharType="begin"/>
        </w:r>
        <w:r>
          <w:instrText xml:space="preserve"> PAGEREF _Toc26610 \h </w:instrText>
        </w:r>
        <w:r>
          <w:fldChar w:fldCharType="separate"/>
        </w:r>
        <w:r>
          <w:t>13</w:t>
        </w:r>
        <w:r>
          <w:fldChar w:fldCharType="end"/>
        </w:r>
      </w:hyperlink>
    </w:p>
    <w:p>
      <w:pPr>
        <w:pStyle w:val="TOC2"/>
        <w:tabs>
          <w:tab w:val="right" w:leader="dot" w:pos="8306"/>
        </w:tabs>
      </w:pPr>
      <w:hyperlink w:anchor="_Toc31011" w:history="1">
        <w:r>
          <w:rPr>
            <w:rFonts w:ascii="仿宋" w:eastAsia="仿宋" w:hAnsi="仿宋" w:cs="仿宋" w:hint="eastAsia"/>
            <w:lang w:eastAsia="zh-CN"/>
          </w:rPr>
          <w:t>(一)、固体废弃物处理项目承办单位基本情况</w:t>
        </w:r>
        <w:r>
          <w:tab/>
        </w:r>
        <w:r>
          <w:fldChar w:fldCharType="begin"/>
        </w:r>
        <w:r>
          <w:instrText xml:space="preserve"> PAGEREF _Toc31011 \h </w:instrText>
        </w:r>
        <w:r>
          <w:fldChar w:fldCharType="separate"/>
        </w:r>
        <w:r>
          <w:t>13</w:t>
        </w:r>
        <w:r>
          <w:fldChar w:fldCharType="end"/>
        </w:r>
      </w:hyperlink>
    </w:p>
    <w:p>
      <w:pPr>
        <w:pStyle w:val="TOC2"/>
        <w:tabs>
          <w:tab w:val="right" w:leader="dot" w:pos="8306"/>
        </w:tabs>
      </w:pPr>
      <w:hyperlink w:anchor="_Toc3442" w:history="1">
        <w:r>
          <w:rPr>
            <w:rFonts w:ascii="仿宋" w:eastAsia="仿宋" w:hAnsi="仿宋" w:cs="仿宋" w:hint="eastAsia"/>
            <w:lang w:eastAsia="zh-CN"/>
          </w:rPr>
          <w:t>(二)、公司经济效益分析</w:t>
        </w:r>
        <w:r>
          <w:tab/>
        </w:r>
        <w:r>
          <w:fldChar w:fldCharType="begin"/>
        </w:r>
        <w:r>
          <w:instrText xml:space="preserve"> PAGEREF _Toc3442 \h </w:instrText>
        </w:r>
        <w:r>
          <w:fldChar w:fldCharType="separate"/>
        </w:r>
        <w:r>
          <w:t>14</w:t>
        </w:r>
        <w:r>
          <w:fldChar w:fldCharType="end"/>
        </w:r>
      </w:hyperlink>
    </w:p>
    <w:p>
      <w:pPr>
        <w:pStyle w:val="TOC1"/>
        <w:tabs>
          <w:tab w:val="right" w:leader="dot" w:pos="8306"/>
        </w:tabs>
      </w:pPr>
      <w:hyperlink w:anchor="_Toc12297" w:history="1">
        <w:r>
          <w:rPr>
            <w:rFonts w:ascii="仿宋" w:eastAsia="仿宋" w:hAnsi="仿宋" w:cs="仿宋" w:hint="eastAsia"/>
            <w:lang w:eastAsia="zh-CN"/>
          </w:rPr>
          <w:t>五、固体废弃物处理项目土建工程</w:t>
        </w:r>
        <w:r>
          <w:tab/>
        </w:r>
        <w:r>
          <w:fldChar w:fldCharType="begin"/>
        </w:r>
        <w:r>
          <w:instrText xml:space="preserve"> PAGEREF _Toc12297 \h </w:instrText>
        </w:r>
        <w:r>
          <w:fldChar w:fldCharType="separate"/>
        </w:r>
        <w:r>
          <w:t>15</w:t>
        </w:r>
        <w:r>
          <w:fldChar w:fldCharType="end"/>
        </w:r>
      </w:hyperlink>
    </w:p>
    <w:p>
      <w:pPr>
        <w:pStyle w:val="TOC2"/>
        <w:tabs>
          <w:tab w:val="right" w:leader="dot" w:pos="8306"/>
        </w:tabs>
      </w:pPr>
      <w:hyperlink w:anchor="_Toc17449" w:history="1">
        <w:r>
          <w:rPr>
            <w:rFonts w:ascii="仿宋" w:eastAsia="仿宋" w:hAnsi="仿宋" w:cs="仿宋" w:hint="eastAsia"/>
            <w:lang w:eastAsia="zh-CN"/>
          </w:rPr>
          <w:t>(一)、建筑工程设计原则</w:t>
        </w:r>
        <w:r>
          <w:tab/>
        </w:r>
        <w:r>
          <w:fldChar w:fldCharType="begin"/>
        </w:r>
        <w:r>
          <w:instrText xml:space="preserve"> PAGEREF _Toc17449 \h </w:instrText>
        </w:r>
        <w:r>
          <w:fldChar w:fldCharType="separate"/>
        </w:r>
        <w:r>
          <w:t>15</w:t>
        </w:r>
        <w:r>
          <w:fldChar w:fldCharType="end"/>
        </w:r>
      </w:hyperlink>
    </w:p>
    <w:p>
      <w:pPr>
        <w:pStyle w:val="TOC2"/>
        <w:tabs>
          <w:tab w:val="right" w:leader="dot" w:pos="8306"/>
        </w:tabs>
      </w:pPr>
      <w:hyperlink w:anchor="_Toc1229" w:history="1">
        <w:r>
          <w:rPr>
            <w:rFonts w:ascii="仿宋" w:eastAsia="仿宋" w:hAnsi="仿宋" w:cs="仿宋" w:hint="eastAsia"/>
            <w:lang w:eastAsia="zh-CN"/>
          </w:rPr>
          <w:t>(二)、土建工程设计年限及安全等级</w:t>
        </w:r>
        <w:r>
          <w:tab/>
        </w:r>
        <w:r>
          <w:fldChar w:fldCharType="begin"/>
        </w:r>
        <w:r>
          <w:instrText xml:space="preserve"> PAGEREF _Toc1229 \h </w:instrText>
        </w:r>
        <w:r>
          <w:fldChar w:fldCharType="separate"/>
        </w:r>
        <w:r>
          <w:t>16</w:t>
        </w:r>
        <w:r>
          <w:fldChar w:fldCharType="end"/>
        </w:r>
      </w:hyperlink>
    </w:p>
    <w:p>
      <w:pPr>
        <w:pStyle w:val="TOC2"/>
        <w:tabs>
          <w:tab w:val="right" w:leader="dot" w:pos="8306"/>
        </w:tabs>
      </w:pPr>
      <w:hyperlink w:anchor="_Toc14792" w:history="1">
        <w:r>
          <w:rPr>
            <w:rFonts w:ascii="仿宋" w:eastAsia="仿宋" w:hAnsi="仿宋" w:cs="仿宋" w:hint="eastAsia"/>
            <w:lang w:eastAsia="zh-CN"/>
          </w:rPr>
          <w:t>(三)、建筑工程设计总体要求</w:t>
        </w:r>
        <w:r>
          <w:tab/>
        </w:r>
        <w:r>
          <w:fldChar w:fldCharType="begin"/>
        </w:r>
        <w:r>
          <w:instrText xml:space="preserve"> PAGEREF _Toc14792 \h </w:instrText>
        </w:r>
        <w:r>
          <w:fldChar w:fldCharType="separate"/>
        </w:r>
        <w:r>
          <w:t>17</w:t>
        </w:r>
        <w:r>
          <w:fldChar w:fldCharType="end"/>
        </w:r>
      </w:hyperlink>
    </w:p>
    <w:p>
      <w:pPr>
        <w:pStyle w:val="TOC2"/>
        <w:tabs>
          <w:tab w:val="right" w:leader="dot" w:pos="8306"/>
        </w:tabs>
      </w:pPr>
      <w:hyperlink w:anchor="_Toc11343" w:history="1">
        <w:r>
          <w:rPr>
            <w:rFonts w:ascii="仿宋" w:eastAsia="仿宋" w:hAnsi="仿宋" w:cs="仿宋" w:hint="eastAsia"/>
            <w:lang w:eastAsia="zh-CN"/>
          </w:rPr>
          <w:t>(四)、土建工程建设指标</w:t>
        </w:r>
        <w:r>
          <w:tab/>
        </w:r>
        <w:r>
          <w:fldChar w:fldCharType="begin"/>
        </w:r>
        <w:r>
          <w:instrText xml:space="preserve"> PAGEREF _Toc11343 \h </w:instrText>
        </w:r>
        <w:r>
          <w:fldChar w:fldCharType="separate"/>
        </w:r>
        <w:r>
          <w:t>18</w:t>
        </w:r>
        <w:r>
          <w:fldChar w:fldCharType="end"/>
        </w:r>
      </w:hyperlink>
    </w:p>
    <w:p>
      <w:pPr>
        <w:pStyle w:val="TOC1"/>
        <w:tabs>
          <w:tab w:val="right" w:leader="dot" w:pos="8306"/>
        </w:tabs>
      </w:pPr>
      <w:hyperlink w:anchor="_Toc32194" w:history="1">
        <w:r>
          <w:rPr>
            <w:rFonts w:ascii="仿宋" w:eastAsia="仿宋" w:hAnsi="仿宋" w:cs="仿宋" w:hint="eastAsia"/>
            <w:lang w:eastAsia="zh-CN"/>
          </w:rPr>
          <w:t>六、固体废弃物处理项目可持续发展</w:t>
        </w:r>
        <w:r>
          <w:tab/>
        </w:r>
        <w:r>
          <w:fldChar w:fldCharType="begin"/>
        </w:r>
        <w:r>
          <w:instrText xml:space="preserve"> PAGEREF _Toc32194 \h </w:instrText>
        </w:r>
        <w:r>
          <w:fldChar w:fldCharType="separate"/>
        </w:r>
        <w:r>
          <w:t>18</w:t>
        </w:r>
        <w:r>
          <w:fldChar w:fldCharType="end"/>
        </w:r>
      </w:hyperlink>
    </w:p>
    <w:p>
      <w:pPr>
        <w:pStyle w:val="TOC2"/>
        <w:tabs>
          <w:tab w:val="right" w:leader="dot" w:pos="8306"/>
        </w:tabs>
      </w:pPr>
      <w:hyperlink w:anchor="_Toc13830" w:history="1">
        <w:r>
          <w:rPr>
            <w:rFonts w:ascii="仿宋" w:eastAsia="仿宋" w:hAnsi="仿宋" w:cs="仿宋" w:hint="eastAsia"/>
            <w:lang w:eastAsia="zh-CN"/>
          </w:rPr>
          <w:t>(一)、可持续战略与实践</w:t>
        </w:r>
        <w:r>
          <w:tab/>
        </w:r>
        <w:r>
          <w:fldChar w:fldCharType="begin"/>
        </w:r>
        <w:r>
          <w:instrText xml:space="preserve"> PAGEREF _Toc13830 \h </w:instrText>
        </w:r>
        <w:r>
          <w:fldChar w:fldCharType="separate"/>
        </w:r>
        <w:r>
          <w:t>18</w:t>
        </w:r>
        <w:r>
          <w:fldChar w:fldCharType="end"/>
        </w:r>
      </w:hyperlink>
    </w:p>
    <w:p>
      <w:pPr>
        <w:pStyle w:val="TOC2"/>
        <w:tabs>
          <w:tab w:val="right" w:leader="dot" w:pos="8306"/>
        </w:tabs>
      </w:pPr>
      <w:hyperlink w:anchor="_Toc20562" w:history="1">
        <w:r>
          <w:rPr>
            <w:rFonts w:ascii="仿宋" w:eastAsia="仿宋" w:hAnsi="仿宋" w:cs="仿宋" w:hint="eastAsia"/>
            <w:lang w:eastAsia="zh-CN"/>
          </w:rPr>
          <w:t>(二)、环保与社会责任</w:t>
        </w:r>
        <w:r>
          <w:tab/>
        </w:r>
        <w:r>
          <w:fldChar w:fldCharType="begin"/>
        </w:r>
        <w:r>
          <w:instrText xml:space="preserve"> PAGEREF _Toc20562 \h </w:instrText>
        </w:r>
        <w:r>
          <w:fldChar w:fldCharType="separate"/>
        </w:r>
        <w:r>
          <w:t>19</w:t>
        </w:r>
        <w:r>
          <w:fldChar w:fldCharType="end"/>
        </w:r>
      </w:hyperlink>
    </w:p>
    <w:p>
      <w:pPr>
        <w:pStyle w:val="TOC1"/>
        <w:tabs>
          <w:tab w:val="right" w:leader="dot" w:pos="8306"/>
        </w:tabs>
      </w:pPr>
      <w:hyperlink w:anchor="_Toc7512" w:history="1">
        <w:r>
          <w:rPr>
            <w:rFonts w:ascii="仿宋" w:eastAsia="仿宋" w:hAnsi="仿宋" w:cs="仿宋" w:hint="eastAsia"/>
            <w:lang w:eastAsia="zh-CN"/>
          </w:rPr>
          <w:t>七、固体废弃物处理项目投资规划</w:t>
        </w:r>
        <w:r>
          <w:tab/>
        </w:r>
        <w:r>
          <w:fldChar w:fldCharType="begin"/>
        </w:r>
        <w:r>
          <w:instrText xml:space="preserve"> PAGEREF _Toc7512 \h </w:instrText>
        </w:r>
        <w:r>
          <w:fldChar w:fldCharType="separate"/>
        </w:r>
        <w:r>
          <w:t>20</w:t>
        </w:r>
        <w:r>
          <w:fldChar w:fldCharType="end"/>
        </w:r>
      </w:hyperlink>
    </w:p>
    <w:p>
      <w:pPr>
        <w:pStyle w:val="TOC2"/>
        <w:tabs>
          <w:tab w:val="right" w:leader="dot" w:pos="8306"/>
        </w:tabs>
      </w:pPr>
      <w:hyperlink w:anchor="_Toc29434" w:history="1">
        <w:r>
          <w:rPr>
            <w:rFonts w:ascii="仿宋" w:eastAsia="仿宋" w:hAnsi="仿宋" w:cs="仿宋" w:hint="eastAsia"/>
            <w:lang w:eastAsia="zh-CN"/>
          </w:rPr>
          <w:t>(一)、固体废弃物处理项目总投资估算</w:t>
        </w:r>
        <w:r>
          <w:tab/>
        </w:r>
        <w:r>
          <w:fldChar w:fldCharType="begin"/>
        </w:r>
        <w:r>
          <w:instrText xml:space="preserve"> PAGEREF _Toc29434 \h </w:instrText>
        </w:r>
        <w:r>
          <w:fldChar w:fldCharType="separate"/>
        </w:r>
        <w:r>
          <w:t>20</w:t>
        </w:r>
        <w:r>
          <w:fldChar w:fldCharType="end"/>
        </w:r>
      </w:hyperlink>
    </w:p>
    <w:p>
      <w:pPr>
        <w:pStyle w:val="TOC2"/>
        <w:tabs>
          <w:tab w:val="right" w:leader="dot" w:pos="8306"/>
        </w:tabs>
      </w:pPr>
      <w:hyperlink w:anchor="_Toc19111" w:history="1">
        <w:r>
          <w:rPr>
            <w:rFonts w:ascii="仿宋" w:eastAsia="仿宋" w:hAnsi="仿宋" w:cs="仿宋" w:hint="eastAsia"/>
            <w:lang w:eastAsia="zh-CN"/>
          </w:rPr>
          <w:t>(二)、资金筹措</w:t>
        </w:r>
        <w:r>
          <w:tab/>
        </w:r>
        <w:r>
          <w:fldChar w:fldCharType="begin"/>
        </w:r>
        <w:r>
          <w:instrText xml:space="preserve"> PAGEREF _Toc19111 \h </w:instrText>
        </w:r>
        <w:r>
          <w:fldChar w:fldCharType="separate"/>
        </w:r>
        <w:r>
          <w:t>21</w:t>
        </w:r>
        <w:r>
          <w:fldChar w:fldCharType="end"/>
        </w:r>
      </w:hyperlink>
    </w:p>
    <w:p>
      <w:pPr>
        <w:pStyle w:val="TOC1"/>
        <w:tabs>
          <w:tab w:val="right" w:leader="dot" w:pos="8306"/>
        </w:tabs>
      </w:pPr>
      <w:hyperlink w:anchor="_Toc19922" w:history="1">
        <w:r>
          <w:rPr>
            <w:rFonts w:ascii="仿宋" w:eastAsia="仿宋" w:hAnsi="仿宋" w:cs="仿宋" w:hint="eastAsia"/>
            <w:lang w:eastAsia="zh-CN"/>
          </w:rPr>
          <w:t>八、固体废弃物处理项目人力资源培养与发展</w:t>
        </w:r>
        <w:r>
          <w:tab/>
        </w:r>
        <w:r>
          <w:fldChar w:fldCharType="begin"/>
        </w:r>
        <w:r>
          <w:instrText xml:space="preserve"> PAGEREF _Toc19922 \h </w:instrText>
        </w:r>
        <w:r>
          <w:fldChar w:fldCharType="separate"/>
        </w:r>
        <w:r>
          <w:t>22</w:t>
        </w:r>
        <w:r>
          <w:fldChar w:fldCharType="end"/>
        </w:r>
      </w:hyperlink>
    </w:p>
    <w:p>
      <w:pPr>
        <w:pStyle w:val="TOC2"/>
        <w:tabs>
          <w:tab w:val="right" w:leader="dot" w:pos="8306"/>
        </w:tabs>
      </w:pPr>
      <w:hyperlink w:anchor="_Toc10728" w:history="1">
        <w:r>
          <w:rPr>
            <w:rFonts w:ascii="仿宋" w:eastAsia="仿宋" w:hAnsi="仿宋" w:cs="仿宋" w:hint="eastAsia"/>
            <w:lang w:eastAsia="zh-CN"/>
          </w:rPr>
          <w:t>(一)、人才需求与规划</w:t>
        </w:r>
        <w:r>
          <w:tab/>
        </w:r>
        <w:r>
          <w:fldChar w:fldCharType="begin"/>
        </w:r>
        <w:r>
          <w:instrText xml:space="preserve"> PAGEREF _Toc10728 \h </w:instrText>
        </w:r>
        <w:r>
          <w:fldChar w:fldCharType="separate"/>
        </w:r>
        <w:r>
          <w:t>22</w:t>
        </w:r>
        <w:r>
          <w:fldChar w:fldCharType="end"/>
        </w:r>
      </w:hyperlink>
    </w:p>
    <w:p>
      <w:pPr>
        <w:pStyle w:val="TOC2"/>
        <w:tabs>
          <w:tab w:val="right" w:leader="dot" w:pos="8306"/>
        </w:tabs>
      </w:pPr>
      <w:hyperlink w:anchor="_Toc6229" w:history="1">
        <w:r>
          <w:rPr>
            <w:rFonts w:ascii="仿宋" w:eastAsia="仿宋" w:hAnsi="仿宋" w:cs="仿宋" w:hint="eastAsia"/>
            <w:lang w:eastAsia="zh-CN"/>
          </w:rPr>
          <w:t>(二)、培训与发展计划</w:t>
        </w:r>
        <w:r>
          <w:tab/>
        </w:r>
        <w:r>
          <w:fldChar w:fldCharType="begin"/>
        </w:r>
        <w:r>
          <w:instrText xml:space="preserve"> PAGEREF _Toc6229 \h </w:instrText>
        </w:r>
        <w:r>
          <w:fldChar w:fldCharType="separate"/>
        </w:r>
        <w:r>
          <w:t>22</w:t>
        </w:r>
        <w:r>
          <w:fldChar w:fldCharType="end"/>
        </w:r>
      </w:hyperlink>
    </w:p>
    <w:p>
      <w:pPr>
        <w:pStyle w:val="TOC1"/>
        <w:tabs>
          <w:tab w:val="right" w:leader="dot" w:pos="8306"/>
        </w:tabs>
      </w:pPr>
      <w:hyperlink w:anchor="_Toc27317" w:history="1">
        <w:r>
          <w:rPr>
            <w:rFonts w:ascii="仿宋" w:eastAsia="仿宋" w:hAnsi="仿宋" w:cs="仿宋" w:hint="eastAsia"/>
            <w:lang w:eastAsia="zh-CN"/>
          </w:rPr>
          <w:t>九、固体废弃物处理项目风险管理</w:t>
        </w:r>
        <w:r>
          <w:tab/>
        </w:r>
        <w:r>
          <w:fldChar w:fldCharType="begin"/>
        </w:r>
        <w:r>
          <w:instrText xml:space="preserve"> PAGEREF _Toc27317 \h </w:instrText>
        </w:r>
        <w:r>
          <w:fldChar w:fldCharType="separate"/>
        </w:r>
        <w:r>
          <w:t>23</w:t>
        </w:r>
        <w:r>
          <w:fldChar w:fldCharType="end"/>
        </w:r>
      </w:hyperlink>
    </w:p>
    <w:p>
      <w:pPr>
        <w:pStyle w:val="TOC2"/>
        <w:tabs>
          <w:tab w:val="right" w:leader="dot" w:pos="8306"/>
        </w:tabs>
      </w:pPr>
      <w:hyperlink w:anchor="_Toc27023" w:history="1">
        <w:r>
          <w:rPr>
            <w:rFonts w:ascii="仿宋" w:eastAsia="仿宋" w:hAnsi="仿宋" w:cs="仿宋" w:hint="eastAsia"/>
            <w:lang w:eastAsia="zh-CN"/>
          </w:rPr>
          <w:t>(一)、风险识别与评估</w:t>
        </w:r>
        <w:r>
          <w:tab/>
        </w:r>
        <w:r>
          <w:fldChar w:fldCharType="begin"/>
        </w:r>
        <w:r>
          <w:instrText xml:space="preserve"> PAGEREF _Toc27023 \h </w:instrText>
        </w:r>
        <w:r>
          <w:fldChar w:fldCharType="separate"/>
        </w:r>
        <w:r>
          <w:t>23</w:t>
        </w:r>
        <w:r>
          <w:fldChar w:fldCharType="end"/>
        </w:r>
      </w:hyperlink>
    </w:p>
    <w:p>
      <w:pPr>
        <w:pStyle w:val="TOC2"/>
        <w:tabs>
          <w:tab w:val="right" w:leader="dot" w:pos="8306"/>
        </w:tabs>
      </w:pPr>
      <w:hyperlink w:anchor="_Toc24128" w:history="1">
        <w:r>
          <w:rPr>
            <w:rFonts w:ascii="仿宋" w:eastAsia="仿宋" w:hAnsi="仿宋" w:cs="仿宋" w:hint="eastAsia"/>
            <w:lang w:eastAsia="zh-CN"/>
          </w:rPr>
          <w:t>(二)、风险应对策略</w:t>
        </w:r>
        <w:r>
          <w:tab/>
        </w:r>
        <w:r>
          <w:fldChar w:fldCharType="begin"/>
        </w:r>
        <w:r>
          <w:instrText xml:space="preserve"> PAGEREF _Toc24128 \h </w:instrText>
        </w:r>
        <w:r>
          <w:fldChar w:fldCharType="separate"/>
        </w:r>
        <w:r>
          <w:t>24</w:t>
        </w:r>
        <w:r>
          <w:fldChar w:fldCharType="end"/>
        </w:r>
      </w:hyperlink>
    </w:p>
    <w:p>
      <w:pPr>
        <w:pStyle w:val="TOC2"/>
        <w:tabs>
          <w:tab w:val="right" w:leader="dot" w:pos="8306"/>
        </w:tabs>
      </w:pPr>
      <w:hyperlink w:anchor="_Toc29410" w:history="1">
        <w:r>
          <w:rPr>
            <w:rFonts w:ascii="仿宋" w:eastAsia="仿宋" w:hAnsi="仿宋" w:cs="仿宋" w:hint="eastAsia"/>
            <w:lang w:eastAsia="zh-CN"/>
          </w:rPr>
          <w:t>(三)、风险监控与控制</w:t>
        </w:r>
        <w:r>
          <w:tab/>
        </w:r>
        <w:r>
          <w:fldChar w:fldCharType="begin"/>
        </w:r>
        <w:r>
          <w:instrText xml:space="preserve"> PAGEREF _Toc29410 \h </w:instrText>
        </w:r>
        <w:r>
          <w:fldChar w:fldCharType="separate"/>
        </w:r>
        <w:r>
          <w:t>26</w:t>
        </w:r>
        <w:r>
          <w:fldChar w:fldCharType="end"/>
        </w:r>
      </w:hyperlink>
    </w:p>
    <w:p>
      <w:pPr>
        <w:pStyle w:val="TOC1"/>
        <w:tabs>
          <w:tab w:val="right" w:leader="dot" w:pos="8306"/>
        </w:tabs>
      </w:pPr>
      <w:hyperlink w:anchor="_Toc18833" w:history="1">
        <w:r>
          <w:rPr>
            <w:rFonts w:ascii="仿宋" w:eastAsia="仿宋" w:hAnsi="仿宋" w:cs="仿宋" w:hint="eastAsia"/>
            <w:lang w:eastAsia="zh-CN"/>
          </w:rPr>
          <w:t>十、固体废弃物处理项目计划安排</w:t>
        </w:r>
        <w:r>
          <w:tab/>
        </w:r>
        <w:r>
          <w:fldChar w:fldCharType="begin"/>
        </w:r>
        <w:r>
          <w:instrText xml:space="preserve"> PAGEREF _Toc18833 \h </w:instrText>
        </w:r>
        <w:r>
          <w:fldChar w:fldCharType="separate"/>
        </w:r>
        <w:r>
          <w:t>27</w:t>
        </w:r>
        <w:r>
          <w:fldChar w:fldCharType="end"/>
        </w:r>
      </w:hyperlink>
    </w:p>
    <w:p>
      <w:pPr>
        <w:pStyle w:val="TOC2"/>
        <w:tabs>
          <w:tab w:val="right" w:leader="dot" w:pos="8306"/>
        </w:tabs>
      </w:pPr>
      <w:hyperlink w:anchor="_Toc435" w:history="1">
        <w:r>
          <w:rPr>
            <w:rFonts w:ascii="仿宋" w:eastAsia="仿宋" w:hAnsi="仿宋" w:cs="仿宋" w:hint="eastAsia"/>
            <w:lang w:eastAsia="zh-CN"/>
          </w:rPr>
          <w:t>(一)、建设周期</w:t>
        </w:r>
        <w:r>
          <w:tab/>
        </w:r>
        <w:r>
          <w:fldChar w:fldCharType="begin"/>
        </w:r>
        <w:r>
          <w:instrText xml:space="preserve"> PAGEREF _Toc435 \h </w:instrText>
        </w:r>
        <w:r>
          <w:fldChar w:fldCharType="separate"/>
        </w:r>
        <w:r>
          <w:t>27</w:t>
        </w:r>
        <w:r>
          <w:fldChar w:fldCharType="end"/>
        </w:r>
      </w:hyperlink>
    </w:p>
    <w:p>
      <w:pPr>
        <w:pStyle w:val="TOC2"/>
        <w:tabs>
          <w:tab w:val="right" w:leader="dot" w:pos="8306"/>
        </w:tabs>
      </w:pPr>
      <w:hyperlink w:anchor="_Toc30447" w:history="1">
        <w:r>
          <w:rPr>
            <w:rFonts w:ascii="仿宋" w:eastAsia="仿宋" w:hAnsi="仿宋" w:cs="仿宋" w:hint="eastAsia"/>
            <w:lang w:eastAsia="zh-CN"/>
          </w:rPr>
          <w:t>(二)、建设进度</w:t>
        </w:r>
        <w:r>
          <w:tab/>
        </w:r>
        <w:r>
          <w:fldChar w:fldCharType="begin"/>
        </w:r>
        <w:r>
          <w:instrText xml:space="preserve"> PAGEREF _Toc30447 \h </w:instrText>
        </w:r>
        <w:r>
          <w:fldChar w:fldCharType="separate"/>
        </w:r>
        <w:r>
          <w:t>28</w:t>
        </w:r>
        <w:r>
          <w:fldChar w:fldCharType="end"/>
        </w:r>
      </w:hyperlink>
    </w:p>
    <w:p>
      <w:pPr>
        <w:pStyle w:val="TOC2"/>
        <w:tabs>
          <w:tab w:val="right" w:leader="dot" w:pos="8306"/>
        </w:tabs>
      </w:pPr>
      <w:hyperlink w:anchor="_Toc1984" w:history="1">
        <w:r>
          <w:rPr>
            <w:rFonts w:ascii="仿宋" w:eastAsia="仿宋" w:hAnsi="仿宋" w:cs="仿宋" w:hint="eastAsia"/>
            <w:lang w:eastAsia="zh-CN"/>
          </w:rPr>
          <w:t>(三)、进度安排注意事项</w:t>
        </w:r>
        <w:r>
          <w:tab/>
        </w:r>
        <w:r>
          <w:fldChar w:fldCharType="begin"/>
        </w:r>
        <w:r>
          <w:instrText xml:space="preserve"> PAGEREF _Toc1984 \h </w:instrText>
        </w:r>
        <w:r>
          <w:fldChar w:fldCharType="separate"/>
        </w:r>
        <w:r>
          <w:t>29</w:t>
        </w:r>
        <w:r>
          <w:fldChar w:fldCharType="end"/>
        </w:r>
      </w:hyperlink>
    </w:p>
    <w:p>
      <w:pPr>
        <w:pStyle w:val="TOC2"/>
        <w:tabs>
          <w:tab w:val="right" w:leader="dot" w:pos="8306"/>
        </w:tabs>
      </w:pPr>
      <w:hyperlink w:anchor="_Toc26478" w:history="1">
        <w:r>
          <w:rPr>
            <w:rFonts w:ascii="仿宋" w:eastAsia="仿宋" w:hAnsi="仿宋" w:cs="仿宋" w:hint="eastAsia"/>
            <w:lang w:eastAsia="zh-CN"/>
          </w:rPr>
          <w:t>(四)、人力资源配置</w:t>
        </w:r>
        <w:r>
          <w:tab/>
        </w:r>
        <w:r>
          <w:fldChar w:fldCharType="begin"/>
        </w:r>
        <w:r>
          <w:instrText xml:space="preserve"> PAGEREF _Toc26478 \h </w:instrText>
        </w:r>
        <w:r>
          <w:fldChar w:fldCharType="separate"/>
        </w:r>
        <w:r>
          <w:t>30</w:t>
        </w:r>
        <w:r>
          <w:fldChar w:fldCharType="end"/>
        </w:r>
      </w:hyperlink>
    </w:p>
    <w:p>
      <w:pPr>
        <w:pStyle w:val="TOC1"/>
        <w:tabs>
          <w:tab w:val="right" w:leader="dot" w:pos="8306"/>
        </w:tabs>
      </w:pPr>
      <w:hyperlink w:anchor="_Toc9970" w:history="1">
        <w:r>
          <w:rPr>
            <w:rFonts w:ascii="仿宋" w:eastAsia="仿宋" w:hAnsi="仿宋" w:cs="仿宋" w:hint="eastAsia"/>
            <w:lang w:eastAsia="zh-CN"/>
          </w:rPr>
          <w:t>十一、固体废弃物处理项目技术管理</w:t>
        </w:r>
        <w:r>
          <w:tab/>
        </w:r>
        <w:r>
          <w:fldChar w:fldCharType="begin"/>
        </w:r>
        <w:r>
          <w:instrText xml:space="preserve"> PAGEREF _Toc9970 \h </w:instrText>
        </w:r>
        <w:r>
          <w:fldChar w:fldCharType="separate"/>
        </w:r>
        <w:r>
          <w:t>31</w:t>
        </w:r>
        <w:r>
          <w:fldChar w:fldCharType="end"/>
        </w:r>
      </w:hyperlink>
    </w:p>
    <w:p>
      <w:pPr>
        <w:pStyle w:val="TOC2"/>
        <w:tabs>
          <w:tab w:val="right" w:leader="dot" w:pos="8306"/>
        </w:tabs>
      </w:pPr>
      <w:hyperlink w:anchor="_Toc19948" w:history="1">
        <w:r>
          <w:rPr>
            <w:rFonts w:ascii="仿宋" w:eastAsia="仿宋" w:hAnsi="仿宋" w:cs="仿宋" w:hint="eastAsia"/>
            <w:lang w:eastAsia="zh-CN"/>
          </w:rPr>
          <w:t>(一)、技术方案选用方向</w:t>
        </w:r>
        <w:r>
          <w:tab/>
        </w:r>
        <w:r>
          <w:fldChar w:fldCharType="begin"/>
        </w:r>
        <w:r>
          <w:instrText xml:space="preserve"> PAGEREF _Toc19948 \h </w:instrText>
        </w:r>
        <w:r>
          <w:fldChar w:fldCharType="separate"/>
        </w:r>
        <w:r>
          <w:t>31</w:t>
        </w:r>
        <w:r>
          <w:fldChar w:fldCharType="end"/>
        </w:r>
      </w:hyperlink>
    </w:p>
    <w:p>
      <w:pPr>
        <w:pStyle w:val="TOC2"/>
        <w:tabs>
          <w:tab w:val="right" w:leader="dot" w:pos="8306"/>
        </w:tabs>
      </w:pPr>
      <w:hyperlink w:anchor="_Toc25825" w:history="1">
        <w:r>
          <w:rPr>
            <w:rFonts w:ascii="仿宋" w:eastAsia="仿宋" w:hAnsi="仿宋" w:cs="仿宋" w:hint="eastAsia"/>
            <w:lang w:eastAsia="zh-CN"/>
          </w:rPr>
          <w:t>(二)、工艺技术方案选用原则</w:t>
        </w:r>
        <w:r>
          <w:tab/>
        </w:r>
        <w:r>
          <w:fldChar w:fldCharType="begin"/>
        </w:r>
        <w:r>
          <w:instrText xml:space="preserve"> PAGEREF _Toc25825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 w:history="1">
        <w:r>
          <w:rPr>
            <w:rFonts w:ascii="仿宋" w:eastAsia="仿宋" w:hAnsi="仿宋" w:cs="仿宋" w:hint="eastAsia"/>
            <w:lang w:eastAsia="zh-CN"/>
          </w:rPr>
          <w:t>(三)、工艺技术方案要求</w:t>
        </w:r>
        <w:r>
          <w:tab/>
        </w:r>
        <w:r>
          <w:fldChar w:fldCharType="begin"/>
        </w:r>
        <w:r>
          <w:instrText xml:space="preserve"> PAGEREF _Toc1800 \h </w:instrText>
        </w:r>
        <w:r>
          <w:fldChar w:fldCharType="separate"/>
        </w:r>
        <w:r>
          <w:t>35</w:t>
        </w:r>
        <w:r>
          <w:fldChar w:fldCharType="end"/>
        </w:r>
      </w:hyperlink>
    </w:p>
    <w:p>
      <w:pPr>
        <w:pStyle w:val="TOC1"/>
        <w:tabs>
          <w:tab w:val="right" w:leader="dot" w:pos="8306"/>
        </w:tabs>
      </w:pPr>
      <w:hyperlink w:anchor="_Toc2924" w:history="1">
        <w:r>
          <w:rPr>
            <w:rFonts w:ascii="仿宋" w:eastAsia="仿宋" w:hAnsi="仿宋" w:cs="仿宋" w:hint="eastAsia"/>
            <w:lang w:eastAsia="zh-CN"/>
          </w:rPr>
          <w:t>十二、固体废弃物处理项目创新与研发</w:t>
        </w:r>
        <w:r>
          <w:tab/>
        </w:r>
        <w:r>
          <w:fldChar w:fldCharType="begin"/>
        </w:r>
        <w:r>
          <w:instrText xml:space="preserve"> PAGEREF _Toc2924 \h </w:instrText>
        </w:r>
        <w:r>
          <w:fldChar w:fldCharType="separate"/>
        </w:r>
        <w:r>
          <w:t>37</w:t>
        </w:r>
        <w:r>
          <w:fldChar w:fldCharType="end"/>
        </w:r>
      </w:hyperlink>
    </w:p>
    <w:p>
      <w:pPr>
        <w:pStyle w:val="TOC2"/>
        <w:tabs>
          <w:tab w:val="right" w:leader="dot" w:pos="8306"/>
        </w:tabs>
      </w:pPr>
      <w:hyperlink w:anchor="_Toc7650" w:history="1">
        <w:r>
          <w:rPr>
            <w:rFonts w:ascii="仿宋" w:eastAsia="仿宋" w:hAnsi="仿宋" w:cs="仿宋" w:hint="eastAsia"/>
            <w:lang w:eastAsia="zh-CN"/>
          </w:rPr>
          <w:t>(一)、创新策略与方向</w:t>
        </w:r>
        <w:r>
          <w:tab/>
        </w:r>
        <w:r>
          <w:fldChar w:fldCharType="begin"/>
        </w:r>
        <w:r>
          <w:instrText xml:space="preserve"> PAGEREF _Toc7650 \h </w:instrText>
        </w:r>
        <w:r>
          <w:fldChar w:fldCharType="separate"/>
        </w:r>
        <w:r>
          <w:t>37</w:t>
        </w:r>
        <w:r>
          <w:fldChar w:fldCharType="end"/>
        </w:r>
      </w:hyperlink>
    </w:p>
    <w:p>
      <w:pPr>
        <w:pStyle w:val="TOC2"/>
        <w:tabs>
          <w:tab w:val="right" w:leader="dot" w:pos="8306"/>
        </w:tabs>
      </w:pPr>
      <w:hyperlink w:anchor="_Toc9998" w:history="1">
        <w:r>
          <w:rPr>
            <w:rFonts w:ascii="仿宋" w:eastAsia="仿宋" w:hAnsi="仿宋" w:cs="仿宋" w:hint="eastAsia"/>
            <w:lang w:eastAsia="zh-CN"/>
          </w:rPr>
          <w:t>(二)、研发规划与投入</w:t>
        </w:r>
        <w:r>
          <w:tab/>
        </w:r>
        <w:r>
          <w:fldChar w:fldCharType="begin"/>
        </w:r>
        <w:r>
          <w:instrText xml:space="preserve"> PAGEREF _Toc9998 \h </w:instrText>
        </w:r>
        <w:r>
          <w:fldChar w:fldCharType="separate"/>
        </w:r>
        <w:r>
          <w:t>39</w:t>
        </w:r>
        <w:r>
          <w:fldChar w:fldCharType="end"/>
        </w:r>
      </w:hyperlink>
    </w:p>
    <w:p>
      <w:pPr>
        <w:pStyle w:val="TOC1"/>
        <w:tabs>
          <w:tab w:val="right" w:leader="dot" w:pos="8306"/>
        </w:tabs>
      </w:pPr>
      <w:hyperlink w:anchor="_Toc11156" w:history="1">
        <w:r>
          <w:rPr>
            <w:rFonts w:ascii="仿宋" w:eastAsia="仿宋" w:hAnsi="仿宋" w:cs="仿宋" w:hint="eastAsia"/>
            <w:lang w:eastAsia="zh-CN"/>
          </w:rPr>
          <w:t>十三、固体废弃物处理项目实施保障措施</w:t>
        </w:r>
        <w:r>
          <w:tab/>
        </w:r>
        <w:r>
          <w:fldChar w:fldCharType="begin"/>
        </w:r>
        <w:r>
          <w:instrText xml:space="preserve"> PAGEREF _Toc11156 \h </w:instrText>
        </w:r>
        <w:r>
          <w:fldChar w:fldCharType="separate"/>
        </w:r>
        <w:r>
          <w:t>41</w:t>
        </w:r>
        <w:r>
          <w:fldChar w:fldCharType="end"/>
        </w:r>
      </w:hyperlink>
    </w:p>
    <w:p>
      <w:pPr>
        <w:pStyle w:val="TOC2"/>
        <w:tabs>
          <w:tab w:val="right" w:leader="dot" w:pos="8306"/>
        </w:tabs>
      </w:pPr>
      <w:hyperlink w:anchor="_Toc22741" w:history="1">
        <w:r>
          <w:rPr>
            <w:rFonts w:ascii="仿宋" w:eastAsia="仿宋" w:hAnsi="仿宋" w:cs="仿宋" w:hint="eastAsia"/>
            <w:lang w:eastAsia="zh-CN"/>
          </w:rPr>
          <w:t>(一)、固体废弃物处理项目实施保障机制</w:t>
        </w:r>
        <w:r>
          <w:tab/>
        </w:r>
        <w:r>
          <w:fldChar w:fldCharType="begin"/>
        </w:r>
        <w:r>
          <w:instrText xml:space="preserve"> PAGEREF _Toc22741 \h </w:instrText>
        </w:r>
        <w:r>
          <w:fldChar w:fldCharType="separate"/>
        </w:r>
        <w:r>
          <w:t>41</w:t>
        </w:r>
        <w:r>
          <w:fldChar w:fldCharType="end"/>
        </w:r>
      </w:hyperlink>
    </w:p>
    <w:p>
      <w:pPr>
        <w:pStyle w:val="TOC2"/>
        <w:tabs>
          <w:tab w:val="right" w:leader="dot" w:pos="8306"/>
        </w:tabs>
      </w:pPr>
      <w:hyperlink w:anchor="_Toc4043" w:history="1">
        <w:r>
          <w:rPr>
            <w:rFonts w:ascii="仿宋" w:eastAsia="仿宋" w:hAnsi="仿宋" w:cs="仿宋" w:hint="eastAsia"/>
            <w:lang w:eastAsia="zh-CN"/>
          </w:rPr>
          <w:t>(二)、固体废弃物处理项目法律合规要求</w:t>
        </w:r>
        <w:r>
          <w:tab/>
        </w:r>
        <w:r>
          <w:fldChar w:fldCharType="begin"/>
        </w:r>
        <w:r>
          <w:instrText xml:space="preserve"> PAGEREF _Toc4043 \h </w:instrText>
        </w:r>
        <w:r>
          <w:fldChar w:fldCharType="separate"/>
        </w:r>
        <w:r>
          <w:t>44</w:t>
        </w:r>
        <w:r>
          <w:fldChar w:fldCharType="end"/>
        </w:r>
      </w:hyperlink>
    </w:p>
    <w:p>
      <w:pPr>
        <w:pStyle w:val="TOC2"/>
        <w:tabs>
          <w:tab w:val="right" w:leader="dot" w:pos="8306"/>
        </w:tabs>
      </w:pPr>
      <w:hyperlink w:anchor="_Toc8491" w:history="1">
        <w:r>
          <w:rPr>
            <w:rFonts w:ascii="仿宋" w:eastAsia="仿宋" w:hAnsi="仿宋" w:cs="仿宋" w:hint="eastAsia"/>
            <w:lang w:eastAsia="zh-CN"/>
          </w:rPr>
          <w:t>(三)、固体废弃物处理项目合同管理与法律事务</w:t>
        </w:r>
        <w:r>
          <w:tab/>
        </w:r>
        <w:r>
          <w:fldChar w:fldCharType="begin"/>
        </w:r>
        <w:r>
          <w:instrText xml:space="preserve"> PAGEREF _Toc8491 \h </w:instrText>
        </w:r>
        <w:r>
          <w:fldChar w:fldCharType="separate"/>
        </w:r>
        <w:r>
          <w:t>49</w:t>
        </w:r>
        <w:r>
          <w:fldChar w:fldCharType="end"/>
        </w:r>
      </w:hyperlink>
    </w:p>
    <w:p>
      <w:pPr>
        <w:pStyle w:val="TOC2"/>
        <w:tabs>
          <w:tab w:val="right" w:leader="dot" w:pos="8306"/>
        </w:tabs>
      </w:pPr>
      <w:hyperlink w:anchor="_Toc13042" w:history="1">
        <w:r>
          <w:rPr>
            <w:rFonts w:ascii="仿宋" w:eastAsia="仿宋" w:hAnsi="仿宋" w:cs="仿宋" w:hint="eastAsia"/>
            <w:lang w:eastAsia="zh-CN"/>
          </w:rPr>
          <w:t>(四)、固体废弃物处理项目知识产权保护策略</w:t>
        </w:r>
        <w:r>
          <w:tab/>
        </w:r>
        <w:r>
          <w:fldChar w:fldCharType="begin"/>
        </w:r>
        <w:r>
          <w:instrText xml:space="preserve"> PAGEREF _Toc13042 \h </w:instrText>
        </w:r>
        <w:r>
          <w:fldChar w:fldCharType="separate"/>
        </w:r>
        <w:r>
          <w:t>55</w:t>
        </w:r>
        <w:r>
          <w:fldChar w:fldCharType="end"/>
        </w:r>
      </w:hyperlink>
    </w:p>
    <w:p>
      <w:pPr>
        <w:pStyle w:val="TOC1"/>
        <w:tabs>
          <w:tab w:val="right" w:leader="dot" w:pos="8306"/>
        </w:tabs>
      </w:pPr>
      <w:hyperlink w:anchor="_Toc12755" w:history="1">
        <w:r>
          <w:rPr>
            <w:rFonts w:ascii="仿宋" w:eastAsia="仿宋" w:hAnsi="仿宋" w:cs="仿宋" w:hint="eastAsia"/>
            <w:lang w:eastAsia="zh-CN"/>
          </w:rPr>
          <w:t>十四、营销与推广策略</w:t>
        </w:r>
        <w:r>
          <w:tab/>
        </w:r>
        <w:r>
          <w:fldChar w:fldCharType="begin"/>
        </w:r>
        <w:r>
          <w:instrText xml:space="preserve"> PAGEREF _Toc12755 \h </w:instrText>
        </w:r>
        <w:r>
          <w:fldChar w:fldCharType="separate"/>
        </w:r>
        <w:r>
          <w:t>58</w:t>
        </w:r>
        <w:r>
          <w:fldChar w:fldCharType="end"/>
        </w:r>
      </w:hyperlink>
    </w:p>
    <w:p>
      <w:pPr>
        <w:pStyle w:val="TOC2"/>
        <w:tabs>
          <w:tab w:val="right" w:leader="dot" w:pos="8306"/>
        </w:tabs>
      </w:pPr>
      <w:hyperlink w:anchor="_Toc18112" w:history="1">
        <w:r>
          <w:rPr>
            <w:rFonts w:ascii="仿宋" w:eastAsia="仿宋" w:hAnsi="仿宋" w:cs="仿宋" w:hint="eastAsia"/>
            <w:lang w:eastAsia="zh-CN"/>
          </w:rPr>
          <w:t>(一)、产品/服务定位与特点</w:t>
        </w:r>
        <w:r>
          <w:tab/>
        </w:r>
        <w:r>
          <w:fldChar w:fldCharType="begin"/>
        </w:r>
        <w:r>
          <w:instrText xml:space="preserve"> PAGEREF _Toc18112 \h </w:instrText>
        </w:r>
        <w:r>
          <w:fldChar w:fldCharType="separate"/>
        </w:r>
        <w:r>
          <w:t>58</w:t>
        </w:r>
        <w:r>
          <w:fldChar w:fldCharType="end"/>
        </w:r>
      </w:hyperlink>
    </w:p>
    <w:p>
      <w:pPr>
        <w:pStyle w:val="TOC2"/>
        <w:tabs>
          <w:tab w:val="right" w:leader="dot" w:pos="8306"/>
        </w:tabs>
      </w:pPr>
      <w:hyperlink w:anchor="_Toc2237" w:history="1">
        <w:r>
          <w:rPr>
            <w:rFonts w:ascii="仿宋" w:eastAsia="仿宋" w:hAnsi="仿宋" w:cs="仿宋" w:hint="eastAsia"/>
            <w:lang w:eastAsia="zh-CN"/>
          </w:rPr>
          <w:t>(二)、市场定位与竞争分析</w:t>
        </w:r>
        <w:r>
          <w:tab/>
        </w:r>
        <w:r>
          <w:fldChar w:fldCharType="begin"/>
        </w:r>
        <w:r>
          <w:instrText xml:space="preserve"> PAGEREF _Toc2237 \h </w:instrText>
        </w:r>
        <w:r>
          <w:fldChar w:fldCharType="separate"/>
        </w:r>
        <w:r>
          <w:t>59</w:t>
        </w:r>
        <w:r>
          <w:fldChar w:fldCharType="end"/>
        </w:r>
      </w:hyperlink>
    </w:p>
    <w:p>
      <w:pPr>
        <w:pStyle w:val="TOC2"/>
        <w:tabs>
          <w:tab w:val="right" w:leader="dot" w:pos="8306"/>
        </w:tabs>
      </w:pPr>
      <w:hyperlink w:anchor="_Toc24618" w:history="1">
        <w:r>
          <w:rPr>
            <w:rFonts w:ascii="仿宋" w:eastAsia="仿宋" w:hAnsi="仿宋" w:cs="仿宋" w:hint="eastAsia"/>
            <w:lang w:eastAsia="zh-CN"/>
          </w:rPr>
          <w:t>(三)、营销渠道与策略</w:t>
        </w:r>
        <w:r>
          <w:tab/>
        </w:r>
        <w:r>
          <w:fldChar w:fldCharType="begin"/>
        </w:r>
        <w:r>
          <w:instrText xml:space="preserve"> PAGEREF _Toc24618 \h </w:instrText>
        </w:r>
        <w:r>
          <w:fldChar w:fldCharType="separate"/>
        </w:r>
        <w:r>
          <w:t>61</w:t>
        </w:r>
        <w:r>
          <w:fldChar w:fldCharType="end"/>
        </w:r>
      </w:hyperlink>
    </w:p>
    <w:p>
      <w:pPr>
        <w:pStyle w:val="TOC2"/>
        <w:tabs>
          <w:tab w:val="right" w:leader="dot" w:pos="8306"/>
        </w:tabs>
      </w:pPr>
      <w:hyperlink w:anchor="_Toc25255" w:history="1">
        <w:r>
          <w:rPr>
            <w:rFonts w:ascii="仿宋" w:eastAsia="仿宋" w:hAnsi="仿宋" w:cs="仿宋" w:hint="eastAsia"/>
            <w:lang w:eastAsia="zh-CN"/>
          </w:rPr>
          <w:t>(四)、推广与宣传活动</w:t>
        </w:r>
        <w:r>
          <w:tab/>
        </w:r>
        <w:r>
          <w:fldChar w:fldCharType="begin"/>
        </w:r>
        <w:r>
          <w:instrText xml:space="preserve"> PAGEREF _Toc25255 \h </w:instrText>
        </w:r>
        <w:r>
          <w:fldChar w:fldCharType="separate"/>
        </w:r>
        <w:r>
          <w:t>62</w:t>
        </w:r>
        <w:r>
          <w:fldChar w:fldCharType="end"/>
        </w:r>
      </w:hyperlink>
    </w:p>
    <w:p>
      <w:pPr>
        <w:pStyle w:val="TOC1"/>
        <w:tabs>
          <w:tab w:val="right" w:leader="dot" w:pos="8306"/>
        </w:tabs>
      </w:pPr>
      <w:hyperlink w:anchor="_Toc24079" w:history="1">
        <w:r>
          <w:rPr>
            <w:rFonts w:ascii="仿宋" w:eastAsia="仿宋" w:hAnsi="仿宋" w:cs="仿宋" w:hint="eastAsia"/>
            <w:lang w:eastAsia="zh-CN"/>
          </w:rPr>
          <w:t>十五、固体废弃物处理项目工程方案分析</w:t>
        </w:r>
        <w:r>
          <w:tab/>
        </w:r>
        <w:r>
          <w:fldChar w:fldCharType="begin"/>
        </w:r>
        <w:r>
          <w:instrText xml:space="preserve"> PAGEREF _Toc24079 \h </w:instrText>
        </w:r>
        <w:r>
          <w:fldChar w:fldCharType="separate"/>
        </w:r>
        <w:r>
          <w:t>67</w:t>
        </w:r>
        <w:r>
          <w:fldChar w:fldCharType="end"/>
        </w:r>
      </w:hyperlink>
    </w:p>
    <w:p>
      <w:pPr>
        <w:pStyle w:val="TOC2"/>
        <w:tabs>
          <w:tab w:val="right" w:leader="dot" w:pos="8306"/>
        </w:tabs>
      </w:pPr>
      <w:hyperlink w:anchor="_Toc19369" w:history="1">
        <w:r>
          <w:rPr>
            <w:rFonts w:ascii="仿宋" w:eastAsia="仿宋" w:hAnsi="仿宋" w:cs="仿宋" w:hint="eastAsia"/>
            <w:lang w:eastAsia="zh-CN"/>
          </w:rPr>
          <w:t>(一)、建筑工程设计原则</w:t>
        </w:r>
        <w:r>
          <w:tab/>
        </w:r>
        <w:r>
          <w:fldChar w:fldCharType="begin"/>
        </w:r>
        <w:r>
          <w:instrText xml:space="preserve"> PAGEREF _Toc19369 \h </w:instrText>
        </w:r>
        <w:r>
          <w:fldChar w:fldCharType="separate"/>
        </w:r>
        <w:r>
          <w:t>67</w:t>
        </w:r>
        <w:r>
          <w:fldChar w:fldCharType="end"/>
        </w:r>
      </w:hyperlink>
    </w:p>
    <w:p>
      <w:pPr>
        <w:pStyle w:val="TOC2"/>
        <w:tabs>
          <w:tab w:val="right" w:leader="dot" w:pos="8306"/>
        </w:tabs>
      </w:pPr>
      <w:hyperlink w:anchor="_Toc27158" w:history="1">
        <w:r>
          <w:rPr>
            <w:rFonts w:ascii="仿宋" w:eastAsia="仿宋" w:hAnsi="仿宋" w:cs="仿宋" w:hint="eastAsia"/>
            <w:lang w:eastAsia="zh-CN"/>
          </w:rPr>
          <w:t>(二)、土建工程建设指标</w:t>
        </w:r>
        <w:r>
          <w:tab/>
        </w:r>
        <w:r>
          <w:fldChar w:fldCharType="begin"/>
        </w:r>
        <w:r>
          <w:instrText xml:space="preserve"> PAGEREF _Toc27158 \h </w:instrText>
        </w:r>
        <w:r>
          <w:fldChar w:fldCharType="separate"/>
        </w:r>
        <w:r>
          <w:t>70</w:t>
        </w:r>
        <w:r>
          <w:fldChar w:fldCharType="end"/>
        </w:r>
      </w:hyperlink>
    </w:p>
    <w:p>
      <w:pPr>
        <w:pStyle w:val="TOC1"/>
        <w:tabs>
          <w:tab w:val="right" w:leader="dot" w:pos="8306"/>
        </w:tabs>
      </w:pPr>
      <w:hyperlink w:anchor="_Toc1296" w:history="1">
        <w:r>
          <w:rPr>
            <w:rFonts w:ascii="仿宋" w:eastAsia="仿宋" w:hAnsi="仿宋" w:cs="仿宋" w:hint="eastAsia"/>
            <w:lang w:eastAsia="zh-CN"/>
          </w:rPr>
          <w:t>十六、利益相关者分析与沟通计划</w:t>
        </w:r>
        <w:r>
          <w:tab/>
        </w:r>
        <w:r>
          <w:fldChar w:fldCharType="begin"/>
        </w:r>
        <w:r>
          <w:instrText xml:space="preserve"> PAGEREF _Toc1296 \h </w:instrText>
        </w:r>
        <w:r>
          <w:fldChar w:fldCharType="separate"/>
        </w:r>
        <w:r>
          <w:t>72</w:t>
        </w:r>
        <w:r>
          <w:fldChar w:fldCharType="end"/>
        </w:r>
      </w:hyperlink>
    </w:p>
    <w:p>
      <w:pPr>
        <w:pStyle w:val="TOC2"/>
        <w:tabs>
          <w:tab w:val="right" w:leader="dot" w:pos="8306"/>
        </w:tabs>
      </w:pPr>
      <w:hyperlink w:anchor="_Toc3471" w:history="1">
        <w:r>
          <w:rPr>
            <w:rFonts w:ascii="仿宋" w:eastAsia="仿宋" w:hAnsi="仿宋" w:cs="仿宋" w:hint="eastAsia"/>
            <w:lang w:eastAsia="zh-CN"/>
          </w:rPr>
          <w:t>(一)、利益相关者分析</w:t>
        </w:r>
        <w:r>
          <w:tab/>
        </w:r>
        <w:r>
          <w:fldChar w:fldCharType="begin"/>
        </w:r>
        <w:r>
          <w:instrText xml:space="preserve"> PAGEREF _Toc3471 \h </w:instrText>
        </w:r>
        <w:r>
          <w:fldChar w:fldCharType="separate"/>
        </w:r>
        <w:r>
          <w:t>72</w:t>
        </w:r>
        <w:r>
          <w:fldChar w:fldCharType="end"/>
        </w:r>
      </w:hyperlink>
    </w:p>
    <w:p>
      <w:pPr>
        <w:pStyle w:val="TOC2"/>
        <w:tabs>
          <w:tab w:val="right" w:leader="dot" w:pos="8306"/>
        </w:tabs>
      </w:pPr>
      <w:hyperlink w:anchor="_Toc29502" w:history="1">
        <w:r>
          <w:rPr>
            <w:rFonts w:ascii="仿宋" w:eastAsia="仿宋" w:hAnsi="仿宋" w:cs="仿宋" w:hint="eastAsia"/>
            <w:lang w:eastAsia="zh-CN"/>
          </w:rPr>
          <w:t>(二)、沟通计划</w:t>
        </w:r>
        <w:r>
          <w:tab/>
        </w:r>
        <w:r>
          <w:fldChar w:fldCharType="begin"/>
        </w:r>
        <w:r>
          <w:instrText xml:space="preserve"> PAGEREF _Toc29502 \h </w:instrText>
        </w:r>
        <w:r>
          <w:fldChar w:fldCharType="separate"/>
        </w:r>
        <w:r>
          <w:t>73</w:t>
        </w:r>
        <w:r>
          <w:fldChar w:fldCharType="end"/>
        </w:r>
      </w:hyperlink>
    </w:p>
    <w:p>
      <w:pPr>
        <w:pStyle w:val="TOC1"/>
        <w:tabs>
          <w:tab w:val="right" w:leader="dot" w:pos="8306"/>
        </w:tabs>
      </w:pPr>
      <w:hyperlink w:anchor="_Toc25180" w:history="1">
        <w:r>
          <w:rPr>
            <w:rFonts w:ascii="仿宋" w:eastAsia="仿宋" w:hAnsi="仿宋" w:cs="仿宋" w:hint="eastAsia"/>
            <w:lang w:eastAsia="zh-CN"/>
          </w:rPr>
          <w:t>十七、固体废弃物处理项目变更管理</w:t>
        </w:r>
        <w:r>
          <w:tab/>
        </w:r>
        <w:r>
          <w:fldChar w:fldCharType="begin"/>
        </w:r>
        <w:r>
          <w:instrText xml:space="preserve"> PAGEREF _Toc25180 \h </w:instrText>
        </w:r>
        <w:r>
          <w:fldChar w:fldCharType="separate"/>
        </w:r>
        <w:r>
          <w:t>74</w:t>
        </w:r>
        <w:r>
          <w:fldChar w:fldCharType="end"/>
        </w:r>
      </w:hyperlink>
    </w:p>
    <w:p>
      <w:pPr>
        <w:pStyle w:val="TOC2"/>
        <w:tabs>
          <w:tab w:val="right" w:leader="dot" w:pos="8306"/>
        </w:tabs>
      </w:pPr>
      <w:hyperlink w:anchor="_Toc7020" w:history="1">
        <w:r>
          <w:rPr>
            <w:rFonts w:ascii="仿宋" w:eastAsia="仿宋" w:hAnsi="仿宋" w:cs="仿宋" w:hint="eastAsia"/>
            <w:lang w:eastAsia="zh-CN"/>
          </w:rPr>
          <w:t>(一)、变更申请与评估</w:t>
        </w:r>
        <w:r>
          <w:tab/>
        </w:r>
        <w:r>
          <w:fldChar w:fldCharType="begin"/>
        </w:r>
        <w:r>
          <w:instrText xml:space="preserve"> PAGEREF _Toc7020 \h </w:instrText>
        </w:r>
        <w:r>
          <w:fldChar w:fldCharType="separate"/>
        </w:r>
        <w:r>
          <w:t>74</w:t>
        </w:r>
        <w:r>
          <w:fldChar w:fldCharType="end"/>
        </w:r>
      </w:hyperlink>
    </w:p>
    <w:p>
      <w:pPr>
        <w:pStyle w:val="TOC2"/>
        <w:tabs>
          <w:tab w:val="right" w:leader="dot" w:pos="8306"/>
        </w:tabs>
      </w:pPr>
      <w:hyperlink w:anchor="_Toc26672" w:history="1">
        <w:r>
          <w:rPr>
            <w:rFonts w:ascii="仿宋" w:eastAsia="仿宋" w:hAnsi="仿宋" w:cs="仿宋" w:hint="eastAsia"/>
            <w:lang w:eastAsia="zh-CN"/>
          </w:rPr>
          <w:t>(二)、变更实施与控制</w:t>
        </w:r>
        <w:r>
          <w:tab/>
        </w:r>
        <w:r>
          <w:fldChar w:fldCharType="begin"/>
        </w:r>
        <w:r>
          <w:instrText xml:space="preserve"> PAGEREF _Toc26672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03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的技术管理特点体现在其创新导向。通过引入最先进的技术趋势和解决方案，固体废弃物处理项目致力于提升科技含量、提高质量和效率水平。这意味着我们将采用最新的工具和方法，确保固体废弃物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固体废弃物处理项目技术管理的显著特征。通过整合不同领域的技术资源，我们实现了跨学科的协同工作。这有助于优化技术架构，提高整体效能。此外，整合性策略还促进了不同技术团队之间的紧密沟通和高效合作，确保固体废弃物处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固体废弃物处理项目所采用的技术。通过不断优化技术方案，固体废弃物处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固体废弃物处理项目团队将在固体废弃物处理项目初期识别可能的技术风险，并采取相应的预防和应对措施。通过建立健全的风险评估机制，固体废弃物处理项目能够在实施过程中及时发现并解决潜在的技术问题，保障固体废弃物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固体废弃物处理项目中，技术将成为固体废弃物处理项目成功的有力支持。这一深度剖析揭示了技术管理在固体废弃物处理项目实施中的关键作用，为固体废弃物处理项目的技术基础奠定了坚实的基础。</w:t>
      </w:r>
    </w:p>
    <w:p>
      <w:pPr>
        <w:pStyle w:val="Heading2"/>
        <w:ind w:firstLine="560" w:firstLineChars="200"/>
        <w:rPr>
          <w:rFonts w:ascii="仿宋" w:eastAsia="仿宋" w:hAnsi="仿宋" w:cs="仿宋" w:hint="eastAsia"/>
          <w:sz w:val="28"/>
          <w:lang w:eastAsia="zh-CN"/>
        </w:rPr>
      </w:pPr>
      <w:bookmarkStart w:id="4" w:name="_Toc29194"/>
      <w:r>
        <w:rPr>
          <w:rFonts w:ascii="仿宋" w:eastAsia="仿宋" w:hAnsi="仿宋" w:cs="仿宋" w:hint="eastAsia"/>
          <w:sz w:val="28"/>
          <w:lang w:eastAsia="zh-CN"/>
        </w:rPr>
        <w:t>(二)、固体废弃物处理项目工艺技术设计方案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固体废弃物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固体废弃物处理项目将严格按照相关行业规范要求进行组织。通过有效控制产品质量，固体废弃物处理项目将致力于为顾客提供优质的固体废弃物处理项目产品和良好的服务。这体现了固体废弃物处理项目对于生产活动合规性和质量标准的高度重视，为固体废弃物处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固体废弃物处理项目注重生态效益和清洁生产原则。固体废弃物处理项目建设将紧密结合地方特色经济发展，与社会经济发展规划和区域环境保护规划方案相协调一致。通过与当地区域自然生态系统的结合，固体废弃物处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固体废弃物处理项目产品具有多样化的客户需求和个性化的特点。因此，固体废弃物处理项目产品规格品种多样，且单批生产数量较小。为满足这一特点，固体废弃物处理项目承办单位将建设先进的柔性制造生产线。通过广泛应用柔性制造技术，固体废弃物处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固体废弃物处理项目采用的技术具有较高的技术含量和自动化水平，处于国内先进水平。这一技术选用不仅体现了对生产效率、质量和环境友好性的高标准要求，同时为固体废弃物处理项目的可持续发展奠定了坚实的基础。</w:t>
      </w:r>
    </w:p>
    <w:p>
      <w:pPr>
        <w:pStyle w:val="Heading2"/>
        <w:ind w:firstLine="560" w:firstLineChars="200"/>
        <w:rPr>
          <w:rFonts w:ascii="仿宋" w:eastAsia="仿宋" w:hAnsi="仿宋" w:cs="仿宋" w:hint="eastAsia"/>
          <w:sz w:val="28"/>
          <w:lang w:eastAsia="zh-CN"/>
        </w:rPr>
      </w:pPr>
      <w:bookmarkStart w:id="5" w:name="_Toc136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为确保固体废弃物处理项目的高效生产和技术实施，我们制定了一套精心设计的设备选型方案，以满足固体废弃物处理项目生产、质量和环保的要求。该方案的主要特点如下：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固体废弃物处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针对固体废弃物处理项目产品的多样性和小批量生产的特点，我们将建设柔性制造生产线。通过在设备选型中考虑柔性制造技术，可以灵活应对不同产品规格和生产需求，实现生产线的高度灵活性和适应性。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356"/>
      <w:r>
        <w:rPr>
          <w:rFonts w:ascii="仿宋" w:eastAsia="仿宋" w:hAnsi="仿宋" w:cs="仿宋" w:hint="eastAsia"/>
          <w:sz w:val="28"/>
          <w:lang w:eastAsia="zh-CN"/>
        </w:rPr>
        <w:t>二、固体废弃物处理项目绩效评估</w:t>
      </w:r>
      <w:bookmarkEnd w:id="6"/>
    </w:p>
    <w:p>
      <w:pPr>
        <w:pStyle w:val="Heading2"/>
        <w:rPr>
          <w:rFonts w:ascii="仿宋" w:eastAsia="仿宋" w:hAnsi="仿宋" w:cs="仿宋" w:hint="eastAsia"/>
          <w:lang w:eastAsia="zh-CN"/>
        </w:rPr>
      </w:pPr>
      <w:bookmarkStart w:id="7" w:name="_Toc543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弃物处理项目中，我们设计了一套全面的绩效评估指标，以确保固体废弃物处理项目的可控和成功交付。这些指标跨足固体废弃物处理项目目标、成本、进度和质量等多个维度，为我们提供了全面洞察固体废弃物处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目标达成率是我们关注的首要指标。我们设定了明确的目标，并通过定期监测和评估，迅速发现并应对潜在的目标偏差。这为固体废弃物处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成本绩效是另一个核心关注点。通过实际成本与预算成本的对比分析，我们深入了解成本差异的原因，及时调整资源分配，保持固体废弃物处理项目在经济效益方面的合理水平。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固体废弃物处理项目进度作为关键的绩效指标之一，得到了精心的关注。我们制定了详细的固体废弃物处理项目进度计划，并设立了进度符合度指标，确保实际进度与计划进度保持一致。这使我们能够快速发现和解决潜在的进度问题，保持固体废弃物处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体废弃物处理项目绩效的不可或缺的一环。我们引入了一系列的质量标准和客户满意度指标，以确保固体废弃物处理项目交付的成果在质量上达到或超越预期水平。通过持续监测这些指标，我们努力提升固体废弃物处理项目整体质量水平，为固体废弃物处理项目的成功交付提供有力保障。通过这些科学且全面的绩效评估，我们能够更好地引导固体废弃物处理项目的持续改进，确保固体废弃物处理项目目标的顺利达成。</w:t>
      </w:r>
    </w:p>
    <w:p>
      <w:pPr>
        <w:pStyle w:val="Heading2"/>
        <w:ind w:firstLine="560" w:firstLineChars="200"/>
        <w:rPr>
          <w:rFonts w:ascii="仿宋" w:eastAsia="仿宋" w:hAnsi="仿宋" w:cs="仿宋" w:hint="eastAsia"/>
          <w:sz w:val="28"/>
          <w:lang w:eastAsia="zh-CN"/>
        </w:rPr>
      </w:pPr>
      <w:bookmarkStart w:id="8" w:name="_Toc1764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绩效评估是固体废弃物处理项目中的关键环节，为确保固体废弃物处理项目达到预期目标，我们采用了多层次、多维度的绩效评估方法。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体废弃物处理项目的战略目标对齐，确保每个决策和行动都与固体废弃物处理项目整体目标保持一致。团队会定期召开战略对齐会议，审视当前工作与固体废弃物处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体废弃物处理项目进度、质量、成本和风险等方面。这些指标通过数据收集和分析，为固体废弃物处理项目管理团队提供了客观的评估依据。例如，我们通过固体废弃物处理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体废弃物处理项目内部，还考虑了固体废弃物处理项目对外部环境的影响。我们定期进行干系人满意度调查，以了解各利益相关方对固体废弃物处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这种多层次、多角度的绩效评估方法，使得我们能够全面了解固体废弃物处理项目的运行状态，及时做出调整，确保固体废弃物处理项目在不断变化的环境中保持稳健前行。</w:t>
      </w:r>
    </w:p>
    <w:p>
      <w:pPr>
        <w:pStyle w:val="Heading2"/>
        <w:ind w:firstLine="560" w:firstLineChars="200"/>
        <w:rPr>
          <w:rFonts w:ascii="仿宋" w:eastAsia="仿宋" w:hAnsi="仿宋" w:cs="仿宋" w:hint="eastAsia"/>
          <w:sz w:val="28"/>
          <w:lang w:eastAsia="zh-CN"/>
        </w:rPr>
      </w:pPr>
      <w:bookmarkStart w:id="9" w:name="_Toc1437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为了确保固体废弃物处理项目的有效管理和不断优化，我们采用了精心设计的绩效评估周期。这个周期旨在实现灵活、实时和全面的评估，以适应固体废弃物处理项目执行中的各种挑战。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体废弃物处理项目的不同需求，分为短期、中期和长期。短期评估关注每个迭代或工作周期，以及时发现和解决当前任务中的问题。中期评估涵盖几个迭代，深入了解整体固体废弃物处理项目的趋势和性能。长期评估则着眼于整个固体废弃物处理项目阶段，确保固体废弃物处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体废弃物处理项目管理工具和协作平台，团队成员能够随时更新和分享固体废弃物处理项目数据。这种实时性的反馈机制使我们能够及时察觉潜在问题，快速调整，保持固体废弃物处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体废弃物处理项目的决策制定密不可分。每个周期的固体废弃物处理项目回顾会议成为集体总结经验、识别问题深层次原因并找到创新解决方案的平台。这种定期的反思与调整机制使固体废弃物处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7238"/>
      <w:r>
        <w:rPr>
          <w:rFonts w:ascii="仿宋" w:eastAsia="仿宋" w:hAnsi="仿宋" w:cs="仿宋" w:hint="eastAsia"/>
          <w:sz w:val="28"/>
          <w:lang w:eastAsia="zh-CN"/>
        </w:rPr>
        <w:t>三、固体废弃物处理项目建设背景及必要性分析</w:t>
      </w:r>
      <w:bookmarkEnd w:id="10"/>
    </w:p>
    <w:p>
      <w:pPr>
        <w:pStyle w:val="Heading2"/>
        <w:rPr>
          <w:rFonts w:ascii="仿宋" w:eastAsia="仿宋" w:hAnsi="仿宋" w:cs="仿宋" w:hint="eastAsia"/>
          <w:lang w:eastAsia="zh-CN"/>
        </w:rPr>
      </w:pPr>
      <w:bookmarkStart w:id="11" w:name="_Toc14313"/>
      <w:r>
        <w:rPr>
          <w:rFonts w:ascii="仿宋" w:eastAsia="仿宋" w:hAnsi="仿宋" w:cs="仿宋" w:hint="eastAsia"/>
          <w:lang w:eastAsia="zh-CN"/>
        </w:rPr>
        <w:t>(一)、固体废弃物处理项目背景分析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体废弃物处理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固体废弃物处理项目在这个潮流中的定位。同时，我们将关注行业内涌现的新兴机遇，以便固体废弃物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体废弃物处理项目提供了强大的发展动力。我们将聚焦于行业内最新的技术发展趋势，包括但不限于人工智能、大数据分析、物联网等领域。通过深度的技术研究，我们将确保固体废弃物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体废弃物处理项目发展的源泉。我们将投入更多的精力对市场需求进行深入剖析，超越表面的需求，深入挖掘潜在的市场痛点和机遇。通过对市场需求的细致了解，固体废弃物处理项目将更有针对性地设计解决方案，满足市场的多样化需求，从而更好地促进固体废弃物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体废弃物处理项目战略至关重要。我们将对竞争态势进行更为深入的分析，包括但不限于市场份额、产品特点、客户满意度等多个维度。通过深度的竞争分析，固体废弃物处理项目将能够更准确地把握市场脉搏，制定具有竞争力的固体废弃物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体废弃物处理项目的发展具有直接的影响。我们将进行更为全面的法规和政策分析，了解行业发展中的潜在法律风险和合规挑战。通过充分了解和遵守相关法规，固体废弃物处理项目将确保在法律框架内合法合规运营，为固体废弃物处理项目的稳健发展提供有力支持。</w:t>
      </w:r>
    </w:p>
    <w:p>
      <w:pPr>
        <w:pStyle w:val="Heading2"/>
        <w:ind w:firstLine="560" w:firstLineChars="200"/>
        <w:rPr>
          <w:rFonts w:ascii="仿宋" w:eastAsia="仿宋" w:hAnsi="仿宋" w:cs="仿宋" w:hint="eastAsia"/>
          <w:sz w:val="28"/>
          <w:lang w:eastAsia="zh-CN"/>
        </w:rPr>
      </w:pPr>
      <w:bookmarkStart w:id="12" w:name="_Toc19116"/>
      <w:r>
        <w:rPr>
          <w:rFonts w:ascii="仿宋" w:eastAsia="仿宋" w:hAnsi="仿宋" w:cs="仿宋" w:hint="eastAsia"/>
          <w:sz w:val="28"/>
          <w:lang w:eastAsia="zh-CN"/>
        </w:rPr>
        <w:t>(二)、固体废弃物处理项目建设必要性分析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建设的迫切性源于对行业发展趋势的深刻洞察。我们正处于一个行业变革的时代，科技创新、数字化转型成为企业发展的关键动力。固体废弃物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建设不仅仅是为了跟上潮流，更是为了通过技术创新推动企业的持续发展。通过引入先进的技术和解决方案，固体废弃物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体废弃物处理项目的建设成为必然选择，通过提高产品质量、拓展服务领域，从而在竞争中获得更多的机会。固体废弃物处理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体废弃物处理项目建设的必要性体现在对客户需求更精准的满足。通过固体废弃物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建设的背后是对企业持续创新的追求。只有通过不断创新，企业才能在竞争中立于不败之地。固体废弃物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6610"/>
      <w:r>
        <w:rPr>
          <w:rFonts w:ascii="仿宋" w:eastAsia="仿宋" w:hAnsi="仿宋" w:cs="仿宋" w:hint="eastAsia"/>
          <w:sz w:val="28"/>
          <w:lang w:eastAsia="zh-CN"/>
        </w:rPr>
        <w:t>四、固体废弃物处理项目建设单位说明</w:t>
      </w:r>
      <w:bookmarkEnd w:id="13"/>
    </w:p>
    <w:p>
      <w:pPr>
        <w:pStyle w:val="Heading2"/>
        <w:rPr>
          <w:rFonts w:ascii="仿宋" w:eastAsia="仿宋" w:hAnsi="仿宋" w:cs="仿宋" w:hint="eastAsia"/>
          <w:lang w:eastAsia="zh-CN"/>
        </w:rPr>
      </w:pPr>
      <w:bookmarkStart w:id="14" w:name="_Toc31011"/>
      <w:r>
        <w:rPr>
          <w:rFonts w:ascii="仿宋" w:eastAsia="仿宋" w:hAnsi="仿宋" w:cs="仿宋" w:hint="eastAsia"/>
          <w:lang w:eastAsia="zh-CN"/>
        </w:rPr>
        <w:t>(一)、固体废弃物处理项目承办单位基本情况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44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体废弃物处理项目承办单位的XXXX，我们着眼于实现可持续的经济效益。通过技术创新和解决方案的提供，公司预计在固体废弃物处理项目执行期间将获得可观的收入增长。这一收入来源主要包括固体废弃物处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同时，我们注重成本控制和效率提升，以确保固体废弃物处理项目的可持续盈利。透过精细的管理和资源优化，公司期望实现固体废弃物处理项目利润最大化。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体废弃物处理项目实施进行全面的投资评估，包括固体废弃物处理项目启动阶段的资金投入和后续运营成本。通过对固体废弃物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固体废弃物处理项目实施过程中具备足够的资金流动性，公司将进行详尽的现金流分析。这包括资金需求的合理预测、固体废弃物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2297"/>
      <w:r>
        <w:rPr>
          <w:rFonts w:ascii="仿宋" w:eastAsia="仿宋" w:hAnsi="仿宋" w:cs="仿宋" w:hint="eastAsia"/>
          <w:sz w:val="28"/>
          <w:lang w:eastAsia="zh-CN"/>
        </w:rPr>
        <w:t>五、固体废弃物处理项目土建工程</w:t>
      </w:r>
      <w:bookmarkEnd w:id="16"/>
    </w:p>
    <w:p>
      <w:pPr>
        <w:pStyle w:val="Heading2"/>
        <w:rPr>
          <w:rFonts w:ascii="仿宋" w:eastAsia="仿宋" w:hAnsi="仿宋" w:cs="仿宋" w:hint="eastAsia"/>
          <w:lang w:eastAsia="zh-CN"/>
        </w:rPr>
      </w:pPr>
      <w:bookmarkStart w:id="17" w:name="_Toc1744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在固体废弃物处理项目的建筑工程设计中，我们将秉承一系列重要的设计原则，以确保固体废弃物处理项目建筑在功能、美观、可持续性等方面达到最佳效果。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首要原则是确保建筑的功能性得到最大化的发挥。我们将充分理解固体废弃物处理项目的实际需求，合理布局各个功能区域，保证建筑在满足业务需求的同时，提供高效的工作环境。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在建筑设计中，我们将综合考虑建设和运营成本。通过精细的经济效益分析，确保设计方案在高效利用资源的同时，对固体废弃物处理项目的长期盈利能力有积极的贡献。</w:t>
      </w:r>
    </w:p>
    <w:p>
      <w:pPr>
        <w:pStyle w:val="Heading2"/>
        <w:ind w:firstLine="560" w:firstLineChars="200"/>
        <w:rPr>
          <w:rFonts w:ascii="仿宋" w:eastAsia="仿宋" w:hAnsi="仿宋" w:cs="仿宋" w:hint="eastAsia"/>
          <w:sz w:val="28"/>
          <w:lang w:eastAsia="zh-CN"/>
        </w:rPr>
      </w:pPr>
      <w:bookmarkStart w:id="18" w:name="_Toc1229"/>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弃物处理项目的土建工程设计中，我们将精准设定设计年限，结合固体废弃物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https://d.book118.com/176233001110010101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68229D"/>
    <w:rsid w:val="746822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23300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2024-03-03T03:20:00Z</dcterms:created>
  <dcterms:modified xsi:type="dcterms:W3CDTF">2024-03-03T03:20:59Z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26BF56414E3149E18906153E6FBBC7C0_11</vt:lpwstr>
  </property>
  <property fmtid="{D5CDD505-2E9C-101B-9397-08002B2CF9AE}" pid="3" name="KSOProductBuildVer">
    <vt:lpwstr>2052-12.1.0.16388</vt:lpwstr>
  </property>
</Properties>
</file>