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非临床安全性评价服务项目规划设计蓝图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68" w:history="1">
        <w:r>
          <w:rPr>
            <w:rFonts w:ascii="仿宋" w:eastAsia="仿宋" w:hAnsi="仿宋" w:cs="仿宋" w:hint="eastAsia"/>
            <w:lang w:eastAsia="zh-CN"/>
          </w:rPr>
          <w:t>序言</w:t>
        </w:r>
        <w:r>
          <w:tab/>
        </w:r>
        <w:r>
          <w:fldChar w:fldCharType="begin"/>
        </w:r>
        <w:r>
          <w:instrText xml:space="preserve"> PAGEREF _Toc23968 \h </w:instrText>
        </w:r>
        <w:r>
          <w:fldChar w:fldCharType="separate"/>
        </w:r>
        <w:r>
          <w:t>3</w:t>
        </w:r>
        <w:r>
          <w:fldChar w:fldCharType="end"/>
        </w:r>
      </w:hyperlink>
    </w:p>
    <w:p>
      <w:pPr>
        <w:pStyle w:val="TOC1"/>
        <w:tabs>
          <w:tab w:val="right" w:leader="dot" w:pos="8306"/>
        </w:tabs>
      </w:pPr>
      <w:hyperlink w:anchor="_Toc22042" w:history="1">
        <w:r>
          <w:rPr>
            <w:rFonts w:ascii="仿宋" w:eastAsia="仿宋" w:hAnsi="仿宋" w:cs="仿宋" w:hint="eastAsia"/>
            <w:lang w:eastAsia="zh-CN"/>
          </w:rPr>
          <w:t>一、非临床安全性评价服务项目危机管理</w:t>
        </w:r>
        <w:r>
          <w:tab/>
        </w:r>
        <w:r>
          <w:fldChar w:fldCharType="begin"/>
        </w:r>
        <w:r>
          <w:instrText xml:space="preserve"> PAGEREF _Toc22042 \h </w:instrText>
        </w:r>
        <w:r>
          <w:fldChar w:fldCharType="separate"/>
        </w:r>
        <w:r>
          <w:t>3</w:t>
        </w:r>
        <w:r>
          <w:fldChar w:fldCharType="end"/>
        </w:r>
      </w:hyperlink>
    </w:p>
    <w:p>
      <w:pPr>
        <w:pStyle w:val="TOC2"/>
        <w:tabs>
          <w:tab w:val="right" w:leader="dot" w:pos="8306"/>
        </w:tabs>
      </w:pPr>
      <w:hyperlink w:anchor="_Toc18202" w:history="1">
        <w:r>
          <w:rPr>
            <w:rFonts w:ascii="仿宋" w:eastAsia="仿宋" w:hAnsi="仿宋" w:cs="仿宋" w:hint="eastAsia"/>
            <w:lang w:eastAsia="zh-CN"/>
          </w:rPr>
          <w:t>(一)、危机预警与识别</w:t>
        </w:r>
        <w:r>
          <w:tab/>
        </w:r>
        <w:r>
          <w:fldChar w:fldCharType="begin"/>
        </w:r>
        <w:r>
          <w:instrText xml:space="preserve"> PAGEREF _Toc18202 \h </w:instrText>
        </w:r>
        <w:r>
          <w:fldChar w:fldCharType="separate"/>
        </w:r>
        <w:r>
          <w:t>3</w:t>
        </w:r>
        <w:r>
          <w:fldChar w:fldCharType="end"/>
        </w:r>
      </w:hyperlink>
    </w:p>
    <w:p>
      <w:pPr>
        <w:pStyle w:val="TOC2"/>
        <w:tabs>
          <w:tab w:val="right" w:leader="dot" w:pos="8306"/>
        </w:tabs>
      </w:pPr>
      <w:hyperlink w:anchor="_Toc12737" w:history="1">
        <w:r>
          <w:rPr>
            <w:rFonts w:ascii="仿宋" w:eastAsia="仿宋" w:hAnsi="仿宋" w:cs="仿宋" w:hint="eastAsia"/>
            <w:lang w:eastAsia="zh-CN"/>
          </w:rPr>
          <w:t>(二)、危机应对与恢复</w:t>
        </w:r>
        <w:r>
          <w:tab/>
        </w:r>
        <w:r>
          <w:fldChar w:fldCharType="begin"/>
        </w:r>
        <w:r>
          <w:instrText xml:space="preserve"> PAGEREF _Toc12737 \h </w:instrText>
        </w:r>
        <w:r>
          <w:fldChar w:fldCharType="separate"/>
        </w:r>
        <w:r>
          <w:t>4</w:t>
        </w:r>
        <w:r>
          <w:fldChar w:fldCharType="end"/>
        </w:r>
      </w:hyperlink>
    </w:p>
    <w:p>
      <w:pPr>
        <w:pStyle w:val="TOC1"/>
        <w:tabs>
          <w:tab w:val="right" w:leader="dot" w:pos="8306"/>
        </w:tabs>
      </w:pPr>
      <w:hyperlink w:anchor="_Toc4622" w:history="1">
        <w:r>
          <w:rPr>
            <w:rFonts w:ascii="仿宋" w:eastAsia="仿宋" w:hAnsi="仿宋" w:cs="仿宋" w:hint="eastAsia"/>
            <w:lang w:eastAsia="zh-CN"/>
          </w:rPr>
          <w:t>二、非临床安全性评价服务项目文档管理</w:t>
        </w:r>
        <w:r>
          <w:tab/>
        </w:r>
        <w:r>
          <w:fldChar w:fldCharType="begin"/>
        </w:r>
        <w:r>
          <w:instrText xml:space="preserve"> PAGEREF _Toc4622 \h </w:instrText>
        </w:r>
        <w:r>
          <w:fldChar w:fldCharType="separate"/>
        </w:r>
        <w:r>
          <w:t>6</w:t>
        </w:r>
        <w:r>
          <w:fldChar w:fldCharType="end"/>
        </w:r>
      </w:hyperlink>
    </w:p>
    <w:p>
      <w:pPr>
        <w:pStyle w:val="TOC2"/>
        <w:tabs>
          <w:tab w:val="right" w:leader="dot" w:pos="8306"/>
        </w:tabs>
      </w:pPr>
      <w:hyperlink w:anchor="_Toc17615" w:history="1">
        <w:r>
          <w:rPr>
            <w:rFonts w:ascii="仿宋" w:eastAsia="仿宋" w:hAnsi="仿宋" w:cs="仿宋" w:hint="eastAsia"/>
            <w:lang w:eastAsia="zh-CN"/>
          </w:rPr>
          <w:t>(一)、文档编制与审查</w:t>
        </w:r>
        <w:r>
          <w:tab/>
        </w:r>
        <w:r>
          <w:fldChar w:fldCharType="begin"/>
        </w:r>
        <w:r>
          <w:instrText xml:space="preserve"> PAGEREF _Toc17615 \h </w:instrText>
        </w:r>
        <w:r>
          <w:fldChar w:fldCharType="separate"/>
        </w:r>
        <w:r>
          <w:t>6</w:t>
        </w:r>
        <w:r>
          <w:fldChar w:fldCharType="end"/>
        </w:r>
      </w:hyperlink>
    </w:p>
    <w:p>
      <w:pPr>
        <w:pStyle w:val="TOC2"/>
        <w:tabs>
          <w:tab w:val="right" w:leader="dot" w:pos="8306"/>
        </w:tabs>
      </w:pPr>
      <w:hyperlink w:anchor="_Toc21568" w:history="1">
        <w:r>
          <w:rPr>
            <w:rFonts w:ascii="仿宋" w:eastAsia="仿宋" w:hAnsi="仿宋" w:cs="仿宋" w:hint="eastAsia"/>
            <w:lang w:eastAsia="zh-CN"/>
          </w:rPr>
          <w:t>(二)、文档发布与分发</w:t>
        </w:r>
        <w:r>
          <w:tab/>
        </w:r>
        <w:r>
          <w:fldChar w:fldCharType="begin"/>
        </w:r>
        <w:r>
          <w:instrText xml:space="preserve"> PAGEREF _Toc21568 \h </w:instrText>
        </w:r>
        <w:r>
          <w:fldChar w:fldCharType="separate"/>
        </w:r>
        <w:r>
          <w:t>7</w:t>
        </w:r>
        <w:r>
          <w:fldChar w:fldCharType="end"/>
        </w:r>
      </w:hyperlink>
    </w:p>
    <w:p>
      <w:pPr>
        <w:pStyle w:val="TOC2"/>
        <w:tabs>
          <w:tab w:val="right" w:leader="dot" w:pos="8306"/>
        </w:tabs>
      </w:pPr>
      <w:hyperlink w:anchor="_Toc1727" w:history="1">
        <w:r>
          <w:rPr>
            <w:rFonts w:ascii="仿宋" w:eastAsia="仿宋" w:hAnsi="仿宋" w:cs="仿宋" w:hint="eastAsia"/>
            <w:lang w:eastAsia="zh-CN"/>
          </w:rPr>
          <w:t>(三)、文档存档与归档</w:t>
        </w:r>
        <w:r>
          <w:tab/>
        </w:r>
        <w:r>
          <w:fldChar w:fldCharType="begin"/>
        </w:r>
        <w:r>
          <w:instrText xml:space="preserve"> PAGEREF _Toc1727 \h </w:instrText>
        </w:r>
        <w:r>
          <w:fldChar w:fldCharType="separate"/>
        </w:r>
        <w:r>
          <w:t>8</w:t>
        </w:r>
        <w:r>
          <w:fldChar w:fldCharType="end"/>
        </w:r>
      </w:hyperlink>
    </w:p>
    <w:p>
      <w:pPr>
        <w:pStyle w:val="TOC1"/>
        <w:tabs>
          <w:tab w:val="right" w:leader="dot" w:pos="8306"/>
        </w:tabs>
      </w:pPr>
      <w:hyperlink w:anchor="_Toc1281" w:history="1">
        <w:r>
          <w:rPr>
            <w:rFonts w:ascii="仿宋" w:eastAsia="仿宋" w:hAnsi="仿宋" w:cs="仿宋" w:hint="eastAsia"/>
            <w:lang w:eastAsia="zh-CN"/>
          </w:rPr>
          <w:t>三、非临床安全性评价服务项目土建工程</w:t>
        </w:r>
        <w:r>
          <w:tab/>
        </w:r>
        <w:r>
          <w:fldChar w:fldCharType="begin"/>
        </w:r>
        <w:r>
          <w:instrText xml:space="preserve"> PAGEREF _Toc1281 \h </w:instrText>
        </w:r>
        <w:r>
          <w:fldChar w:fldCharType="separate"/>
        </w:r>
        <w:r>
          <w:t>9</w:t>
        </w:r>
        <w:r>
          <w:fldChar w:fldCharType="end"/>
        </w:r>
      </w:hyperlink>
    </w:p>
    <w:p>
      <w:pPr>
        <w:pStyle w:val="TOC2"/>
        <w:tabs>
          <w:tab w:val="right" w:leader="dot" w:pos="8306"/>
        </w:tabs>
      </w:pPr>
      <w:hyperlink w:anchor="_Toc24684" w:history="1">
        <w:r>
          <w:rPr>
            <w:rFonts w:ascii="仿宋" w:eastAsia="仿宋" w:hAnsi="仿宋" w:cs="仿宋" w:hint="eastAsia"/>
            <w:lang w:eastAsia="zh-CN"/>
          </w:rPr>
          <w:t>(一)、建筑工程设计原则</w:t>
        </w:r>
        <w:r>
          <w:tab/>
        </w:r>
        <w:r>
          <w:fldChar w:fldCharType="begin"/>
        </w:r>
        <w:r>
          <w:instrText xml:space="preserve"> PAGEREF _Toc24684 \h </w:instrText>
        </w:r>
        <w:r>
          <w:fldChar w:fldCharType="separate"/>
        </w:r>
        <w:r>
          <w:t>9</w:t>
        </w:r>
        <w:r>
          <w:fldChar w:fldCharType="end"/>
        </w:r>
      </w:hyperlink>
    </w:p>
    <w:p>
      <w:pPr>
        <w:pStyle w:val="TOC2"/>
        <w:tabs>
          <w:tab w:val="right" w:leader="dot" w:pos="8306"/>
        </w:tabs>
      </w:pPr>
      <w:hyperlink w:anchor="_Toc17732" w:history="1">
        <w:r>
          <w:rPr>
            <w:rFonts w:ascii="仿宋" w:eastAsia="仿宋" w:hAnsi="仿宋" w:cs="仿宋" w:hint="eastAsia"/>
            <w:lang w:eastAsia="zh-CN"/>
          </w:rPr>
          <w:t>(二)、土建工程设计年限及安全等级</w:t>
        </w:r>
        <w:r>
          <w:tab/>
        </w:r>
        <w:r>
          <w:fldChar w:fldCharType="begin"/>
        </w:r>
        <w:r>
          <w:instrText xml:space="preserve"> PAGEREF _Toc17732 \h </w:instrText>
        </w:r>
        <w:r>
          <w:fldChar w:fldCharType="separate"/>
        </w:r>
        <w:r>
          <w:t>10</w:t>
        </w:r>
        <w:r>
          <w:fldChar w:fldCharType="end"/>
        </w:r>
      </w:hyperlink>
    </w:p>
    <w:p>
      <w:pPr>
        <w:pStyle w:val="TOC2"/>
        <w:tabs>
          <w:tab w:val="right" w:leader="dot" w:pos="8306"/>
        </w:tabs>
      </w:pPr>
      <w:hyperlink w:anchor="_Toc1123" w:history="1">
        <w:r>
          <w:rPr>
            <w:rFonts w:ascii="仿宋" w:eastAsia="仿宋" w:hAnsi="仿宋" w:cs="仿宋" w:hint="eastAsia"/>
            <w:lang w:eastAsia="zh-CN"/>
          </w:rPr>
          <w:t>(三)、建筑工程设计总体要求</w:t>
        </w:r>
        <w:r>
          <w:tab/>
        </w:r>
        <w:r>
          <w:fldChar w:fldCharType="begin"/>
        </w:r>
        <w:r>
          <w:instrText xml:space="preserve"> PAGEREF _Toc1123 \h </w:instrText>
        </w:r>
        <w:r>
          <w:fldChar w:fldCharType="separate"/>
        </w:r>
        <w:r>
          <w:t>12</w:t>
        </w:r>
        <w:r>
          <w:fldChar w:fldCharType="end"/>
        </w:r>
      </w:hyperlink>
    </w:p>
    <w:p>
      <w:pPr>
        <w:pStyle w:val="TOC2"/>
        <w:tabs>
          <w:tab w:val="right" w:leader="dot" w:pos="8306"/>
        </w:tabs>
      </w:pPr>
      <w:hyperlink w:anchor="_Toc17726" w:history="1">
        <w:r>
          <w:rPr>
            <w:rFonts w:ascii="仿宋" w:eastAsia="仿宋" w:hAnsi="仿宋" w:cs="仿宋" w:hint="eastAsia"/>
            <w:lang w:eastAsia="zh-CN"/>
          </w:rPr>
          <w:t>(四)、土建工程建设指标</w:t>
        </w:r>
        <w:r>
          <w:tab/>
        </w:r>
        <w:r>
          <w:fldChar w:fldCharType="begin"/>
        </w:r>
        <w:r>
          <w:instrText xml:space="preserve"> PAGEREF _Toc17726 \h </w:instrText>
        </w:r>
        <w:r>
          <w:fldChar w:fldCharType="separate"/>
        </w:r>
        <w:r>
          <w:t>12</w:t>
        </w:r>
        <w:r>
          <w:fldChar w:fldCharType="end"/>
        </w:r>
      </w:hyperlink>
    </w:p>
    <w:p>
      <w:pPr>
        <w:pStyle w:val="TOC1"/>
        <w:tabs>
          <w:tab w:val="right" w:leader="dot" w:pos="8306"/>
        </w:tabs>
      </w:pPr>
      <w:hyperlink w:anchor="_Toc29302" w:history="1">
        <w:r>
          <w:rPr>
            <w:rFonts w:ascii="仿宋" w:eastAsia="仿宋" w:hAnsi="仿宋" w:cs="仿宋" w:hint="eastAsia"/>
            <w:lang w:eastAsia="zh-CN"/>
          </w:rPr>
          <w:t>四、工艺说明</w:t>
        </w:r>
        <w:r>
          <w:tab/>
        </w:r>
        <w:r>
          <w:fldChar w:fldCharType="begin"/>
        </w:r>
        <w:r>
          <w:instrText xml:space="preserve"> PAGEREF _Toc29302 \h </w:instrText>
        </w:r>
        <w:r>
          <w:fldChar w:fldCharType="separate"/>
        </w:r>
        <w:r>
          <w:t>13</w:t>
        </w:r>
        <w:r>
          <w:fldChar w:fldCharType="end"/>
        </w:r>
      </w:hyperlink>
    </w:p>
    <w:p>
      <w:pPr>
        <w:pStyle w:val="TOC2"/>
        <w:tabs>
          <w:tab w:val="right" w:leader="dot" w:pos="8306"/>
        </w:tabs>
      </w:pPr>
      <w:hyperlink w:anchor="_Toc7204" w:history="1">
        <w:r>
          <w:rPr>
            <w:rFonts w:ascii="仿宋" w:eastAsia="仿宋" w:hAnsi="仿宋" w:cs="仿宋" w:hint="eastAsia"/>
            <w:lang w:eastAsia="zh-CN"/>
          </w:rPr>
          <w:t>(一)、技术管理特点</w:t>
        </w:r>
        <w:r>
          <w:tab/>
        </w:r>
        <w:r>
          <w:fldChar w:fldCharType="begin"/>
        </w:r>
        <w:r>
          <w:instrText xml:space="preserve"> PAGEREF _Toc7204 \h </w:instrText>
        </w:r>
        <w:r>
          <w:fldChar w:fldCharType="separate"/>
        </w:r>
        <w:r>
          <w:t>13</w:t>
        </w:r>
        <w:r>
          <w:fldChar w:fldCharType="end"/>
        </w:r>
      </w:hyperlink>
    </w:p>
    <w:p>
      <w:pPr>
        <w:pStyle w:val="TOC2"/>
        <w:tabs>
          <w:tab w:val="right" w:leader="dot" w:pos="8306"/>
        </w:tabs>
      </w:pPr>
      <w:hyperlink w:anchor="_Toc18696" w:history="1">
        <w:r>
          <w:rPr>
            <w:rFonts w:ascii="仿宋" w:eastAsia="仿宋" w:hAnsi="仿宋" w:cs="仿宋" w:hint="eastAsia"/>
            <w:lang w:eastAsia="zh-CN"/>
          </w:rPr>
          <w:t>(二)、非临床安全性评价服务项目工艺技术设计方案</w:t>
        </w:r>
        <w:r>
          <w:tab/>
        </w:r>
        <w:r>
          <w:fldChar w:fldCharType="begin"/>
        </w:r>
        <w:r>
          <w:instrText xml:space="preserve"> PAGEREF _Toc18696 \h </w:instrText>
        </w:r>
        <w:r>
          <w:fldChar w:fldCharType="separate"/>
        </w:r>
        <w:r>
          <w:t>14</w:t>
        </w:r>
        <w:r>
          <w:fldChar w:fldCharType="end"/>
        </w:r>
      </w:hyperlink>
    </w:p>
    <w:p>
      <w:pPr>
        <w:pStyle w:val="TOC2"/>
        <w:tabs>
          <w:tab w:val="right" w:leader="dot" w:pos="8306"/>
        </w:tabs>
      </w:pPr>
      <w:hyperlink w:anchor="_Toc19143" w:history="1">
        <w:r>
          <w:rPr>
            <w:rFonts w:ascii="仿宋" w:eastAsia="仿宋" w:hAnsi="仿宋" w:cs="仿宋" w:hint="eastAsia"/>
            <w:lang w:eastAsia="zh-CN"/>
          </w:rPr>
          <w:t>(三)、设备选型方案</w:t>
        </w:r>
        <w:r>
          <w:tab/>
        </w:r>
        <w:r>
          <w:fldChar w:fldCharType="begin"/>
        </w:r>
        <w:r>
          <w:instrText xml:space="preserve"> PAGEREF _Toc19143 \h </w:instrText>
        </w:r>
        <w:r>
          <w:fldChar w:fldCharType="separate"/>
        </w:r>
        <w:r>
          <w:t>15</w:t>
        </w:r>
        <w:r>
          <w:fldChar w:fldCharType="end"/>
        </w:r>
      </w:hyperlink>
    </w:p>
    <w:p>
      <w:pPr>
        <w:pStyle w:val="TOC1"/>
        <w:tabs>
          <w:tab w:val="right" w:leader="dot" w:pos="8306"/>
        </w:tabs>
      </w:pPr>
      <w:hyperlink w:anchor="_Toc22965" w:history="1">
        <w:r>
          <w:rPr>
            <w:rFonts w:ascii="仿宋" w:eastAsia="仿宋" w:hAnsi="仿宋" w:cs="仿宋" w:hint="eastAsia"/>
            <w:lang w:eastAsia="zh-CN"/>
          </w:rPr>
          <w:t>五、产品规划分析</w:t>
        </w:r>
        <w:r>
          <w:tab/>
        </w:r>
        <w:r>
          <w:fldChar w:fldCharType="begin"/>
        </w:r>
        <w:r>
          <w:instrText xml:space="preserve"> PAGEREF _Toc22965 \h </w:instrText>
        </w:r>
        <w:r>
          <w:fldChar w:fldCharType="separate"/>
        </w:r>
        <w:r>
          <w:t>17</w:t>
        </w:r>
        <w:r>
          <w:fldChar w:fldCharType="end"/>
        </w:r>
      </w:hyperlink>
    </w:p>
    <w:p>
      <w:pPr>
        <w:pStyle w:val="TOC2"/>
        <w:tabs>
          <w:tab w:val="right" w:leader="dot" w:pos="8306"/>
        </w:tabs>
      </w:pPr>
      <w:hyperlink w:anchor="_Toc10269" w:history="1">
        <w:r>
          <w:rPr>
            <w:rFonts w:ascii="仿宋" w:eastAsia="仿宋" w:hAnsi="仿宋" w:cs="仿宋" w:hint="eastAsia"/>
            <w:lang w:eastAsia="zh-CN"/>
          </w:rPr>
          <w:t>(一)、产品规划</w:t>
        </w:r>
        <w:r>
          <w:tab/>
        </w:r>
        <w:r>
          <w:fldChar w:fldCharType="begin"/>
        </w:r>
        <w:r>
          <w:instrText xml:space="preserve"> PAGEREF _Toc10269 \h </w:instrText>
        </w:r>
        <w:r>
          <w:fldChar w:fldCharType="separate"/>
        </w:r>
        <w:r>
          <w:t>17</w:t>
        </w:r>
        <w:r>
          <w:fldChar w:fldCharType="end"/>
        </w:r>
      </w:hyperlink>
    </w:p>
    <w:p>
      <w:pPr>
        <w:pStyle w:val="TOC2"/>
        <w:tabs>
          <w:tab w:val="right" w:leader="dot" w:pos="8306"/>
        </w:tabs>
      </w:pPr>
      <w:hyperlink w:anchor="_Toc25664" w:history="1">
        <w:r>
          <w:rPr>
            <w:rFonts w:ascii="仿宋" w:eastAsia="仿宋" w:hAnsi="仿宋" w:cs="仿宋" w:hint="eastAsia"/>
            <w:lang w:eastAsia="zh-CN"/>
          </w:rPr>
          <w:t>(二)、建设规模</w:t>
        </w:r>
        <w:r>
          <w:tab/>
        </w:r>
        <w:r>
          <w:fldChar w:fldCharType="begin"/>
        </w:r>
        <w:r>
          <w:instrText xml:space="preserve"> PAGEREF _Toc25664 \h </w:instrText>
        </w:r>
        <w:r>
          <w:fldChar w:fldCharType="separate"/>
        </w:r>
        <w:r>
          <w:t>17</w:t>
        </w:r>
        <w:r>
          <w:fldChar w:fldCharType="end"/>
        </w:r>
      </w:hyperlink>
    </w:p>
    <w:p>
      <w:pPr>
        <w:pStyle w:val="TOC1"/>
        <w:tabs>
          <w:tab w:val="right" w:leader="dot" w:pos="8306"/>
        </w:tabs>
      </w:pPr>
      <w:hyperlink w:anchor="_Toc12020" w:history="1">
        <w:r>
          <w:rPr>
            <w:rFonts w:ascii="仿宋" w:eastAsia="仿宋" w:hAnsi="仿宋" w:cs="仿宋" w:hint="eastAsia"/>
            <w:lang w:eastAsia="zh-CN"/>
          </w:rPr>
          <w:t>六、非临床安全性评价服务项目可持续发展</w:t>
        </w:r>
        <w:r>
          <w:tab/>
        </w:r>
        <w:r>
          <w:fldChar w:fldCharType="begin"/>
        </w:r>
        <w:r>
          <w:instrText xml:space="preserve"> PAGEREF _Toc12020 \h </w:instrText>
        </w:r>
        <w:r>
          <w:fldChar w:fldCharType="separate"/>
        </w:r>
        <w:r>
          <w:t>19</w:t>
        </w:r>
        <w:r>
          <w:fldChar w:fldCharType="end"/>
        </w:r>
      </w:hyperlink>
    </w:p>
    <w:p>
      <w:pPr>
        <w:pStyle w:val="TOC2"/>
        <w:tabs>
          <w:tab w:val="right" w:leader="dot" w:pos="8306"/>
        </w:tabs>
      </w:pPr>
      <w:hyperlink w:anchor="_Toc12783" w:history="1">
        <w:r>
          <w:rPr>
            <w:rFonts w:ascii="仿宋" w:eastAsia="仿宋" w:hAnsi="仿宋" w:cs="仿宋" w:hint="eastAsia"/>
            <w:lang w:eastAsia="zh-CN"/>
          </w:rPr>
          <w:t>(一)、可持续战略与实践</w:t>
        </w:r>
        <w:r>
          <w:tab/>
        </w:r>
        <w:r>
          <w:fldChar w:fldCharType="begin"/>
        </w:r>
        <w:r>
          <w:instrText xml:space="preserve"> PAGEREF _Toc12783 \h </w:instrText>
        </w:r>
        <w:r>
          <w:fldChar w:fldCharType="separate"/>
        </w:r>
        <w:r>
          <w:t>19</w:t>
        </w:r>
        <w:r>
          <w:fldChar w:fldCharType="end"/>
        </w:r>
      </w:hyperlink>
    </w:p>
    <w:p>
      <w:pPr>
        <w:pStyle w:val="TOC2"/>
        <w:tabs>
          <w:tab w:val="right" w:leader="dot" w:pos="8306"/>
        </w:tabs>
      </w:pPr>
      <w:hyperlink w:anchor="_Toc7782" w:history="1">
        <w:r>
          <w:rPr>
            <w:rFonts w:ascii="仿宋" w:eastAsia="仿宋" w:hAnsi="仿宋" w:cs="仿宋" w:hint="eastAsia"/>
            <w:lang w:eastAsia="zh-CN"/>
          </w:rPr>
          <w:t>(二)、环保与社会责任</w:t>
        </w:r>
        <w:r>
          <w:tab/>
        </w:r>
        <w:r>
          <w:fldChar w:fldCharType="begin"/>
        </w:r>
        <w:r>
          <w:instrText xml:space="preserve"> PAGEREF _Toc7782 \h </w:instrText>
        </w:r>
        <w:r>
          <w:fldChar w:fldCharType="separate"/>
        </w:r>
        <w:r>
          <w:t>19</w:t>
        </w:r>
        <w:r>
          <w:fldChar w:fldCharType="end"/>
        </w:r>
      </w:hyperlink>
    </w:p>
    <w:p>
      <w:pPr>
        <w:pStyle w:val="TOC1"/>
        <w:tabs>
          <w:tab w:val="right" w:leader="dot" w:pos="8306"/>
        </w:tabs>
      </w:pPr>
      <w:hyperlink w:anchor="_Toc23739" w:history="1">
        <w:r>
          <w:rPr>
            <w:rFonts w:ascii="仿宋" w:eastAsia="仿宋" w:hAnsi="仿宋" w:cs="仿宋" w:hint="eastAsia"/>
            <w:lang w:eastAsia="zh-CN"/>
          </w:rPr>
          <w:t>七、非临床安全性评价服务项目技术管理</w:t>
        </w:r>
        <w:r>
          <w:tab/>
        </w:r>
        <w:r>
          <w:fldChar w:fldCharType="begin"/>
        </w:r>
        <w:r>
          <w:instrText xml:space="preserve"> PAGEREF _Toc23739 \h </w:instrText>
        </w:r>
        <w:r>
          <w:fldChar w:fldCharType="separate"/>
        </w:r>
        <w:r>
          <w:t>20</w:t>
        </w:r>
        <w:r>
          <w:fldChar w:fldCharType="end"/>
        </w:r>
      </w:hyperlink>
    </w:p>
    <w:p>
      <w:pPr>
        <w:pStyle w:val="TOC2"/>
        <w:tabs>
          <w:tab w:val="right" w:leader="dot" w:pos="8306"/>
        </w:tabs>
      </w:pPr>
      <w:hyperlink w:anchor="_Toc10949" w:history="1">
        <w:r>
          <w:rPr>
            <w:rFonts w:ascii="仿宋" w:eastAsia="仿宋" w:hAnsi="仿宋" w:cs="仿宋" w:hint="eastAsia"/>
            <w:lang w:eastAsia="zh-CN"/>
          </w:rPr>
          <w:t>(一)、技术方案选用方向</w:t>
        </w:r>
        <w:r>
          <w:tab/>
        </w:r>
        <w:r>
          <w:fldChar w:fldCharType="begin"/>
        </w:r>
        <w:r>
          <w:instrText xml:space="preserve"> PAGEREF _Toc10949 \h </w:instrText>
        </w:r>
        <w:r>
          <w:fldChar w:fldCharType="separate"/>
        </w:r>
        <w:r>
          <w:t>20</w:t>
        </w:r>
        <w:r>
          <w:fldChar w:fldCharType="end"/>
        </w:r>
      </w:hyperlink>
    </w:p>
    <w:p>
      <w:pPr>
        <w:pStyle w:val="TOC2"/>
        <w:tabs>
          <w:tab w:val="right" w:leader="dot" w:pos="8306"/>
        </w:tabs>
      </w:pPr>
      <w:hyperlink w:anchor="_Toc10487" w:history="1">
        <w:r>
          <w:rPr>
            <w:rFonts w:ascii="仿宋" w:eastAsia="仿宋" w:hAnsi="仿宋" w:cs="仿宋" w:hint="eastAsia"/>
            <w:lang w:eastAsia="zh-CN"/>
          </w:rPr>
          <w:t>(二)、工艺技术方案选用原则</w:t>
        </w:r>
        <w:r>
          <w:tab/>
        </w:r>
        <w:r>
          <w:fldChar w:fldCharType="begin"/>
        </w:r>
        <w:r>
          <w:instrText xml:space="preserve"> PAGEREF _Toc10487 \h </w:instrText>
        </w:r>
        <w:r>
          <w:fldChar w:fldCharType="separate"/>
        </w:r>
        <w:r>
          <w:t>22</w:t>
        </w:r>
        <w:r>
          <w:fldChar w:fldCharType="end"/>
        </w:r>
      </w:hyperlink>
    </w:p>
    <w:p>
      <w:pPr>
        <w:pStyle w:val="TOC2"/>
        <w:tabs>
          <w:tab w:val="right" w:leader="dot" w:pos="8306"/>
        </w:tabs>
      </w:pPr>
      <w:hyperlink w:anchor="_Toc11037" w:history="1">
        <w:r>
          <w:rPr>
            <w:rFonts w:ascii="仿宋" w:eastAsia="仿宋" w:hAnsi="仿宋" w:cs="仿宋" w:hint="eastAsia"/>
            <w:lang w:eastAsia="zh-CN"/>
          </w:rPr>
          <w:t>(三)、工艺技术方案要求</w:t>
        </w:r>
        <w:r>
          <w:tab/>
        </w:r>
        <w:r>
          <w:fldChar w:fldCharType="begin"/>
        </w:r>
        <w:r>
          <w:instrText xml:space="preserve"> PAGEREF _Toc11037 \h </w:instrText>
        </w:r>
        <w:r>
          <w:fldChar w:fldCharType="separate"/>
        </w:r>
        <w:r>
          <w:t>25</w:t>
        </w:r>
        <w:r>
          <w:fldChar w:fldCharType="end"/>
        </w:r>
      </w:hyperlink>
    </w:p>
    <w:p>
      <w:pPr>
        <w:pStyle w:val="TOC1"/>
        <w:tabs>
          <w:tab w:val="right" w:leader="dot" w:pos="8306"/>
        </w:tabs>
      </w:pPr>
      <w:hyperlink w:anchor="_Toc19818" w:history="1">
        <w:r>
          <w:rPr>
            <w:rFonts w:ascii="仿宋" w:eastAsia="仿宋" w:hAnsi="仿宋" w:cs="仿宋" w:hint="eastAsia"/>
            <w:lang w:eastAsia="zh-CN"/>
          </w:rPr>
          <w:t>八、非临床安全性评价服务项目投资规划</w:t>
        </w:r>
        <w:r>
          <w:tab/>
        </w:r>
        <w:r>
          <w:fldChar w:fldCharType="begin"/>
        </w:r>
        <w:r>
          <w:instrText xml:space="preserve"> PAGEREF _Toc19818 \h </w:instrText>
        </w:r>
        <w:r>
          <w:fldChar w:fldCharType="separate"/>
        </w:r>
        <w:r>
          <w:t>27</w:t>
        </w:r>
        <w:r>
          <w:fldChar w:fldCharType="end"/>
        </w:r>
      </w:hyperlink>
    </w:p>
    <w:p>
      <w:pPr>
        <w:pStyle w:val="TOC2"/>
        <w:tabs>
          <w:tab w:val="right" w:leader="dot" w:pos="8306"/>
        </w:tabs>
      </w:pPr>
      <w:hyperlink w:anchor="_Toc20343" w:history="1">
        <w:r>
          <w:rPr>
            <w:rFonts w:ascii="仿宋" w:eastAsia="仿宋" w:hAnsi="仿宋" w:cs="仿宋" w:hint="eastAsia"/>
            <w:lang w:eastAsia="zh-CN"/>
          </w:rPr>
          <w:t>(一)、非临床安全性评价服务项目总投资估算</w:t>
        </w:r>
        <w:r>
          <w:tab/>
        </w:r>
        <w:r>
          <w:fldChar w:fldCharType="begin"/>
        </w:r>
        <w:r>
          <w:instrText xml:space="preserve"> PAGEREF _Toc20343 \h </w:instrText>
        </w:r>
        <w:r>
          <w:fldChar w:fldCharType="separate"/>
        </w:r>
        <w:r>
          <w:t>27</w:t>
        </w:r>
        <w:r>
          <w:fldChar w:fldCharType="end"/>
        </w:r>
      </w:hyperlink>
    </w:p>
    <w:p>
      <w:pPr>
        <w:pStyle w:val="TOC2"/>
        <w:tabs>
          <w:tab w:val="right" w:leader="dot" w:pos="8306"/>
        </w:tabs>
      </w:pPr>
      <w:hyperlink w:anchor="_Toc9447" w:history="1">
        <w:r>
          <w:rPr>
            <w:rFonts w:ascii="仿宋" w:eastAsia="仿宋" w:hAnsi="仿宋" w:cs="仿宋" w:hint="eastAsia"/>
            <w:lang w:eastAsia="zh-CN"/>
          </w:rPr>
          <w:t>(二)、资金筹措</w:t>
        </w:r>
        <w:r>
          <w:tab/>
        </w:r>
        <w:r>
          <w:fldChar w:fldCharType="begin"/>
        </w:r>
        <w:r>
          <w:instrText xml:space="preserve"> PAGEREF _Toc9447 \h </w:instrText>
        </w:r>
        <w:r>
          <w:fldChar w:fldCharType="separate"/>
        </w:r>
        <w:r>
          <w:t>28</w:t>
        </w:r>
        <w:r>
          <w:fldChar w:fldCharType="end"/>
        </w:r>
      </w:hyperlink>
    </w:p>
    <w:p>
      <w:pPr>
        <w:pStyle w:val="TOC1"/>
        <w:tabs>
          <w:tab w:val="right" w:leader="dot" w:pos="8306"/>
        </w:tabs>
      </w:pPr>
      <w:hyperlink w:anchor="_Toc3714" w:history="1">
        <w:r>
          <w:rPr>
            <w:rFonts w:ascii="仿宋" w:eastAsia="仿宋" w:hAnsi="仿宋" w:cs="仿宋" w:hint="eastAsia"/>
            <w:lang w:eastAsia="zh-CN"/>
          </w:rPr>
          <w:t>九、生产安全保护</w:t>
        </w:r>
        <w:r>
          <w:tab/>
        </w:r>
        <w:r>
          <w:fldChar w:fldCharType="begin"/>
        </w:r>
        <w:r>
          <w:instrText xml:space="preserve"> PAGEREF _Toc3714 \h </w:instrText>
        </w:r>
        <w:r>
          <w:fldChar w:fldCharType="separate"/>
        </w:r>
        <w:r>
          <w:t>29</w:t>
        </w:r>
        <w:r>
          <w:fldChar w:fldCharType="end"/>
        </w:r>
      </w:hyperlink>
    </w:p>
    <w:p>
      <w:pPr>
        <w:pStyle w:val="TOC2"/>
        <w:tabs>
          <w:tab w:val="right" w:leader="dot" w:pos="8306"/>
        </w:tabs>
      </w:pPr>
      <w:hyperlink w:anchor="_Toc24035" w:history="1">
        <w:r>
          <w:rPr>
            <w:rFonts w:ascii="仿宋" w:eastAsia="仿宋" w:hAnsi="仿宋" w:cs="仿宋" w:hint="eastAsia"/>
            <w:lang w:eastAsia="zh-CN"/>
          </w:rPr>
          <w:t>(一)、消防安全</w:t>
        </w:r>
        <w:r>
          <w:tab/>
        </w:r>
        <w:r>
          <w:fldChar w:fldCharType="begin"/>
        </w:r>
        <w:r>
          <w:instrText xml:space="preserve"> PAGEREF _Toc24035 \h </w:instrText>
        </w:r>
        <w:r>
          <w:fldChar w:fldCharType="separate"/>
        </w:r>
        <w:r>
          <w:t>29</w:t>
        </w:r>
        <w:r>
          <w:fldChar w:fldCharType="end"/>
        </w:r>
      </w:hyperlink>
    </w:p>
    <w:p>
      <w:pPr>
        <w:pStyle w:val="TOC2"/>
        <w:tabs>
          <w:tab w:val="right" w:leader="dot" w:pos="8306"/>
        </w:tabs>
      </w:pPr>
      <w:hyperlink w:anchor="_Toc11605" w:history="1">
        <w:r>
          <w:rPr>
            <w:rFonts w:ascii="仿宋" w:eastAsia="仿宋" w:hAnsi="仿宋" w:cs="仿宋" w:hint="eastAsia"/>
            <w:lang w:eastAsia="zh-CN"/>
          </w:rPr>
          <w:t>(二)、防火防爆总图布置措施</w:t>
        </w:r>
        <w:r>
          <w:tab/>
        </w:r>
        <w:r>
          <w:fldChar w:fldCharType="begin"/>
        </w:r>
        <w:r>
          <w:instrText xml:space="preserve"> PAGEREF _Toc11605 \h </w:instrText>
        </w:r>
        <w:r>
          <w:fldChar w:fldCharType="separate"/>
        </w:r>
        <w:r>
          <w:t>31</w:t>
        </w:r>
        <w:r>
          <w:fldChar w:fldCharType="end"/>
        </w:r>
      </w:hyperlink>
    </w:p>
    <w:p>
      <w:pPr>
        <w:pStyle w:val="TOC2"/>
        <w:tabs>
          <w:tab w:val="right" w:leader="dot" w:pos="8306"/>
        </w:tabs>
      </w:pPr>
      <w:hyperlink w:anchor="_Toc8105" w:history="1">
        <w:r>
          <w:rPr>
            <w:rFonts w:ascii="仿宋" w:eastAsia="仿宋" w:hAnsi="仿宋" w:cs="仿宋" w:hint="eastAsia"/>
            <w:lang w:eastAsia="zh-CN"/>
          </w:rPr>
          <w:t>(三)、自然灾害防范措施</w:t>
        </w:r>
        <w:r>
          <w:tab/>
        </w:r>
        <w:r>
          <w:fldChar w:fldCharType="begin"/>
        </w:r>
        <w:r>
          <w:instrText xml:space="preserve"> PAGEREF _Toc8105 \h </w:instrText>
        </w:r>
        <w:r>
          <w:fldChar w:fldCharType="separate"/>
        </w:r>
        <w:r>
          <w:t>31</w:t>
        </w:r>
        <w:r>
          <w:fldChar w:fldCharType="end"/>
        </w:r>
      </w:hyperlink>
    </w:p>
    <w:p>
      <w:pPr>
        <w:pStyle w:val="TOC2"/>
        <w:tabs>
          <w:tab w:val="right" w:leader="dot" w:pos="8306"/>
        </w:tabs>
      </w:pPr>
      <w:hyperlink w:anchor="_Toc6755" w:history="1">
        <w:r>
          <w:rPr>
            <w:rFonts w:ascii="仿宋" w:eastAsia="仿宋" w:hAnsi="仿宋" w:cs="仿宋" w:hint="eastAsia"/>
            <w:lang w:eastAsia="zh-CN"/>
          </w:rPr>
          <w:t>(四)、安全色及安全标志使用要求</w:t>
        </w:r>
        <w:r>
          <w:tab/>
        </w:r>
        <w:r>
          <w:fldChar w:fldCharType="begin"/>
        </w:r>
        <w:r>
          <w:instrText xml:space="preserve"> PAGEREF _Toc6755 \h </w:instrText>
        </w:r>
        <w:r>
          <w:fldChar w:fldCharType="separate"/>
        </w:r>
        <w:r>
          <w:t>33</w:t>
        </w:r>
        <w:r>
          <w:fldChar w:fldCharType="end"/>
        </w:r>
      </w:hyperlink>
    </w:p>
    <w:p>
      <w:pPr>
        <w:pStyle w:val="TOC2"/>
        <w:tabs>
          <w:tab w:val="right" w:leader="dot" w:pos="8306"/>
        </w:tabs>
      </w:pPr>
      <w:hyperlink w:anchor="_Toc6664" w:history="1">
        <w:r>
          <w:rPr>
            <w:rFonts w:ascii="仿宋" w:eastAsia="仿宋" w:hAnsi="仿宋" w:cs="仿宋" w:hint="eastAsia"/>
            <w:lang w:eastAsia="zh-CN"/>
          </w:rPr>
          <w:t>(五)、防尘防毒措施</w:t>
        </w:r>
        <w:r>
          <w:tab/>
        </w:r>
        <w:r>
          <w:fldChar w:fldCharType="begin"/>
        </w:r>
        <w:r>
          <w:instrText xml:space="preserve"> PAGEREF _Toc6664 \h </w:instrText>
        </w:r>
        <w:r>
          <w:fldChar w:fldCharType="separate"/>
        </w:r>
        <w:r>
          <w:t>34</w:t>
        </w:r>
        <w:r>
          <w:fldChar w:fldCharType="end"/>
        </w:r>
      </w:hyperlink>
    </w:p>
    <w:p>
      <w:pPr>
        <w:pStyle w:val="TOC2"/>
        <w:tabs>
          <w:tab w:val="right" w:leader="dot" w:pos="8306"/>
        </w:tabs>
      </w:pPr>
      <w:hyperlink w:anchor="_Toc23761" w:history="1">
        <w:r>
          <w:rPr>
            <w:rFonts w:ascii="仿宋" w:eastAsia="仿宋" w:hAnsi="仿宋" w:cs="仿宋" w:hint="eastAsia"/>
            <w:lang w:eastAsia="zh-CN"/>
          </w:rPr>
          <w:t>(六)、防静电、触电防护及防雷措施</w:t>
        </w:r>
        <w:r>
          <w:tab/>
        </w:r>
        <w:r>
          <w:fldChar w:fldCharType="begin"/>
        </w:r>
        <w:r>
          <w:instrText xml:space="preserve"> PAGEREF _Toc23761 \h </w:instrText>
        </w:r>
        <w:r>
          <w:fldChar w:fldCharType="separate"/>
        </w:r>
        <w:r>
          <w:t>35</w:t>
        </w:r>
        <w:r>
          <w:fldChar w:fldCharType="end"/>
        </w:r>
      </w:hyperlink>
    </w:p>
    <w:p>
      <w:pPr>
        <w:pStyle w:val="TOC2"/>
        <w:tabs>
          <w:tab w:val="right" w:leader="dot" w:pos="8306"/>
        </w:tabs>
      </w:pPr>
      <w:hyperlink w:anchor="_Toc23484" w:history="1">
        <w:r>
          <w:rPr>
            <w:rFonts w:ascii="仿宋" w:eastAsia="仿宋" w:hAnsi="仿宋" w:cs="仿宋" w:hint="eastAsia"/>
            <w:lang w:eastAsia="zh-CN"/>
          </w:rPr>
          <w:t>(七)、机械设备安全保障措施</w:t>
        </w:r>
        <w:r>
          <w:tab/>
        </w:r>
        <w:r>
          <w:fldChar w:fldCharType="begin"/>
        </w:r>
        <w:r>
          <w:instrText xml:space="preserve"> PAGEREF _Toc23484 \h </w:instrText>
        </w:r>
        <w:r>
          <w:fldChar w:fldCharType="separate"/>
        </w:r>
        <w:r>
          <w:t>36</w:t>
        </w:r>
        <w:r>
          <w:fldChar w:fldCharType="end"/>
        </w:r>
      </w:hyperlink>
    </w:p>
    <w:p>
      <w:pPr>
        <w:pStyle w:val="TOC1"/>
        <w:tabs>
          <w:tab w:val="right" w:leader="dot" w:pos="8306"/>
        </w:tabs>
      </w:pPr>
      <w:hyperlink w:anchor="_Toc9175" w:history="1">
        <w:r>
          <w:rPr>
            <w:rFonts w:ascii="仿宋" w:eastAsia="仿宋" w:hAnsi="仿宋" w:cs="仿宋" w:hint="eastAsia"/>
            <w:lang w:eastAsia="zh-CN"/>
          </w:rPr>
          <w:t>十、非临床安全性评价服务项目经营效益</w:t>
        </w:r>
        <w:r>
          <w:tab/>
        </w:r>
        <w:r>
          <w:fldChar w:fldCharType="begin"/>
        </w:r>
        <w:r>
          <w:instrText xml:space="preserve"> PAGEREF _Toc9175 \h </w:instrText>
        </w:r>
        <w:r>
          <w:fldChar w:fldCharType="separate"/>
        </w:r>
        <w:r>
          <w:t>38</w:t>
        </w:r>
        <w:r>
          <w:fldChar w:fldCharType="end"/>
        </w:r>
      </w:hyperlink>
    </w:p>
    <w:p>
      <w:pPr>
        <w:pStyle w:val="TOC2"/>
        <w:tabs>
          <w:tab w:val="right" w:leader="dot" w:pos="8306"/>
        </w:tabs>
      </w:pPr>
      <w:hyperlink w:anchor="_Toc27875" w:history="1">
        <w:r>
          <w:rPr>
            <w:rFonts w:ascii="仿宋" w:eastAsia="仿宋" w:hAnsi="仿宋" w:cs="仿宋" w:hint="eastAsia"/>
            <w:lang w:eastAsia="zh-CN"/>
          </w:rPr>
          <w:t>(一)、经济评价财务测算</w:t>
        </w:r>
        <w:r>
          <w:tab/>
        </w:r>
        <w:r>
          <w:fldChar w:fldCharType="begin"/>
        </w:r>
        <w:r>
          <w:instrText xml:space="preserve"> PAGEREF _Toc27875 \h </w:instrText>
        </w:r>
        <w:r>
          <w:fldChar w:fldCharType="separate"/>
        </w:r>
        <w:r>
          <w:t>38</w:t>
        </w:r>
        <w:r>
          <w:fldChar w:fldCharType="end"/>
        </w:r>
      </w:hyperlink>
    </w:p>
    <w:p>
      <w:pPr>
        <w:pStyle w:val="TOC2"/>
        <w:tabs>
          <w:tab w:val="right" w:leader="dot" w:pos="8306"/>
        </w:tabs>
      </w:pPr>
      <w:hyperlink w:anchor="_Toc7635" w:history="1">
        <w:r>
          <w:rPr>
            <w:rFonts w:ascii="仿宋" w:eastAsia="仿宋" w:hAnsi="仿宋" w:cs="仿宋" w:hint="eastAsia"/>
            <w:lang w:eastAsia="zh-CN"/>
          </w:rPr>
          <w:t>(二)、非临床安全性评价服务项目盈利能力分析</w:t>
        </w:r>
        <w:r>
          <w:tab/>
        </w:r>
        <w:r>
          <w:fldChar w:fldCharType="begin"/>
        </w:r>
        <w:r>
          <w:instrText xml:space="preserve"> PAGEREF _Toc7635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68" w:history="1">
        <w:r>
          <w:rPr>
            <w:rFonts w:ascii="仿宋" w:eastAsia="仿宋" w:hAnsi="仿宋" w:cs="仿宋" w:hint="eastAsia"/>
            <w:lang w:eastAsia="zh-CN"/>
          </w:rPr>
          <w:t>十一、非临床安全性评价服务项目环境影响分析</w:t>
        </w:r>
        <w:r>
          <w:tab/>
        </w:r>
        <w:r>
          <w:fldChar w:fldCharType="begin"/>
        </w:r>
        <w:r>
          <w:instrText xml:space="preserve"> PAGEREF _Toc22068 \h </w:instrText>
        </w:r>
        <w:r>
          <w:fldChar w:fldCharType="separate"/>
        </w:r>
        <w:r>
          <w:t>40</w:t>
        </w:r>
        <w:r>
          <w:fldChar w:fldCharType="end"/>
        </w:r>
      </w:hyperlink>
    </w:p>
    <w:p>
      <w:pPr>
        <w:pStyle w:val="TOC2"/>
        <w:tabs>
          <w:tab w:val="right" w:leader="dot" w:pos="8306"/>
        </w:tabs>
      </w:pPr>
      <w:hyperlink w:anchor="_Toc15663" w:history="1">
        <w:r>
          <w:rPr>
            <w:rFonts w:ascii="仿宋" w:eastAsia="仿宋" w:hAnsi="仿宋" w:cs="仿宋" w:hint="eastAsia"/>
            <w:lang w:eastAsia="zh-CN"/>
          </w:rPr>
          <w:t>(一)、建设区域环境质量现状</w:t>
        </w:r>
        <w:r>
          <w:tab/>
        </w:r>
        <w:r>
          <w:fldChar w:fldCharType="begin"/>
        </w:r>
        <w:r>
          <w:instrText xml:space="preserve"> PAGEREF _Toc15663 \h </w:instrText>
        </w:r>
        <w:r>
          <w:fldChar w:fldCharType="separate"/>
        </w:r>
        <w:r>
          <w:t>40</w:t>
        </w:r>
        <w:r>
          <w:fldChar w:fldCharType="end"/>
        </w:r>
      </w:hyperlink>
    </w:p>
    <w:p>
      <w:pPr>
        <w:pStyle w:val="TOC2"/>
        <w:tabs>
          <w:tab w:val="right" w:leader="dot" w:pos="8306"/>
        </w:tabs>
      </w:pPr>
      <w:hyperlink w:anchor="_Toc17109" w:history="1">
        <w:r>
          <w:rPr>
            <w:rFonts w:ascii="仿宋" w:eastAsia="仿宋" w:hAnsi="仿宋" w:cs="仿宋" w:hint="eastAsia"/>
            <w:lang w:eastAsia="zh-CN"/>
          </w:rPr>
          <w:t>(二)、建设期环境保护</w:t>
        </w:r>
        <w:r>
          <w:tab/>
        </w:r>
        <w:r>
          <w:fldChar w:fldCharType="begin"/>
        </w:r>
        <w:r>
          <w:instrText xml:space="preserve"> PAGEREF _Toc17109 \h </w:instrText>
        </w:r>
        <w:r>
          <w:fldChar w:fldCharType="separate"/>
        </w:r>
        <w:r>
          <w:t>41</w:t>
        </w:r>
        <w:r>
          <w:fldChar w:fldCharType="end"/>
        </w:r>
      </w:hyperlink>
    </w:p>
    <w:p>
      <w:pPr>
        <w:pStyle w:val="TOC2"/>
        <w:tabs>
          <w:tab w:val="right" w:leader="dot" w:pos="8306"/>
        </w:tabs>
      </w:pPr>
      <w:hyperlink w:anchor="_Toc337" w:history="1">
        <w:r>
          <w:rPr>
            <w:rFonts w:ascii="仿宋" w:eastAsia="仿宋" w:hAnsi="仿宋" w:cs="仿宋" w:hint="eastAsia"/>
            <w:lang w:eastAsia="zh-CN"/>
          </w:rPr>
          <w:t>(三)、运营期环境保护</w:t>
        </w:r>
        <w:r>
          <w:tab/>
        </w:r>
        <w:r>
          <w:fldChar w:fldCharType="begin"/>
        </w:r>
        <w:r>
          <w:instrText xml:space="preserve"> PAGEREF _Toc337 \h </w:instrText>
        </w:r>
        <w:r>
          <w:fldChar w:fldCharType="separate"/>
        </w:r>
        <w:r>
          <w:t>43</w:t>
        </w:r>
        <w:r>
          <w:fldChar w:fldCharType="end"/>
        </w:r>
      </w:hyperlink>
    </w:p>
    <w:p>
      <w:pPr>
        <w:pStyle w:val="TOC2"/>
        <w:tabs>
          <w:tab w:val="right" w:leader="dot" w:pos="8306"/>
        </w:tabs>
      </w:pPr>
      <w:hyperlink w:anchor="_Toc6659" w:history="1">
        <w:r>
          <w:rPr>
            <w:rFonts w:ascii="仿宋" w:eastAsia="仿宋" w:hAnsi="仿宋" w:cs="仿宋" w:hint="eastAsia"/>
            <w:lang w:eastAsia="zh-CN"/>
          </w:rPr>
          <w:t>(四)、非临床安全性评价服务项目建设对区域经济的影响</w:t>
        </w:r>
        <w:r>
          <w:tab/>
        </w:r>
        <w:r>
          <w:fldChar w:fldCharType="begin"/>
        </w:r>
        <w:r>
          <w:instrText xml:space="preserve"> PAGEREF _Toc6659 \h </w:instrText>
        </w:r>
        <w:r>
          <w:fldChar w:fldCharType="separate"/>
        </w:r>
        <w:r>
          <w:t>44</w:t>
        </w:r>
        <w:r>
          <w:fldChar w:fldCharType="end"/>
        </w:r>
      </w:hyperlink>
    </w:p>
    <w:p>
      <w:pPr>
        <w:pStyle w:val="TOC2"/>
        <w:tabs>
          <w:tab w:val="right" w:leader="dot" w:pos="8306"/>
        </w:tabs>
      </w:pPr>
      <w:hyperlink w:anchor="_Toc19498" w:history="1">
        <w:r>
          <w:rPr>
            <w:rFonts w:ascii="仿宋" w:eastAsia="仿宋" w:hAnsi="仿宋" w:cs="仿宋" w:hint="eastAsia"/>
            <w:lang w:eastAsia="zh-CN"/>
          </w:rPr>
          <w:t>(五)、废弃物处理</w:t>
        </w:r>
        <w:r>
          <w:tab/>
        </w:r>
        <w:r>
          <w:fldChar w:fldCharType="begin"/>
        </w:r>
        <w:r>
          <w:instrText xml:space="preserve"> PAGEREF _Toc19498 \h </w:instrText>
        </w:r>
        <w:r>
          <w:fldChar w:fldCharType="separate"/>
        </w:r>
        <w:r>
          <w:t>46</w:t>
        </w:r>
        <w:r>
          <w:fldChar w:fldCharType="end"/>
        </w:r>
      </w:hyperlink>
    </w:p>
    <w:p>
      <w:pPr>
        <w:pStyle w:val="TOC2"/>
        <w:tabs>
          <w:tab w:val="right" w:leader="dot" w:pos="8306"/>
        </w:tabs>
      </w:pPr>
      <w:hyperlink w:anchor="_Toc5872" w:history="1">
        <w:r>
          <w:rPr>
            <w:rFonts w:ascii="仿宋" w:eastAsia="仿宋" w:hAnsi="仿宋" w:cs="仿宋" w:hint="eastAsia"/>
            <w:lang w:eastAsia="zh-CN"/>
          </w:rPr>
          <w:t>(六)、特殊环境影响分析</w:t>
        </w:r>
        <w:r>
          <w:tab/>
        </w:r>
        <w:r>
          <w:fldChar w:fldCharType="begin"/>
        </w:r>
        <w:r>
          <w:instrText xml:space="preserve"> PAGEREF _Toc5872 \h </w:instrText>
        </w:r>
        <w:r>
          <w:fldChar w:fldCharType="separate"/>
        </w:r>
        <w:r>
          <w:t>47</w:t>
        </w:r>
        <w:r>
          <w:fldChar w:fldCharType="end"/>
        </w:r>
      </w:hyperlink>
    </w:p>
    <w:p>
      <w:pPr>
        <w:pStyle w:val="TOC2"/>
        <w:tabs>
          <w:tab w:val="right" w:leader="dot" w:pos="8306"/>
        </w:tabs>
      </w:pPr>
      <w:hyperlink w:anchor="_Toc20768" w:history="1">
        <w:r>
          <w:rPr>
            <w:rFonts w:ascii="仿宋" w:eastAsia="仿宋" w:hAnsi="仿宋" w:cs="仿宋" w:hint="eastAsia"/>
            <w:lang w:eastAsia="zh-CN"/>
          </w:rPr>
          <w:t>(七)、清洁生产</w:t>
        </w:r>
        <w:r>
          <w:tab/>
        </w:r>
        <w:r>
          <w:fldChar w:fldCharType="begin"/>
        </w:r>
        <w:r>
          <w:instrText xml:space="preserve"> PAGEREF _Toc20768 \h </w:instrText>
        </w:r>
        <w:r>
          <w:fldChar w:fldCharType="separate"/>
        </w:r>
        <w:r>
          <w:t>49</w:t>
        </w:r>
        <w:r>
          <w:fldChar w:fldCharType="end"/>
        </w:r>
      </w:hyperlink>
    </w:p>
    <w:p>
      <w:pPr>
        <w:pStyle w:val="TOC2"/>
        <w:tabs>
          <w:tab w:val="right" w:leader="dot" w:pos="8306"/>
        </w:tabs>
      </w:pPr>
      <w:hyperlink w:anchor="_Toc22648" w:history="1">
        <w:r>
          <w:rPr>
            <w:rFonts w:ascii="仿宋" w:eastAsia="仿宋" w:hAnsi="仿宋" w:cs="仿宋" w:hint="eastAsia"/>
            <w:lang w:eastAsia="zh-CN"/>
          </w:rPr>
          <w:t>(八)、环境保护综合评价</w:t>
        </w:r>
        <w:r>
          <w:tab/>
        </w:r>
        <w:r>
          <w:fldChar w:fldCharType="begin"/>
        </w:r>
        <w:r>
          <w:instrText xml:space="preserve"> PAGEREF _Toc22648 \h </w:instrText>
        </w:r>
        <w:r>
          <w:fldChar w:fldCharType="separate"/>
        </w:r>
        <w:r>
          <w:t>50</w:t>
        </w:r>
        <w:r>
          <w:fldChar w:fldCharType="end"/>
        </w:r>
      </w:hyperlink>
    </w:p>
    <w:p>
      <w:pPr>
        <w:pStyle w:val="TOC1"/>
        <w:tabs>
          <w:tab w:val="right" w:leader="dot" w:pos="8306"/>
        </w:tabs>
      </w:pPr>
      <w:hyperlink w:anchor="_Toc20584" w:history="1">
        <w:r>
          <w:rPr>
            <w:rFonts w:ascii="仿宋" w:eastAsia="仿宋" w:hAnsi="仿宋" w:cs="仿宋" w:hint="eastAsia"/>
            <w:lang w:eastAsia="zh-CN"/>
          </w:rPr>
          <w:t>十二、非临床安全性评价服务项目财务管理</w:t>
        </w:r>
        <w:r>
          <w:tab/>
        </w:r>
        <w:r>
          <w:fldChar w:fldCharType="begin"/>
        </w:r>
        <w:r>
          <w:instrText xml:space="preserve"> PAGEREF _Toc20584 \h </w:instrText>
        </w:r>
        <w:r>
          <w:fldChar w:fldCharType="separate"/>
        </w:r>
        <w:r>
          <w:t>51</w:t>
        </w:r>
        <w:r>
          <w:fldChar w:fldCharType="end"/>
        </w:r>
      </w:hyperlink>
    </w:p>
    <w:p>
      <w:pPr>
        <w:pStyle w:val="TOC2"/>
        <w:tabs>
          <w:tab w:val="right" w:leader="dot" w:pos="8306"/>
        </w:tabs>
      </w:pPr>
      <w:hyperlink w:anchor="_Toc28577" w:history="1">
        <w:r>
          <w:rPr>
            <w:rFonts w:ascii="仿宋" w:eastAsia="仿宋" w:hAnsi="仿宋" w:cs="仿宋" w:hint="eastAsia"/>
            <w:lang w:eastAsia="zh-CN"/>
          </w:rPr>
          <w:t>(一)、资金需求大</w:t>
        </w:r>
        <w:r>
          <w:tab/>
        </w:r>
        <w:r>
          <w:fldChar w:fldCharType="begin"/>
        </w:r>
        <w:r>
          <w:instrText xml:space="preserve"> PAGEREF _Toc28577 \h </w:instrText>
        </w:r>
        <w:r>
          <w:fldChar w:fldCharType="separate"/>
        </w:r>
        <w:r>
          <w:t>51</w:t>
        </w:r>
        <w:r>
          <w:fldChar w:fldCharType="end"/>
        </w:r>
      </w:hyperlink>
    </w:p>
    <w:p>
      <w:pPr>
        <w:pStyle w:val="TOC2"/>
        <w:tabs>
          <w:tab w:val="right" w:leader="dot" w:pos="8306"/>
        </w:tabs>
      </w:pPr>
      <w:hyperlink w:anchor="_Toc10762" w:history="1">
        <w:r>
          <w:rPr>
            <w:rFonts w:ascii="仿宋" w:eastAsia="仿宋" w:hAnsi="仿宋" w:cs="仿宋" w:hint="eastAsia"/>
            <w:lang w:eastAsia="zh-CN"/>
          </w:rPr>
          <w:t>(二)、研发周期长</w:t>
        </w:r>
        <w:r>
          <w:tab/>
        </w:r>
        <w:r>
          <w:fldChar w:fldCharType="begin"/>
        </w:r>
        <w:r>
          <w:instrText xml:space="preserve"> PAGEREF _Toc10762 \h </w:instrText>
        </w:r>
        <w:r>
          <w:fldChar w:fldCharType="separate"/>
        </w:r>
        <w:r>
          <w:t>52</w:t>
        </w:r>
        <w:r>
          <w:fldChar w:fldCharType="end"/>
        </w:r>
      </w:hyperlink>
    </w:p>
    <w:p>
      <w:pPr>
        <w:pStyle w:val="TOC2"/>
        <w:tabs>
          <w:tab w:val="right" w:leader="dot" w:pos="8306"/>
        </w:tabs>
      </w:pPr>
      <w:hyperlink w:anchor="_Toc27397" w:history="1">
        <w:r>
          <w:rPr>
            <w:rFonts w:ascii="仿宋" w:eastAsia="仿宋" w:hAnsi="仿宋" w:cs="仿宋" w:hint="eastAsia"/>
            <w:lang w:eastAsia="zh-CN"/>
          </w:rPr>
          <w:t>(三)、市场风险大</w:t>
        </w:r>
        <w:r>
          <w:tab/>
        </w:r>
        <w:r>
          <w:fldChar w:fldCharType="begin"/>
        </w:r>
        <w:r>
          <w:instrText xml:space="preserve"> PAGEREF _Toc27397 \h </w:instrText>
        </w:r>
        <w:r>
          <w:fldChar w:fldCharType="separate"/>
        </w:r>
        <w:r>
          <w:t>54</w:t>
        </w:r>
        <w:r>
          <w:fldChar w:fldCharType="end"/>
        </w:r>
      </w:hyperlink>
    </w:p>
    <w:p>
      <w:pPr>
        <w:pStyle w:val="TOC2"/>
        <w:tabs>
          <w:tab w:val="right" w:leader="dot" w:pos="8306"/>
        </w:tabs>
      </w:pPr>
      <w:hyperlink w:anchor="_Toc28193" w:history="1">
        <w:r>
          <w:rPr>
            <w:rFonts w:ascii="仿宋" w:eastAsia="仿宋" w:hAnsi="仿宋" w:cs="仿宋" w:hint="eastAsia"/>
            <w:lang w:eastAsia="zh-CN"/>
          </w:rPr>
          <w:t>(四)、利润率高</w:t>
        </w:r>
        <w:r>
          <w:tab/>
        </w:r>
        <w:r>
          <w:fldChar w:fldCharType="begin"/>
        </w:r>
        <w:r>
          <w:instrText xml:space="preserve"> PAGEREF _Toc28193 \h </w:instrText>
        </w:r>
        <w:r>
          <w:fldChar w:fldCharType="separate"/>
        </w:r>
        <w:r>
          <w:t>57</w:t>
        </w:r>
        <w:r>
          <w:fldChar w:fldCharType="end"/>
        </w:r>
      </w:hyperlink>
    </w:p>
    <w:p>
      <w:pPr>
        <w:pStyle w:val="TOC1"/>
        <w:tabs>
          <w:tab w:val="right" w:leader="dot" w:pos="8306"/>
        </w:tabs>
      </w:pPr>
      <w:hyperlink w:anchor="_Toc3730" w:history="1">
        <w:r>
          <w:rPr>
            <w:rFonts w:ascii="仿宋" w:eastAsia="仿宋" w:hAnsi="仿宋" w:cs="仿宋" w:hint="eastAsia"/>
            <w:lang w:eastAsia="zh-CN"/>
          </w:rPr>
          <w:t>十三、利益相关者分析与沟通计划</w:t>
        </w:r>
        <w:r>
          <w:tab/>
        </w:r>
        <w:r>
          <w:fldChar w:fldCharType="begin"/>
        </w:r>
        <w:r>
          <w:instrText xml:space="preserve"> PAGEREF _Toc3730 \h </w:instrText>
        </w:r>
        <w:r>
          <w:fldChar w:fldCharType="separate"/>
        </w:r>
        <w:r>
          <w:t>59</w:t>
        </w:r>
        <w:r>
          <w:fldChar w:fldCharType="end"/>
        </w:r>
      </w:hyperlink>
    </w:p>
    <w:p>
      <w:pPr>
        <w:pStyle w:val="TOC2"/>
        <w:tabs>
          <w:tab w:val="right" w:leader="dot" w:pos="8306"/>
        </w:tabs>
      </w:pPr>
      <w:hyperlink w:anchor="_Toc31776" w:history="1">
        <w:r>
          <w:rPr>
            <w:rFonts w:ascii="仿宋" w:eastAsia="仿宋" w:hAnsi="仿宋" w:cs="仿宋" w:hint="eastAsia"/>
            <w:lang w:eastAsia="zh-CN"/>
          </w:rPr>
          <w:t>(一)、利益相关者分析</w:t>
        </w:r>
        <w:r>
          <w:tab/>
        </w:r>
        <w:r>
          <w:fldChar w:fldCharType="begin"/>
        </w:r>
        <w:r>
          <w:instrText xml:space="preserve"> PAGEREF _Toc31776 \h </w:instrText>
        </w:r>
        <w:r>
          <w:fldChar w:fldCharType="separate"/>
        </w:r>
        <w:r>
          <w:t>59</w:t>
        </w:r>
        <w:r>
          <w:fldChar w:fldCharType="end"/>
        </w:r>
      </w:hyperlink>
    </w:p>
    <w:p>
      <w:pPr>
        <w:pStyle w:val="TOC2"/>
        <w:tabs>
          <w:tab w:val="right" w:leader="dot" w:pos="8306"/>
        </w:tabs>
      </w:pPr>
      <w:hyperlink w:anchor="_Toc8773" w:history="1">
        <w:r>
          <w:rPr>
            <w:rFonts w:ascii="仿宋" w:eastAsia="仿宋" w:hAnsi="仿宋" w:cs="仿宋" w:hint="eastAsia"/>
            <w:lang w:eastAsia="zh-CN"/>
          </w:rPr>
          <w:t>(二)、沟通计划</w:t>
        </w:r>
        <w:r>
          <w:tab/>
        </w:r>
        <w:r>
          <w:fldChar w:fldCharType="begin"/>
        </w:r>
        <w:r>
          <w:instrText xml:space="preserve"> PAGEREF _Toc8773 \h </w:instrText>
        </w:r>
        <w:r>
          <w:fldChar w:fldCharType="separate"/>
        </w:r>
        <w:r>
          <w:t>60</w:t>
        </w:r>
        <w:r>
          <w:fldChar w:fldCharType="end"/>
        </w:r>
      </w:hyperlink>
    </w:p>
    <w:p>
      <w:pPr>
        <w:pStyle w:val="TOC1"/>
        <w:tabs>
          <w:tab w:val="right" w:leader="dot" w:pos="8306"/>
        </w:tabs>
      </w:pPr>
      <w:hyperlink w:anchor="_Toc4375" w:history="1">
        <w:r>
          <w:rPr>
            <w:rFonts w:ascii="仿宋" w:eastAsia="仿宋" w:hAnsi="仿宋" w:cs="仿宋" w:hint="eastAsia"/>
            <w:lang w:eastAsia="zh-CN"/>
          </w:rPr>
          <w:t>十四、非临床安全性评价服务项目变更管理</w:t>
        </w:r>
        <w:r>
          <w:tab/>
        </w:r>
        <w:r>
          <w:fldChar w:fldCharType="begin"/>
        </w:r>
        <w:r>
          <w:instrText xml:space="preserve"> PAGEREF _Toc4375 \h </w:instrText>
        </w:r>
        <w:r>
          <w:fldChar w:fldCharType="separate"/>
        </w:r>
        <w:r>
          <w:t>61</w:t>
        </w:r>
        <w:r>
          <w:fldChar w:fldCharType="end"/>
        </w:r>
      </w:hyperlink>
    </w:p>
    <w:p>
      <w:pPr>
        <w:pStyle w:val="TOC2"/>
        <w:tabs>
          <w:tab w:val="right" w:leader="dot" w:pos="8306"/>
        </w:tabs>
      </w:pPr>
      <w:hyperlink w:anchor="_Toc22478" w:history="1">
        <w:r>
          <w:rPr>
            <w:rFonts w:ascii="仿宋" w:eastAsia="仿宋" w:hAnsi="仿宋" w:cs="仿宋" w:hint="eastAsia"/>
            <w:lang w:eastAsia="zh-CN"/>
          </w:rPr>
          <w:t>(一)、变更申请与评估</w:t>
        </w:r>
        <w:r>
          <w:tab/>
        </w:r>
        <w:r>
          <w:fldChar w:fldCharType="begin"/>
        </w:r>
        <w:r>
          <w:instrText xml:space="preserve"> PAGEREF _Toc22478 \h </w:instrText>
        </w:r>
        <w:r>
          <w:fldChar w:fldCharType="separate"/>
        </w:r>
        <w:r>
          <w:t>61</w:t>
        </w:r>
        <w:r>
          <w:fldChar w:fldCharType="end"/>
        </w:r>
      </w:hyperlink>
    </w:p>
    <w:p>
      <w:pPr>
        <w:pStyle w:val="TOC2"/>
        <w:tabs>
          <w:tab w:val="right" w:leader="dot" w:pos="8306"/>
        </w:tabs>
      </w:pPr>
      <w:hyperlink w:anchor="_Toc25937" w:history="1">
        <w:r>
          <w:rPr>
            <w:rFonts w:ascii="仿宋" w:eastAsia="仿宋" w:hAnsi="仿宋" w:cs="仿宋" w:hint="eastAsia"/>
            <w:lang w:eastAsia="zh-CN"/>
          </w:rPr>
          <w:t>(二)、变更实施与控制</w:t>
        </w:r>
        <w:r>
          <w:tab/>
        </w:r>
        <w:r>
          <w:fldChar w:fldCharType="begin"/>
        </w:r>
        <w:r>
          <w:instrText xml:space="preserve"> PAGEREF _Toc25937 \h </w:instrText>
        </w:r>
        <w:r>
          <w:fldChar w:fldCharType="separate"/>
        </w:r>
        <w:r>
          <w:t>62</w:t>
        </w:r>
        <w:r>
          <w:fldChar w:fldCharType="end"/>
        </w:r>
      </w:hyperlink>
    </w:p>
    <w:p>
      <w:pPr>
        <w:pStyle w:val="TOC1"/>
        <w:tabs>
          <w:tab w:val="right" w:leader="dot" w:pos="8306"/>
        </w:tabs>
      </w:pPr>
      <w:hyperlink w:anchor="_Toc1597" w:history="1">
        <w:r>
          <w:rPr>
            <w:rFonts w:ascii="仿宋" w:eastAsia="仿宋" w:hAnsi="仿宋" w:cs="仿宋" w:hint="eastAsia"/>
            <w:lang w:eastAsia="zh-CN"/>
          </w:rPr>
          <w:t>十五、风险识别与分类</w:t>
        </w:r>
        <w:r>
          <w:tab/>
        </w:r>
        <w:r>
          <w:fldChar w:fldCharType="begin"/>
        </w:r>
        <w:r>
          <w:instrText xml:space="preserve"> PAGEREF _Toc1597 \h </w:instrText>
        </w:r>
        <w:r>
          <w:fldChar w:fldCharType="separate"/>
        </w:r>
        <w:r>
          <w:t>62</w:t>
        </w:r>
        <w:r>
          <w:fldChar w:fldCharType="end"/>
        </w:r>
      </w:hyperlink>
    </w:p>
    <w:p>
      <w:pPr>
        <w:pStyle w:val="TOC2"/>
        <w:tabs>
          <w:tab w:val="right" w:leader="dot" w:pos="8306"/>
        </w:tabs>
      </w:pPr>
      <w:hyperlink w:anchor="_Toc15305" w:history="1">
        <w:r>
          <w:rPr>
            <w:rFonts w:ascii="仿宋" w:eastAsia="仿宋" w:hAnsi="仿宋" w:cs="仿宋" w:hint="eastAsia"/>
            <w:lang w:eastAsia="zh-CN"/>
          </w:rPr>
          <w:t>(一)、风险识别</w:t>
        </w:r>
        <w:r>
          <w:tab/>
        </w:r>
        <w:r>
          <w:fldChar w:fldCharType="begin"/>
        </w:r>
        <w:r>
          <w:instrText xml:space="preserve"> PAGEREF _Toc15305 \h </w:instrText>
        </w:r>
        <w:r>
          <w:fldChar w:fldCharType="separate"/>
        </w:r>
        <w:r>
          <w:t>62</w:t>
        </w:r>
        <w:r>
          <w:fldChar w:fldCharType="end"/>
        </w:r>
      </w:hyperlink>
    </w:p>
    <w:p>
      <w:pPr>
        <w:pStyle w:val="TOC2"/>
        <w:tabs>
          <w:tab w:val="right" w:leader="dot" w:pos="8306"/>
        </w:tabs>
      </w:pPr>
      <w:hyperlink w:anchor="_Toc13351" w:history="1">
        <w:r>
          <w:rPr>
            <w:rFonts w:ascii="仿宋" w:eastAsia="仿宋" w:hAnsi="仿宋" w:cs="仿宋" w:hint="eastAsia"/>
            <w:lang w:eastAsia="zh-CN"/>
          </w:rPr>
          <w:t>(二)、风险分类</w:t>
        </w:r>
        <w:r>
          <w:tab/>
        </w:r>
        <w:r>
          <w:fldChar w:fldCharType="begin"/>
        </w:r>
        <w:r>
          <w:instrText xml:space="preserve"> PAGEREF _Toc13351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042"/>
      <w:r>
        <w:rPr>
          <w:rFonts w:ascii="仿宋" w:eastAsia="仿宋" w:hAnsi="仿宋" w:cs="仿宋" w:hint="eastAsia"/>
          <w:sz w:val="28"/>
          <w:lang w:eastAsia="zh-CN"/>
        </w:rPr>
        <w:t>一、非临床安全性评价服务项目危机管理</w:t>
      </w:r>
      <w:bookmarkEnd w:id="2"/>
    </w:p>
    <w:p>
      <w:pPr>
        <w:pStyle w:val="Heading2"/>
        <w:rPr>
          <w:rFonts w:ascii="仿宋" w:eastAsia="仿宋" w:hAnsi="仿宋" w:cs="仿宋" w:hint="eastAsia"/>
          <w:lang w:eastAsia="zh-CN"/>
        </w:rPr>
      </w:pPr>
      <w:bookmarkStart w:id="3" w:name="_Toc1820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非临床安全性评价服务项目危机管理中，危机预警与识别是确保非临床安全性评价服务项目稳健运行的核心步骤。通过建立全面的监测机制，非临床安全性评价服务项目团队旨在及时发现和理解潜在的风险和危机因素，以便采取及时的预防和应对措施，确保非临床安全性评价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非临床安全性评价服务项目团队全面分析了整个非临床安全性评价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非临床安全性评价服务项目团队着重于明确定义非临床安全性评价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非临床安全性评价服务项目进展的持续监控，团队能够及时发现潜在问题并作出迅速反应。非临床安全性评价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非临床安全性评价服务项目得以更有序、可控地推进。</w:t>
      </w:r>
    </w:p>
    <w:p>
      <w:pPr>
        <w:pStyle w:val="Heading2"/>
        <w:ind w:firstLine="560" w:firstLineChars="200"/>
        <w:rPr>
          <w:rFonts w:ascii="仿宋" w:eastAsia="仿宋" w:hAnsi="仿宋" w:cs="仿宋" w:hint="eastAsia"/>
          <w:sz w:val="28"/>
          <w:lang w:eastAsia="zh-CN"/>
        </w:rPr>
      </w:pPr>
      <w:bookmarkStart w:id="4" w:name="_Toc1273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在危机发生时，非临床安全性评价服务项目团队立即行动，成立了应急小组。该小组的任务是迅速制定并实施紧急应对措施，以最小化潜在损失。以下是采取的主要措施：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暂停非临床安全性评价服务项目进度：为遏制危机蔓延，非临床安全性评价服务项目暂时停止进行，以便全面评估当前状况。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资源重新分配：重新评估非临床安全性评价服务项目资源的分配，确保最大限度地减小损失。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实时沟通：与关键利益相关者建立实时沟通机制，向他们传递非临床安全性评价服务项目危机的实际状况，保障非临床安全性评价服务项目核心利益。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在紧急应对的同时，非临床安全性评价服务项目团队强调了团队协作和有效沟通的重要性。以下是团队协作的关键举措：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信息共享机制：建立了信息共享平台，确保团队成员能够及时获取非临床安全性评价服务项目危机的实时信息。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领导者沟通：非临床安全性评价服务项目领导者通过定期会议和即时沟通工具，指导团队应对危机，保持团队稳定运行。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随着危机得到初步控制，非临床安全性评价服务项目团队转向制定恢复计划，以确保非临床安全性评价服务项目能够从中迅速恢复。主要恢复计划包括：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修复受损的进度计划：重新评估非临床安全性评价服务项目进度，制定修复计划，确保非临床安全性评价服务项目尽快回归正常进程。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重新调整资源分配：优化资源分配，确保非临床安全性评价服务项目在有限资源下高效运转。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风险管理机制加强：对非临床安全性评价服务项目风险进行全面评估，制定更强化的风险管理策略，以预防未来可能的危机。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622"/>
      <w:r>
        <w:rPr>
          <w:rFonts w:ascii="仿宋" w:eastAsia="仿宋" w:hAnsi="仿宋" w:cs="仿宋" w:hint="eastAsia"/>
          <w:sz w:val="28"/>
          <w:lang w:eastAsia="zh-CN"/>
        </w:rPr>
        <w:t>二、非临床安全性评价服务项目文档管理</w:t>
      </w:r>
      <w:bookmarkEnd w:id="5"/>
    </w:p>
    <w:p>
      <w:pPr>
        <w:pStyle w:val="Heading2"/>
        <w:rPr>
          <w:rFonts w:ascii="仿宋" w:eastAsia="仿宋" w:hAnsi="仿宋" w:cs="仿宋" w:hint="eastAsia"/>
          <w:lang w:eastAsia="zh-CN"/>
        </w:rPr>
      </w:pPr>
      <w:bookmarkStart w:id="6" w:name="_Toc1761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非临床安全性评价服务项目高度重视文档的质量和准确性，以支持非临床安全性评价服务项目的各项活动和决策。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非临床安全性评价服务项目文档的编制始于非临床安全性评价服务项目计划的初期，我们制定了详细的文档编制计划，明确了每个文档的内容、格式和编写责任人。在非临床安全性评价服务项目启动阶段，我们首先编制了非临床安全性评价服务项目章程，明确定义了非临床安全性评价服务项目的目标、范围、风险等关键要素。随后，非临床安全性评价服务项目团队根据计划陆续编制了需求文档、设计文档、测试文档等各类文档，确保非临床安全性评价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非临床安全性评价服务项目管理中的重要环节，旨在确保非临床安全性评价服务项目文档符合质量标准和非临床安全性评价服务项目需求。在非临床安全性评价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非临床安全性评价服务项目相关利益方和专业领域的专家对文档进行独立审查。这有助于获取更全面、客观的反馈，确保非临床安全性评价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临床安全性评价服务项目在文档编制与审查方面建立了严格的管理机制，通过规范的流程和多维度的审查，确保非临床安全性评价服务项目文档的质量、准确性和可靠性，为非临床安全性评价服务项目的顺利推进提供了有力支持。</w:t>
      </w:r>
    </w:p>
    <w:p>
      <w:pPr>
        <w:pStyle w:val="Heading2"/>
        <w:ind w:firstLine="560" w:firstLineChars="200"/>
        <w:rPr>
          <w:rFonts w:ascii="仿宋" w:eastAsia="仿宋" w:hAnsi="仿宋" w:cs="仿宋" w:hint="eastAsia"/>
          <w:sz w:val="28"/>
          <w:lang w:eastAsia="zh-CN"/>
        </w:rPr>
      </w:pPr>
      <w:bookmarkStart w:id="7" w:name="_Toc2156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在非临床安全性评价服务项目中，我们致力于优化文档发布与分发过程，以确保信息的高效传递和团队间协作的顺畅进行。以下是我们采取的关键优化策略：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我们通过多渠道发布文档，包括电子邮件、非临床安全性评价服务项目管理平台、内部网站等，以满足不同团队成员的偏好和需求。多渠道发布确保了信息的全面覆盖。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我们采用了精细的权限控制，确保只有授权人员可以访问敏感信息。这种安全措施保护了非临床安全性评价服务项目文档的机密性，防止了未经授权的信息泄露。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72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非临床安全性评价服务项目生命周期中一个至关重要的环节，直接关系到非临床安全性评价服务项目信息的长期保存和历史记录的完整性。在非临床安全性评价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281"/>
      <w:r>
        <w:rPr>
          <w:rFonts w:ascii="仿宋" w:eastAsia="仿宋" w:hAnsi="仿宋" w:cs="仿宋" w:hint="eastAsia"/>
          <w:sz w:val="28"/>
          <w:lang w:eastAsia="zh-CN"/>
        </w:rPr>
        <w:t>三、非临床安全性评价服务项目土建工程</w:t>
      </w:r>
      <w:bookmarkEnd w:id="9"/>
    </w:p>
    <w:p>
      <w:pPr>
        <w:pStyle w:val="Heading2"/>
        <w:rPr>
          <w:rFonts w:ascii="仿宋" w:eastAsia="仿宋" w:hAnsi="仿宋" w:cs="仿宋" w:hint="eastAsia"/>
          <w:lang w:eastAsia="zh-CN"/>
        </w:rPr>
      </w:pPr>
      <w:bookmarkStart w:id="10" w:name="_Toc2468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在非临床安全性评价服务项目的建筑工程设计中，我们将秉承一系列重要的设计原则，以确保非临床安全性评价服务项目建筑在功能、美观、可持续性等方面达到最佳效果。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首要原则是确保建筑的功能性得到最大化的发挥。我们将充分理解非临床安全性评价服务项目的实际需求，合理布局各个功能区域，保证建筑在满足业务需求的同时，提供高效的工作环境。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在建筑设计中，我们将综合考虑建设和运营成本。通过精细的经济效益分析，确保设计方案在高效利用资源的同时，对非临床安全性评价服务项目的长期盈利能力有积极的贡献。</w:t>
      </w:r>
    </w:p>
    <w:p>
      <w:pPr>
        <w:pStyle w:val="Heading2"/>
        <w:ind w:firstLine="560" w:firstLineChars="200"/>
        <w:rPr>
          <w:rFonts w:ascii="仿宋" w:eastAsia="仿宋" w:hAnsi="仿宋" w:cs="仿宋" w:hint="eastAsia"/>
          <w:sz w:val="28"/>
          <w:lang w:eastAsia="zh-CN"/>
        </w:rPr>
      </w:pPr>
      <w:bookmarkStart w:id="11" w:name="_Toc1773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临床安全性评价服务项目的土建工程设计中，我们将精准设定设计年限，结合非临床安全性评价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非临床安全性评价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12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非临床安全性评价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非临床安全性评价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非临床安全性评价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772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本期工程非临床安全性评价服务项目预计总建筑面积XXX平方米，其中：计容建筑面积XXX平方米，计划建筑工程投资XX万元，占非临床安全性评价服务项目总投资的XX%。</w:t>
      </w:r>
    </w:p>
    <w:p>
      <w:pPr>
        <w:pStyle w:val="Heading1"/>
        <w:ind w:firstLine="560" w:firstLineChars="200"/>
        <w:rPr>
          <w:rFonts w:ascii="仿宋" w:eastAsia="仿宋" w:hAnsi="仿宋" w:cs="仿宋" w:hint="eastAsia"/>
          <w:sz w:val="28"/>
          <w:lang w:eastAsia="zh-CN"/>
        </w:rPr>
      </w:pPr>
      <w:bookmarkStart w:id="14" w:name="_Toc2930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720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非临床安全性评价服务项目的技术管理特点体现在其创新导向。通过引入最先进的技术趋势和解决方案，非临床安全性评价服务项目致力于提升科技含量、提高质量和效率水平。这意味着我们将采用最新的工具和方法，确保非临床安全性评价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临床安全性评价服务项目技术管理的显著特征。通过整合不同领域的技术资源，我们实现了跨学科的协同工作。这有助于优化技术架构，提高整体效能。此外，整合性策略还促进了不同技术团队之间的紧密沟通和高效合作，确保非临床安全性评价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临床安全性评价服务项目所采用的技术。通过不断优化技术方案，非临床安全性评价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非临床安全性评价服务项目团队将在非临床安全性评价服务项目初期识别可能的技术风险，并采取相应的预防和应对措施。通过建立健全的风险评估机制，非临床安全性评价服务项目能够在实施过程中及时发现并解决潜在的技术问题，保障非临床安全性评价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非临床安全性评价服务项目中，技术将成为非临床安全性评价服务项目成功的有力支持。这一深度剖析揭示了技术管理在非临床安全性评价服务项目实施中的关键作用，为非临床安全性评价服务项目的技术基础奠定了坚实的基础。</w:t>
      </w:r>
    </w:p>
    <w:p>
      <w:pPr>
        <w:pStyle w:val="Heading2"/>
        <w:ind w:firstLine="560" w:firstLineChars="200"/>
        <w:rPr>
          <w:rFonts w:ascii="仿宋" w:eastAsia="仿宋" w:hAnsi="仿宋" w:cs="仿宋" w:hint="eastAsia"/>
          <w:sz w:val="28"/>
          <w:lang w:eastAsia="zh-CN"/>
        </w:rPr>
      </w:pPr>
      <w:bookmarkStart w:id="16" w:name="_Toc18696"/>
      <w:r>
        <w:rPr>
          <w:rFonts w:ascii="仿宋" w:eastAsia="仿宋" w:hAnsi="仿宋" w:cs="仿宋" w:hint="eastAsia"/>
          <w:sz w:val="28"/>
          <w:lang w:eastAsia="zh-CN"/>
        </w:rPr>
        <w:t>(二)、非临床安全性评价服务项目工艺技术设计方案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临床安全性评价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临床安全性评价服务项目将严格按照相关行业规范要求进行组织。通过有效控制产品质量，非临床安全性评价服务项目将致力于为顾客提供优质的非临床安全性评价服务项目产品和良好的服务。这体现了非临床安全性评价服务项目对于生产活动合规性和质量标准的高度重视，为非临床安全性评价服务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非临床安全性评价服务项目注重生态效益和清洁生产原则。非临床安全性评价服务项目建设将紧密结合地方特色经济发展，与社会经济发展规划和区域环境保护规划方案相协调一致。通过与当地区域自然生态系统的结合，非临床安全性评价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临床安全性评价服务项目产品具有多样化的客户需求和个性化的特点。因此，非临床安全性评价服务项目产品规格品种多样，且单批生产数量较小。为满足这一特点，非临床安全性评价服务项目承办单位将建设先进的柔性制造生产线。通过广泛应用柔性制造技术，非临床安全性评价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临床安全性评价服务项目采用的技术具有较高的技术含量和自动化水平，处于国内先进水平。这一技术选用不仅体现了对生产效率、质量和环境友好性的高标准要求，同时为非临床安全性评价服务项目的可持续发展奠定了坚实的基础。</w:t>
      </w:r>
    </w:p>
    <w:p>
      <w:pPr>
        <w:pStyle w:val="Heading2"/>
        <w:ind w:firstLine="560" w:firstLineChars="200"/>
        <w:rPr>
          <w:rFonts w:ascii="仿宋" w:eastAsia="仿宋" w:hAnsi="仿宋" w:cs="仿宋" w:hint="eastAsia"/>
          <w:sz w:val="28"/>
          <w:lang w:eastAsia="zh-CN"/>
        </w:rPr>
      </w:pPr>
      <w:bookmarkStart w:id="17" w:name="_Toc1914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为确保非临床安全性评价服务项目的高效生产和技术实施，我们制定了一套精心设计的设备选型方案，以满足非临床安全性评价服务项目生产、质量和环保的要求。该方案的主要特点如下：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非临床安全性评价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临床安全性评价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https://d.book118.com/177012064046006034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非临床安全性评价服务项目规划设计蓝图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非临床安全性评价服务项目规划设计蓝图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非临床安全性评价服务项目规划设计蓝图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非临床安全性评价服务项目规划设计蓝图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非临床安全性评价服务项目规划设计蓝图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非临床安全性评价服务项目规划设计蓝图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非临床安全性评价服务项目规划设计蓝图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非临床安全性评价服务项目规划设计蓝图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非临床安全性评价服务项目规划设计蓝图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非临床安全性评价服务项目规划设计蓝图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非临床安全性评价服务项目规划设计蓝图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非临床安全性评价服务项目规划设计蓝图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非临床安全性评价服务项目规划设计蓝图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非临床安全性评价服务项目规划设计蓝图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非临床安全性评价服务项目规划设计蓝图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非临床安全性评价服务项目规划设计蓝图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非临床安全性评价服务项目规划设计蓝图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B65E77"/>
    <w:rsid w:val="07B65E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01206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2024-01-15T19:28:00Z</dcterms:created>
  <dcterms:modified xsi:type="dcterms:W3CDTF">2024-01-15T19:29:10Z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A1FA0CDF2833488593AD7BDAAFB11D1F_11</vt:lpwstr>
  </property>
  <property fmtid="{D5CDD505-2E9C-101B-9397-08002B2CF9AE}" pid="3" name="KSOProductBuildVer">
    <vt:lpwstr>2052-12.1.0.16120</vt:lpwstr>
  </property>
</Properties>
</file>