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7" w:line="242" w:lineRule="auto"/>
        <w:ind w:left="1992" w:right="2272" w:firstLine="0"/>
        <w:jc w:val="center"/>
        <w:rPr>
          <w:sz w:val="48"/>
        </w:rPr>
      </w:pPr>
      <w:r>
        <w:rPr>
          <w:spacing w:val="-2"/>
          <w:sz w:val="48"/>
        </w:rPr>
        <w:t>泉州师范学院化生院教学设备</w:t>
      </w:r>
      <w:r>
        <w:rPr>
          <w:spacing w:val="-2"/>
          <w:sz w:val="48"/>
        </w:rPr>
        <w:t>采购及服务项目</w:t>
      </w: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3"/>
        <w:rPr>
          <w:sz w:val="52"/>
        </w:rPr>
      </w:pPr>
    </w:p>
    <w:p>
      <w:pPr>
        <w:pStyle w:val="Title"/>
      </w:pPr>
      <w:r>
        <w:rPr>
          <w:shadow/>
          <w:w w:val="200"/>
        </w:rPr>
        <w:t>招</w:t>
      </w:r>
      <w:r>
        <w:rPr>
          <w:shadow w:val="0"/>
          <w:spacing w:val="-96"/>
          <w:w w:val="200"/>
        </w:rPr>
        <w:t xml:space="preserve"> </w:t>
      </w:r>
      <w:r>
        <w:rPr>
          <w:shadow/>
          <w:w w:val="200"/>
        </w:rPr>
        <w:t>标</w:t>
      </w:r>
      <w:r>
        <w:rPr>
          <w:shadow w:val="0"/>
          <w:spacing w:val="-96"/>
          <w:w w:val="200"/>
        </w:rPr>
        <w:t xml:space="preserve"> </w:t>
      </w:r>
      <w:r>
        <w:rPr>
          <w:shadow/>
          <w:w w:val="200"/>
        </w:rPr>
        <w:t>文</w:t>
      </w:r>
      <w:r>
        <w:rPr>
          <w:shadow w:val="0"/>
          <w:spacing w:val="-96"/>
          <w:w w:val="200"/>
        </w:rPr>
        <w:t xml:space="preserve"> </w:t>
      </w:r>
      <w:r>
        <w:rPr>
          <w:shadow/>
          <w:spacing w:val="-10"/>
          <w:w w:val="200"/>
        </w:rPr>
        <w:t>件</w:t>
      </w:r>
    </w:p>
    <w:p>
      <w:pPr>
        <w:pStyle w:val="BodyText"/>
        <w:rPr>
          <w:sz w:val="72"/>
        </w:rPr>
      </w:pPr>
    </w:p>
    <w:p>
      <w:pPr>
        <w:pStyle w:val="BodyText"/>
        <w:spacing w:before="3"/>
        <w:rPr>
          <w:sz w:val="56"/>
        </w:rPr>
      </w:pPr>
    </w:p>
    <w:p>
      <w:pPr>
        <w:spacing w:before="0"/>
        <w:ind w:left="2334" w:right="0" w:firstLine="0"/>
        <w:jc w:val="left"/>
        <w:rPr>
          <w:sz w:val="24"/>
        </w:rPr>
      </w:pPr>
      <w:r>
        <w:rPr>
          <w:spacing w:val="-1"/>
          <w:sz w:val="24"/>
        </w:rPr>
        <w:t>采购编号：</w:t>
      </w:r>
      <w:r>
        <w:rPr>
          <w:spacing w:val="-2"/>
          <w:sz w:val="24"/>
          <w:u w:val="single"/>
        </w:rPr>
        <w:t>QZJL201407031</w:t>
      </w:r>
    </w:p>
    <w:p>
      <w:pPr>
        <w:pStyle w:val="BodyText"/>
        <w:rPr>
          <w:sz w:val="20"/>
        </w:rPr>
      </w:pPr>
    </w:p>
    <w:p>
      <w:pPr>
        <w:pStyle w:val="BodyText"/>
        <w:spacing w:before="11"/>
        <w:rPr>
          <w:sz w:val="23"/>
        </w:rPr>
      </w:pPr>
    </w:p>
    <w:p>
      <w:pPr>
        <w:spacing w:before="66"/>
        <w:ind w:left="916" w:right="754" w:firstLine="0"/>
        <w:jc w:val="center"/>
        <w:rPr>
          <w:sz w:val="24"/>
        </w:rPr>
      </w:pPr>
      <w:r>
        <w:rPr>
          <w:sz w:val="24"/>
        </w:rPr>
        <w:t>项目名称：</w:t>
      </w:r>
      <w:r>
        <w:rPr>
          <w:spacing w:val="-1"/>
          <w:sz w:val="24"/>
          <w:u w:val="single"/>
        </w:rPr>
        <w:t>泉州师范学院化生院教学设备采购及服务项目</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8"/>
        </w:rPr>
      </w:pPr>
    </w:p>
    <w:p>
      <w:pPr>
        <w:tabs>
          <w:tab w:val="left" w:pos="2533"/>
          <w:tab w:val="left" w:pos="3333"/>
        </w:tabs>
        <w:spacing w:before="55"/>
        <w:ind w:left="1734" w:right="0" w:firstLine="0"/>
        <w:jc w:val="left"/>
        <w:rPr>
          <w:sz w:val="32"/>
        </w:rPr>
      </w:pPr>
      <w:r>
        <w:rPr>
          <w:spacing w:val="-10"/>
          <w:sz w:val="32"/>
        </w:rPr>
        <w:t>采</w:t>
      </w:r>
      <w:r>
        <w:rPr>
          <w:sz w:val="32"/>
        </w:rPr>
        <w:tab/>
      </w:r>
      <w:r>
        <w:rPr>
          <w:spacing w:val="-10"/>
          <w:sz w:val="32"/>
        </w:rPr>
        <w:t>购</w:t>
      </w:r>
      <w:r>
        <w:rPr>
          <w:sz w:val="32"/>
        </w:rPr>
        <w:tab/>
        <w:t>人：泉州师范学</w:t>
      </w:r>
      <w:r>
        <w:rPr>
          <w:spacing w:val="-10"/>
          <w:sz w:val="32"/>
        </w:rPr>
        <w:t>院</w:t>
      </w:r>
    </w:p>
    <w:p>
      <w:pPr>
        <w:pStyle w:val="BodyText"/>
        <w:rPr>
          <w:sz w:val="32"/>
        </w:rPr>
      </w:pPr>
    </w:p>
    <w:p>
      <w:pPr>
        <w:pStyle w:val="BodyText"/>
        <w:spacing w:before="5"/>
        <w:rPr>
          <w:sz w:val="33"/>
        </w:rPr>
      </w:pPr>
    </w:p>
    <w:p>
      <w:pPr>
        <w:spacing w:before="0"/>
        <w:ind w:left="1734" w:right="0" w:firstLine="0"/>
        <w:jc w:val="left"/>
        <w:rPr>
          <w:sz w:val="32"/>
        </w:rPr>
      </w:pPr>
      <w:r>
        <w:rPr>
          <w:spacing w:val="-1"/>
          <w:sz w:val="32"/>
        </w:rPr>
        <w:t>招标代理机构：泉州市嘉隆招标代理有限公司</w:t>
      </w:r>
    </w:p>
    <w:p>
      <w:pPr>
        <w:pStyle w:val="BodyText"/>
        <w:rPr>
          <w:sz w:val="32"/>
        </w:rPr>
      </w:pPr>
    </w:p>
    <w:p>
      <w:pPr>
        <w:pStyle w:val="BodyText"/>
        <w:spacing w:before="5"/>
        <w:rPr>
          <w:sz w:val="35"/>
        </w:rPr>
      </w:pPr>
    </w:p>
    <w:p>
      <w:pPr>
        <w:spacing w:before="0"/>
        <w:ind w:left="1992" w:right="2271" w:firstLine="0"/>
        <w:jc w:val="center"/>
        <w:rPr>
          <w:sz w:val="28"/>
        </w:rPr>
      </w:pPr>
      <w:r>
        <w:rPr>
          <w:spacing w:val="-35"/>
          <w:sz w:val="28"/>
        </w:rPr>
        <w:t xml:space="preserve">二 </w:t>
      </w:r>
      <w:r>
        <w:rPr>
          <w:sz w:val="28"/>
        </w:rPr>
        <w:t>O</w:t>
      </w:r>
      <w:r>
        <w:rPr>
          <w:spacing w:val="-11"/>
          <w:sz w:val="28"/>
        </w:rPr>
        <w:t xml:space="preserve"> 一四年七月十四日</w:t>
      </w:r>
    </w:p>
    <w:p>
      <w:pPr>
        <w:spacing w:after="0"/>
        <w:jc w:val="center"/>
        <w:rPr>
          <w:sz w:val="28"/>
        </w:rPr>
        <w:sectPr>
          <w:type w:val="continuous"/>
          <w:pgSz w:w="11910" w:h="16840"/>
          <w:pgMar w:top="1920" w:right="560" w:bottom="280" w:left="840" w:header="708" w:footer="708"/>
          <w:cols w:space="708"/>
        </w:sectPr>
      </w:pPr>
    </w:p>
    <w:p>
      <w:pPr>
        <w:pStyle w:val="Heading3"/>
        <w:spacing w:before="4"/>
        <w:ind w:right="2271"/>
        <w:rPr>
          <w:rFonts w:ascii="Microsoft JhengHei" w:eastAsia="Microsoft JhengHei"/>
        </w:rPr>
      </w:pPr>
      <w:r>
        <w:rPr>
          <w:rFonts w:ascii="Microsoft JhengHei" w:eastAsia="Microsoft JhengHei"/>
          <w:spacing w:val="-6"/>
        </w:rPr>
        <w:t>目录</w:t>
      </w:r>
    </w:p>
    <w:sdt>
      <w:sdtPr>
        <w:id w:val="393488984"/>
        <w:docPartObj>
          <w:docPartGallery w:val="Table of Contents"/>
          <w:docPartUnique/>
        </w:docPartObj>
      </w:sdtPr>
      <w:sdtContent>
        <w:p>
          <w:pPr>
            <w:pStyle w:val="TOC2"/>
            <w:tabs>
              <w:tab w:val="right" w:leader="dot" w:pos="9608"/>
            </w:tabs>
            <w:spacing w:before="54"/>
          </w:pPr>
          <w:r>
            <w:t>投标须知前附</w:t>
          </w:r>
          <w:r>
            <w:rPr>
              <w:spacing w:val="-10"/>
            </w:rPr>
            <w:t>表</w:t>
          </w:r>
          <w:r>
            <w:rPr>
              <w:rFonts w:ascii="Times New Roman" w:eastAsia="Times New Roman"/>
            </w:rPr>
            <w:tab/>
          </w:r>
          <w:r>
            <w:rPr>
              <w:spacing w:val="-10"/>
            </w:rPr>
            <w:t>3</w:t>
          </w:r>
        </w:p>
        <w:p>
          <w:pPr>
            <w:pStyle w:val="TOC2"/>
            <w:tabs>
              <w:tab w:val="right" w:leader="dot" w:pos="9608"/>
            </w:tabs>
          </w:pPr>
          <w:r>
            <w:t>第一部分 投标邀请</w:t>
          </w:r>
          <w:r>
            <w:rPr>
              <w:spacing w:val="-10"/>
            </w:rPr>
            <w:t>书</w:t>
          </w:r>
          <w:r>
            <w:rPr>
              <w:rFonts w:ascii="Times New Roman" w:eastAsia="Times New Roman"/>
            </w:rPr>
            <w:tab/>
          </w:r>
          <w:r>
            <w:rPr>
              <w:spacing w:val="-10"/>
            </w:rPr>
            <w:t>4</w:t>
          </w:r>
        </w:p>
        <w:p>
          <w:pPr>
            <w:pStyle w:val="TOC4"/>
            <w:tabs>
              <w:tab w:val="right" w:leader="dot" w:pos="9608"/>
            </w:tabs>
          </w:pPr>
          <w:hyperlink w:anchor="_TOC_250011" w:history="1">
            <w:r>
              <w:t>一、投标邀请</w:t>
            </w:r>
            <w:r>
              <w:rPr>
                <w:spacing w:val="-10"/>
              </w:rPr>
              <w:t>书</w:t>
            </w:r>
            <w:r>
              <w:rPr>
                <w:rFonts w:ascii="Times New Roman" w:eastAsia="Times New Roman"/>
              </w:rPr>
              <w:tab/>
            </w:r>
            <w:r>
              <w:rPr>
                <w:spacing w:val="-10"/>
              </w:rPr>
              <w:t>5</w:t>
            </w:r>
          </w:hyperlink>
        </w:p>
        <w:p>
          <w:pPr>
            <w:pStyle w:val="TOC4"/>
            <w:tabs>
              <w:tab w:val="right" w:leader="dot" w:pos="9608"/>
            </w:tabs>
          </w:pPr>
          <w:r>
            <w:t>二、采购一览</w:t>
          </w:r>
          <w:r>
            <w:rPr>
              <w:spacing w:val="-10"/>
            </w:rPr>
            <w:t>表</w:t>
          </w:r>
          <w:r>
            <w:rPr>
              <w:rFonts w:ascii="Times New Roman" w:eastAsia="Times New Roman"/>
            </w:rPr>
            <w:tab/>
          </w:r>
          <w:r>
            <w:rPr>
              <w:spacing w:val="-10"/>
            </w:rPr>
            <w:t>6</w:t>
          </w:r>
        </w:p>
        <w:p>
          <w:pPr>
            <w:pStyle w:val="TOC2"/>
            <w:tabs>
              <w:tab w:val="left" w:pos="1523"/>
              <w:tab w:val="right" w:leader="dot" w:pos="9608"/>
            </w:tabs>
          </w:pPr>
          <w:r>
            <w:t>第二部</w:t>
          </w:r>
          <w:r>
            <w:rPr>
              <w:spacing w:val="-10"/>
            </w:rPr>
            <w:t>分</w:t>
          </w:r>
          <w:r>
            <w:tab/>
            <w:t>泉州师范学院化生院教学设备采购及服务项目招标内容及要</w:t>
          </w:r>
          <w:r>
            <w:rPr>
              <w:spacing w:val="-10"/>
            </w:rPr>
            <w:t>求</w:t>
          </w:r>
          <w:r>
            <w:rPr>
              <w:rFonts w:ascii="Times New Roman" w:eastAsia="Times New Roman"/>
            </w:rPr>
            <w:tab/>
          </w:r>
          <w:r>
            <w:rPr>
              <w:spacing w:val="-10"/>
            </w:rPr>
            <w:t>7</w:t>
          </w:r>
        </w:p>
        <w:p>
          <w:pPr>
            <w:pStyle w:val="TOC4"/>
            <w:tabs>
              <w:tab w:val="right" w:leader="dot" w:pos="9608"/>
            </w:tabs>
          </w:pPr>
          <w:hyperlink w:anchor="_TOC_250010" w:history="1">
            <w:r>
              <w:t>第一章 商务要求</w:t>
            </w:r>
            <w:r>
              <w:rPr>
                <w:spacing w:val="-10"/>
              </w:rPr>
              <w:t>…</w:t>
            </w:r>
            <w:r>
              <w:rPr>
                <w:rFonts w:ascii="Times New Roman" w:eastAsia="Times New Roman" w:hAnsi="Times New Roman"/>
              </w:rPr>
              <w:tab/>
            </w:r>
            <w:r>
              <w:rPr>
                <w:spacing w:val="-10"/>
              </w:rPr>
              <w:t>8</w:t>
            </w:r>
          </w:hyperlink>
        </w:p>
        <w:p>
          <w:pPr>
            <w:pStyle w:val="TOC4"/>
            <w:tabs>
              <w:tab w:val="right" w:leader="dot" w:pos="9608"/>
            </w:tabs>
          </w:pPr>
          <w:hyperlink w:anchor="_TOC_250009" w:history="1">
            <w:r>
              <w:t>第二章 技术要求</w:t>
            </w:r>
            <w:r>
              <w:rPr>
                <w:spacing w:val="-10"/>
              </w:rPr>
              <w:t>…</w:t>
            </w:r>
            <w:r>
              <w:rPr>
                <w:rFonts w:ascii="Times New Roman" w:eastAsia="Times New Roman" w:hAnsi="Times New Roman"/>
              </w:rPr>
              <w:tab/>
            </w:r>
            <w:r>
              <w:rPr>
                <w:spacing w:val="-5"/>
              </w:rPr>
              <w:t>11</w:t>
            </w:r>
          </w:hyperlink>
        </w:p>
        <w:p>
          <w:pPr>
            <w:pStyle w:val="TOC4"/>
            <w:tabs>
              <w:tab w:val="right" w:leader="dot" w:pos="9608"/>
            </w:tabs>
          </w:pPr>
          <w:hyperlink w:anchor="_TOC_250008" w:history="1">
            <w:r>
              <w:t>第三章 技术与商务应答内容</w:t>
            </w:r>
            <w:r>
              <w:rPr>
                <w:spacing w:val="-10"/>
              </w:rPr>
              <w:t>…</w:t>
            </w:r>
            <w:r>
              <w:rPr>
                <w:rFonts w:ascii="Times New Roman" w:eastAsia="Times New Roman" w:hAnsi="Times New Roman"/>
              </w:rPr>
              <w:tab/>
            </w:r>
            <w:r>
              <w:rPr>
                <w:spacing w:val="-5"/>
              </w:rPr>
              <w:t>13</w:t>
            </w:r>
          </w:hyperlink>
        </w:p>
        <w:p>
          <w:pPr>
            <w:pStyle w:val="TOC2"/>
            <w:tabs>
              <w:tab w:val="left" w:pos="1523"/>
              <w:tab w:val="right" w:leader="dot" w:pos="9608"/>
            </w:tabs>
          </w:pPr>
          <w:r>
            <w:t>第三部</w:t>
          </w:r>
          <w:r>
            <w:rPr>
              <w:spacing w:val="-10"/>
            </w:rPr>
            <w:t>分</w:t>
          </w:r>
          <w:r>
            <w:tab/>
            <w:t>投标人须知</w:t>
          </w:r>
          <w:r>
            <w:rPr>
              <w:spacing w:val="-10"/>
            </w:rPr>
            <w:t>…</w:t>
          </w:r>
          <w:r>
            <w:rPr>
              <w:rFonts w:ascii="Times New Roman" w:eastAsia="Times New Roman" w:hAnsi="Times New Roman"/>
            </w:rPr>
            <w:tab/>
          </w:r>
          <w:r>
            <w:rPr>
              <w:spacing w:val="-5"/>
            </w:rPr>
            <w:t>14</w:t>
          </w:r>
        </w:p>
        <w:p>
          <w:pPr>
            <w:pStyle w:val="TOC4"/>
            <w:tabs>
              <w:tab w:val="right" w:leader="dot" w:pos="9608"/>
            </w:tabs>
          </w:pPr>
          <w:hyperlink w:anchor="_TOC_250007" w:history="1">
            <w:r>
              <w:t>一、说</w:t>
            </w:r>
            <w:r>
              <w:rPr>
                <w:spacing w:val="-10"/>
              </w:rPr>
              <w:t>明</w:t>
            </w:r>
            <w:r>
              <w:rPr>
                <w:rFonts w:ascii="Times New Roman" w:eastAsia="Times New Roman"/>
              </w:rPr>
              <w:tab/>
            </w:r>
            <w:r>
              <w:rPr>
                <w:spacing w:val="-5"/>
              </w:rPr>
              <w:t>15</w:t>
            </w:r>
          </w:hyperlink>
        </w:p>
        <w:p>
          <w:pPr>
            <w:pStyle w:val="TOC4"/>
            <w:tabs>
              <w:tab w:val="right" w:leader="dot" w:pos="9608"/>
            </w:tabs>
          </w:pPr>
          <w:hyperlink w:anchor="_TOC_250006" w:history="1">
            <w:r>
              <w:t>二、招标文</w:t>
            </w:r>
            <w:r>
              <w:rPr>
                <w:spacing w:val="-10"/>
              </w:rPr>
              <w:t>件</w:t>
            </w:r>
            <w:r>
              <w:rPr>
                <w:rFonts w:ascii="Times New Roman" w:eastAsia="Times New Roman"/>
              </w:rPr>
              <w:tab/>
            </w:r>
            <w:r>
              <w:rPr>
                <w:spacing w:val="-5"/>
              </w:rPr>
              <w:t>16</w:t>
            </w:r>
          </w:hyperlink>
        </w:p>
        <w:p>
          <w:pPr>
            <w:pStyle w:val="TOC4"/>
            <w:tabs>
              <w:tab w:val="right" w:leader="dot" w:pos="9608"/>
            </w:tabs>
          </w:pPr>
          <w:hyperlink w:anchor="_TOC_250005" w:history="1">
            <w:r>
              <w:t>三、投标文件的编</w:t>
            </w:r>
            <w:r>
              <w:rPr>
                <w:spacing w:val="-10"/>
              </w:rPr>
              <w:t>写</w:t>
            </w:r>
            <w:r>
              <w:rPr>
                <w:rFonts w:ascii="Times New Roman" w:eastAsia="Times New Roman"/>
              </w:rPr>
              <w:tab/>
            </w:r>
            <w:r>
              <w:rPr>
                <w:spacing w:val="-5"/>
              </w:rPr>
              <w:t>17</w:t>
            </w:r>
          </w:hyperlink>
        </w:p>
        <w:p>
          <w:pPr>
            <w:pStyle w:val="TOC4"/>
            <w:tabs>
              <w:tab w:val="right" w:leader="dot" w:pos="9608"/>
            </w:tabs>
          </w:pPr>
          <w:hyperlink w:anchor="_TOC_250004" w:history="1">
            <w:r>
              <w:t>四、投标文件的递</w:t>
            </w:r>
            <w:r>
              <w:rPr>
                <w:spacing w:val="-10"/>
              </w:rPr>
              <w:t>交</w:t>
            </w:r>
            <w:r>
              <w:rPr>
                <w:rFonts w:ascii="Times New Roman" w:eastAsia="Times New Roman"/>
              </w:rPr>
              <w:tab/>
            </w:r>
            <w:r>
              <w:rPr>
                <w:spacing w:val="-5"/>
              </w:rPr>
              <w:t>20</w:t>
            </w:r>
          </w:hyperlink>
        </w:p>
        <w:p>
          <w:pPr>
            <w:pStyle w:val="TOC4"/>
            <w:tabs>
              <w:tab w:val="right" w:leader="dot" w:pos="9608"/>
            </w:tabs>
          </w:pPr>
          <w:hyperlink w:anchor="_TOC_250003" w:history="1">
            <w:r>
              <w:t>五、开标、评标和定</w:t>
            </w:r>
            <w:r>
              <w:rPr>
                <w:spacing w:val="-10"/>
              </w:rPr>
              <w:t>标</w:t>
            </w:r>
            <w:r>
              <w:rPr>
                <w:rFonts w:ascii="Times New Roman" w:eastAsia="Times New Roman"/>
              </w:rPr>
              <w:tab/>
            </w:r>
            <w:r>
              <w:rPr>
                <w:spacing w:val="-5"/>
              </w:rPr>
              <w:t>20</w:t>
            </w:r>
          </w:hyperlink>
        </w:p>
        <w:p>
          <w:pPr>
            <w:pStyle w:val="TOC4"/>
            <w:tabs>
              <w:tab w:val="right" w:leader="dot" w:pos="9608"/>
            </w:tabs>
            <w:spacing w:before="42"/>
          </w:pPr>
          <w:hyperlink w:anchor="_TOC_250002" w:history="1">
            <w:r>
              <w:t>六、授予合同</w:t>
            </w:r>
            <w:r>
              <w:rPr>
                <w:spacing w:val="-10"/>
              </w:rPr>
              <w:t>…</w:t>
            </w:r>
            <w:r>
              <w:rPr>
                <w:rFonts w:ascii="Times New Roman" w:eastAsia="Times New Roman" w:hAnsi="Times New Roman"/>
              </w:rPr>
              <w:tab/>
            </w:r>
            <w:r>
              <w:rPr>
                <w:spacing w:val="-5"/>
              </w:rPr>
              <w:t>27</w:t>
            </w:r>
          </w:hyperlink>
        </w:p>
        <w:p>
          <w:pPr>
            <w:pStyle w:val="TOC2"/>
            <w:tabs>
              <w:tab w:val="left" w:pos="1523"/>
              <w:tab w:val="right" w:leader="dot" w:pos="9608"/>
            </w:tabs>
          </w:pPr>
          <w:r>
            <w:t>第四部</w:t>
          </w:r>
          <w:r>
            <w:rPr>
              <w:spacing w:val="-10"/>
            </w:rPr>
            <w:t>分</w:t>
          </w:r>
          <w:r>
            <w:tab/>
            <w:t>泉州师范学院化生院教学设备采购及服务项目承包合同书主要内容</w:t>
          </w:r>
          <w:r>
            <w:rPr>
              <w:spacing w:val="-10"/>
            </w:rPr>
            <w:t>…</w:t>
          </w:r>
          <w:r>
            <w:rPr>
              <w:rFonts w:ascii="Times New Roman" w:eastAsia="Times New Roman" w:hAnsi="Times New Roman"/>
            </w:rPr>
            <w:tab/>
          </w:r>
          <w:r>
            <w:rPr>
              <w:spacing w:val="-5"/>
            </w:rPr>
            <w:t>28</w:t>
          </w:r>
        </w:p>
        <w:p>
          <w:pPr>
            <w:pStyle w:val="TOC2"/>
            <w:tabs>
              <w:tab w:val="left" w:pos="1523"/>
              <w:tab w:val="right" w:leader="dot" w:pos="9608"/>
            </w:tabs>
          </w:pPr>
          <w:r>
            <w:t>第五部</w:t>
          </w:r>
          <w:r>
            <w:rPr>
              <w:spacing w:val="-10"/>
            </w:rPr>
            <w:t>分</w:t>
          </w:r>
          <w:r>
            <w:tab/>
            <w:t>投标文件格</w:t>
          </w:r>
          <w:r>
            <w:rPr>
              <w:spacing w:val="-10"/>
            </w:rPr>
            <w:t>式</w:t>
          </w:r>
          <w:r>
            <w:rPr>
              <w:rFonts w:ascii="Times New Roman" w:eastAsia="Times New Roman"/>
            </w:rPr>
            <w:tab/>
          </w:r>
          <w:r>
            <w:rPr>
              <w:spacing w:val="-5"/>
            </w:rPr>
            <w:t>34</w:t>
          </w:r>
        </w:p>
        <w:p>
          <w:pPr>
            <w:pStyle w:val="TOC3"/>
            <w:tabs>
              <w:tab w:val="right" w:leader="dot" w:pos="9608"/>
            </w:tabs>
          </w:pPr>
          <w:r>
            <w:t>一、投标</w:t>
          </w:r>
          <w:r>
            <w:rPr>
              <w:spacing w:val="-10"/>
            </w:rPr>
            <w:t>书</w:t>
          </w:r>
          <w:r>
            <w:rPr>
              <w:rFonts w:ascii="Times New Roman" w:eastAsia="Times New Roman"/>
            </w:rPr>
            <w:tab/>
          </w:r>
          <w:r>
            <w:rPr>
              <w:spacing w:val="-5"/>
            </w:rPr>
            <w:t>35</w:t>
          </w:r>
        </w:p>
        <w:p>
          <w:pPr>
            <w:pStyle w:val="TOC3"/>
            <w:tabs>
              <w:tab w:val="right" w:leader="dot" w:pos="9608"/>
            </w:tabs>
          </w:pPr>
          <w:r>
            <w:t>二、开标一览</w:t>
          </w:r>
          <w:r>
            <w:rPr>
              <w:spacing w:val="-10"/>
            </w:rPr>
            <w:t>表</w:t>
          </w:r>
          <w:r>
            <w:rPr>
              <w:rFonts w:ascii="Times New Roman" w:eastAsia="Times New Roman"/>
            </w:rPr>
            <w:tab/>
          </w:r>
          <w:r>
            <w:rPr>
              <w:spacing w:val="-5"/>
            </w:rPr>
            <w:t>36</w:t>
          </w:r>
        </w:p>
        <w:p>
          <w:pPr>
            <w:pStyle w:val="TOC3"/>
            <w:tabs>
              <w:tab w:val="right" w:leader="dot" w:pos="9608"/>
            </w:tabs>
          </w:pPr>
          <w:r>
            <w:t>三、投标报价</w:t>
          </w:r>
          <w:r>
            <w:rPr>
              <w:spacing w:val="-10"/>
            </w:rPr>
            <w:t>表</w:t>
          </w:r>
          <w:r>
            <w:rPr>
              <w:rFonts w:ascii="Times New Roman" w:eastAsia="Times New Roman"/>
            </w:rPr>
            <w:tab/>
          </w:r>
          <w:r>
            <w:rPr>
              <w:spacing w:val="-5"/>
            </w:rPr>
            <w:t>37</w:t>
          </w:r>
        </w:p>
        <w:p>
          <w:pPr>
            <w:pStyle w:val="TOC3"/>
            <w:tabs>
              <w:tab w:val="right" w:leader="dot" w:pos="9608"/>
            </w:tabs>
          </w:pPr>
          <w:r>
            <w:t>四、节能、减排、环境标志统计</w:t>
          </w:r>
          <w:r>
            <w:rPr>
              <w:spacing w:val="-10"/>
            </w:rPr>
            <w:t>表</w:t>
          </w:r>
          <w:r>
            <w:rPr>
              <w:rFonts w:ascii="Times New Roman" w:eastAsia="Times New Roman"/>
            </w:rPr>
            <w:tab/>
          </w:r>
          <w:r>
            <w:rPr>
              <w:spacing w:val="-5"/>
            </w:rPr>
            <w:t>38</w:t>
          </w:r>
        </w:p>
        <w:p>
          <w:pPr>
            <w:pStyle w:val="TOC3"/>
            <w:tabs>
              <w:tab w:val="right" w:leader="dot" w:pos="9608"/>
            </w:tabs>
          </w:pPr>
          <w:r>
            <w:t>五、中小企业声明</w:t>
          </w:r>
          <w:r>
            <w:rPr>
              <w:spacing w:val="-10"/>
            </w:rPr>
            <w:t>函</w:t>
          </w:r>
          <w:r>
            <w:rPr>
              <w:rFonts w:ascii="Times New Roman" w:eastAsia="Times New Roman"/>
            </w:rPr>
            <w:tab/>
          </w:r>
          <w:r>
            <w:rPr>
              <w:spacing w:val="-5"/>
            </w:rPr>
            <w:t>39</w:t>
          </w:r>
        </w:p>
        <w:p>
          <w:pPr>
            <w:pStyle w:val="TOC1"/>
            <w:tabs>
              <w:tab w:val="right" w:leader="dot" w:pos="9638"/>
            </w:tabs>
          </w:pPr>
          <w:r>
            <w:t>六、供货范围</w:t>
          </w:r>
          <w:r>
            <w:rPr>
              <w:spacing w:val="-10"/>
            </w:rPr>
            <w:t>表</w:t>
          </w:r>
          <w:r>
            <w:rPr>
              <w:rFonts w:ascii="Times New Roman" w:eastAsia="Times New Roman"/>
            </w:rPr>
            <w:tab/>
          </w:r>
          <w:r>
            <w:rPr>
              <w:spacing w:val="-5"/>
            </w:rPr>
            <w:t>40-</w:t>
          </w:r>
          <w:r>
            <w:t>43</w:t>
          </w:r>
        </w:p>
        <w:p>
          <w:pPr>
            <w:pStyle w:val="TOC1"/>
            <w:tabs>
              <w:tab w:val="right" w:leader="dot" w:pos="9638"/>
            </w:tabs>
          </w:pPr>
          <w:r>
            <w:t>七、技术商务应答书</w:t>
          </w:r>
          <w:r>
            <w:rPr>
              <w:spacing w:val="-10"/>
            </w:rPr>
            <w:t>…</w:t>
          </w:r>
          <w:r>
            <w:rPr>
              <w:rFonts w:ascii="Times New Roman" w:eastAsia="Times New Roman" w:hAnsi="Times New Roman"/>
            </w:rPr>
            <w:tab/>
          </w:r>
          <w:r>
            <w:rPr>
              <w:spacing w:val="-5"/>
            </w:rPr>
            <w:t>44</w:t>
          </w:r>
        </w:p>
        <w:p>
          <w:pPr>
            <w:pStyle w:val="TOC1"/>
            <w:tabs>
              <w:tab w:val="right" w:leader="dot" w:pos="9638"/>
            </w:tabs>
          </w:pPr>
          <w:r>
            <w:t>八、货物简要说明一览表</w:t>
          </w:r>
          <w:r>
            <w:rPr>
              <w:spacing w:val="-10"/>
            </w:rPr>
            <w:t>…</w:t>
          </w:r>
          <w:r>
            <w:rPr>
              <w:rFonts w:ascii="Times New Roman" w:eastAsia="Times New Roman" w:hAnsi="Times New Roman"/>
            </w:rPr>
            <w:tab/>
          </w:r>
          <w:r>
            <w:rPr>
              <w:spacing w:val="-5"/>
            </w:rPr>
            <w:t>45</w:t>
          </w:r>
        </w:p>
        <w:p>
          <w:pPr>
            <w:pStyle w:val="TOC1"/>
            <w:tabs>
              <w:tab w:val="right" w:leader="dot" w:pos="9638"/>
            </w:tabs>
          </w:pPr>
          <w:r>
            <w:t>九、货物规格技术参数偏离表</w:t>
          </w:r>
          <w:r>
            <w:rPr>
              <w:spacing w:val="-10"/>
            </w:rPr>
            <w:t>…</w:t>
          </w:r>
          <w:r>
            <w:rPr>
              <w:rFonts w:ascii="Times New Roman" w:eastAsia="Times New Roman" w:hAnsi="Times New Roman"/>
            </w:rPr>
            <w:tab/>
          </w:r>
          <w:r>
            <w:rPr>
              <w:spacing w:val="-5"/>
            </w:rPr>
            <w:t>46</w:t>
          </w:r>
        </w:p>
        <w:p>
          <w:pPr>
            <w:pStyle w:val="TOC1"/>
            <w:tabs>
              <w:tab w:val="right" w:leader="dot" w:pos="9638"/>
            </w:tabs>
          </w:pPr>
          <w:r>
            <w:t>十、商务条款偏离表</w:t>
          </w:r>
          <w:r>
            <w:rPr>
              <w:spacing w:val="-10"/>
            </w:rPr>
            <w:t>…</w:t>
          </w:r>
          <w:r>
            <w:rPr>
              <w:rFonts w:ascii="Times New Roman" w:eastAsia="Times New Roman" w:hAnsi="Times New Roman"/>
            </w:rPr>
            <w:tab/>
          </w:r>
          <w:r>
            <w:rPr>
              <w:spacing w:val="-5"/>
            </w:rPr>
            <w:t>47</w:t>
          </w:r>
        </w:p>
        <w:p>
          <w:pPr>
            <w:pStyle w:val="TOC1"/>
            <w:tabs>
              <w:tab w:val="right" w:leader="dot" w:pos="9638"/>
            </w:tabs>
          </w:pPr>
          <w:r>
            <w:t>十一、售后服务承诺</w:t>
          </w:r>
          <w:r>
            <w:rPr>
              <w:spacing w:val="-10"/>
            </w:rPr>
            <w:t>…</w:t>
          </w:r>
          <w:r>
            <w:rPr>
              <w:rFonts w:ascii="Times New Roman" w:eastAsia="Times New Roman" w:hAnsi="Times New Roman"/>
            </w:rPr>
            <w:tab/>
          </w:r>
          <w:r>
            <w:rPr>
              <w:spacing w:val="-5"/>
            </w:rPr>
            <w:t>48</w:t>
          </w:r>
        </w:p>
        <w:p>
          <w:pPr>
            <w:pStyle w:val="TOC1"/>
            <w:tabs>
              <w:tab w:val="right" w:leader="dot" w:pos="9638"/>
            </w:tabs>
          </w:pPr>
          <w:r>
            <w:t>十二、投标人的资格声明</w:t>
          </w:r>
          <w:r>
            <w:rPr>
              <w:spacing w:val="-10"/>
            </w:rPr>
            <w:t>…</w:t>
          </w:r>
          <w:r>
            <w:rPr>
              <w:rFonts w:ascii="Times New Roman" w:eastAsia="Times New Roman" w:hAnsi="Times New Roman"/>
            </w:rPr>
            <w:tab/>
          </w:r>
          <w:r>
            <w:rPr>
              <w:spacing w:val="-5"/>
            </w:rPr>
            <w:t>49</w:t>
          </w:r>
        </w:p>
        <w:p>
          <w:pPr>
            <w:pStyle w:val="TOC1"/>
            <w:tabs>
              <w:tab w:val="right" w:leader="dot" w:pos="9638"/>
            </w:tabs>
          </w:pPr>
          <w:hyperlink w:anchor="_TOC_250001" w:history="1">
            <w:r>
              <w:t>投标人参与本项目投标须提供的资格证明文件</w:t>
            </w:r>
            <w:r>
              <w:rPr>
                <w:spacing w:val="-10"/>
              </w:rPr>
              <w:t>…</w:t>
            </w:r>
            <w:r>
              <w:rPr>
                <w:rFonts w:ascii="Times New Roman" w:eastAsia="Times New Roman" w:hAnsi="Times New Roman"/>
              </w:rPr>
              <w:tab/>
            </w:r>
            <w:r>
              <w:rPr>
                <w:spacing w:val="-5"/>
              </w:rPr>
              <w:t>51</w:t>
            </w:r>
          </w:hyperlink>
        </w:p>
        <w:p>
          <w:pPr>
            <w:pStyle w:val="TOC1"/>
            <w:tabs>
              <w:tab w:val="right" w:leader="dot" w:pos="9638"/>
            </w:tabs>
            <w:spacing w:before="42"/>
          </w:pPr>
          <w:r>
            <w:t>十三、法定代表人资格证明书</w:t>
          </w:r>
          <w:r>
            <w:rPr>
              <w:spacing w:val="-10"/>
            </w:rPr>
            <w:t>…</w:t>
          </w:r>
          <w:r>
            <w:rPr>
              <w:rFonts w:ascii="Times New Roman" w:eastAsia="Times New Roman" w:hAnsi="Times New Roman"/>
            </w:rPr>
            <w:tab/>
          </w:r>
          <w:r>
            <w:rPr>
              <w:spacing w:val="-5"/>
            </w:rPr>
            <w:t>52</w:t>
          </w:r>
        </w:p>
        <w:p>
          <w:pPr>
            <w:pStyle w:val="TOC1"/>
            <w:tabs>
              <w:tab w:val="right" w:leader="dot" w:pos="9638"/>
            </w:tabs>
          </w:pPr>
          <w:r>
            <w:t>十四、法人委托授权书</w:t>
          </w:r>
          <w:r>
            <w:rPr>
              <w:spacing w:val="-10"/>
            </w:rPr>
            <w:t>…</w:t>
          </w:r>
          <w:r>
            <w:rPr>
              <w:rFonts w:ascii="Times New Roman" w:eastAsia="Times New Roman" w:hAnsi="Times New Roman"/>
            </w:rPr>
            <w:tab/>
          </w:r>
          <w:r>
            <w:rPr>
              <w:spacing w:val="-5"/>
            </w:rPr>
            <w:t>53</w:t>
          </w:r>
        </w:p>
        <w:p>
          <w:pPr>
            <w:pStyle w:val="TOC1"/>
            <w:tabs>
              <w:tab w:val="right" w:leader="dot" w:pos="9638"/>
            </w:tabs>
          </w:pPr>
          <w:r>
            <w:t>十五、代理服务费承诺书</w:t>
          </w:r>
          <w:r>
            <w:rPr>
              <w:spacing w:val="-10"/>
            </w:rPr>
            <w:t>…</w:t>
          </w:r>
          <w:r>
            <w:rPr>
              <w:rFonts w:ascii="Times New Roman" w:eastAsia="Times New Roman" w:hAnsi="Times New Roman"/>
            </w:rPr>
            <w:tab/>
          </w:r>
          <w:r>
            <w:rPr>
              <w:spacing w:val="-5"/>
            </w:rPr>
            <w:t>54</w:t>
          </w:r>
        </w:p>
        <w:p>
          <w:pPr>
            <w:pStyle w:val="TOC1"/>
            <w:tabs>
              <w:tab w:val="right" w:leader="dot" w:pos="9638"/>
            </w:tabs>
          </w:pPr>
          <w:r>
            <w:t>十六、承诺书</w:t>
          </w:r>
          <w:r>
            <w:rPr>
              <w:spacing w:val="-10"/>
            </w:rPr>
            <w:t>…</w:t>
          </w:r>
          <w:r>
            <w:rPr>
              <w:rFonts w:ascii="Times New Roman" w:eastAsia="Times New Roman" w:hAnsi="Times New Roman"/>
            </w:rPr>
            <w:tab/>
          </w:r>
          <w:r>
            <w:rPr>
              <w:spacing w:val="-5"/>
            </w:rPr>
            <w:t>55</w:t>
          </w:r>
        </w:p>
        <w:p>
          <w:pPr>
            <w:pStyle w:val="TOC1"/>
            <w:tabs>
              <w:tab w:val="right" w:leader="dot" w:pos="9638"/>
            </w:tabs>
          </w:pPr>
          <w:r>
            <w:t>十七、退回保证金说明函</w:t>
          </w:r>
          <w:r>
            <w:rPr>
              <w:spacing w:val="-10"/>
            </w:rPr>
            <w:t>…</w:t>
          </w:r>
          <w:r>
            <w:rPr>
              <w:rFonts w:ascii="Times New Roman" w:eastAsia="Times New Roman" w:hAnsi="Times New Roman"/>
            </w:rPr>
            <w:tab/>
          </w:r>
          <w:r>
            <w:rPr>
              <w:spacing w:val="-5"/>
            </w:rPr>
            <w:t>56</w:t>
          </w:r>
        </w:p>
        <w:p>
          <w:pPr>
            <w:pStyle w:val="TOC2"/>
            <w:tabs>
              <w:tab w:val="right" w:leader="dot" w:pos="9638"/>
            </w:tabs>
            <w:ind w:left="504"/>
          </w:pPr>
          <w:r>
            <w:t>第六部分 其他格式 质疑函</w:t>
          </w:r>
          <w:r>
            <w:rPr>
              <w:spacing w:val="-10"/>
            </w:rPr>
            <w:t>…</w:t>
          </w:r>
          <w:r>
            <w:rPr>
              <w:rFonts w:ascii="Times New Roman" w:eastAsia="Times New Roman" w:hAnsi="Times New Roman"/>
            </w:rPr>
            <w:tab/>
          </w:r>
          <w:r>
            <w:rPr>
              <w:spacing w:val="-5"/>
            </w:rPr>
            <w:t>57</w:t>
          </w:r>
        </w:p>
        <w:p>
          <w:pPr>
            <w:pStyle w:val="TOC4"/>
            <w:tabs>
              <w:tab w:val="right" w:leader="dot" w:pos="9608"/>
            </w:tabs>
          </w:pPr>
          <w:hyperlink w:anchor="_TOC_250000" w:history="1">
            <w:r>
              <w:t>版权声明</w:t>
            </w:r>
            <w:r>
              <w:rPr>
                <w:spacing w:val="-10"/>
              </w:rPr>
              <w:t>…</w:t>
            </w:r>
            <w:r>
              <w:rPr>
                <w:rFonts w:ascii="Times New Roman" w:eastAsia="Times New Roman" w:hAnsi="Times New Roman"/>
              </w:rPr>
              <w:tab/>
            </w:r>
            <w:r>
              <w:rPr>
                <w:spacing w:val="-5"/>
              </w:rPr>
              <w:t>58</w:t>
            </w:r>
          </w:hyperlink>
        </w:p>
      </w:sdtContent>
    </w:sdt>
    <w:p>
      <w:pPr>
        <w:spacing w:before="52"/>
        <w:ind w:left="474" w:right="0" w:firstLine="0"/>
        <w:jc w:val="left"/>
        <w:rPr>
          <w:rFonts w:ascii="Microsoft JhengHei" w:eastAsia="Microsoft JhengHei"/>
          <w:b/>
          <w:sz w:val="21"/>
        </w:rPr>
      </w:pPr>
      <w:r>
        <w:rPr>
          <w:rFonts w:ascii="Microsoft JhengHei" w:eastAsia="Microsoft JhengHei"/>
          <w:b/>
          <w:sz w:val="21"/>
        </w:rPr>
        <w:t xml:space="preserve">注：本招标文件共 </w:t>
      </w:r>
      <w:r>
        <w:rPr>
          <w:rFonts w:ascii="Microsoft JhengHei" w:eastAsia="Microsoft JhengHei"/>
          <w:b/>
          <w:spacing w:val="-2"/>
          <w:sz w:val="21"/>
          <w:u w:val="thick"/>
        </w:rPr>
        <w:t>58</w:t>
      </w:r>
      <w:r>
        <w:rPr>
          <w:rFonts w:ascii="Microsoft JhengHei" w:eastAsia="Microsoft JhengHei"/>
          <w:b/>
          <w:spacing w:val="-3"/>
          <w:sz w:val="21"/>
        </w:rPr>
        <w:t xml:space="preserve"> 页，请投标人领取招标文件时自行核对，如发现缺、损等情况，自领取招标文件</w:t>
      </w:r>
    </w:p>
    <w:p>
      <w:pPr>
        <w:spacing w:before="82"/>
        <w:ind w:left="474" w:right="0" w:firstLine="0"/>
        <w:jc w:val="left"/>
        <w:rPr>
          <w:rFonts w:ascii="Microsoft JhengHei" w:eastAsia="Microsoft JhengHei"/>
          <w:b/>
          <w:sz w:val="21"/>
        </w:rPr>
      </w:pPr>
      <w:r>
        <w:rPr>
          <w:rFonts w:ascii="Microsoft JhengHei" w:eastAsia="Microsoft JhengHei"/>
          <w:b/>
          <w:spacing w:val="-1"/>
          <w:sz w:val="21"/>
        </w:rPr>
        <w:t>之日起二日内向泉州市嘉隆招标代理有限公司提出，否则，由此造成的一切后果由投标人自负。</w:t>
      </w:r>
    </w:p>
    <w:p>
      <w:pPr>
        <w:spacing w:after="0"/>
        <w:jc w:val="left"/>
        <w:rPr>
          <w:rFonts w:ascii="Microsoft JhengHei" w:eastAsia="Microsoft JhengHei"/>
          <w:sz w:val="21"/>
        </w:rPr>
        <w:sectPr>
          <w:headerReference w:type="default" r:id="rId4"/>
          <w:footerReference w:type="default" r:id="rId5"/>
          <w:pgSz w:w="11910" w:h="16840"/>
          <w:pgMar w:top="1100" w:right="560" w:bottom="1160" w:left="840" w:header="879" w:footer="971"/>
          <w:pgNumType w:start="1"/>
          <w:cols w:space="708"/>
        </w:sectPr>
      </w:pPr>
    </w:p>
    <w:p>
      <w:pPr>
        <w:pStyle w:val="Heading4"/>
        <w:spacing w:before="42"/>
        <w:ind w:left="1992"/>
        <w:rPr>
          <w:rFonts w:ascii="Microsoft JhengHei" w:eastAsia="Microsoft JhengHei"/>
        </w:rPr>
      </w:pPr>
      <w:r>
        <w:rPr>
          <w:rFonts w:ascii="Microsoft JhengHei" w:eastAsia="Microsoft JhengHei"/>
          <w:spacing w:val="-2"/>
        </w:rPr>
        <w:t>投标人须知前附表</w:t>
      </w:r>
    </w:p>
    <w:p>
      <w:pPr>
        <w:pStyle w:val="BodyText"/>
        <w:rPr>
          <w:rFonts w:ascii="Microsoft JhengHei"/>
          <w:b/>
          <w:sz w:val="20"/>
        </w:rPr>
      </w:pPr>
    </w:p>
    <w:p>
      <w:pPr>
        <w:pStyle w:val="BodyText"/>
        <w:spacing w:before="10"/>
        <w:rPr>
          <w:rFonts w:ascii="Microsoft JhengHei"/>
          <w:b/>
          <w:sz w:val="17"/>
        </w:rPr>
      </w:pPr>
    </w:p>
    <w:tbl>
      <w:tblPr>
        <w:tblStyle w:val="TableNormal0"/>
        <w:tblW w:w="0" w:type="auto"/>
        <w:jc w:val="left"/>
        <w:tblInd w:w="29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0"/>
        <w:gridCol w:w="2393"/>
        <w:gridCol w:w="6660"/>
      </w:tblGrid>
      <w:tr>
        <w:tblPrEx>
          <w:tblW w:w="0" w:type="auto"/>
          <w:jc w:val="left"/>
          <w:tblInd w:w="29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435"/>
          <w:jc w:val="left"/>
        </w:trPr>
        <w:tc>
          <w:tcPr>
            <w:tcW w:w="500" w:type="dxa"/>
            <w:tcBorders>
              <w:bottom w:val="single" w:sz="4" w:space="0" w:color="000000"/>
              <w:right w:val="single" w:sz="6" w:space="0" w:color="000000"/>
            </w:tcBorders>
          </w:tcPr>
          <w:p>
            <w:pPr>
              <w:pStyle w:val="TableParagraph"/>
              <w:spacing w:before="16"/>
              <w:ind w:left="20" w:right="7"/>
              <w:jc w:val="center"/>
              <w:rPr>
                <w:sz w:val="21"/>
              </w:rPr>
            </w:pPr>
            <w:r>
              <w:rPr>
                <w:spacing w:val="-5"/>
                <w:sz w:val="21"/>
              </w:rPr>
              <w:t>项号</w:t>
            </w:r>
          </w:p>
        </w:tc>
        <w:tc>
          <w:tcPr>
            <w:tcW w:w="2393" w:type="dxa"/>
            <w:tcBorders>
              <w:left w:val="single" w:sz="6" w:space="0" w:color="000000"/>
              <w:bottom w:val="single" w:sz="4" w:space="0" w:color="000000"/>
              <w:right w:val="single" w:sz="6" w:space="0" w:color="000000"/>
            </w:tcBorders>
          </w:tcPr>
          <w:p>
            <w:pPr>
              <w:pStyle w:val="TableParagraph"/>
              <w:spacing w:before="16"/>
              <w:ind w:left="665"/>
              <w:rPr>
                <w:sz w:val="21"/>
              </w:rPr>
            </w:pPr>
            <w:r>
              <w:rPr>
                <w:spacing w:val="-4"/>
                <w:sz w:val="21"/>
              </w:rPr>
              <w:t>项目号</w:t>
            </w:r>
          </w:p>
        </w:tc>
        <w:tc>
          <w:tcPr>
            <w:tcW w:w="6660" w:type="dxa"/>
            <w:tcBorders>
              <w:left w:val="single" w:sz="6" w:space="0" w:color="000000"/>
              <w:bottom w:val="single" w:sz="4" w:space="0" w:color="000000"/>
            </w:tcBorders>
          </w:tcPr>
          <w:p>
            <w:pPr>
              <w:pStyle w:val="TableParagraph"/>
              <w:spacing w:before="16"/>
              <w:ind w:left="2127"/>
              <w:rPr>
                <w:sz w:val="21"/>
              </w:rPr>
            </w:pPr>
            <w:r>
              <w:rPr>
                <w:spacing w:val="-3"/>
                <w:sz w:val="21"/>
              </w:rPr>
              <w:t>编列内容</w:t>
            </w:r>
          </w:p>
        </w:tc>
      </w:tr>
      <w:tr>
        <w:tblPrEx>
          <w:tblW w:w="0" w:type="auto"/>
          <w:jc w:val="left"/>
          <w:tblInd w:w="296" w:type="dxa"/>
          <w:tblLayout w:type="fixed"/>
          <w:tblCellMar>
            <w:top w:w="0" w:type="dxa"/>
            <w:left w:w="0" w:type="dxa"/>
            <w:bottom w:w="0" w:type="dxa"/>
            <w:right w:w="0" w:type="dxa"/>
          </w:tblCellMar>
          <w:tblLook w:val="01E0"/>
        </w:tblPrEx>
        <w:trPr>
          <w:trHeight w:val="668"/>
          <w:jc w:val="left"/>
        </w:trPr>
        <w:tc>
          <w:tcPr>
            <w:tcW w:w="500" w:type="dxa"/>
            <w:tcBorders>
              <w:top w:val="single" w:sz="4" w:space="0" w:color="000000"/>
              <w:bottom w:val="single" w:sz="6" w:space="0" w:color="000000"/>
              <w:right w:val="single" w:sz="6" w:space="0" w:color="000000"/>
            </w:tcBorders>
          </w:tcPr>
          <w:p>
            <w:pPr>
              <w:pStyle w:val="TableParagraph"/>
              <w:spacing w:before="17"/>
              <w:rPr>
                <w:rFonts w:ascii="Microsoft JhengHei"/>
                <w:b/>
                <w:sz w:val="10"/>
              </w:rPr>
            </w:pPr>
          </w:p>
          <w:p>
            <w:pPr>
              <w:pStyle w:val="TableParagraph"/>
              <w:ind w:left="30"/>
              <w:jc w:val="center"/>
              <w:rPr>
                <w:sz w:val="21"/>
              </w:rPr>
            </w:pPr>
            <w:r>
              <w:rPr>
                <w:sz w:val="21"/>
              </w:rPr>
              <w:t>1</w:t>
            </w:r>
          </w:p>
        </w:tc>
        <w:tc>
          <w:tcPr>
            <w:tcW w:w="2393" w:type="dxa"/>
            <w:tcBorders>
              <w:top w:val="single" w:sz="4" w:space="0" w:color="000000"/>
              <w:left w:val="single" w:sz="6" w:space="0" w:color="000000"/>
              <w:bottom w:val="single" w:sz="6" w:space="0" w:color="000000"/>
              <w:right w:val="single" w:sz="6" w:space="0" w:color="000000"/>
            </w:tcBorders>
          </w:tcPr>
          <w:p>
            <w:pPr>
              <w:pStyle w:val="TableParagraph"/>
              <w:spacing w:before="17"/>
              <w:rPr>
                <w:rFonts w:ascii="Microsoft JhengHei"/>
                <w:b/>
                <w:sz w:val="10"/>
              </w:rPr>
            </w:pPr>
          </w:p>
          <w:p>
            <w:pPr>
              <w:pStyle w:val="TableParagraph"/>
              <w:ind w:left="35"/>
              <w:rPr>
                <w:sz w:val="21"/>
              </w:rPr>
            </w:pPr>
            <w:r>
              <w:rPr>
                <w:spacing w:val="-3"/>
                <w:sz w:val="21"/>
              </w:rPr>
              <w:t>采购项目</w:t>
            </w:r>
          </w:p>
        </w:tc>
        <w:tc>
          <w:tcPr>
            <w:tcW w:w="6660" w:type="dxa"/>
            <w:tcBorders>
              <w:top w:val="single" w:sz="4" w:space="0" w:color="000000"/>
              <w:left w:val="single" w:sz="6" w:space="0" w:color="000000"/>
              <w:bottom w:val="single" w:sz="6" w:space="0" w:color="000000"/>
            </w:tcBorders>
          </w:tcPr>
          <w:p>
            <w:pPr>
              <w:pStyle w:val="TableParagraph"/>
              <w:spacing w:before="12"/>
              <w:rPr>
                <w:rFonts w:ascii="Microsoft JhengHei"/>
                <w:b/>
                <w:sz w:val="10"/>
              </w:rPr>
            </w:pPr>
          </w:p>
          <w:p>
            <w:pPr>
              <w:pStyle w:val="TableParagraph"/>
              <w:ind w:left="27"/>
              <w:rPr>
                <w:sz w:val="21"/>
              </w:rPr>
            </w:pPr>
            <w:r>
              <w:rPr>
                <w:spacing w:val="-1"/>
                <w:sz w:val="21"/>
              </w:rPr>
              <w:t>项目名称：泉州师范学院化生院教学设备采购及服务项目</w:t>
            </w:r>
          </w:p>
        </w:tc>
      </w:tr>
      <w:tr>
        <w:tblPrEx>
          <w:tblW w:w="0" w:type="auto"/>
          <w:jc w:val="left"/>
          <w:tblInd w:w="296" w:type="dxa"/>
          <w:tblLayout w:type="fixed"/>
          <w:tblCellMar>
            <w:top w:w="0" w:type="dxa"/>
            <w:left w:w="0" w:type="dxa"/>
            <w:bottom w:w="0" w:type="dxa"/>
            <w:right w:w="0" w:type="dxa"/>
          </w:tblCellMar>
          <w:tblLook w:val="01E0"/>
        </w:tblPrEx>
        <w:trPr>
          <w:trHeight w:val="454"/>
          <w:jc w:val="left"/>
        </w:trPr>
        <w:tc>
          <w:tcPr>
            <w:tcW w:w="500" w:type="dxa"/>
            <w:tcBorders>
              <w:top w:val="single" w:sz="6" w:space="0" w:color="000000"/>
              <w:bottom w:val="single" w:sz="6" w:space="0" w:color="000000"/>
              <w:right w:val="single" w:sz="6" w:space="0" w:color="000000"/>
            </w:tcBorders>
          </w:tcPr>
          <w:p>
            <w:pPr>
              <w:pStyle w:val="TableParagraph"/>
              <w:spacing w:before="26"/>
              <w:ind w:left="26"/>
              <w:jc w:val="center"/>
              <w:rPr>
                <w:sz w:val="21"/>
              </w:rPr>
            </w:pPr>
            <w:r>
              <w:rPr>
                <w:sz w:val="21"/>
              </w:rPr>
              <w:t>2</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26"/>
              <w:ind w:left="35"/>
              <w:rPr>
                <w:sz w:val="21"/>
              </w:rPr>
            </w:pPr>
            <w:r>
              <w:rPr>
                <w:spacing w:val="-2"/>
                <w:sz w:val="21"/>
              </w:rPr>
              <w:t>货物交货地点</w:t>
            </w:r>
          </w:p>
        </w:tc>
        <w:tc>
          <w:tcPr>
            <w:tcW w:w="6660" w:type="dxa"/>
            <w:tcBorders>
              <w:top w:val="single" w:sz="6" w:space="0" w:color="000000"/>
              <w:left w:val="single" w:sz="6" w:space="0" w:color="000000"/>
              <w:bottom w:val="single" w:sz="6" w:space="0" w:color="000000"/>
            </w:tcBorders>
          </w:tcPr>
          <w:p>
            <w:pPr>
              <w:pStyle w:val="TableParagraph"/>
              <w:spacing w:before="26"/>
              <w:ind w:left="27"/>
              <w:rPr>
                <w:sz w:val="21"/>
              </w:rPr>
            </w:pPr>
            <w:r>
              <w:rPr>
                <w:spacing w:val="-1"/>
                <w:sz w:val="21"/>
              </w:rPr>
              <w:t>采购人指定的安装地点</w:t>
            </w:r>
          </w:p>
        </w:tc>
      </w:tr>
      <w:tr>
        <w:tblPrEx>
          <w:tblW w:w="0" w:type="auto"/>
          <w:jc w:val="left"/>
          <w:tblInd w:w="296" w:type="dxa"/>
          <w:tblLayout w:type="fixed"/>
          <w:tblCellMar>
            <w:top w:w="0" w:type="dxa"/>
            <w:left w:w="0" w:type="dxa"/>
            <w:bottom w:w="0" w:type="dxa"/>
            <w:right w:w="0" w:type="dxa"/>
          </w:tblCellMar>
          <w:tblLook w:val="01E0"/>
        </w:tblPrEx>
        <w:trPr>
          <w:trHeight w:val="461"/>
          <w:jc w:val="left"/>
        </w:trPr>
        <w:tc>
          <w:tcPr>
            <w:tcW w:w="500" w:type="dxa"/>
            <w:tcBorders>
              <w:top w:val="single" w:sz="6" w:space="0" w:color="000000"/>
              <w:bottom w:val="single" w:sz="6" w:space="0" w:color="000000"/>
              <w:right w:val="single" w:sz="6" w:space="0" w:color="000000"/>
            </w:tcBorders>
          </w:tcPr>
          <w:p>
            <w:pPr>
              <w:pStyle w:val="TableParagraph"/>
              <w:spacing w:before="29"/>
              <w:ind w:left="26"/>
              <w:jc w:val="center"/>
              <w:rPr>
                <w:sz w:val="21"/>
              </w:rPr>
            </w:pPr>
            <w:r>
              <w:rPr>
                <w:sz w:val="21"/>
              </w:rPr>
              <w:t>3</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29"/>
              <w:ind w:left="35"/>
              <w:rPr>
                <w:sz w:val="21"/>
              </w:rPr>
            </w:pPr>
            <w:r>
              <w:rPr>
                <w:spacing w:val="-3"/>
                <w:sz w:val="21"/>
              </w:rPr>
              <w:t>采购方式</w:t>
            </w:r>
          </w:p>
        </w:tc>
        <w:tc>
          <w:tcPr>
            <w:tcW w:w="6660" w:type="dxa"/>
            <w:tcBorders>
              <w:top w:val="single" w:sz="6" w:space="0" w:color="000000"/>
              <w:left w:val="single" w:sz="6" w:space="0" w:color="000000"/>
              <w:bottom w:val="single" w:sz="6" w:space="0" w:color="000000"/>
            </w:tcBorders>
          </w:tcPr>
          <w:p>
            <w:pPr>
              <w:pStyle w:val="TableParagraph"/>
              <w:spacing w:before="29"/>
              <w:ind w:left="27"/>
              <w:rPr>
                <w:sz w:val="21"/>
              </w:rPr>
            </w:pPr>
            <w:r>
              <w:rPr>
                <w:spacing w:val="-3"/>
                <w:sz w:val="21"/>
              </w:rPr>
              <w:t>公开招标</w:t>
            </w:r>
          </w:p>
        </w:tc>
      </w:tr>
      <w:tr>
        <w:tblPrEx>
          <w:tblW w:w="0" w:type="auto"/>
          <w:jc w:val="left"/>
          <w:tblInd w:w="296" w:type="dxa"/>
          <w:tblLayout w:type="fixed"/>
          <w:tblCellMar>
            <w:top w:w="0" w:type="dxa"/>
            <w:left w:w="0" w:type="dxa"/>
            <w:bottom w:w="0" w:type="dxa"/>
            <w:right w:w="0" w:type="dxa"/>
          </w:tblCellMar>
          <w:tblLook w:val="01E0"/>
        </w:tblPrEx>
        <w:trPr>
          <w:trHeight w:val="640"/>
          <w:jc w:val="left"/>
        </w:trPr>
        <w:tc>
          <w:tcPr>
            <w:tcW w:w="500" w:type="dxa"/>
            <w:tcBorders>
              <w:top w:val="single" w:sz="6" w:space="0" w:color="000000"/>
              <w:bottom w:val="single" w:sz="6" w:space="0" w:color="000000"/>
              <w:right w:val="single" w:sz="6" w:space="0" w:color="000000"/>
            </w:tcBorders>
          </w:tcPr>
          <w:p>
            <w:pPr>
              <w:pStyle w:val="TableParagraph"/>
              <w:spacing w:before="119"/>
              <w:ind w:left="26"/>
              <w:jc w:val="center"/>
              <w:rPr>
                <w:sz w:val="21"/>
              </w:rPr>
            </w:pPr>
            <w:r>
              <w:rPr>
                <w:sz w:val="21"/>
              </w:rPr>
              <w:t>4</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119"/>
              <w:ind w:left="35"/>
              <w:rPr>
                <w:sz w:val="21"/>
              </w:rPr>
            </w:pPr>
            <w:r>
              <w:rPr>
                <w:spacing w:val="-3"/>
                <w:sz w:val="21"/>
              </w:rPr>
              <w:t>采购内容</w:t>
            </w:r>
          </w:p>
        </w:tc>
        <w:tc>
          <w:tcPr>
            <w:tcW w:w="6660" w:type="dxa"/>
            <w:tcBorders>
              <w:top w:val="single" w:sz="6" w:space="0" w:color="000000"/>
              <w:left w:val="single" w:sz="6" w:space="0" w:color="000000"/>
              <w:bottom w:val="single" w:sz="6" w:space="0" w:color="000000"/>
            </w:tcBorders>
          </w:tcPr>
          <w:p>
            <w:pPr>
              <w:pStyle w:val="TableParagraph"/>
              <w:spacing w:before="51" w:line="242" w:lineRule="auto"/>
              <w:ind w:left="27" w:right="4"/>
              <w:rPr>
                <w:sz w:val="21"/>
              </w:rPr>
            </w:pPr>
            <w:r>
              <w:rPr>
                <w:spacing w:val="5"/>
                <w:sz w:val="21"/>
              </w:rPr>
              <w:t>详见文件第三部分泉州师范学院化生院教学设备采购及服务项目需求</w:t>
            </w:r>
            <w:r>
              <w:rPr>
                <w:spacing w:val="-2"/>
                <w:sz w:val="21"/>
              </w:rPr>
              <w:t>技术与商务内容</w:t>
            </w:r>
          </w:p>
        </w:tc>
      </w:tr>
      <w:tr>
        <w:tblPrEx>
          <w:tblW w:w="0" w:type="auto"/>
          <w:jc w:val="left"/>
          <w:tblInd w:w="296" w:type="dxa"/>
          <w:tblLayout w:type="fixed"/>
          <w:tblCellMar>
            <w:top w:w="0" w:type="dxa"/>
            <w:left w:w="0" w:type="dxa"/>
            <w:bottom w:w="0" w:type="dxa"/>
            <w:right w:w="0" w:type="dxa"/>
          </w:tblCellMar>
          <w:tblLook w:val="01E0"/>
        </w:tblPrEx>
        <w:trPr>
          <w:trHeight w:val="448"/>
          <w:jc w:val="left"/>
        </w:trPr>
        <w:tc>
          <w:tcPr>
            <w:tcW w:w="500" w:type="dxa"/>
            <w:tcBorders>
              <w:top w:val="single" w:sz="6" w:space="0" w:color="000000"/>
              <w:bottom w:val="single" w:sz="6" w:space="0" w:color="000000"/>
              <w:right w:val="single" w:sz="6" w:space="0" w:color="000000"/>
            </w:tcBorders>
          </w:tcPr>
          <w:p>
            <w:pPr>
              <w:pStyle w:val="TableParagraph"/>
              <w:spacing w:before="23"/>
              <w:ind w:left="26"/>
              <w:jc w:val="center"/>
              <w:rPr>
                <w:sz w:val="21"/>
              </w:rPr>
            </w:pPr>
            <w:r>
              <w:rPr>
                <w:sz w:val="21"/>
              </w:rPr>
              <w:t>5</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23"/>
              <w:ind w:left="35"/>
              <w:rPr>
                <w:sz w:val="21"/>
              </w:rPr>
            </w:pPr>
            <w:r>
              <w:rPr>
                <w:spacing w:val="-2"/>
                <w:sz w:val="21"/>
              </w:rPr>
              <w:t>投标有效期</w:t>
            </w:r>
          </w:p>
        </w:tc>
        <w:tc>
          <w:tcPr>
            <w:tcW w:w="6660" w:type="dxa"/>
            <w:tcBorders>
              <w:top w:val="single" w:sz="6" w:space="0" w:color="000000"/>
              <w:left w:val="single" w:sz="6" w:space="0" w:color="000000"/>
              <w:bottom w:val="single" w:sz="6" w:space="0" w:color="000000"/>
            </w:tcBorders>
          </w:tcPr>
          <w:p>
            <w:pPr>
              <w:pStyle w:val="TableParagraph"/>
              <w:spacing w:before="91"/>
              <w:ind w:left="27"/>
              <w:rPr>
                <w:sz w:val="21"/>
              </w:rPr>
            </w:pPr>
            <w:r>
              <w:rPr>
                <w:spacing w:val="-5"/>
                <w:sz w:val="21"/>
              </w:rPr>
              <w:t xml:space="preserve">投标截止后 </w:t>
            </w:r>
            <w:r>
              <w:rPr>
                <w:sz w:val="21"/>
              </w:rPr>
              <w:t>90</w:t>
            </w:r>
            <w:r>
              <w:rPr>
                <w:spacing w:val="-21"/>
                <w:sz w:val="21"/>
              </w:rPr>
              <w:t xml:space="preserve"> 天</w:t>
            </w:r>
          </w:p>
        </w:tc>
      </w:tr>
      <w:tr>
        <w:tblPrEx>
          <w:tblW w:w="0" w:type="auto"/>
          <w:jc w:val="left"/>
          <w:tblInd w:w="296" w:type="dxa"/>
          <w:tblLayout w:type="fixed"/>
          <w:tblCellMar>
            <w:top w:w="0" w:type="dxa"/>
            <w:left w:w="0" w:type="dxa"/>
            <w:bottom w:w="0" w:type="dxa"/>
            <w:right w:w="0" w:type="dxa"/>
          </w:tblCellMar>
          <w:tblLook w:val="01E0"/>
        </w:tblPrEx>
        <w:trPr>
          <w:trHeight w:val="448"/>
          <w:jc w:val="left"/>
        </w:trPr>
        <w:tc>
          <w:tcPr>
            <w:tcW w:w="500" w:type="dxa"/>
            <w:tcBorders>
              <w:top w:val="single" w:sz="6" w:space="0" w:color="000000"/>
              <w:bottom w:val="single" w:sz="6" w:space="0" w:color="000000"/>
              <w:right w:val="single" w:sz="6" w:space="0" w:color="000000"/>
            </w:tcBorders>
          </w:tcPr>
          <w:p>
            <w:pPr>
              <w:pStyle w:val="TableParagraph"/>
              <w:spacing w:before="23"/>
              <w:ind w:left="26"/>
              <w:jc w:val="center"/>
              <w:rPr>
                <w:sz w:val="21"/>
              </w:rPr>
            </w:pPr>
            <w:r>
              <w:rPr>
                <w:sz w:val="21"/>
              </w:rPr>
              <w:t>6</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23"/>
              <w:ind w:left="35"/>
              <w:rPr>
                <w:sz w:val="21"/>
              </w:rPr>
            </w:pPr>
            <w:r>
              <w:rPr>
                <w:spacing w:val="-2"/>
                <w:sz w:val="21"/>
              </w:rPr>
              <w:t>合同价格方式</w:t>
            </w:r>
          </w:p>
        </w:tc>
        <w:tc>
          <w:tcPr>
            <w:tcW w:w="6660" w:type="dxa"/>
            <w:tcBorders>
              <w:top w:val="single" w:sz="6" w:space="0" w:color="000000"/>
              <w:left w:val="single" w:sz="6" w:space="0" w:color="000000"/>
              <w:bottom w:val="single" w:sz="6" w:space="0" w:color="000000"/>
            </w:tcBorders>
          </w:tcPr>
          <w:p>
            <w:pPr>
              <w:pStyle w:val="TableParagraph"/>
              <w:spacing w:before="91"/>
              <w:ind w:left="27"/>
              <w:rPr>
                <w:sz w:val="21"/>
              </w:rPr>
            </w:pPr>
            <w:r>
              <w:rPr>
                <w:spacing w:val="-2"/>
                <w:sz w:val="21"/>
              </w:rPr>
              <w:t>按中标价一次性</w:t>
            </w:r>
          </w:p>
        </w:tc>
      </w:tr>
      <w:tr>
        <w:tblPrEx>
          <w:tblW w:w="0" w:type="auto"/>
          <w:jc w:val="left"/>
          <w:tblInd w:w="296" w:type="dxa"/>
          <w:tblLayout w:type="fixed"/>
          <w:tblCellMar>
            <w:top w:w="0" w:type="dxa"/>
            <w:left w:w="0" w:type="dxa"/>
            <w:bottom w:w="0" w:type="dxa"/>
            <w:right w:w="0" w:type="dxa"/>
          </w:tblCellMar>
          <w:tblLook w:val="01E0"/>
        </w:tblPrEx>
        <w:trPr>
          <w:trHeight w:val="617"/>
          <w:jc w:val="left"/>
        </w:trPr>
        <w:tc>
          <w:tcPr>
            <w:tcW w:w="500" w:type="dxa"/>
            <w:tcBorders>
              <w:top w:val="single" w:sz="6" w:space="0" w:color="000000"/>
              <w:bottom w:val="single" w:sz="6" w:space="0" w:color="000000"/>
              <w:right w:val="single" w:sz="6" w:space="0" w:color="000000"/>
            </w:tcBorders>
          </w:tcPr>
          <w:p>
            <w:pPr>
              <w:pStyle w:val="TableParagraph"/>
              <w:spacing w:before="107"/>
              <w:ind w:left="26"/>
              <w:jc w:val="center"/>
              <w:rPr>
                <w:sz w:val="21"/>
              </w:rPr>
            </w:pPr>
            <w:r>
              <w:rPr>
                <w:sz w:val="21"/>
              </w:rPr>
              <w:t>7</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107"/>
              <w:ind w:left="35"/>
              <w:rPr>
                <w:sz w:val="21"/>
              </w:rPr>
            </w:pPr>
            <w:r>
              <w:rPr>
                <w:spacing w:val="-2"/>
                <w:sz w:val="21"/>
              </w:rPr>
              <w:t>交货安装期限</w:t>
            </w:r>
          </w:p>
        </w:tc>
        <w:tc>
          <w:tcPr>
            <w:tcW w:w="6660" w:type="dxa"/>
            <w:tcBorders>
              <w:top w:val="single" w:sz="6" w:space="0" w:color="000000"/>
              <w:left w:val="single" w:sz="6" w:space="0" w:color="000000"/>
              <w:bottom w:val="single" w:sz="6" w:space="0" w:color="000000"/>
            </w:tcBorders>
          </w:tcPr>
          <w:p>
            <w:pPr>
              <w:pStyle w:val="TableParagraph"/>
              <w:spacing w:before="23"/>
              <w:ind w:left="27" w:right="-15"/>
              <w:rPr>
                <w:sz w:val="21"/>
              </w:rPr>
            </w:pPr>
            <w:r>
              <w:rPr>
                <w:spacing w:val="-5"/>
                <w:sz w:val="21"/>
              </w:rPr>
              <w:t xml:space="preserve">买卖双方签订合同后 </w:t>
            </w:r>
            <w:r>
              <w:rPr>
                <w:spacing w:val="-2"/>
                <w:sz w:val="21"/>
              </w:rPr>
              <w:t>30</w:t>
            </w:r>
            <w:r>
              <w:rPr>
                <w:spacing w:val="-8"/>
                <w:sz w:val="21"/>
              </w:rPr>
              <w:t xml:space="preserve"> 日历日内将所有货物全部安装调试完毕、验收合</w:t>
            </w:r>
          </w:p>
          <w:p>
            <w:pPr>
              <w:pStyle w:val="TableParagraph"/>
              <w:spacing w:before="43" w:line="262" w:lineRule="exact"/>
              <w:ind w:left="27"/>
              <w:rPr>
                <w:sz w:val="21"/>
              </w:rPr>
            </w:pPr>
            <w:r>
              <w:rPr>
                <w:spacing w:val="-2"/>
                <w:sz w:val="21"/>
              </w:rPr>
              <w:t>格、交付使用。</w:t>
            </w:r>
          </w:p>
        </w:tc>
      </w:tr>
      <w:tr>
        <w:tblPrEx>
          <w:tblW w:w="0" w:type="auto"/>
          <w:jc w:val="left"/>
          <w:tblInd w:w="296" w:type="dxa"/>
          <w:tblLayout w:type="fixed"/>
          <w:tblCellMar>
            <w:top w:w="0" w:type="dxa"/>
            <w:left w:w="0" w:type="dxa"/>
            <w:bottom w:w="0" w:type="dxa"/>
            <w:right w:w="0" w:type="dxa"/>
          </w:tblCellMar>
          <w:tblLook w:val="01E0"/>
        </w:tblPrEx>
        <w:trPr>
          <w:trHeight w:val="936"/>
          <w:jc w:val="left"/>
        </w:trPr>
        <w:tc>
          <w:tcPr>
            <w:tcW w:w="500" w:type="dxa"/>
            <w:tcBorders>
              <w:top w:val="single" w:sz="6" w:space="0" w:color="000000"/>
              <w:bottom w:val="single" w:sz="6" w:space="0" w:color="000000"/>
              <w:right w:val="single" w:sz="6" w:space="0" w:color="000000"/>
            </w:tcBorders>
          </w:tcPr>
          <w:p>
            <w:pPr>
              <w:pStyle w:val="TableParagraph"/>
              <w:spacing w:before="9"/>
              <w:rPr>
                <w:rFonts w:ascii="Microsoft JhengHei"/>
                <w:b/>
                <w:sz w:val="14"/>
              </w:rPr>
            </w:pPr>
          </w:p>
          <w:p>
            <w:pPr>
              <w:pStyle w:val="TableParagraph"/>
              <w:ind w:left="26"/>
              <w:jc w:val="center"/>
              <w:rPr>
                <w:sz w:val="21"/>
              </w:rPr>
            </w:pPr>
            <w:r>
              <w:rPr>
                <w:sz w:val="21"/>
              </w:rPr>
              <w:t>8</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9"/>
              <w:rPr>
                <w:rFonts w:ascii="Microsoft JhengHei"/>
                <w:b/>
                <w:sz w:val="14"/>
              </w:rPr>
            </w:pPr>
          </w:p>
          <w:p>
            <w:pPr>
              <w:pStyle w:val="TableParagraph"/>
              <w:ind w:left="35"/>
              <w:rPr>
                <w:sz w:val="21"/>
              </w:rPr>
            </w:pPr>
            <w:r>
              <w:rPr>
                <w:spacing w:val="-2"/>
                <w:sz w:val="21"/>
              </w:rPr>
              <w:t>价格与费用</w:t>
            </w:r>
          </w:p>
        </w:tc>
        <w:tc>
          <w:tcPr>
            <w:tcW w:w="6660" w:type="dxa"/>
            <w:tcBorders>
              <w:top w:val="single" w:sz="6" w:space="0" w:color="000000"/>
              <w:left w:val="single" w:sz="6" w:space="0" w:color="000000"/>
              <w:bottom w:val="single" w:sz="6" w:space="0" w:color="000000"/>
            </w:tcBorders>
          </w:tcPr>
          <w:p>
            <w:pPr>
              <w:pStyle w:val="TableParagraph"/>
              <w:spacing w:before="23"/>
              <w:ind w:left="27" w:right="-15"/>
              <w:rPr>
                <w:sz w:val="21"/>
              </w:rPr>
            </w:pPr>
            <w:r>
              <w:rPr>
                <w:spacing w:val="-1"/>
                <w:sz w:val="21"/>
              </w:rPr>
              <w:t>包含中标供应商将设备送至采购单位安装地点，负责安装调试且验收合</w:t>
            </w:r>
          </w:p>
          <w:p>
            <w:pPr>
              <w:pStyle w:val="TableParagraph"/>
              <w:spacing w:before="2" w:line="310" w:lineRule="atLeast"/>
              <w:ind w:left="27" w:right="-15"/>
              <w:rPr>
                <w:sz w:val="21"/>
              </w:rPr>
            </w:pPr>
            <w:r>
              <w:rPr>
                <w:spacing w:val="-2"/>
                <w:sz w:val="21"/>
              </w:rPr>
              <w:t>格的价格及其他相关费用(采用按中标价格一次性包干的方式。在本合同</w:t>
            </w:r>
            <w:r>
              <w:rPr>
                <w:spacing w:val="-2"/>
                <w:sz w:val="21"/>
              </w:rPr>
              <w:t>执行期內，不论市场价格或税费政策是否调整，合同价格不作调整。)</w:t>
            </w:r>
          </w:p>
        </w:tc>
      </w:tr>
      <w:tr>
        <w:tblPrEx>
          <w:tblW w:w="0" w:type="auto"/>
          <w:jc w:val="left"/>
          <w:tblInd w:w="296" w:type="dxa"/>
          <w:tblLayout w:type="fixed"/>
          <w:tblCellMar>
            <w:top w:w="0" w:type="dxa"/>
            <w:left w:w="0" w:type="dxa"/>
            <w:bottom w:w="0" w:type="dxa"/>
            <w:right w:w="0" w:type="dxa"/>
          </w:tblCellMar>
          <w:tblLook w:val="01E0"/>
        </w:tblPrEx>
        <w:trPr>
          <w:trHeight w:val="510"/>
          <w:jc w:val="left"/>
        </w:trPr>
        <w:tc>
          <w:tcPr>
            <w:tcW w:w="500" w:type="dxa"/>
            <w:tcBorders>
              <w:top w:val="single" w:sz="6" w:space="0" w:color="000000"/>
              <w:bottom w:val="single" w:sz="6" w:space="0" w:color="000000"/>
              <w:right w:val="single" w:sz="6" w:space="0" w:color="000000"/>
            </w:tcBorders>
          </w:tcPr>
          <w:p>
            <w:pPr>
              <w:pStyle w:val="TableParagraph"/>
              <w:spacing w:before="54"/>
              <w:ind w:left="26"/>
              <w:jc w:val="center"/>
              <w:rPr>
                <w:sz w:val="21"/>
              </w:rPr>
            </w:pPr>
            <w:r>
              <w:rPr>
                <w:sz w:val="21"/>
              </w:rPr>
              <w:t>9</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54"/>
              <w:ind w:left="35"/>
              <w:rPr>
                <w:sz w:val="21"/>
              </w:rPr>
            </w:pPr>
            <w:r>
              <w:rPr>
                <w:spacing w:val="-2"/>
                <w:sz w:val="21"/>
              </w:rPr>
              <w:t>对投标人的资格要求</w:t>
            </w:r>
          </w:p>
        </w:tc>
        <w:tc>
          <w:tcPr>
            <w:tcW w:w="6660" w:type="dxa"/>
            <w:tcBorders>
              <w:top w:val="single" w:sz="6" w:space="0" w:color="000000"/>
              <w:left w:val="single" w:sz="6" w:space="0" w:color="000000"/>
              <w:bottom w:val="single" w:sz="6" w:space="0" w:color="000000"/>
            </w:tcBorders>
          </w:tcPr>
          <w:p>
            <w:pPr>
              <w:pStyle w:val="TableParagraph"/>
              <w:spacing w:before="54"/>
              <w:ind w:left="27"/>
              <w:rPr>
                <w:sz w:val="21"/>
              </w:rPr>
            </w:pPr>
            <w:r>
              <w:rPr>
                <w:spacing w:val="-1"/>
                <w:sz w:val="21"/>
              </w:rPr>
              <w:t>详见文件第二部分投标人须知</w:t>
            </w:r>
          </w:p>
        </w:tc>
      </w:tr>
      <w:tr>
        <w:tblPrEx>
          <w:tblW w:w="0" w:type="auto"/>
          <w:jc w:val="left"/>
          <w:tblInd w:w="296" w:type="dxa"/>
          <w:tblLayout w:type="fixed"/>
          <w:tblCellMar>
            <w:top w:w="0" w:type="dxa"/>
            <w:left w:w="0" w:type="dxa"/>
            <w:bottom w:w="0" w:type="dxa"/>
            <w:right w:w="0" w:type="dxa"/>
          </w:tblCellMar>
          <w:tblLook w:val="01E0"/>
        </w:tblPrEx>
        <w:trPr>
          <w:trHeight w:val="624"/>
          <w:jc w:val="left"/>
        </w:trPr>
        <w:tc>
          <w:tcPr>
            <w:tcW w:w="500" w:type="dxa"/>
            <w:tcBorders>
              <w:top w:val="single" w:sz="6" w:space="0" w:color="000000"/>
              <w:bottom w:val="single" w:sz="4" w:space="0" w:color="000000"/>
              <w:right w:val="single" w:sz="6" w:space="0" w:color="000000"/>
            </w:tcBorders>
          </w:tcPr>
          <w:p>
            <w:pPr>
              <w:pStyle w:val="TableParagraph"/>
              <w:spacing w:before="111"/>
              <w:ind w:left="32" w:right="7"/>
              <w:jc w:val="center"/>
              <w:rPr>
                <w:sz w:val="21"/>
              </w:rPr>
            </w:pPr>
            <w:r>
              <w:rPr>
                <w:spacing w:val="-5"/>
                <w:sz w:val="21"/>
              </w:rPr>
              <w:t>10</w:t>
            </w:r>
          </w:p>
        </w:tc>
        <w:tc>
          <w:tcPr>
            <w:tcW w:w="2393" w:type="dxa"/>
            <w:tcBorders>
              <w:top w:val="single" w:sz="6" w:space="0" w:color="000000"/>
              <w:left w:val="single" w:sz="6" w:space="0" w:color="000000"/>
              <w:bottom w:val="single" w:sz="4" w:space="0" w:color="000000"/>
              <w:right w:val="single" w:sz="6" w:space="0" w:color="000000"/>
            </w:tcBorders>
          </w:tcPr>
          <w:p>
            <w:pPr>
              <w:pStyle w:val="TableParagraph"/>
              <w:spacing w:before="111"/>
              <w:ind w:left="35"/>
              <w:rPr>
                <w:sz w:val="21"/>
              </w:rPr>
            </w:pPr>
            <w:r>
              <w:rPr>
                <w:spacing w:val="-2"/>
                <w:sz w:val="21"/>
              </w:rPr>
              <w:t>投标保证金</w:t>
            </w:r>
          </w:p>
        </w:tc>
        <w:tc>
          <w:tcPr>
            <w:tcW w:w="6660" w:type="dxa"/>
            <w:tcBorders>
              <w:top w:val="single" w:sz="6" w:space="0" w:color="000000"/>
              <w:left w:val="single" w:sz="6" w:space="0" w:color="000000"/>
              <w:bottom w:val="single" w:sz="4" w:space="0" w:color="000000"/>
            </w:tcBorders>
          </w:tcPr>
          <w:p>
            <w:pPr>
              <w:pStyle w:val="TableParagraph"/>
              <w:spacing w:before="23"/>
              <w:ind w:left="27" w:right="-15"/>
              <w:rPr>
                <w:sz w:val="21"/>
              </w:rPr>
            </w:pPr>
            <w:r>
              <w:rPr>
                <w:spacing w:val="-1"/>
                <w:sz w:val="21"/>
              </w:rPr>
              <w:t>人民币壹仟玖佰元整，在递交投标文件截止时间前，由投标人开户银行</w:t>
            </w:r>
          </w:p>
          <w:p>
            <w:pPr>
              <w:pStyle w:val="TableParagraph"/>
              <w:spacing w:before="43"/>
              <w:ind w:left="27"/>
              <w:rPr>
                <w:sz w:val="21"/>
              </w:rPr>
            </w:pPr>
            <w:r>
              <w:rPr>
                <w:spacing w:val="-1"/>
                <w:sz w:val="21"/>
              </w:rPr>
              <w:t>以电汇或转帐方式提交，不接受现金、现金缴款或汇票。</w:t>
            </w:r>
          </w:p>
        </w:tc>
      </w:tr>
      <w:tr>
        <w:tblPrEx>
          <w:tblW w:w="0" w:type="auto"/>
          <w:jc w:val="left"/>
          <w:tblInd w:w="296" w:type="dxa"/>
          <w:tblLayout w:type="fixed"/>
          <w:tblCellMar>
            <w:top w:w="0" w:type="dxa"/>
            <w:left w:w="0" w:type="dxa"/>
            <w:bottom w:w="0" w:type="dxa"/>
            <w:right w:w="0" w:type="dxa"/>
          </w:tblCellMar>
          <w:tblLook w:val="01E0"/>
        </w:tblPrEx>
        <w:trPr>
          <w:trHeight w:val="408"/>
          <w:jc w:val="left"/>
        </w:trPr>
        <w:tc>
          <w:tcPr>
            <w:tcW w:w="500" w:type="dxa"/>
            <w:tcBorders>
              <w:top w:val="single" w:sz="4" w:space="0" w:color="000000"/>
              <w:bottom w:val="single" w:sz="6" w:space="0" w:color="000000"/>
              <w:right w:val="single" w:sz="6" w:space="0" w:color="000000"/>
            </w:tcBorders>
          </w:tcPr>
          <w:p>
            <w:pPr>
              <w:pStyle w:val="TableParagraph"/>
              <w:spacing w:before="3"/>
              <w:ind w:left="32" w:right="7"/>
              <w:jc w:val="center"/>
              <w:rPr>
                <w:sz w:val="21"/>
              </w:rPr>
            </w:pPr>
            <w:r>
              <w:rPr>
                <w:spacing w:val="-5"/>
                <w:sz w:val="21"/>
              </w:rPr>
              <w:t>11</w:t>
            </w:r>
          </w:p>
        </w:tc>
        <w:tc>
          <w:tcPr>
            <w:tcW w:w="2393" w:type="dxa"/>
            <w:tcBorders>
              <w:top w:val="single" w:sz="4" w:space="0" w:color="000000"/>
              <w:left w:val="single" w:sz="6" w:space="0" w:color="000000"/>
              <w:bottom w:val="single" w:sz="6" w:space="0" w:color="000000"/>
              <w:right w:val="single" w:sz="6" w:space="0" w:color="000000"/>
            </w:tcBorders>
          </w:tcPr>
          <w:p>
            <w:pPr>
              <w:pStyle w:val="TableParagraph"/>
              <w:spacing w:before="3"/>
              <w:ind w:left="35"/>
              <w:rPr>
                <w:sz w:val="21"/>
              </w:rPr>
            </w:pPr>
            <w:r>
              <w:rPr>
                <w:spacing w:val="-2"/>
                <w:sz w:val="21"/>
              </w:rPr>
              <w:t>制作投标文件份数</w:t>
            </w:r>
          </w:p>
        </w:tc>
        <w:tc>
          <w:tcPr>
            <w:tcW w:w="6660" w:type="dxa"/>
            <w:tcBorders>
              <w:top w:val="single" w:sz="4" w:space="0" w:color="000000"/>
              <w:left w:val="single" w:sz="6" w:space="0" w:color="000000"/>
              <w:bottom w:val="single" w:sz="6" w:space="0" w:color="000000"/>
            </w:tcBorders>
          </w:tcPr>
          <w:p>
            <w:pPr>
              <w:pStyle w:val="TableParagraph"/>
              <w:spacing w:before="3"/>
              <w:ind w:left="27"/>
              <w:rPr>
                <w:sz w:val="21"/>
              </w:rPr>
            </w:pPr>
            <w:r>
              <w:rPr>
                <w:spacing w:val="-13"/>
                <w:sz w:val="21"/>
              </w:rPr>
              <w:t xml:space="preserve">正本 </w:t>
            </w:r>
            <w:r>
              <w:rPr>
                <w:sz w:val="21"/>
              </w:rPr>
              <w:t>1</w:t>
            </w:r>
            <w:r>
              <w:rPr>
                <w:spacing w:val="-13"/>
                <w:sz w:val="21"/>
              </w:rPr>
              <w:t xml:space="preserve"> 份，副本 </w:t>
            </w:r>
            <w:r>
              <w:rPr>
                <w:sz w:val="21"/>
              </w:rPr>
              <w:t>5</w:t>
            </w:r>
            <w:r>
              <w:rPr>
                <w:spacing w:val="-11"/>
                <w:sz w:val="21"/>
              </w:rPr>
              <w:t xml:space="preserve"> 份，电子版 </w:t>
            </w:r>
            <w:r>
              <w:rPr>
                <w:sz w:val="21"/>
              </w:rPr>
              <w:t>1</w:t>
            </w:r>
            <w:r>
              <w:rPr>
                <w:spacing w:val="-24"/>
                <w:sz w:val="21"/>
              </w:rPr>
              <w:t xml:space="preserve"> 份</w:t>
            </w:r>
          </w:p>
        </w:tc>
      </w:tr>
      <w:tr>
        <w:tblPrEx>
          <w:tblW w:w="0" w:type="auto"/>
          <w:jc w:val="left"/>
          <w:tblInd w:w="296" w:type="dxa"/>
          <w:tblLayout w:type="fixed"/>
          <w:tblCellMar>
            <w:top w:w="0" w:type="dxa"/>
            <w:left w:w="0" w:type="dxa"/>
            <w:bottom w:w="0" w:type="dxa"/>
            <w:right w:w="0" w:type="dxa"/>
          </w:tblCellMar>
          <w:tblLook w:val="01E0"/>
        </w:tblPrEx>
        <w:trPr>
          <w:trHeight w:val="817"/>
          <w:jc w:val="left"/>
        </w:trPr>
        <w:tc>
          <w:tcPr>
            <w:tcW w:w="500" w:type="dxa"/>
            <w:tcBorders>
              <w:top w:val="single" w:sz="6" w:space="0" w:color="000000"/>
              <w:bottom w:val="single" w:sz="6" w:space="0" w:color="000000"/>
              <w:right w:val="single" w:sz="6" w:space="0" w:color="000000"/>
            </w:tcBorders>
          </w:tcPr>
          <w:p>
            <w:pPr>
              <w:pStyle w:val="TableParagraph"/>
              <w:spacing w:before="5"/>
              <w:rPr>
                <w:rFonts w:ascii="Microsoft JhengHei"/>
                <w:b/>
                <w:sz w:val="11"/>
              </w:rPr>
            </w:pPr>
          </w:p>
          <w:p>
            <w:pPr>
              <w:pStyle w:val="TableParagraph"/>
              <w:ind w:left="32" w:right="7"/>
              <w:jc w:val="center"/>
              <w:rPr>
                <w:sz w:val="21"/>
              </w:rPr>
            </w:pPr>
            <w:r>
              <w:rPr>
                <w:spacing w:val="-5"/>
                <w:sz w:val="21"/>
              </w:rPr>
              <w:t>12</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35"/>
              <w:rPr>
                <w:sz w:val="21"/>
              </w:rPr>
            </w:pPr>
            <w:r>
              <w:rPr>
                <w:spacing w:val="-2"/>
                <w:sz w:val="21"/>
              </w:rPr>
              <w:t>中标人产生方法</w:t>
            </w:r>
          </w:p>
        </w:tc>
        <w:tc>
          <w:tcPr>
            <w:tcW w:w="6660" w:type="dxa"/>
            <w:tcBorders>
              <w:top w:val="single" w:sz="6" w:space="0" w:color="000000"/>
              <w:left w:val="single" w:sz="6" w:space="0" w:color="000000"/>
              <w:bottom w:val="single" w:sz="6" w:space="0" w:color="000000"/>
            </w:tcBorders>
          </w:tcPr>
          <w:p>
            <w:pPr>
              <w:pStyle w:val="TableParagraph"/>
              <w:spacing w:line="263" w:lineRule="exact"/>
              <w:ind w:left="27" w:right="-15"/>
              <w:rPr>
                <w:rFonts w:ascii="Microsoft JhengHei" w:eastAsia="Microsoft JhengHei"/>
                <w:b/>
                <w:sz w:val="21"/>
              </w:rPr>
            </w:pPr>
            <w:r>
              <w:rPr>
                <w:rFonts w:ascii="Microsoft JhengHei" w:eastAsia="Microsoft JhengHei"/>
                <w:b/>
                <w:spacing w:val="-5"/>
                <w:sz w:val="21"/>
              </w:rPr>
              <w:t xml:space="preserve">采用综合评分法确定中标候选供应商。评标总分均为 </w:t>
            </w:r>
            <w:r>
              <w:rPr>
                <w:rFonts w:ascii="Microsoft JhengHei" w:eastAsia="Microsoft JhengHei"/>
                <w:b/>
                <w:spacing w:val="-4"/>
                <w:sz w:val="21"/>
              </w:rPr>
              <w:t>100 分，由 60</w:t>
            </w:r>
            <w:r>
              <w:rPr>
                <w:rFonts w:ascii="Microsoft JhengHei" w:eastAsia="Microsoft JhengHei"/>
                <w:b/>
                <w:spacing w:val="-6"/>
                <w:sz w:val="21"/>
              </w:rPr>
              <w:t xml:space="preserve"> 分技</w:t>
            </w:r>
          </w:p>
          <w:p>
            <w:pPr>
              <w:pStyle w:val="TableParagraph"/>
              <w:spacing w:line="272" w:lineRule="exact"/>
              <w:ind w:left="27" w:right="-15"/>
              <w:rPr>
                <w:rFonts w:ascii="Microsoft JhengHei" w:eastAsia="Microsoft JhengHei"/>
                <w:b/>
                <w:sz w:val="21"/>
              </w:rPr>
            </w:pPr>
            <w:r>
              <w:rPr>
                <w:rFonts w:ascii="Microsoft JhengHei" w:eastAsia="Microsoft JhengHei"/>
                <w:b/>
                <w:spacing w:val="-3"/>
                <w:sz w:val="21"/>
              </w:rPr>
              <w:t xml:space="preserve">术商务评议分和 </w:t>
            </w:r>
            <w:r>
              <w:rPr>
                <w:rFonts w:ascii="Microsoft JhengHei" w:eastAsia="Microsoft JhengHei"/>
                <w:b/>
                <w:spacing w:val="-2"/>
                <w:sz w:val="21"/>
              </w:rPr>
              <w:t>40</w:t>
            </w:r>
            <w:r>
              <w:rPr>
                <w:rFonts w:ascii="Microsoft JhengHei" w:eastAsia="Microsoft JhengHei"/>
                <w:b/>
                <w:spacing w:val="-6"/>
                <w:sz w:val="21"/>
              </w:rPr>
              <w:t xml:space="preserve"> 分价格分组成。根据评仪分和价格分的高低由评标委</w:t>
            </w:r>
          </w:p>
          <w:p>
            <w:pPr>
              <w:pStyle w:val="TableParagraph"/>
              <w:spacing w:line="261" w:lineRule="exact"/>
              <w:ind w:left="27"/>
              <w:rPr>
                <w:sz w:val="21"/>
              </w:rPr>
            </w:pPr>
            <w:r>
              <w:rPr>
                <w:rFonts w:ascii="Microsoft JhengHei" w:eastAsia="Microsoft JhengHei"/>
                <w:b/>
                <w:sz w:val="21"/>
              </w:rPr>
              <w:t>员会推荐一名中标候选人</w:t>
            </w:r>
            <w:r>
              <w:rPr>
                <w:spacing w:val="-10"/>
                <w:sz w:val="21"/>
              </w:rPr>
              <w:t>。</w:t>
            </w:r>
          </w:p>
        </w:tc>
      </w:tr>
      <w:tr>
        <w:tblPrEx>
          <w:tblW w:w="0" w:type="auto"/>
          <w:jc w:val="left"/>
          <w:tblInd w:w="296" w:type="dxa"/>
          <w:tblLayout w:type="fixed"/>
          <w:tblCellMar>
            <w:top w:w="0" w:type="dxa"/>
            <w:left w:w="0" w:type="dxa"/>
            <w:bottom w:w="0" w:type="dxa"/>
            <w:right w:w="0" w:type="dxa"/>
          </w:tblCellMar>
          <w:tblLook w:val="01E0"/>
        </w:tblPrEx>
        <w:trPr>
          <w:trHeight w:val="510"/>
          <w:jc w:val="left"/>
        </w:trPr>
        <w:tc>
          <w:tcPr>
            <w:tcW w:w="500" w:type="dxa"/>
            <w:tcBorders>
              <w:top w:val="single" w:sz="6" w:space="0" w:color="000000"/>
              <w:bottom w:val="single" w:sz="6" w:space="0" w:color="000000"/>
              <w:right w:val="single" w:sz="6" w:space="0" w:color="000000"/>
            </w:tcBorders>
          </w:tcPr>
          <w:p>
            <w:pPr>
              <w:pStyle w:val="TableParagraph"/>
              <w:spacing w:before="54"/>
              <w:ind w:left="32" w:right="7"/>
              <w:jc w:val="center"/>
              <w:rPr>
                <w:sz w:val="21"/>
              </w:rPr>
            </w:pPr>
            <w:r>
              <w:rPr>
                <w:spacing w:val="-5"/>
                <w:sz w:val="21"/>
              </w:rPr>
              <w:t>13</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54"/>
              <w:ind w:left="35"/>
              <w:rPr>
                <w:sz w:val="21"/>
              </w:rPr>
            </w:pPr>
            <w:r>
              <w:rPr>
                <w:spacing w:val="-2"/>
                <w:sz w:val="21"/>
              </w:rPr>
              <w:t>履约保证金</w:t>
            </w:r>
          </w:p>
        </w:tc>
        <w:tc>
          <w:tcPr>
            <w:tcW w:w="6660" w:type="dxa"/>
            <w:tcBorders>
              <w:top w:val="single" w:sz="6" w:space="0" w:color="000000"/>
              <w:left w:val="single" w:sz="6" w:space="0" w:color="000000"/>
              <w:bottom w:val="single" w:sz="6" w:space="0" w:color="000000"/>
            </w:tcBorders>
          </w:tcPr>
          <w:p>
            <w:pPr>
              <w:pStyle w:val="TableParagraph"/>
              <w:spacing w:before="122"/>
              <w:ind w:left="-2"/>
              <w:rPr>
                <w:sz w:val="21"/>
              </w:rPr>
            </w:pPr>
            <w:r>
              <w:rPr>
                <w:spacing w:val="-3"/>
                <w:sz w:val="21"/>
              </w:rPr>
              <w:t xml:space="preserve">中标金额的 </w:t>
            </w:r>
            <w:r>
              <w:rPr>
                <w:spacing w:val="-5"/>
                <w:sz w:val="21"/>
              </w:rPr>
              <w:t>5%</w:t>
            </w:r>
          </w:p>
        </w:tc>
      </w:tr>
      <w:tr>
        <w:tblPrEx>
          <w:tblW w:w="0" w:type="auto"/>
          <w:jc w:val="left"/>
          <w:tblInd w:w="296" w:type="dxa"/>
          <w:tblLayout w:type="fixed"/>
          <w:tblCellMar>
            <w:top w:w="0" w:type="dxa"/>
            <w:left w:w="0" w:type="dxa"/>
            <w:bottom w:w="0" w:type="dxa"/>
            <w:right w:w="0" w:type="dxa"/>
          </w:tblCellMar>
          <w:tblLook w:val="01E0"/>
        </w:tblPrEx>
        <w:trPr>
          <w:trHeight w:val="510"/>
          <w:jc w:val="left"/>
        </w:trPr>
        <w:tc>
          <w:tcPr>
            <w:tcW w:w="500" w:type="dxa"/>
            <w:tcBorders>
              <w:top w:val="single" w:sz="6" w:space="0" w:color="000000"/>
              <w:bottom w:val="single" w:sz="6" w:space="0" w:color="000000"/>
              <w:right w:val="single" w:sz="6" w:space="0" w:color="000000"/>
            </w:tcBorders>
          </w:tcPr>
          <w:p>
            <w:pPr>
              <w:pStyle w:val="TableParagraph"/>
              <w:spacing w:before="54"/>
              <w:ind w:left="32" w:right="7"/>
              <w:jc w:val="center"/>
              <w:rPr>
                <w:sz w:val="21"/>
              </w:rPr>
            </w:pPr>
            <w:r>
              <w:rPr>
                <w:spacing w:val="-5"/>
                <w:sz w:val="21"/>
              </w:rPr>
              <w:t>14</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122"/>
              <w:ind w:left="35"/>
              <w:rPr>
                <w:sz w:val="21"/>
              </w:rPr>
            </w:pPr>
            <w:r>
              <w:rPr>
                <w:spacing w:val="-1"/>
                <w:sz w:val="21"/>
              </w:rPr>
              <w:t>递交投标文件截止时间</w:t>
            </w:r>
          </w:p>
        </w:tc>
        <w:tc>
          <w:tcPr>
            <w:tcW w:w="6660" w:type="dxa"/>
            <w:tcBorders>
              <w:top w:val="single" w:sz="6" w:space="0" w:color="000000"/>
              <w:left w:val="single" w:sz="6" w:space="0" w:color="000000"/>
              <w:bottom w:val="single" w:sz="6" w:space="0" w:color="000000"/>
            </w:tcBorders>
          </w:tcPr>
          <w:p>
            <w:pPr>
              <w:pStyle w:val="TableParagraph"/>
              <w:spacing w:before="122"/>
              <w:ind w:left="27"/>
              <w:rPr>
                <w:sz w:val="21"/>
              </w:rPr>
            </w:pPr>
            <w:r>
              <w:rPr>
                <w:sz w:val="21"/>
              </w:rPr>
              <w:t>2014</w:t>
            </w:r>
            <w:r>
              <w:rPr>
                <w:spacing w:val="-24"/>
                <w:sz w:val="21"/>
              </w:rPr>
              <w:t xml:space="preserve"> 年 </w:t>
            </w:r>
            <w:r>
              <w:rPr>
                <w:sz w:val="21"/>
              </w:rPr>
              <w:t>8</w:t>
            </w:r>
            <w:r>
              <w:rPr>
                <w:spacing w:val="-23"/>
                <w:sz w:val="21"/>
              </w:rPr>
              <w:t xml:space="preserve"> 月 </w:t>
            </w:r>
            <w:r>
              <w:rPr>
                <w:sz w:val="21"/>
              </w:rPr>
              <w:t>4</w:t>
            </w:r>
            <w:r>
              <w:rPr>
                <w:spacing w:val="-14"/>
                <w:sz w:val="21"/>
              </w:rPr>
              <w:t xml:space="preserve"> 日上午 </w:t>
            </w:r>
            <w:r>
              <w:rPr>
                <w:sz w:val="21"/>
              </w:rPr>
              <w:t>9：30</w:t>
            </w:r>
            <w:r>
              <w:rPr>
                <w:spacing w:val="-18"/>
                <w:sz w:val="21"/>
              </w:rPr>
              <w:t xml:space="preserve"> 时</w:t>
            </w:r>
            <w:r>
              <w:rPr>
                <w:sz w:val="21"/>
              </w:rPr>
              <w:t>（北京时间</w:t>
            </w:r>
            <w:r>
              <w:rPr>
                <w:spacing w:val="-10"/>
                <w:sz w:val="21"/>
              </w:rPr>
              <w:t>）</w:t>
            </w:r>
          </w:p>
        </w:tc>
      </w:tr>
      <w:tr>
        <w:tblPrEx>
          <w:tblW w:w="0" w:type="auto"/>
          <w:jc w:val="left"/>
          <w:tblInd w:w="296" w:type="dxa"/>
          <w:tblLayout w:type="fixed"/>
          <w:tblCellMar>
            <w:top w:w="0" w:type="dxa"/>
            <w:left w:w="0" w:type="dxa"/>
            <w:bottom w:w="0" w:type="dxa"/>
            <w:right w:w="0" w:type="dxa"/>
          </w:tblCellMar>
          <w:tblLook w:val="01E0"/>
        </w:tblPrEx>
        <w:trPr>
          <w:trHeight w:val="624"/>
          <w:jc w:val="left"/>
        </w:trPr>
        <w:tc>
          <w:tcPr>
            <w:tcW w:w="500" w:type="dxa"/>
            <w:tcBorders>
              <w:top w:val="single" w:sz="6" w:space="0" w:color="000000"/>
              <w:bottom w:val="single" w:sz="6" w:space="0" w:color="000000"/>
              <w:right w:val="single" w:sz="6" w:space="0" w:color="000000"/>
            </w:tcBorders>
          </w:tcPr>
          <w:p>
            <w:pPr>
              <w:pStyle w:val="TableParagraph"/>
              <w:spacing w:before="111"/>
              <w:ind w:left="32" w:right="7"/>
              <w:jc w:val="center"/>
              <w:rPr>
                <w:sz w:val="21"/>
              </w:rPr>
            </w:pPr>
            <w:r>
              <w:rPr>
                <w:spacing w:val="-5"/>
                <w:sz w:val="21"/>
              </w:rPr>
              <w:t>15</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174"/>
              <w:ind w:left="35"/>
              <w:rPr>
                <w:sz w:val="21"/>
              </w:rPr>
            </w:pPr>
            <w:r>
              <w:rPr>
                <w:spacing w:val="-2"/>
                <w:sz w:val="21"/>
              </w:rPr>
              <w:t>递交投标文件地点</w:t>
            </w:r>
          </w:p>
        </w:tc>
        <w:tc>
          <w:tcPr>
            <w:tcW w:w="6660" w:type="dxa"/>
            <w:tcBorders>
              <w:top w:val="single" w:sz="6" w:space="0" w:color="000000"/>
              <w:left w:val="single" w:sz="6" w:space="0" w:color="000000"/>
              <w:bottom w:val="single" w:sz="6" w:space="0" w:color="000000"/>
            </w:tcBorders>
          </w:tcPr>
          <w:p>
            <w:pPr>
              <w:pStyle w:val="TableParagraph"/>
              <w:spacing w:before="23"/>
              <w:ind w:left="27"/>
              <w:rPr>
                <w:sz w:val="21"/>
              </w:rPr>
            </w:pPr>
            <w:r>
              <w:rPr>
                <w:spacing w:val="10"/>
                <w:sz w:val="21"/>
              </w:rPr>
              <w:t>泉州市嘉隆招标代理有限公司会议室（</w:t>
            </w:r>
            <w:r>
              <w:rPr>
                <w:spacing w:val="8"/>
                <w:sz w:val="21"/>
              </w:rPr>
              <w:t>泉州市田安北路倍安居大厦四</w:t>
            </w:r>
          </w:p>
          <w:p>
            <w:pPr>
              <w:pStyle w:val="TableParagraph"/>
              <w:spacing w:before="43"/>
              <w:ind w:left="27"/>
              <w:rPr>
                <w:sz w:val="21"/>
              </w:rPr>
            </w:pPr>
            <w:r>
              <w:rPr>
                <w:spacing w:val="-22"/>
                <w:sz w:val="21"/>
              </w:rPr>
              <w:t xml:space="preserve">楼 </w:t>
            </w:r>
            <w:r>
              <w:rPr>
                <w:spacing w:val="-2"/>
                <w:sz w:val="21"/>
              </w:rPr>
              <w:t>8400）</w:t>
            </w:r>
          </w:p>
        </w:tc>
      </w:tr>
      <w:tr>
        <w:tblPrEx>
          <w:tblW w:w="0" w:type="auto"/>
          <w:jc w:val="left"/>
          <w:tblInd w:w="296" w:type="dxa"/>
          <w:tblLayout w:type="fixed"/>
          <w:tblCellMar>
            <w:top w:w="0" w:type="dxa"/>
            <w:left w:w="0" w:type="dxa"/>
            <w:bottom w:w="0" w:type="dxa"/>
            <w:right w:w="0" w:type="dxa"/>
          </w:tblCellMar>
          <w:tblLook w:val="01E0"/>
        </w:tblPrEx>
        <w:trPr>
          <w:trHeight w:val="510"/>
          <w:jc w:val="left"/>
        </w:trPr>
        <w:tc>
          <w:tcPr>
            <w:tcW w:w="500" w:type="dxa"/>
            <w:tcBorders>
              <w:top w:val="single" w:sz="6" w:space="0" w:color="000000"/>
              <w:bottom w:val="single" w:sz="6" w:space="0" w:color="000000"/>
              <w:right w:val="single" w:sz="6" w:space="0" w:color="000000"/>
            </w:tcBorders>
          </w:tcPr>
          <w:p>
            <w:pPr>
              <w:pStyle w:val="TableParagraph"/>
              <w:spacing w:before="54"/>
              <w:ind w:left="32" w:right="7"/>
              <w:jc w:val="center"/>
              <w:rPr>
                <w:sz w:val="21"/>
              </w:rPr>
            </w:pPr>
            <w:r>
              <w:rPr>
                <w:spacing w:val="-5"/>
                <w:sz w:val="21"/>
              </w:rPr>
              <w:t>16</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54"/>
              <w:ind w:left="35"/>
              <w:rPr>
                <w:sz w:val="21"/>
              </w:rPr>
            </w:pPr>
            <w:r>
              <w:rPr>
                <w:spacing w:val="-3"/>
                <w:sz w:val="21"/>
              </w:rPr>
              <w:t>开标时间</w:t>
            </w:r>
          </w:p>
        </w:tc>
        <w:tc>
          <w:tcPr>
            <w:tcW w:w="6660" w:type="dxa"/>
            <w:tcBorders>
              <w:top w:val="single" w:sz="6" w:space="0" w:color="000000"/>
              <w:left w:val="single" w:sz="6" w:space="0" w:color="000000"/>
              <w:bottom w:val="single" w:sz="6" w:space="0" w:color="000000"/>
            </w:tcBorders>
          </w:tcPr>
          <w:p>
            <w:pPr>
              <w:pStyle w:val="TableParagraph"/>
              <w:spacing w:before="54"/>
              <w:ind w:left="27"/>
              <w:rPr>
                <w:sz w:val="21"/>
              </w:rPr>
            </w:pPr>
            <w:r>
              <w:rPr>
                <w:sz w:val="21"/>
              </w:rPr>
              <w:t>2014</w:t>
            </w:r>
            <w:r>
              <w:rPr>
                <w:spacing w:val="-24"/>
                <w:sz w:val="21"/>
              </w:rPr>
              <w:t xml:space="preserve"> 年 </w:t>
            </w:r>
            <w:r>
              <w:rPr>
                <w:sz w:val="21"/>
              </w:rPr>
              <w:t>8</w:t>
            </w:r>
            <w:r>
              <w:rPr>
                <w:spacing w:val="-23"/>
                <w:sz w:val="21"/>
              </w:rPr>
              <w:t xml:space="preserve"> 月 </w:t>
            </w:r>
            <w:r>
              <w:rPr>
                <w:sz w:val="21"/>
              </w:rPr>
              <w:t>4</w:t>
            </w:r>
            <w:r>
              <w:rPr>
                <w:spacing w:val="-14"/>
                <w:sz w:val="21"/>
              </w:rPr>
              <w:t xml:space="preserve"> 日上午 </w:t>
            </w:r>
            <w:r>
              <w:rPr>
                <w:sz w:val="21"/>
              </w:rPr>
              <w:t>9：30</w:t>
            </w:r>
            <w:r>
              <w:rPr>
                <w:spacing w:val="-18"/>
                <w:sz w:val="21"/>
              </w:rPr>
              <w:t xml:space="preserve"> 时</w:t>
            </w:r>
            <w:r>
              <w:rPr>
                <w:sz w:val="21"/>
              </w:rPr>
              <w:t>（北京时间</w:t>
            </w:r>
            <w:r>
              <w:rPr>
                <w:spacing w:val="-10"/>
                <w:sz w:val="21"/>
              </w:rPr>
              <w:t>）</w:t>
            </w:r>
          </w:p>
        </w:tc>
      </w:tr>
      <w:tr>
        <w:tblPrEx>
          <w:tblW w:w="0" w:type="auto"/>
          <w:jc w:val="left"/>
          <w:tblInd w:w="296" w:type="dxa"/>
          <w:tblLayout w:type="fixed"/>
          <w:tblCellMar>
            <w:top w:w="0" w:type="dxa"/>
            <w:left w:w="0" w:type="dxa"/>
            <w:bottom w:w="0" w:type="dxa"/>
            <w:right w:w="0" w:type="dxa"/>
          </w:tblCellMar>
          <w:tblLook w:val="01E0"/>
        </w:tblPrEx>
        <w:trPr>
          <w:trHeight w:val="935"/>
          <w:jc w:val="left"/>
        </w:trPr>
        <w:tc>
          <w:tcPr>
            <w:tcW w:w="500" w:type="dxa"/>
            <w:tcBorders>
              <w:top w:val="single" w:sz="6" w:space="0" w:color="000000"/>
              <w:bottom w:val="single" w:sz="6" w:space="0" w:color="000000"/>
              <w:right w:val="single" w:sz="6" w:space="0" w:color="000000"/>
            </w:tcBorders>
          </w:tcPr>
          <w:p>
            <w:pPr>
              <w:pStyle w:val="TableParagraph"/>
              <w:spacing w:before="9"/>
              <w:rPr>
                <w:rFonts w:ascii="Microsoft JhengHei"/>
                <w:b/>
                <w:sz w:val="14"/>
              </w:rPr>
            </w:pPr>
          </w:p>
          <w:p>
            <w:pPr>
              <w:pStyle w:val="TableParagraph"/>
              <w:ind w:left="32" w:right="7"/>
              <w:jc w:val="center"/>
              <w:rPr>
                <w:sz w:val="21"/>
              </w:rPr>
            </w:pPr>
            <w:r>
              <w:rPr>
                <w:spacing w:val="-5"/>
                <w:sz w:val="21"/>
              </w:rPr>
              <w:t>17</w:t>
            </w:r>
          </w:p>
        </w:tc>
        <w:tc>
          <w:tcPr>
            <w:tcW w:w="2393" w:type="dxa"/>
            <w:tcBorders>
              <w:top w:val="single" w:sz="6" w:space="0" w:color="000000"/>
              <w:left w:val="single" w:sz="6" w:space="0" w:color="000000"/>
              <w:bottom w:val="single" w:sz="6" w:space="0" w:color="000000"/>
              <w:right w:val="single" w:sz="6" w:space="0" w:color="000000"/>
            </w:tcBorders>
          </w:tcPr>
          <w:p>
            <w:pPr>
              <w:pStyle w:val="TableParagraph"/>
              <w:spacing w:before="9"/>
              <w:rPr>
                <w:rFonts w:ascii="Microsoft JhengHei"/>
                <w:b/>
                <w:sz w:val="14"/>
              </w:rPr>
            </w:pPr>
          </w:p>
          <w:p>
            <w:pPr>
              <w:pStyle w:val="TableParagraph"/>
              <w:ind w:left="35"/>
              <w:rPr>
                <w:sz w:val="21"/>
              </w:rPr>
            </w:pPr>
            <w:r>
              <w:rPr>
                <w:spacing w:val="-2"/>
                <w:sz w:val="21"/>
              </w:rPr>
              <w:t>代理服务费</w:t>
            </w:r>
          </w:p>
        </w:tc>
        <w:tc>
          <w:tcPr>
            <w:tcW w:w="6660" w:type="dxa"/>
            <w:tcBorders>
              <w:top w:val="single" w:sz="6" w:space="0" w:color="000000"/>
              <w:left w:val="single" w:sz="6" w:space="0" w:color="000000"/>
              <w:bottom w:val="single" w:sz="6" w:space="0" w:color="000000"/>
            </w:tcBorders>
          </w:tcPr>
          <w:p>
            <w:pPr>
              <w:pStyle w:val="TableParagraph"/>
              <w:spacing w:before="23" w:line="278" w:lineRule="auto"/>
              <w:ind w:left="27" w:right="4"/>
              <w:rPr>
                <w:sz w:val="21"/>
              </w:rPr>
            </w:pPr>
            <w:r>
              <w:rPr>
                <w:spacing w:val="8"/>
                <w:sz w:val="21"/>
              </w:rPr>
              <w:t>中标供应商在中标当日应依据下列代理服务收费标准（</w:t>
            </w:r>
            <w:r>
              <w:rPr>
                <w:spacing w:val="6"/>
                <w:sz w:val="21"/>
              </w:rPr>
              <w:t>差额定率累进</w:t>
            </w:r>
            <w:r>
              <w:rPr>
                <w:spacing w:val="10"/>
                <w:sz w:val="21"/>
              </w:rPr>
              <w:t>法）</w:t>
            </w:r>
            <w:r>
              <w:rPr>
                <w:spacing w:val="9"/>
                <w:sz w:val="21"/>
              </w:rPr>
              <w:t>计算，向招标人提交代理服务费，该代理服务费由中标供应商承</w:t>
            </w:r>
          </w:p>
          <w:p>
            <w:pPr>
              <w:pStyle w:val="TableParagraph"/>
              <w:spacing w:line="269" w:lineRule="exact"/>
              <w:ind w:left="27"/>
              <w:rPr>
                <w:sz w:val="21"/>
              </w:rPr>
            </w:pPr>
            <w:r>
              <w:rPr>
                <w:sz w:val="21"/>
              </w:rPr>
              <w:t>担：中标金额（万元）：100 以下收取比例：1.5%</w:t>
            </w:r>
            <w:r>
              <w:rPr>
                <w:spacing w:val="49"/>
                <w:w w:val="150"/>
                <w:sz w:val="21"/>
              </w:rPr>
              <w:t xml:space="preserve"> </w:t>
            </w:r>
            <w:r>
              <w:rPr>
                <w:spacing w:val="-10"/>
                <w:sz w:val="21"/>
              </w:rPr>
              <w:t>.</w:t>
            </w:r>
          </w:p>
        </w:tc>
      </w:tr>
      <w:tr>
        <w:tblPrEx>
          <w:tblW w:w="0" w:type="auto"/>
          <w:jc w:val="left"/>
          <w:tblInd w:w="296" w:type="dxa"/>
          <w:tblLayout w:type="fixed"/>
          <w:tblCellMar>
            <w:top w:w="0" w:type="dxa"/>
            <w:left w:w="0" w:type="dxa"/>
            <w:bottom w:w="0" w:type="dxa"/>
            <w:right w:w="0" w:type="dxa"/>
          </w:tblCellMar>
          <w:tblLook w:val="01E0"/>
        </w:tblPrEx>
        <w:trPr>
          <w:trHeight w:val="510"/>
          <w:jc w:val="left"/>
        </w:trPr>
        <w:tc>
          <w:tcPr>
            <w:tcW w:w="500" w:type="dxa"/>
            <w:tcBorders>
              <w:top w:val="single" w:sz="6" w:space="0" w:color="000000"/>
              <w:right w:val="single" w:sz="6" w:space="0" w:color="000000"/>
            </w:tcBorders>
          </w:tcPr>
          <w:p>
            <w:pPr>
              <w:pStyle w:val="TableParagraph"/>
              <w:spacing w:before="54"/>
              <w:ind w:left="32" w:right="7"/>
              <w:jc w:val="center"/>
              <w:rPr>
                <w:sz w:val="21"/>
              </w:rPr>
            </w:pPr>
            <w:r>
              <w:rPr>
                <w:spacing w:val="-5"/>
                <w:sz w:val="21"/>
              </w:rPr>
              <w:t>18</w:t>
            </w:r>
          </w:p>
        </w:tc>
        <w:tc>
          <w:tcPr>
            <w:tcW w:w="2393" w:type="dxa"/>
            <w:tcBorders>
              <w:top w:val="single" w:sz="6" w:space="0" w:color="000000"/>
              <w:left w:val="single" w:sz="6" w:space="0" w:color="000000"/>
              <w:right w:val="single" w:sz="6" w:space="0" w:color="000000"/>
            </w:tcBorders>
          </w:tcPr>
          <w:p>
            <w:pPr>
              <w:pStyle w:val="TableParagraph"/>
              <w:spacing w:before="54"/>
              <w:ind w:left="35"/>
              <w:rPr>
                <w:sz w:val="21"/>
              </w:rPr>
            </w:pPr>
            <w:r>
              <w:rPr>
                <w:spacing w:val="-3"/>
                <w:sz w:val="21"/>
              </w:rPr>
              <w:t>监督部门</w:t>
            </w:r>
          </w:p>
        </w:tc>
        <w:tc>
          <w:tcPr>
            <w:tcW w:w="6660" w:type="dxa"/>
            <w:tcBorders>
              <w:top w:val="single" w:sz="6" w:space="0" w:color="000000"/>
              <w:left w:val="single" w:sz="6" w:space="0" w:color="000000"/>
            </w:tcBorders>
          </w:tcPr>
          <w:p>
            <w:pPr>
              <w:pStyle w:val="TableParagraph"/>
              <w:spacing w:before="122"/>
              <w:ind w:left="27"/>
              <w:rPr>
                <w:sz w:val="21"/>
              </w:rPr>
            </w:pPr>
            <w:r>
              <w:rPr>
                <w:spacing w:val="-2"/>
                <w:sz w:val="21"/>
              </w:rPr>
              <w:t>泉州市政府采购办</w:t>
            </w:r>
          </w:p>
        </w:tc>
      </w:tr>
    </w:tbl>
    <w:p>
      <w:pPr>
        <w:spacing w:after="0"/>
        <w:rPr>
          <w:sz w:val="21"/>
        </w:rPr>
        <w:sectPr>
          <w:headerReference w:type="default" r:id="rId6"/>
          <w:footerReference w:type="default" r:id="rId7"/>
          <w:pgSz w:w="11910" w:h="16840"/>
          <w:pgMar w:top="1100" w:right="560" w:bottom="1160" w:left="840" w:header="879" w:footer="971"/>
          <w:pgNumType w:start="2"/>
          <w:cols w:space="708"/>
        </w:sect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9"/>
        <w:rPr>
          <w:rFonts w:ascii="Microsoft JhengHei"/>
          <w:b/>
          <w:sz w:val="11"/>
        </w:rPr>
      </w:pPr>
    </w:p>
    <w:p>
      <w:pPr>
        <w:spacing w:before="0" w:line="749" w:lineRule="exact"/>
        <w:ind w:left="1992" w:right="2272" w:firstLine="0"/>
        <w:jc w:val="center"/>
        <w:rPr>
          <w:rFonts w:ascii="微软雅黑" w:eastAsia="微软雅黑"/>
          <w:b/>
          <w:sz w:val="52"/>
        </w:rPr>
      </w:pPr>
      <w:r>
        <w:rPr>
          <w:rFonts w:ascii="微软雅黑" w:eastAsia="微软雅黑"/>
          <w:b/>
          <w:spacing w:val="-3"/>
          <w:sz w:val="52"/>
        </w:rPr>
        <w:t>第一部分</w:t>
      </w:r>
    </w:p>
    <w:p>
      <w:pPr>
        <w:pStyle w:val="Heading1"/>
        <w:spacing w:line="815" w:lineRule="exact"/>
      </w:pPr>
      <w:r>
        <w:rPr>
          <w:spacing w:val="-2"/>
        </w:rPr>
        <w:t>投标邀请书</w:t>
      </w:r>
    </w:p>
    <w:p>
      <w:pPr>
        <w:spacing w:after="0" w:line="815" w:lineRule="exact"/>
        <w:sectPr>
          <w:headerReference w:type="default" r:id="rId8"/>
          <w:footerReference w:type="default" r:id="rId9"/>
          <w:pgSz w:w="11910" w:h="16840"/>
          <w:pgMar w:top="1100" w:right="560" w:bottom="1160" w:left="840" w:header="879" w:footer="971"/>
          <w:pgNumType w:start="3"/>
          <w:cols w:space="708"/>
        </w:sectPr>
      </w:pPr>
    </w:p>
    <w:p>
      <w:pPr>
        <w:pStyle w:val="Heading3"/>
        <w:spacing w:line="431" w:lineRule="exact"/>
        <w:ind w:right="2271"/>
      </w:pPr>
      <w:bookmarkStart w:id="0" w:name="_TOC_250011"/>
      <w:r>
        <w:t>一.</w:t>
      </w:r>
      <w:bookmarkEnd w:id="0"/>
      <w:r>
        <w:rPr>
          <w:spacing w:val="-2"/>
        </w:rPr>
        <w:t>投标邀请书</w:t>
      </w:r>
    </w:p>
    <w:p>
      <w:pPr>
        <w:pStyle w:val="BodyText"/>
        <w:spacing w:line="244" w:lineRule="exact"/>
        <w:ind w:left="714"/>
      </w:pPr>
      <w:r>
        <w:rPr>
          <w:spacing w:val="-5"/>
        </w:rPr>
        <w:t>泉州市嘉隆招标代理有限公司 (招标代理机构)受泉州师范学院</w:t>
      </w:r>
      <w:r>
        <w:rPr>
          <w:spacing w:val="-2"/>
        </w:rPr>
        <w:t>（采购人）</w:t>
      </w:r>
      <w:r>
        <w:rPr>
          <w:spacing w:val="-3"/>
        </w:rPr>
        <w:t>的委托对泉州师范学院化生</w:t>
      </w:r>
    </w:p>
    <w:p>
      <w:pPr>
        <w:pStyle w:val="BodyText"/>
        <w:spacing w:before="51"/>
        <w:ind w:left="294"/>
      </w:pPr>
      <w:r>
        <w:rPr>
          <w:spacing w:val="-1"/>
        </w:rPr>
        <w:t>院教学设备采购及服务项目进行公开招标采购，现邀请符合资格条件的供应商前来投标。</w:t>
      </w:r>
    </w:p>
    <w:p>
      <w:pPr>
        <w:pStyle w:val="BodyText"/>
        <w:spacing w:before="51"/>
        <w:ind w:left="653"/>
      </w:pPr>
      <w:r>
        <w:t>1、采购编号</w:t>
      </w:r>
      <w:r>
        <w:rPr>
          <w:spacing w:val="-2"/>
        </w:rPr>
        <w:t>：QZJL201407031</w:t>
      </w:r>
    </w:p>
    <w:p>
      <w:pPr>
        <w:pStyle w:val="BodyText"/>
        <w:spacing w:before="51" w:line="261" w:lineRule="exact"/>
        <w:ind w:left="653"/>
      </w:pPr>
      <w:r>
        <w:rPr>
          <w:spacing w:val="-4"/>
        </w:rPr>
        <w:t>2</w:t>
      </w:r>
      <w:r>
        <w:rPr>
          <w:spacing w:val="-10"/>
        </w:rPr>
        <w:t>、采购项目名称、数量、服务及交货期：详见“泉州师范学院化生院教学设备采购及服务项目一览表</w:t>
      </w:r>
      <w:r>
        <w:rPr>
          <w:spacing w:val="-88"/>
        </w:rPr>
        <w:t>”，</w:t>
      </w:r>
    </w:p>
    <w:p>
      <w:pPr>
        <w:spacing w:before="39" w:line="199" w:lineRule="auto"/>
        <w:ind w:left="653" w:right="467" w:hanging="360"/>
        <w:jc w:val="left"/>
        <w:rPr>
          <w:rFonts w:ascii="微软雅黑" w:eastAsia="微软雅黑" w:hAnsi="微软雅黑"/>
          <w:b/>
          <w:sz w:val="21"/>
        </w:rPr>
      </w:pPr>
      <w:r>
        <w:rPr>
          <w:rFonts w:ascii="微软雅黑" w:eastAsia="微软雅黑" w:hAnsi="微软雅黑"/>
          <w:b/>
          <w:spacing w:val="-4"/>
          <w:sz w:val="21"/>
        </w:rPr>
        <w:t>本次采购预算审核价为人民币</w:t>
      </w:r>
      <w:r>
        <w:rPr>
          <w:rFonts w:ascii="微软雅黑" w:eastAsia="微软雅黑" w:hAnsi="微软雅黑"/>
          <w:b/>
          <w:spacing w:val="-4"/>
          <w:sz w:val="21"/>
          <w:u w:val="thick"/>
        </w:rPr>
        <w:t>壹拾玖万陆仟元整（</w:t>
      </w:r>
      <w:r>
        <w:rPr>
          <w:rFonts w:ascii="Arial" w:eastAsia="Arial" w:hAnsi="Arial"/>
          <w:b/>
          <w:spacing w:val="-4"/>
          <w:sz w:val="21"/>
          <w:u w:val="thick"/>
        </w:rPr>
        <w:t>¥</w:t>
      </w:r>
      <w:r>
        <w:rPr>
          <w:rFonts w:ascii="微软雅黑" w:eastAsia="微软雅黑" w:hAnsi="微软雅黑"/>
          <w:b/>
          <w:spacing w:val="-4"/>
          <w:sz w:val="21"/>
          <w:u w:val="thick"/>
        </w:rPr>
        <w:t>：196000 元</w:t>
      </w:r>
      <w:r>
        <w:rPr>
          <w:rFonts w:ascii="微软雅黑" w:eastAsia="微软雅黑" w:hAnsi="微软雅黑"/>
          <w:b/>
          <w:spacing w:val="-105"/>
          <w:sz w:val="21"/>
          <w:u w:val="thick"/>
        </w:rPr>
        <w:t>）</w:t>
      </w:r>
      <w:r>
        <w:rPr>
          <w:rFonts w:ascii="微软雅黑" w:eastAsia="微软雅黑" w:hAnsi="微软雅黑"/>
          <w:b/>
          <w:spacing w:val="-4"/>
          <w:sz w:val="21"/>
        </w:rPr>
        <w:t>。超过预算审核价的投标视为无效投标。</w:t>
      </w:r>
      <w:r>
        <w:rPr>
          <w:rFonts w:ascii="微软雅黑" w:eastAsia="微软雅黑" w:hAnsi="微软雅黑"/>
          <w:b/>
          <w:spacing w:val="-4"/>
          <w:sz w:val="21"/>
        </w:rPr>
        <w:t xml:space="preserve"> </w:t>
      </w:r>
      <w:r>
        <w:rPr>
          <w:rFonts w:ascii="微软雅黑" w:eastAsia="微软雅黑" w:hAnsi="微软雅黑"/>
          <w:b/>
          <w:spacing w:val="-2"/>
          <w:sz w:val="21"/>
        </w:rPr>
        <w:t>3</w:t>
      </w:r>
      <w:r>
        <w:rPr>
          <w:rFonts w:ascii="微软雅黑" w:eastAsia="微软雅黑" w:hAnsi="微软雅黑"/>
          <w:b/>
          <w:spacing w:val="-2"/>
          <w:sz w:val="21"/>
        </w:rPr>
        <w:t>、投标人条件：</w:t>
      </w:r>
    </w:p>
    <w:p>
      <w:pPr>
        <w:pStyle w:val="BodyText"/>
        <w:spacing w:before="17"/>
        <w:ind w:left="653"/>
      </w:pPr>
      <w:r>
        <w:rPr>
          <w:spacing w:val="-1"/>
        </w:rPr>
        <w:t>①具有本次采购货物经营权的企业法人；</w:t>
      </w:r>
    </w:p>
    <w:p>
      <w:pPr>
        <w:pStyle w:val="BodyText"/>
        <w:spacing w:before="51"/>
        <w:ind w:left="653"/>
      </w:pPr>
      <w:r>
        <w:rPr>
          <w:spacing w:val="-1"/>
        </w:rPr>
        <w:t>②企业必须具备完善的售后服务能力；</w:t>
      </w:r>
    </w:p>
    <w:p>
      <w:pPr>
        <w:pStyle w:val="BodyText"/>
        <w:spacing w:before="51"/>
        <w:ind w:left="653"/>
      </w:pPr>
      <w:r>
        <w:rPr>
          <w:spacing w:val="-1"/>
        </w:rPr>
        <w:t>③具有良好的商业信誉和健全的财务会计制度；</w:t>
      </w:r>
    </w:p>
    <w:p>
      <w:pPr>
        <w:pStyle w:val="BodyText"/>
        <w:spacing w:before="51"/>
        <w:ind w:left="653"/>
      </w:pPr>
      <w:r>
        <w:rPr>
          <w:spacing w:val="-1"/>
        </w:rPr>
        <w:t>④具有履行合同所必需的设备和专业技术能力；</w:t>
      </w:r>
    </w:p>
    <w:p>
      <w:pPr>
        <w:pStyle w:val="BodyText"/>
        <w:spacing w:before="51"/>
        <w:ind w:left="653"/>
      </w:pPr>
      <w:r>
        <w:rPr>
          <w:spacing w:val="-1"/>
        </w:rPr>
        <w:t>⑤有依法缴纳税收和社会保障资金的良好记录；</w:t>
      </w:r>
    </w:p>
    <w:p>
      <w:pPr>
        <w:pStyle w:val="BodyText"/>
        <w:spacing w:before="51"/>
        <w:ind w:left="653"/>
      </w:pPr>
      <w:r>
        <w:rPr>
          <w:rFonts w:ascii="Cambria Math" w:eastAsia="Cambria Math" w:hAnsi="Cambria Math"/>
        </w:rPr>
        <w:t>⑥</w:t>
      </w:r>
      <w:r>
        <w:rPr>
          <w:spacing w:val="-1"/>
        </w:rPr>
        <w:t>本次采购活动前三年内在泉州区域区内的政府采购活动中没有违法违规行为；</w:t>
      </w:r>
    </w:p>
    <w:p>
      <w:pPr>
        <w:pStyle w:val="BodyText"/>
        <w:spacing w:before="51"/>
        <w:ind w:left="653"/>
      </w:pPr>
      <w:r>
        <w:rPr>
          <w:rFonts w:ascii="Cambria Math" w:eastAsia="Cambria Math" w:hAnsi="Cambria Math"/>
        </w:rPr>
        <w:t>⑦</w:t>
      </w:r>
      <w:r>
        <w:rPr>
          <w:spacing w:val="-1"/>
        </w:rPr>
        <w:t>投标人应提供近三年检察机关行贿犯罪档案查询结果告知函。</w:t>
      </w:r>
    </w:p>
    <w:p>
      <w:pPr>
        <w:pStyle w:val="BodyText"/>
        <w:spacing w:before="51"/>
        <w:ind w:left="653"/>
      </w:pPr>
      <w:r>
        <w:rPr>
          <w:rFonts w:ascii="Cambria Math" w:eastAsia="Cambria Math" w:hAnsi="Cambria Math"/>
        </w:rPr>
        <w:t>⑧</w:t>
      </w:r>
      <w:r>
        <w:rPr>
          <w:spacing w:val="-1"/>
        </w:rPr>
        <w:t>法律、行政法规规定的其他条件</w:t>
      </w:r>
    </w:p>
    <w:p>
      <w:pPr>
        <w:pStyle w:val="BodyText"/>
        <w:spacing w:before="51" w:line="285" w:lineRule="auto"/>
        <w:ind w:left="294" w:right="579" w:firstLine="420"/>
      </w:pPr>
      <w:r>
        <w:rPr>
          <w:spacing w:val="-2"/>
        </w:rPr>
        <w:t>3</w:t>
      </w:r>
      <w:r>
        <w:rPr>
          <w:spacing w:val="-13"/>
        </w:rPr>
        <w:t>、《招标文件》的获取：投标人可直接从泉州市政府采购网</w:t>
      </w:r>
      <w:r>
        <w:rPr>
          <w:spacing w:val="-2"/>
        </w:rPr>
        <w:t>（</w:t>
      </w:r>
      <w:hyperlink r:id="rId10">
        <w:r>
          <w:rPr>
            <w:spacing w:val="-2"/>
          </w:rPr>
          <w:t>http://zfcg.fjqz.gov.cn/</w:t>
        </w:r>
      </w:hyperlink>
      <w:r>
        <w:rPr>
          <w:spacing w:val="-2"/>
        </w:rPr>
        <w:t>）下载。招</w:t>
      </w:r>
      <w:r>
        <w:rPr>
          <w:spacing w:val="-4"/>
        </w:rPr>
        <w:t xml:space="preserve">标文件每份 </w:t>
      </w:r>
      <w:r>
        <w:t>100</w:t>
      </w:r>
      <w:r>
        <w:rPr>
          <w:spacing w:val="-5"/>
        </w:rPr>
        <w:t xml:space="preserve"> 元，投标人在递交投标文件时向招标代理机构交纳。</w:t>
      </w:r>
    </w:p>
    <w:p>
      <w:pPr>
        <w:pStyle w:val="BodyText"/>
        <w:spacing w:line="285" w:lineRule="auto"/>
        <w:ind w:left="294" w:right="572" w:firstLine="420"/>
      </w:pPr>
      <w:r>
        <w:t>4、递交投标文件截止时间：2014</w:t>
      </w:r>
      <w:r>
        <w:rPr>
          <w:spacing w:val="-26"/>
        </w:rPr>
        <w:t xml:space="preserve"> 年 </w:t>
      </w:r>
      <w:r>
        <w:t>8</w:t>
      </w:r>
      <w:r>
        <w:rPr>
          <w:spacing w:val="-26"/>
        </w:rPr>
        <w:t xml:space="preserve"> 月 </w:t>
      </w:r>
      <w:r>
        <w:t>4</w:t>
      </w:r>
      <w:r>
        <w:rPr>
          <w:spacing w:val="-16"/>
        </w:rPr>
        <w:t xml:space="preserve"> 日上午 </w:t>
      </w:r>
      <w:r>
        <w:t>9：30</w:t>
      </w:r>
      <w:r>
        <w:rPr>
          <w:spacing w:val="-20"/>
        </w:rPr>
        <w:t xml:space="preserve"> 时</w:t>
      </w:r>
      <w:r>
        <w:t>（北京时间）,不符合《招标文件》的规</w:t>
      </w:r>
      <w:r>
        <w:rPr>
          <w:spacing w:val="-2"/>
        </w:rPr>
        <w:t>定或逾期收到的投标文件恕不接受。</w:t>
      </w:r>
    </w:p>
    <w:p>
      <w:pPr>
        <w:pStyle w:val="BodyText"/>
        <w:spacing w:line="269" w:lineRule="exact"/>
        <w:ind w:left="758"/>
      </w:pPr>
      <w:r>
        <w:t>5、开标时间：2014</w:t>
      </w:r>
      <w:r>
        <w:rPr>
          <w:spacing w:val="-23"/>
        </w:rPr>
        <w:t xml:space="preserve"> 年 </w:t>
      </w:r>
      <w:r>
        <w:t>8</w:t>
      </w:r>
      <w:r>
        <w:rPr>
          <w:spacing w:val="-23"/>
        </w:rPr>
        <w:t xml:space="preserve"> 月 </w:t>
      </w:r>
      <w:r>
        <w:t>4</w:t>
      </w:r>
      <w:r>
        <w:rPr>
          <w:spacing w:val="-14"/>
        </w:rPr>
        <w:t xml:space="preserve"> 日上午 </w:t>
      </w:r>
      <w:r>
        <w:t>9：30</w:t>
      </w:r>
      <w:r>
        <w:rPr>
          <w:spacing w:val="-18"/>
        </w:rPr>
        <w:t xml:space="preserve"> 时</w:t>
      </w:r>
      <w:r>
        <w:t>（北京时间</w:t>
      </w:r>
      <w:r>
        <w:rPr>
          <w:spacing w:val="-10"/>
        </w:rPr>
        <w:t>）</w:t>
      </w:r>
    </w:p>
    <w:p>
      <w:pPr>
        <w:pStyle w:val="BodyText"/>
        <w:spacing w:before="50" w:line="285" w:lineRule="auto"/>
        <w:ind w:left="294" w:right="572" w:firstLine="464"/>
      </w:pPr>
      <w:r>
        <w:rPr>
          <w:spacing w:val="-2"/>
        </w:rPr>
        <w:t>6、递交投标文件及开标地点：泉州市嘉隆招标代理有限公司会议室（泉州市田安北路倍安居大厦四</w:t>
      </w:r>
      <w:r>
        <w:rPr>
          <w:spacing w:val="-21"/>
        </w:rPr>
        <w:t xml:space="preserve">楼 </w:t>
      </w:r>
      <w:r>
        <w:t>8400）</w:t>
      </w:r>
    </w:p>
    <w:p>
      <w:pPr>
        <w:pStyle w:val="BodyText"/>
        <w:spacing w:line="269" w:lineRule="exact"/>
        <w:ind w:left="738"/>
      </w:pPr>
      <w:r>
        <w:rPr>
          <w:spacing w:val="-21"/>
        </w:rPr>
        <w:t>7、投标报名地点：泉州市嘉隆招标代理有限公司（泉州市田安北路倍安居大厦四楼</w:t>
      </w:r>
      <w:r>
        <w:rPr>
          <w:spacing w:val="1"/>
        </w:rPr>
        <w:t>8</w:t>
      </w:r>
      <w:r>
        <w:rPr>
          <w:spacing w:val="2"/>
        </w:rPr>
        <w:t>4</w:t>
      </w:r>
      <w:r>
        <w:rPr>
          <w:spacing w:val="1"/>
        </w:rPr>
        <w:t>09</w:t>
      </w:r>
      <w:r>
        <w:rPr>
          <w:spacing w:val="-113"/>
        </w:rPr>
        <w:t>）</w:t>
      </w:r>
      <w:r>
        <w:rPr>
          <w:spacing w:val="-21"/>
        </w:rPr>
        <w:t>。</w:t>
      </w:r>
    </w:p>
    <w:p>
      <w:pPr>
        <w:pStyle w:val="BodyText"/>
        <w:spacing w:before="51"/>
        <w:ind w:left="759"/>
      </w:pPr>
      <w:r>
        <w:t>8</w:t>
      </w:r>
      <w:r>
        <w:rPr>
          <w:spacing w:val="-3"/>
        </w:rPr>
        <w:t xml:space="preserve">、采购单位联系人及电话：毛老师、黄老师 </w:t>
      </w:r>
      <w:r>
        <w:t>0595-22919532、</w:t>
      </w:r>
      <w:r>
        <w:rPr>
          <w:spacing w:val="-2"/>
        </w:rPr>
        <w:t>22919572</w:t>
      </w:r>
    </w:p>
    <w:p>
      <w:pPr>
        <w:pStyle w:val="BodyText"/>
        <w:spacing w:before="5" w:line="320" w:lineRule="exact"/>
        <w:ind w:left="294" w:right="572" w:firstLine="420"/>
        <w:rPr>
          <w:rFonts w:ascii="微软雅黑" w:eastAsia="微软雅黑"/>
          <w:b/>
        </w:rPr>
      </w:pPr>
      <w:r>
        <w:rPr>
          <w:rFonts w:ascii="Times New Roman" w:eastAsia="Times New Roman"/>
          <w:spacing w:val="-2"/>
        </w:rPr>
        <w:t>9</w:t>
      </w:r>
      <w:r>
        <w:rPr>
          <w:spacing w:val="-2"/>
        </w:rPr>
        <w:t>、根据《中华人民共和国政府采购法》第五十二条规定，供应商认为招标文件、采购过程和中标、</w:t>
      </w:r>
      <w:r>
        <w:rPr>
          <w:spacing w:val="-2"/>
        </w:rPr>
        <w:t>成交结果使自己的权益受到损害的，可以在知道或者应知其权益受到损害之日起七个工作日内，以书面形</w:t>
      </w:r>
      <w:r>
        <w:rPr>
          <w:spacing w:val="-2"/>
        </w:rPr>
        <w:t>式向采购人提出质疑，口头质疑不予接受。</w:t>
      </w:r>
      <w:r>
        <w:rPr>
          <w:rFonts w:ascii="微软雅黑" w:eastAsia="微软雅黑"/>
          <w:b/>
          <w:spacing w:val="-2"/>
        </w:rPr>
        <w:t>公告发布之日起七个工作日后提出的质疑将不予接收。</w:t>
      </w:r>
    </w:p>
    <w:p>
      <w:pPr>
        <w:pStyle w:val="BodyText"/>
        <w:spacing w:line="320" w:lineRule="exact"/>
        <w:ind w:left="292" w:right="571" w:firstLine="420"/>
        <w:jc w:val="both"/>
      </w:pPr>
      <w:r>
        <w:rPr>
          <w:rFonts w:ascii="Times New Roman" w:eastAsia="Times New Roman"/>
        </w:rPr>
        <w:t>10</w:t>
      </w:r>
      <w:r>
        <w:rPr>
          <w:spacing w:val="-6"/>
        </w:rPr>
        <w:t>、根据财政部《政府采购进口产品管理办法》</w:t>
      </w:r>
      <w:r>
        <w:t>（财库</w:t>
      </w:r>
      <w:r>
        <w:rPr>
          <w:rFonts w:ascii="Times New Roman" w:eastAsia="Times New Roman"/>
        </w:rPr>
        <w:t>[2007]119</w:t>
      </w:r>
      <w:r>
        <w:rPr>
          <w:rFonts w:ascii="Times New Roman" w:eastAsia="Times New Roman"/>
          <w:spacing w:val="-14"/>
        </w:rPr>
        <w:t xml:space="preserve"> </w:t>
      </w:r>
      <w:r>
        <w:t>号）及《关于政府采购进口产品管理</w:t>
      </w:r>
      <w:r>
        <w:t>有关问题的通知》</w:t>
      </w:r>
      <w:r>
        <w:rPr>
          <w:rFonts w:ascii="Times New Roman" w:eastAsia="Times New Roman"/>
        </w:rPr>
        <w:t>(</w:t>
      </w:r>
      <w:r>
        <w:t>财办库［</w:t>
      </w:r>
      <w:r>
        <w:rPr>
          <w:rFonts w:ascii="Times New Roman" w:eastAsia="Times New Roman"/>
        </w:rPr>
        <w:t>2008</w:t>
      </w:r>
      <w:r>
        <w:t>］</w:t>
      </w:r>
      <w:r>
        <w:rPr>
          <w:rFonts w:ascii="Times New Roman" w:eastAsia="Times New Roman"/>
        </w:rPr>
        <w:t>248</w:t>
      </w:r>
      <w:r>
        <w:rPr>
          <w:rFonts w:ascii="Times New Roman" w:eastAsia="Times New Roman"/>
          <w:spacing w:val="-14"/>
        </w:rPr>
        <w:t xml:space="preserve"> </w:t>
      </w:r>
      <w:r>
        <w:t>号</w:t>
      </w:r>
      <w:r>
        <w:rPr>
          <w:rFonts w:ascii="Times New Roman" w:eastAsia="Times New Roman"/>
        </w:rPr>
        <w:t>)</w:t>
      </w:r>
      <w:r>
        <w:t>要求</w:t>
      </w:r>
      <w:r>
        <w:rPr>
          <w:rFonts w:ascii="微软雅黑" w:eastAsia="微软雅黑"/>
          <w:b/>
          <w:spacing w:val="-8"/>
        </w:rPr>
        <w:t>，本项目不接受进口产品投标。</w:t>
      </w:r>
      <w:r>
        <w:t>［进口产品是指通过中国海</w:t>
      </w:r>
      <w:r>
        <w:rPr>
          <w:spacing w:val="-7"/>
        </w:rPr>
        <w:t>关报关验放进入中国境内且产自关境外的产品，但在中国海关特殊监管区域内企业生产或加工</w:t>
      </w:r>
      <w:r>
        <w:rPr>
          <w:rFonts w:ascii="Times New Roman" w:eastAsia="Times New Roman"/>
          <w:spacing w:val="-2"/>
        </w:rPr>
        <w:t>(</w:t>
      </w:r>
      <w:r>
        <w:rPr>
          <w:spacing w:val="-2"/>
        </w:rPr>
        <w:t>包括从境外</w:t>
      </w:r>
      <w:r>
        <w:rPr>
          <w:spacing w:val="-2"/>
        </w:rPr>
        <w:t>进口料件</w:t>
      </w:r>
      <w:r>
        <w:rPr>
          <w:rFonts w:ascii="Times New Roman" w:eastAsia="Times New Roman"/>
          <w:spacing w:val="-2"/>
        </w:rPr>
        <w:t>)</w:t>
      </w:r>
      <w:r>
        <w:rPr>
          <w:spacing w:val="-2"/>
        </w:rPr>
        <w:t>销往境内其他地区的产品除外</w:t>
      </w:r>
      <w:r>
        <w:rPr>
          <w:spacing w:val="-105"/>
        </w:rPr>
        <w:t>］</w:t>
      </w:r>
      <w:r>
        <w:rPr>
          <w:spacing w:val="-2"/>
        </w:rPr>
        <w:t>。</w:t>
      </w:r>
    </w:p>
    <w:p>
      <w:pPr>
        <w:pStyle w:val="BodyText"/>
        <w:spacing w:before="46" w:line="285" w:lineRule="auto"/>
        <w:ind w:left="292" w:right="571" w:firstLine="420"/>
      </w:pPr>
      <w:r>
        <w:rPr>
          <w:spacing w:val="-2"/>
        </w:rPr>
        <w:t>11、有关本项目招标的相关信息（包括招标文件若有修改）都将在政府采购相关网站（如</w:t>
      </w:r>
      <w:r>
        <w:rPr>
          <w:spacing w:val="-2"/>
        </w:rPr>
        <w:t xml:space="preserve"> </w:t>
      </w:r>
      <w:hyperlink r:id="rId11">
        <w:r>
          <w:rPr>
            <w:spacing w:val="-2"/>
          </w:rPr>
          <w:t>http://cz.fjzfcg.gov.cn/</w:t>
        </w:r>
        <w:r>
          <w:rPr>
            <w:spacing w:val="-13"/>
          </w:rPr>
          <w:t xml:space="preserve">或 </w:t>
        </w:r>
      </w:hyperlink>
      <w:hyperlink r:id="rId10">
        <w:r>
          <w:rPr>
            <w:spacing w:val="-2"/>
          </w:rPr>
          <w:t>http://zfcg.fjqz.gov.cn/</w:t>
        </w:r>
      </w:hyperlink>
      <w:r>
        <w:rPr>
          <w:spacing w:val="-12"/>
        </w:rPr>
        <w:t xml:space="preserve">或 </w:t>
      </w:r>
      <w:hyperlink r:id="rId12">
        <w:r>
          <w:rPr>
            <w:spacing w:val="-2"/>
          </w:rPr>
          <w:t>http://www.ccgp.gov.cn/等）</w:t>
        </w:r>
      </w:hyperlink>
      <w:r>
        <w:rPr>
          <w:spacing w:val="-2"/>
        </w:rPr>
        <w:t>上公布，不作</w:t>
      </w:r>
      <w:r>
        <w:rPr>
          <w:spacing w:val="-2"/>
        </w:rPr>
        <w:t>另行通知，请潜在投标人随时关注相关网站，以免错漏重要信息。</w:t>
      </w:r>
    </w:p>
    <w:p>
      <w:pPr>
        <w:pStyle w:val="BodyText"/>
        <w:spacing w:before="12"/>
        <w:rPr>
          <w:sz w:val="24"/>
        </w:rPr>
      </w:pPr>
    </w:p>
    <w:p>
      <w:pPr>
        <w:pStyle w:val="BodyText"/>
        <w:tabs>
          <w:tab w:val="left" w:pos="1133"/>
          <w:tab w:val="left" w:pos="3548"/>
          <w:tab w:val="left" w:pos="3968"/>
        </w:tabs>
        <w:spacing w:line="285" w:lineRule="auto"/>
        <w:ind w:left="714" w:right="5327"/>
      </w:pPr>
      <w:r>
        <w:rPr>
          <w:spacing w:val="-10"/>
        </w:rPr>
        <w:t>地</w:t>
      </w:r>
      <w:r>
        <w:tab/>
      </w:r>
      <w:r>
        <w:rPr>
          <w:spacing w:val="-2"/>
        </w:rPr>
        <w:t>址</w:t>
      </w:r>
      <w:r>
        <w:rPr>
          <w:spacing w:val="-2"/>
        </w:rPr>
        <w:t>：</w:t>
      </w:r>
      <w:r>
        <w:rPr>
          <w:spacing w:val="-2"/>
        </w:rPr>
        <w:t>泉</w:t>
      </w:r>
      <w:r>
        <w:rPr>
          <w:spacing w:val="-2"/>
        </w:rPr>
        <w:t>州</w:t>
      </w:r>
      <w:r>
        <w:rPr>
          <w:spacing w:val="-2"/>
        </w:rPr>
        <w:t>市</w:t>
      </w:r>
      <w:r>
        <w:rPr>
          <w:spacing w:val="-2"/>
        </w:rPr>
        <w:t>田</w:t>
      </w:r>
      <w:r>
        <w:rPr>
          <w:spacing w:val="-2"/>
        </w:rPr>
        <w:t>安</w:t>
      </w:r>
      <w:r>
        <w:rPr>
          <w:spacing w:val="-2"/>
        </w:rPr>
        <w:t>北</w:t>
      </w:r>
      <w:r>
        <w:rPr>
          <w:spacing w:val="-2"/>
        </w:rPr>
        <w:t>路</w:t>
      </w:r>
      <w:r>
        <w:rPr>
          <w:spacing w:val="-2"/>
        </w:rPr>
        <w:t>倍</w:t>
      </w:r>
      <w:r>
        <w:rPr>
          <w:spacing w:val="-2"/>
        </w:rPr>
        <w:t>安</w:t>
      </w:r>
      <w:r>
        <w:rPr>
          <w:spacing w:val="-2"/>
        </w:rPr>
        <w:t>居</w:t>
      </w:r>
      <w:r>
        <w:rPr>
          <w:spacing w:val="-2"/>
        </w:rPr>
        <w:t>大</w:t>
      </w:r>
      <w:r>
        <w:rPr>
          <w:spacing w:val="-2"/>
        </w:rPr>
        <w:t>厦</w:t>
      </w:r>
      <w:r>
        <w:rPr>
          <w:spacing w:val="-2"/>
        </w:rPr>
        <w:t>四</w:t>
      </w:r>
      <w:r>
        <w:rPr>
          <w:spacing w:val="-2"/>
        </w:rPr>
        <w:t>楼</w:t>
      </w:r>
      <w:r>
        <w:rPr>
          <w:spacing w:val="-44"/>
        </w:rPr>
        <w:t xml:space="preserve"> </w:t>
      </w:r>
      <w:r>
        <w:rPr>
          <w:spacing w:val="-2"/>
        </w:rPr>
        <w:t>8409</w:t>
      </w:r>
      <w:r>
        <w:rPr>
          <w:spacing w:val="-2"/>
        </w:rPr>
        <w:t xml:space="preserve">。 </w:t>
      </w:r>
      <w:r>
        <w:t xml:space="preserve">E-mail: </w:t>
      </w:r>
      <w:hyperlink r:id="rId13">
        <w:r>
          <w:t>qzjlzbdl@163.com</w:t>
        </w:r>
      </w:hyperlink>
      <w:r>
        <w:tab/>
      </w:r>
      <w:r>
        <w:rPr>
          <w:spacing w:val="-10"/>
        </w:rPr>
        <w:t>邮</w:t>
      </w:r>
      <w:r>
        <w:tab/>
      </w:r>
      <w:r>
        <w:rPr>
          <w:spacing w:val="-2"/>
        </w:rPr>
        <w:t>编</w:t>
      </w:r>
      <w:r>
        <w:rPr>
          <w:spacing w:val="-2"/>
        </w:rPr>
        <w:t>：362000</w:t>
      </w:r>
    </w:p>
    <w:p>
      <w:pPr>
        <w:pStyle w:val="BodyText"/>
        <w:tabs>
          <w:tab w:val="left" w:pos="1133"/>
          <w:tab w:val="left" w:pos="3443"/>
          <w:tab w:val="left" w:pos="3863"/>
          <w:tab w:val="left" w:pos="6068"/>
        </w:tabs>
        <w:spacing w:line="285" w:lineRule="auto"/>
        <w:ind w:left="714" w:right="2546"/>
      </w:pPr>
      <w:r>
        <w:rPr>
          <w:spacing w:val="-10"/>
        </w:rPr>
        <w:t>电</w:t>
      </w:r>
      <w:r>
        <w:tab/>
      </w:r>
      <w:r>
        <w:rPr>
          <w:spacing w:val="-2"/>
        </w:rPr>
        <w:t>话</w:t>
      </w:r>
      <w:r>
        <w:rPr>
          <w:spacing w:val="-2"/>
        </w:rPr>
        <w:t>：(0595)22795666</w:t>
      </w:r>
      <w:r>
        <w:tab/>
      </w:r>
      <w:r>
        <w:rPr>
          <w:spacing w:val="-10"/>
        </w:rPr>
        <w:t>传</w:t>
      </w:r>
      <w:r>
        <w:tab/>
      </w:r>
      <w:r>
        <w:rPr>
          <w:spacing w:val="-2"/>
        </w:rPr>
        <w:t>真</w:t>
      </w:r>
      <w:r>
        <w:rPr>
          <w:spacing w:val="-2"/>
        </w:rPr>
        <w:t>：(0595)22512088</w:t>
      </w:r>
      <w:r>
        <w:tab/>
      </w:r>
      <w:r>
        <w:rPr>
          <w:spacing w:val="-2"/>
        </w:rPr>
        <w:t>联</w:t>
      </w:r>
      <w:r>
        <w:rPr>
          <w:spacing w:val="-2"/>
        </w:rPr>
        <w:t>系</w:t>
      </w:r>
      <w:r>
        <w:rPr>
          <w:spacing w:val="-2"/>
        </w:rPr>
        <w:t>人</w:t>
      </w:r>
      <w:r>
        <w:rPr>
          <w:spacing w:val="-2"/>
        </w:rPr>
        <w:t>：</w:t>
      </w:r>
      <w:r>
        <w:rPr>
          <w:spacing w:val="-2"/>
        </w:rPr>
        <w:t>小</w:t>
      </w:r>
      <w:r>
        <w:rPr>
          <w:spacing w:val="-2"/>
        </w:rPr>
        <w:t>张</w:t>
      </w:r>
      <w:r>
        <w:rPr>
          <w:spacing w:val="-2"/>
        </w:rPr>
        <w:t>、</w:t>
      </w:r>
      <w:r>
        <w:rPr>
          <w:spacing w:val="-2"/>
        </w:rPr>
        <w:t>小</w:t>
      </w:r>
      <w:r>
        <w:rPr>
          <w:spacing w:val="-2"/>
        </w:rPr>
        <w:t>林</w:t>
      </w:r>
      <w:r>
        <w:rPr>
          <w:spacing w:val="-2"/>
        </w:rPr>
        <w:t>开</w:t>
      </w:r>
      <w:r>
        <w:rPr>
          <w:spacing w:val="-2"/>
        </w:rPr>
        <w:t>户</w:t>
      </w:r>
      <w:r>
        <w:rPr>
          <w:spacing w:val="-2"/>
        </w:rPr>
        <w:t>行</w:t>
      </w:r>
      <w:r>
        <w:rPr>
          <w:spacing w:val="-2"/>
        </w:rPr>
        <w:t>：</w:t>
      </w:r>
      <w:r>
        <w:rPr>
          <w:spacing w:val="-2"/>
        </w:rPr>
        <w:t>中</w:t>
      </w:r>
      <w:r>
        <w:rPr>
          <w:spacing w:val="-2"/>
        </w:rPr>
        <w:t>国</w:t>
      </w:r>
      <w:r>
        <w:rPr>
          <w:spacing w:val="-2"/>
        </w:rPr>
        <w:t>民</w:t>
      </w:r>
      <w:r>
        <w:rPr>
          <w:spacing w:val="-2"/>
        </w:rPr>
        <w:t>生</w:t>
      </w:r>
      <w:r>
        <w:rPr>
          <w:spacing w:val="-2"/>
        </w:rPr>
        <w:t>银</w:t>
      </w:r>
      <w:r>
        <w:rPr>
          <w:spacing w:val="-2"/>
        </w:rPr>
        <w:t>行</w:t>
      </w:r>
      <w:r>
        <w:rPr>
          <w:spacing w:val="-2"/>
        </w:rPr>
        <w:t>泉</w:t>
      </w:r>
      <w:r>
        <w:rPr>
          <w:spacing w:val="-2"/>
        </w:rPr>
        <w:t>州</w:t>
      </w:r>
      <w:r>
        <w:rPr>
          <w:spacing w:val="-2"/>
        </w:rPr>
        <w:t>分</w:t>
      </w:r>
      <w:r>
        <w:rPr>
          <w:spacing w:val="-2"/>
        </w:rPr>
        <w:t>行</w:t>
      </w:r>
      <w:r>
        <w:rPr>
          <w:spacing w:val="-2"/>
        </w:rPr>
        <w:t>营</w:t>
      </w:r>
      <w:r>
        <w:rPr>
          <w:spacing w:val="-2"/>
        </w:rPr>
        <w:t>业</w:t>
      </w:r>
      <w:r>
        <w:rPr>
          <w:spacing w:val="-2"/>
        </w:rPr>
        <w:t>部</w:t>
      </w:r>
    </w:p>
    <w:p>
      <w:pPr>
        <w:pStyle w:val="BodyText"/>
        <w:tabs>
          <w:tab w:val="left" w:pos="1133"/>
        </w:tabs>
        <w:spacing w:line="269" w:lineRule="exact"/>
        <w:ind w:left="714"/>
      </w:pPr>
      <w:r>
        <w:rPr>
          <w:spacing w:val="-10"/>
        </w:rPr>
        <w:t>帐</w:t>
      </w:r>
      <w:r>
        <w:tab/>
        <w:t>号</w:t>
      </w:r>
      <w:r>
        <w:rPr>
          <w:spacing w:val="-2"/>
        </w:rPr>
        <w:t>：2301012830009195</w:t>
      </w:r>
    </w:p>
    <w:p>
      <w:pPr>
        <w:pStyle w:val="BodyText"/>
        <w:spacing w:before="50" w:line="255" w:lineRule="exact"/>
        <w:ind w:left="714"/>
      </w:pPr>
      <w:r>
        <w:rPr>
          <w:spacing w:val="-1"/>
        </w:rPr>
        <w:t>收款人：泉州市嘉隆招标代理有限公司</w:t>
      </w:r>
    </w:p>
    <w:p>
      <w:pPr>
        <w:spacing w:before="26" w:line="187" w:lineRule="auto"/>
        <w:ind w:left="6732" w:right="573" w:hanging="960"/>
        <w:jc w:val="left"/>
        <w:rPr>
          <w:sz w:val="32"/>
        </w:rPr>
      </w:pPr>
      <w:r>
        <w:rPr>
          <w:spacing w:val="-2"/>
          <w:sz w:val="32"/>
        </w:rPr>
        <w:t>泉州市嘉隆招标代理有限公司</w:t>
      </w:r>
      <w:r>
        <w:rPr>
          <w:spacing w:val="-40"/>
          <w:sz w:val="32"/>
        </w:rPr>
        <w:t xml:space="preserve">二 </w:t>
      </w:r>
      <w:r>
        <w:rPr>
          <w:sz w:val="32"/>
        </w:rPr>
        <w:t>O</w:t>
      </w:r>
      <w:r>
        <w:rPr>
          <w:spacing w:val="-12"/>
          <w:sz w:val="32"/>
        </w:rPr>
        <w:t xml:space="preserve"> 一四年七月十四日</w:t>
      </w:r>
    </w:p>
    <w:p>
      <w:pPr>
        <w:spacing w:after="0" w:line="187" w:lineRule="auto"/>
        <w:jc w:val="left"/>
        <w:rPr>
          <w:sz w:val="32"/>
        </w:rPr>
        <w:sectPr>
          <w:headerReference w:type="default" r:id="rId14"/>
          <w:footerReference w:type="default" r:id="rId15"/>
          <w:pgSz w:w="11910" w:h="16840"/>
          <w:pgMar w:top="1100" w:right="560" w:bottom="1160" w:left="840" w:header="879" w:footer="971"/>
          <w:pgNumType w:start="4"/>
          <w:cols w:space="708"/>
        </w:sectPr>
      </w:pPr>
    </w:p>
    <w:p>
      <w:pPr>
        <w:pStyle w:val="Heading2"/>
        <w:spacing w:line="225" w:lineRule="auto"/>
        <w:ind w:left="4209" w:right="1416" w:hanging="3073"/>
        <w:jc w:val="left"/>
      </w:pPr>
      <w:r>
        <w:t>二. 泉州师范学院化生院教学设备采购及服务项目</w:t>
      </w:r>
      <w:r>
        <w:rPr>
          <w:spacing w:val="-4"/>
          <w:w w:val="105"/>
        </w:rPr>
        <w:t>采</w:t>
      </w:r>
      <w:r>
        <w:rPr>
          <w:spacing w:val="-4"/>
          <w:w w:val="105"/>
        </w:rPr>
        <w:t>购</w:t>
      </w:r>
      <w:r>
        <w:rPr>
          <w:spacing w:val="-4"/>
          <w:w w:val="105"/>
        </w:rPr>
        <w:t>一</w:t>
      </w:r>
      <w:r>
        <w:rPr>
          <w:spacing w:val="-4"/>
          <w:w w:val="105"/>
        </w:rPr>
        <w:t>览</w:t>
      </w:r>
      <w:r>
        <w:rPr>
          <w:spacing w:val="-4"/>
          <w:w w:val="105"/>
        </w:rPr>
        <w:t>表</w:t>
      </w:r>
    </w:p>
    <w:p>
      <w:pPr>
        <w:pStyle w:val="BodyText"/>
        <w:spacing w:before="315"/>
        <w:ind w:left="653"/>
      </w:pPr>
      <w:r>
        <w:rPr>
          <w:spacing w:val="-1"/>
        </w:rPr>
        <w:t>采购编号：</w:t>
      </w:r>
      <w:r>
        <w:rPr>
          <w:spacing w:val="-2"/>
          <w:u w:val="single"/>
        </w:rPr>
        <w:t>QZJL201407031</w:t>
      </w:r>
      <w:r>
        <w:rPr>
          <w:spacing w:val="40"/>
          <w:u w:val="single"/>
        </w:rPr>
        <w:t xml:space="preserve"> </w:t>
      </w:r>
    </w:p>
    <w:p>
      <w:pPr>
        <w:pStyle w:val="BodyText"/>
        <w:spacing w:before="8"/>
        <w:rPr>
          <w:sz w:val="10"/>
        </w:rPr>
      </w:pPr>
    </w:p>
    <w:tbl>
      <w:tblPr>
        <w:tblStyle w:val="TableNormal1"/>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0"/>
        <w:gridCol w:w="900"/>
        <w:gridCol w:w="3240"/>
        <w:gridCol w:w="3780"/>
        <w:gridCol w:w="1080"/>
      </w:tblGrid>
      <w:tr>
        <w:tblPrEx>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4"/>
          <w:jc w:val="left"/>
        </w:trPr>
        <w:tc>
          <w:tcPr>
            <w:tcW w:w="1080" w:type="dxa"/>
          </w:tcPr>
          <w:p>
            <w:pPr>
              <w:pStyle w:val="TableParagraph"/>
              <w:spacing w:before="99"/>
              <w:ind w:left="225"/>
              <w:rPr>
                <w:sz w:val="21"/>
              </w:rPr>
            </w:pPr>
            <w:r>
              <w:rPr>
                <w:spacing w:val="-4"/>
                <w:sz w:val="21"/>
              </w:rPr>
              <w:t>合同号</w:t>
            </w:r>
          </w:p>
        </w:tc>
        <w:tc>
          <w:tcPr>
            <w:tcW w:w="900" w:type="dxa"/>
          </w:tcPr>
          <w:p>
            <w:pPr>
              <w:pStyle w:val="TableParagraph"/>
              <w:spacing w:before="99"/>
              <w:ind w:left="123" w:right="6"/>
              <w:jc w:val="center"/>
              <w:rPr>
                <w:sz w:val="21"/>
              </w:rPr>
            </w:pPr>
            <w:r>
              <w:rPr>
                <w:spacing w:val="-4"/>
                <w:sz w:val="21"/>
              </w:rPr>
              <w:t>品目号</w:t>
            </w:r>
          </w:p>
        </w:tc>
        <w:tc>
          <w:tcPr>
            <w:tcW w:w="3240" w:type="dxa"/>
          </w:tcPr>
          <w:p>
            <w:pPr>
              <w:pStyle w:val="TableParagraph"/>
              <w:spacing w:before="99"/>
              <w:ind w:left="134" w:right="125"/>
              <w:jc w:val="center"/>
              <w:rPr>
                <w:sz w:val="21"/>
              </w:rPr>
            </w:pPr>
            <w:r>
              <w:rPr>
                <w:spacing w:val="-3"/>
                <w:sz w:val="21"/>
              </w:rPr>
              <w:t>产品名称</w:t>
            </w:r>
          </w:p>
        </w:tc>
        <w:tc>
          <w:tcPr>
            <w:tcW w:w="3780" w:type="dxa"/>
          </w:tcPr>
          <w:p>
            <w:pPr>
              <w:pStyle w:val="TableParagraph"/>
              <w:spacing w:before="99"/>
              <w:ind w:left="1455" w:right="1446"/>
              <w:jc w:val="center"/>
              <w:rPr>
                <w:sz w:val="21"/>
              </w:rPr>
            </w:pPr>
            <w:r>
              <w:rPr>
                <w:spacing w:val="-3"/>
                <w:sz w:val="21"/>
              </w:rPr>
              <w:t>技术参数</w:t>
            </w:r>
          </w:p>
        </w:tc>
        <w:tc>
          <w:tcPr>
            <w:tcW w:w="1080" w:type="dxa"/>
          </w:tcPr>
          <w:p>
            <w:pPr>
              <w:pStyle w:val="TableParagraph"/>
              <w:spacing w:before="99"/>
              <w:ind w:left="166" w:right="156"/>
              <w:jc w:val="center"/>
              <w:rPr>
                <w:sz w:val="21"/>
              </w:rPr>
            </w:pPr>
            <w:r>
              <w:rPr>
                <w:spacing w:val="-5"/>
                <w:sz w:val="21"/>
              </w:rPr>
              <w:t>数量</w:t>
            </w:r>
          </w:p>
        </w:tc>
      </w:tr>
      <w:tr>
        <w:tblPrEx>
          <w:tblW w:w="0" w:type="auto"/>
          <w:jc w:val="left"/>
          <w:tblInd w:w="119" w:type="dxa"/>
          <w:tblLayout w:type="fixed"/>
          <w:tblCellMar>
            <w:top w:w="0" w:type="dxa"/>
            <w:left w:w="0" w:type="dxa"/>
            <w:bottom w:w="0" w:type="dxa"/>
            <w:right w:w="0" w:type="dxa"/>
          </w:tblCellMar>
          <w:tblLook w:val="01E0"/>
        </w:tblPrEx>
        <w:trPr>
          <w:trHeight w:val="444"/>
          <w:jc w:val="left"/>
        </w:trPr>
        <w:tc>
          <w:tcPr>
            <w:tcW w:w="108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8"/>
              <w:rPr>
                <w:sz w:val="16"/>
              </w:rPr>
            </w:pPr>
          </w:p>
          <w:p>
            <w:pPr>
              <w:pStyle w:val="TableParagraph"/>
              <w:ind w:left="10"/>
              <w:jc w:val="center"/>
              <w:rPr>
                <w:sz w:val="21"/>
              </w:rPr>
            </w:pPr>
            <w:r>
              <w:rPr>
                <w:sz w:val="21"/>
              </w:rPr>
              <w:t>A</w:t>
            </w:r>
          </w:p>
        </w:tc>
        <w:tc>
          <w:tcPr>
            <w:tcW w:w="900" w:type="dxa"/>
          </w:tcPr>
          <w:p>
            <w:pPr>
              <w:pStyle w:val="TableParagraph"/>
              <w:spacing w:before="89"/>
              <w:ind w:left="10"/>
              <w:jc w:val="center"/>
              <w:rPr>
                <w:sz w:val="21"/>
              </w:rPr>
            </w:pPr>
            <w:r>
              <w:rPr>
                <w:sz w:val="21"/>
              </w:rPr>
              <w:t>1</w:t>
            </w:r>
          </w:p>
        </w:tc>
        <w:tc>
          <w:tcPr>
            <w:tcW w:w="3240" w:type="dxa"/>
          </w:tcPr>
          <w:p>
            <w:pPr>
              <w:pStyle w:val="TableParagraph"/>
              <w:spacing w:before="82"/>
              <w:ind w:left="134" w:right="125"/>
              <w:jc w:val="center"/>
              <w:rPr>
                <w:sz w:val="22"/>
              </w:rPr>
            </w:pPr>
            <w:r>
              <w:rPr>
                <w:spacing w:val="-2"/>
                <w:sz w:val="22"/>
              </w:rPr>
              <w:t>真空干燥箱</w:t>
            </w:r>
          </w:p>
        </w:tc>
        <w:tc>
          <w:tcPr>
            <w:tcW w:w="378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23"/>
              </w:rPr>
            </w:pPr>
          </w:p>
          <w:p>
            <w:pPr>
              <w:pStyle w:val="TableParagraph"/>
              <w:spacing w:before="1" w:line="410" w:lineRule="auto"/>
              <w:ind w:left="839" w:right="199" w:hanging="630"/>
              <w:rPr>
                <w:sz w:val="21"/>
              </w:rPr>
            </w:pPr>
            <w:r>
              <w:rPr>
                <w:spacing w:val="-2"/>
                <w:sz w:val="21"/>
              </w:rPr>
              <w:t>详见招标文件第二部分采购需求与技</w:t>
            </w:r>
            <w:r>
              <w:rPr>
                <w:spacing w:val="-2"/>
                <w:sz w:val="21"/>
              </w:rPr>
              <w:t>术商务应答内容第二章</w:t>
            </w:r>
          </w:p>
        </w:tc>
        <w:tc>
          <w:tcPr>
            <w:tcW w:w="1080" w:type="dxa"/>
          </w:tcPr>
          <w:p>
            <w:pPr>
              <w:pStyle w:val="TableParagraph"/>
              <w:spacing w:before="82"/>
              <w:ind w:left="10"/>
              <w:jc w:val="center"/>
              <w:rPr>
                <w:sz w:val="22"/>
              </w:rPr>
            </w:pPr>
            <w:r>
              <w:rPr>
                <w:sz w:val="22"/>
              </w:rPr>
              <w:t>3</w:t>
            </w:r>
          </w:p>
        </w:tc>
      </w:tr>
      <w:tr>
        <w:tblPrEx>
          <w:tblW w:w="0" w:type="auto"/>
          <w:jc w:val="left"/>
          <w:tblInd w:w="119" w:type="dxa"/>
          <w:tblLayout w:type="fixed"/>
          <w:tblCellMar>
            <w:top w:w="0" w:type="dxa"/>
            <w:left w:w="0" w:type="dxa"/>
            <w:bottom w:w="0" w:type="dxa"/>
            <w:right w:w="0" w:type="dxa"/>
          </w:tblCellMar>
          <w:tblLook w:val="01E0"/>
        </w:tblPrEx>
        <w:trPr>
          <w:trHeight w:val="444"/>
          <w:jc w:val="left"/>
        </w:trPr>
        <w:tc>
          <w:tcPr>
            <w:tcW w:w="1080" w:type="dxa"/>
            <w:vMerge/>
            <w:tcBorders>
              <w:top w:val="nil"/>
            </w:tcBorders>
          </w:tcPr>
          <w:p>
            <w:pPr>
              <w:rPr>
                <w:sz w:val="2"/>
                <w:szCs w:val="2"/>
              </w:rPr>
            </w:pPr>
          </w:p>
        </w:tc>
        <w:tc>
          <w:tcPr>
            <w:tcW w:w="900" w:type="dxa"/>
          </w:tcPr>
          <w:p>
            <w:pPr>
              <w:pStyle w:val="TableParagraph"/>
              <w:spacing w:before="89"/>
              <w:ind w:left="10"/>
              <w:jc w:val="center"/>
              <w:rPr>
                <w:sz w:val="21"/>
              </w:rPr>
            </w:pPr>
            <w:r>
              <w:rPr>
                <w:sz w:val="21"/>
              </w:rPr>
              <w:t>2</w:t>
            </w:r>
          </w:p>
        </w:tc>
        <w:tc>
          <w:tcPr>
            <w:tcW w:w="3240" w:type="dxa"/>
          </w:tcPr>
          <w:p>
            <w:pPr>
              <w:pStyle w:val="TableParagraph"/>
              <w:spacing w:before="82"/>
              <w:ind w:left="134" w:right="125"/>
              <w:jc w:val="center"/>
              <w:rPr>
                <w:sz w:val="22"/>
              </w:rPr>
            </w:pPr>
            <w:r>
              <w:rPr>
                <w:spacing w:val="-4"/>
                <w:sz w:val="22"/>
              </w:rPr>
              <w:t>熔点仪</w:t>
            </w:r>
          </w:p>
        </w:tc>
        <w:tc>
          <w:tcPr>
            <w:tcW w:w="3780" w:type="dxa"/>
            <w:vMerge/>
            <w:tcBorders>
              <w:top w:val="nil"/>
            </w:tcBorders>
          </w:tcPr>
          <w:p>
            <w:pPr>
              <w:rPr>
                <w:sz w:val="2"/>
                <w:szCs w:val="2"/>
              </w:rPr>
            </w:pPr>
          </w:p>
        </w:tc>
        <w:tc>
          <w:tcPr>
            <w:tcW w:w="1080" w:type="dxa"/>
          </w:tcPr>
          <w:p>
            <w:pPr>
              <w:pStyle w:val="TableParagraph"/>
              <w:spacing w:before="82"/>
              <w:ind w:left="10"/>
              <w:jc w:val="center"/>
              <w:rPr>
                <w:sz w:val="22"/>
              </w:rPr>
            </w:pPr>
            <w:r>
              <w:rPr>
                <w:sz w:val="22"/>
              </w:rPr>
              <w:t>2</w:t>
            </w:r>
          </w:p>
        </w:tc>
      </w:tr>
      <w:tr>
        <w:tblPrEx>
          <w:tblW w:w="0" w:type="auto"/>
          <w:jc w:val="left"/>
          <w:tblInd w:w="119" w:type="dxa"/>
          <w:tblLayout w:type="fixed"/>
          <w:tblCellMar>
            <w:top w:w="0" w:type="dxa"/>
            <w:left w:w="0" w:type="dxa"/>
            <w:bottom w:w="0" w:type="dxa"/>
            <w:right w:w="0" w:type="dxa"/>
          </w:tblCellMar>
          <w:tblLook w:val="01E0"/>
        </w:tblPrEx>
        <w:trPr>
          <w:trHeight w:val="443"/>
          <w:jc w:val="left"/>
        </w:trPr>
        <w:tc>
          <w:tcPr>
            <w:tcW w:w="1080" w:type="dxa"/>
            <w:vMerge/>
            <w:tcBorders>
              <w:top w:val="nil"/>
            </w:tcBorders>
          </w:tcPr>
          <w:p>
            <w:pPr>
              <w:rPr>
                <w:sz w:val="2"/>
                <w:szCs w:val="2"/>
              </w:rPr>
            </w:pPr>
          </w:p>
        </w:tc>
        <w:tc>
          <w:tcPr>
            <w:tcW w:w="900" w:type="dxa"/>
          </w:tcPr>
          <w:p>
            <w:pPr>
              <w:pStyle w:val="TableParagraph"/>
              <w:spacing w:before="89"/>
              <w:ind w:left="10"/>
              <w:jc w:val="center"/>
              <w:rPr>
                <w:sz w:val="21"/>
              </w:rPr>
            </w:pPr>
            <w:r>
              <w:rPr>
                <w:sz w:val="21"/>
              </w:rPr>
              <w:t>3</w:t>
            </w:r>
          </w:p>
        </w:tc>
        <w:tc>
          <w:tcPr>
            <w:tcW w:w="3240" w:type="dxa"/>
          </w:tcPr>
          <w:p>
            <w:pPr>
              <w:pStyle w:val="TableParagraph"/>
              <w:spacing w:before="82"/>
              <w:ind w:left="134" w:right="125"/>
              <w:jc w:val="center"/>
              <w:rPr>
                <w:sz w:val="22"/>
              </w:rPr>
            </w:pPr>
            <w:r>
              <w:rPr>
                <w:spacing w:val="-2"/>
                <w:sz w:val="22"/>
              </w:rPr>
              <w:t>阿贝折光仪</w:t>
            </w:r>
          </w:p>
        </w:tc>
        <w:tc>
          <w:tcPr>
            <w:tcW w:w="3780" w:type="dxa"/>
            <w:vMerge/>
            <w:tcBorders>
              <w:top w:val="nil"/>
            </w:tcBorders>
          </w:tcPr>
          <w:p>
            <w:pPr>
              <w:rPr>
                <w:sz w:val="2"/>
                <w:szCs w:val="2"/>
              </w:rPr>
            </w:pPr>
          </w:p>
        </w:tc>
        <w:tc>
          <w:tcPr>
            <w:tcW w:w="1080" w:type="dxa"/>
          </w:tcPr>
          <w:p>
            <w:pPr>
              <w:pStyle w:val="TableParagraph"/>
              <w:spacing w:before="82"/>
              <w:ind w:left="10"/>
              <w:jc w:val="center"/>
              <w:rPr>
                <w:sz w:val="22"/>
              </w:rPr>
            </w:pPr>
            <w:r>
              <w:rPr>
                <w:sz w:val="22"/>
              </w:rPr>
              <w:t>3</w:t>
            </w:r>
          </w:p>
        </w:tc>
      </w:tr>
      <w:tr>
        <w:tblPrEx>
          <w:tblW w:w="0" w:type="auto"/>
          <w:jc w:val="left"/>
          <w:tblInd w:w="119" w:type="dxa"/>
          <w:tblLayout w:type="fixed"/>
          <w:tblCellMar>
            <w:top w:w="0" w:type="dxa"/>
            <w:left w:w="0" w:type="dxa"/>
            <w:bottom w:w="0" w:type="dxa"/>
            <w:right w:w="0" w:type="dxa"/>
          </w:tblCellMar>
          <w:tblLook w:val="01E0"/>
        </w:tblPrEx>
        <w:trPr>
          <w:trHeight w:val="648"/>
          <w:jc w:val="left"/>
        </w:trPr>
        <w:tc>
          <w:tcPr>
            <w:tcW w:w="1080" w:type="dxa"/>
            <w:vMerge/>
            <w:tcBorders>
              <w:top w:val="nil"/>
            </w:tcBorders>
          </w:tcPr>
          <w:p>
            <w:pPr>
              <w:rPr>
                <w:sz w:val="2"/>
                <w:szCs w:val="2"/>
              </w:rPr>
            </w:pPr>
          </w:p>
        </w:tc>
        <w:tc>
          <w:tcPr>
            <w:tcW w:w="900" w:type="dxa"/>
          </w:tcPr>
          <w:p>
            <w:pPr>
              <w:pStyle w:val="TableParagraph"/>
              <w:spacing w:before="11"/>
              <w:rPr>
                <w:sz w:val="14"/>
              </w:rPr>
            </w:pPr>
          </w:p>
          <w:p>
            <w:pPr>
              <w:pStyle w:val="TableParagraph"/>
              <w:ind w:left="10"/>
              <w:jc w:val="center"/>
              <w:rPr>
                <w:sz w:val="21"/>
              </w:rPr>
            </w:pPr>
            <w:r>
              <w:rPr>
                <w:sz w:val="21"/>
              </w:rPr>
              <w:t>4</w:t>
            </w:r>
          </w:p>
        </w:tc>
        <w:tc>
          <w:tcPr>
            <w:tcW w:w="3240" w:type="dxa"/>
          </w:tcPr>
          <w:p>
            <w:pPr>
              <w:pStyle w:val="TableParagraph"/>
              <w:spacing w:before="35"/>
              <w:ind w:left="135" w:right="125"/>
              <w:jc w:val="center"/>
              <w:rPr>
                <w:sz w:val="21"/>
              </w:rPr>
            </w:pPr>
            <w:r>
              <w:rPr>
                <w:sz w:val="21"/>
              </w:rPr>
              <w:t>真空干燥箱（微电脑控制）</w:t>
            </w:r>
            <w:r>
              <w:rPr>
                <w:spacing w:val="-5"/>
                <w:sz w:val="21"/>
              </w:rPr>
              <w:t>程序</w:t>
            </w:r>
          </w:p>
          <w:p>
            <w:pPr>
              <w:pStyle w:val="TableParagraph"/>
              <w:spacing w:before="43"/>
              <w:ind w:left="134" w:right="125"/>
              <w:jc w:val="center"/>
              <w:rPr>
                <w:sz w:val="21"/>
              </w:rPr>
            </w:pPr>
            <w:r>
              <w:rPr>
                <w:spacing w:val="-3"/>
                <w:sz w:val="21"/>
              </w:rPr>
              <w:t>液晶控制</w:t>
            </w:r>
          </w:p>
        </w:tc>
        <w:tc>
          <w:tcPr>
            <w:tcW w:w="3780" w:type="dxa"/>
            <w:vMerge/>
            <w:tcBorders>
              <w:top w:val="nil"/>
            </w:tcBorders>
          </w:tcPr>
          <w:p>
            <w:pPr>
              <w:rPr>
                <w:sz w:val="2"/>
                <w:szCs w:val="2"/>
              </w:rPr>
            </w:pPr>
          </w:p>
        </w:tc>
        <w:tc>
          <w:tcPr>
            <w:tcW w:w="1080" w:type="dxa"/>
          </w:tcPr>
          <w:p>
            <w:pPr>
              <w:pStyle w:val="TableParagraph"/>
              <w:spacing w:before="184"/>
              <w:ind w:left="10"/>
              <w:jc w:val="center"/>
              <w:rPr>
                <w:sz w:val="22"/>
              </w:rPr>
            </w:pPr>
            <w:r>
              <w:rPr>
                <w:sz w:val="22"/>
              </w:rPr>
              <w:t>2</w:t>
            </w:r>
          </w:p>
        </w:tc>
      </w:tr>
      <w:tr>
        <w:tblPrEx>
          <w:tblW w:w="0" w:type="auto"/>
          <w:jc w:val="left"/>
          <w:tblInd w:w="119" w:type="dxa"/>
          <w:tblLayout w:type="fixed"/>
          <w:tblCellMar>
            <w:top w:w="0" w:type="dxa"/>
            <w:left w:w="0" w:type="dxa"/>
            <w:bottom w:w="0" w:type="dxa"/>
            <w:right w:w="0" w:type="dxa"/>
          </w:tblCellMar>
          <w:tblLook w:val="01E0"/>
        </w:tblPrEx>
        <w:trPr>
          <w:trHeight w:val="444"/>
          <w:jc w:val="left"/>
        </w:trPr>
        <w:tc>
          <w:tcPr>
            <w:tcW w:w="1080" w:type="dxa"/>
            <w:vMerge/>
            <w:tcBorders>
              <w:top w:val="nil"/>
            </w:tcBorders>
          </w:tcPr>
          <w:p>
            <w:pPr>
              <w:rPr>
                <w:sz w:val="2"/>
                <w:szCs w:val="2"/>
              </w:rPr>
            </w:pPr>
          </w:p>
        </w:tc>
        <w:tc>
          <w:tcPr>
            <w:tcW w:w="900" w:type="dxa"/>
          </w:tcPr>
          <w:p>
            <w:pPr>
              <w:pStyle w:val="TableParagraph"/>
              <w:spacing w:before="89"/>
              <w:ind w:left="10"/>
              <w:jc w:val="center"/>
              <w:rPr>
                <w:sz w:val="21"/>
              </w:rPr>
            </w:pPr>
            <w:r>
              <w:rPr>
                <w:sz w:val="21"/>
              </w:rPr>
              <w:t>5</w:t>
            </w:r>
          </w:p>
        </w:tc>
        <w:tc>
          <w:tcPr>
            <w:tcW w:w="3240" w:type="dxa"/>
          </w:tcPr>
          <w:p>
            <w:pPr>
              <w:pStyle w:val="TableParagraph"/>
              <w:spacing w:before="89"/>
              <w:ind w:left="134" w:right="125"/>
              <w:jc w:val="center"/>
              <w:rPr>
                <w:sz w:val="21"/>
              </w:rPr>
            </w:pPr>
            <w:r>
              <w:rPr>
                <w:spacing w:val="-2"/>
                <w:sz w:val="21"/>
              </w:rPr>
              <w:t>旋转粘度计</w:t>
            </w:r>
          </w:p>
        </w:tc>
        <w:tc>
          <w:tcPr>
            <w:tcW w:w="3780" w:type="dxa"/>
            <w:vMerge/>
            <w:tcBorders>
              <w:top w:val="nil"/>
            </w:tcBorders>
          </w:tcPr>
          <w:p>
            <w:pPr>
              <w:rPr>
                <w:sz w:val="2"/>
                <w:szCs w:val="2"/>
              </w:rPr>
            </w:pPr>
          </w:p>
        </w:tc>
        <w:tc>
          <w:tcPr>
            <w:tcW w:w="1080" w:type="dxa"/>
          </w:tcPr>
          <w:p>
            <w:pPr>
              <w:pStyle w:val="TableParagraph"/>
              <w:spacing w:before="82"/>
              <w:ind w:left="10"/>
              <w:jc w:val="center"/>
              <w:rPr>
                <w:sz w:val="22"/>
              </w:rPr>
            </w:pPr>
            <w:r>
              <w:rPr>
                <w:sz w:val="22"/>
              </w:rPr>
              <w:t>1</w:t>
            </w:r>
          </w:p>
        </w:tc>
      </w:tr>
      <w:tr>
        <w:tblPrEx>
          <w:tblW w:w="0" w:type="auto"/>
          <w:jc w:val="left"/>
          <w:tblInd w:w="119" w:type="dxa"/>
          <w:tblLayout w:type="fixed"/>
          <w:tblCellMar>
            <w:top w:w="0" w:type="dxa"/>
            <w:left w:w="0" w:type="dxa"/>
            <w:bottom w:w="0" w:type="dxa"/>
            <w:right w:w="0" w:type="dxa"/>
          </w:tblCellMar>
          <w:tblLook w:val="01E0"/>
        </w:tblPrEx>
        <w:trPr>
          <w:trHeight w:val="443"/>
          <w:jc w:val="left"/>
        </w:trPr>
        <w:tc>
          <w:tcPr>
            <w:tcW w:w="1080" w:type="dxa"/>
            <w:vMerge/>
            <w:tcBorders>
              <w:top w:val="nil"/>
            </w:tcBorders>
          </w:tcPr>
          <w:p>
            <w:pPr>
              <w:rPr>
                <w:sz w:val="2"/>
                <w:szCs w:val="2"/>
              </w:rPr>
            </w:pPr>
          </w:p>
        </w:tc>
        <w:tc>
          <w:tcPr>
            <w:tcW w:w="900" w:type="dxa"/>
          </w:tcPr>
          <w:p>
            <w:pPr>
              <w:pStyle w:val="TableParagraph"/>
              <w:spacing w:before="89"/>
              <w:ind w:left="10"/>
              <w:jc w:val="center"/>
              <w:rPr>
                <w:sz w:val="21"/>
              </w:rPr>
            </w:pPr>
            <w:r>
              <w:rPr>
                <w:sz w:val="21"/>
              </w:rPr>
              <w:t>6</w:t>
            </w:r>
          </w:p>
        </w:tc>
        <w:tc>
          <w:tcPr>
            <w:tcW w:w="3240" w:type="dxa"/>
          </w:tcPr>
          <w:p>
            <w:pPr>
              <w:pStyle w:val="TableParagraph"/>
              <w:spacing w:before="89"/>
              <w:ind w:left="134" w:right="125"/>
              <w:jc w:val="center"/>
              <w:rPr>
                <w:sz w:val="21"/>
              </w:rPr>
            </w:pPr>
            <w:r>
              <w:rPr>
                <w:spacing w:val="-2"/>
                <w:sz w:val="21"/>
              </w:rPr>
              <w:t>偏光显微镜</w:t>
            </w:r>
          </w:p>
        </w:tc>
        <w:tc>
          <w:tcPr>
            <w:tcW w:w="3780" w:type="dxa"/>
            <w:vMerge/>
            <w:tcBorders>
              <w:top w:val="nil"/>
            </w:tcBorders>
          </w:tcPr>
          <w:p>
            <w:pPr>
              <w:rPr>
                <w:sz w:val="2"/>
                <w:szCs w:val="2"/>
              </w:rPr>
            </w:pPr>
          </w:p>
        </w:tc>
        <w:tc>
          <w:tcPr>
            <w:tcW w:w="1080" w:type="dxa"/>
          </w:tcPr>
          <w:p>
            <w:pPr>
              <w:pStyle w:val="TableParagraph"/>
              <w:spacing w:before="82"/>
              <w:ind w:left="10"/>
              <w:jc w:val="center"/>
              <w:rPr>
                <w:sz w:val="22"/>
              </w:rPr>
            </w:pPr>
            <w:r>
              <w:rPr>
                <w:sz w:val="22"/>
              </w:rPr>
              <w:t>1</w:t>
            </w:r>
          </w:p>
        </w:tc>
      </w:tr>
      <w:tr>
        <w:tblPrEx>
          <w:tblW w:w="0" w:type="auto"/>
          <w:jc w:val="left"/>
          <w:tblInd w:w="119" w:type="dxa"/>
          <w:tblLayout w:type="fixed"/>
          <w:tblCellMar>
            <w:top w:w="0" w:type="dxa"/>
            <w:left w:w="0" w:type="dxa"/>
            <w:bottom w:w="0" w:type="dxa"/>
            <w:right w:w="0" w:type="dxa"/>
          </w:tblCellMar>
          <w:tblLook w:val="01E0"/>
        </w:tblPrEx>
        <w:trPr>
          <w:trHeight w:val="443"/>
          <w:jc w:val="left"/>
        </w:trPr>
        <w:tc>
          <w:tcPr>
            <w:tcW w:w="1080" w:type="dxa"/>
            <w:vMerge/>
            <w:tcBorders>
              <w:top w:val="nil"/>
            </w:tcBorders>
          </w:tcPr>
          <w:p>
            <w:pPr>
              <w:rPr>
                <w:sz w:val="2"/>
                <w:szCs w:val="2"/>
              </w:rPr>
            </w:pPr>
          </w:p>
        </w:tc>
        <w:tc>
          <w:tcPr>
            <w:tcW w:w="900" w:type="dxa"/>
          </w:tcPr>
          <w:p>
            <w:pPr>
              <w:pStyle w:val="TableParagraph"/>
              <w:spacing w:before="89"/>
              <w:ind w:left="10"/>
              <w:jc w:val="center"/>
              <w:rPr>
                <w:sz w:val="21"/>
              </w:rPr>
            </w:pPr>
            <w:r>
              <w:rPr>
                <w:sz w:val="21"/>
              </w:rPr>
              <w:t>7</w:t>
            </w:r>
          </w:p>
        </w:tc>
        <w:tc>
          <w:tcPr>
            <w:tcW w:w="3240" w:type="dxa"/>
          </w:tcPr>
          <w:p>
            <w:pPr>
              <w:pStyle w:val="TableParagraph"/>
              <w:spacing w:before="89"/>
              <w:ind w:left="134" w:right="125"/>
              <w:jc w:val="center"/>
              <w:rPr>
                <w:sz w:val="21"/>
              </w:rPr>
            </w:pPr>
            <w:r>
              <w:rPr>
                <w:spacing w:val="-2"/>
                <w:sz w:val="21"/>
              </w:rPr>
              <w:t>雪花制冰机</w:t>
            </w:r>
          </w:p>
        </w:tc>
        <w:tc>
          <w:tcPr>
            <w:tcW w:w="3780" w:type="dxa"/>
            <w:vMerge/>
            <w:tcBorders>
              <w:top w:val="nil"/>
            </w:tcBorders>
          </w:tcPr>
          <w:p>
            <w:pPr>
              <w:rPr>
                <w:sz w:val="2"/>
                <w:szCs w:val="2"/>
              </w:rPr>
            </w:pPr>
          </w:p>
        </w:tc>
        <w:tc>
          <w:tcPr>
            <w:tcW w:w="1080" w:type="dxa"/>
          </w:tcPr>
          <w:p>
            <w:pPr>
              <w:pStyle w:val="TableParagraph"/>
              <w:spacing w:before="82"/>
              <w:ind w:left="10"/>
              <w:jc w:val="center"/>
              <w:rPr>
                <w:sz w:val="22"/>
              </w:rPr>
            </w:pPr>
            <w:r>
              <w:rPr>
                <w:sz w:val="22"/>
              </w:rPr>
              <w:t>1</w:t>
            </w:r>
          </w:p>
        </w:tc>
      </w:tr>
      <w:tr>
        <w:tblPrEx>
          <w:tblW w:w="0" w:type="auto"/>
          <w:jc w:val="left"/>
          <w:tblInd w:w="119" w:type="dxa"/>
          <w:tblLayout w:type="fixed"/>
          <w:tblCellMar>
            <w:top w:w="0" w:type="dxa"/>
            <w:left w:w="0" w:type="dxa"/>
            <w:bottom w:w="0" w:type="dxa"/>
            <w:right w:w="0" w:type="dxa"/>
          </w:tblCellMar>
          <w:tblLook w:val="01E0"/>
        </w:tblPrEx>
        <w:trPr>
          <w:trHeight w:val="443"/>
          <w:jc w:val="left"/>
        </w:trPr>
        <w:tc>
          <w:tcPr>
            <w:tcW w:w="1080" w:type="dxa"/>
            <w:vMerge/>
            <w:tcBorders>
              <w:top w:val="nil"/>
            </w:tcBorders>
          </w:tcPr>
          <w:p>
            <w:pPr>
              <w:rPr>
                <w:sz w:val="2"/>
                <w:szCs w:val="2"/>
              </w:rPr>
            </w:pPr>
          </w:p>
        </w:tc>
        <w:tc>
          <w:tcPr>
            <w:tcW w:w="900" w:type="dxa"/>
          </w:tcPr>
          <w:p>
            <w:pPr>
              <w:pStyle w:val="TableParagraph"/>
              <w:spacing w:before="89"/>
              <w:ind w:left="10"/>
              <w:jc w:val="center"/>
              <w:rPr>
                <w:sz w:val="21"/>
              </w:rPr>
            </w:pPr>
            <w:r>
              <w:rPr>
                <w:sz w:val="21"/>
              </w:rPr>
              <w:t>8</w:t>
            </w:r>
          </w:p>
        </w:tc>
        <w:tc>
          <w:tcPr>
            <w:tcW w:w="3240" w:type="dxa"/>
          </w:tcPr>
          <w:p>
            <w:pPr>
              <w:pStyle w:val="TableParagraph"/>
              <w:spacing w:before="89"/>
              <w:ind w:left="135" w:right="125"/>
              <w:jc w:val="center"/>
              <w:rPr>
                <w:sz w:val="21"/>
              </w:rPr>
            </w:pPr>
            <w:r>
              <w:rPr>
                <w:spacing w:val="-2"/>
                <w:sz w:val="21"/>
              </w:rPr>
              <w:t>智能型实验室压片机</w:t>
            </w:r>
          </w:p>
        </w:tc>
        <w:tc>
          <w:tcPr>
            <w:tcW w:w="3780" w:type="dxa"/>
            <w:vMerge/>
            <w:tcBorders>
              <w:top w:val="nil"/>
            </w:tcBorders>
          </w:tcPr>
          <w:p>
            <w:pPr>
              <w:rPr>
                <w:sz w:val="2"/>
                <w:szCs w:val="2"/>
              </w:rPr>
            </w:pPr>
          </w:p>
        </w:tc>
        <w:tc>
          <w:tcPr>
            <w:tcW w:w="1080" w:type="dxa"/>
          </w:tcPr>
          <w:p>
            <w:pPr>
              <w:pStyle w:val="TableParagraph"/>
              <w:spacing w:before="82"/>
              <w:ind w:left="10"/>
              <w:jc w:val="center"/>
              <w:rPr>
                <w:sz w:val="22"/>
              </w:rPr>
            </w:pPr>
            <w:r>
              <w:rPr>
                <w:sz w:val="22"/>
              </w:rPr>
              <w:t>1</w:t>
            </w:r>
          </w:p>
        </w:tc>
      </w:tr>
      <w:tr>
        <w:tblPrEx>
          <w:tblW w:w="0" w:type="auto"/>
          <w:jc w:val="left"/>
          <w:tblInd w:w="119" w:type="dxa"/>
          <w:tblLayout w:type="fixed"/>
          <w:tblCellMar>
            <w:top w:w="0" w:type="dxa"/>
            <w:left w:w="0" w:type="dxa"/>
            <w:bottom w:w="0" w:type="dxa"/>
            <w:right w:w="0" w:type="dxa"/>
          </w:tblCellMar>
          <w:tblLook w:val="01E0"/>
        </w:tblPrEx>
        <w:trPr>
          <w:trHeight w:val="443"/>
          <w:jc w:val="left"/>
        </w:trPr>
        <w:tc>
          <w:tcPr>
            <w:tcW w:w="1080" w:type="dxa"/>
            <w:vMerge/>
            <w:tcBorders>
              <w:top w:val="nil"/>
            </w:tcBorders>
          </w:tcPr>
          <w:p>
            <w:pPr>
              <w:rPr>
                <w:sz w:val="2"/>
                <w:szCs w:val="2"/>
              </w:rPr>
            </w:pPr>
          </w:p>
        </w:tc>
        <w:tc>
          <w:tcPr>
            <w:tcW w:w="900" w:type="dxa"/>
          </w:tcPr>
          <w:p>
            <w:pPr>
              <w:pStyle w:val="TableParagraph"/>
              <w:spacing w:before="89"/>
              <w:ind w:left="10"/>
              <w:jc w:val="center"/>
              <w:rPr>
                <w:sz w:val="21"/>
              </w:rPr>
            </w:pPr>
            <w:r>
              <w:rPr>
                <w:sz w:val="21"/>
              </w:rPr>
              <w:t>9</w:t>
            </w:r>
          </w:p>
        </w:tc>
        <w:tc>
          <w:tcPr>
            <w:tcW w:w="3240" w:type="dxa"/>
          </w:tcPr>
          <w:p>
            <w:pPr>
              <w:pStyle w:val="TableParagraph"/>
              <w:spacing w:before="89"/>
              <w:ind w:left="134" w:right="125"/>
              <w:jc w:val="center"/>
              <w:rPr>
                <w:sz w:val="21"/>
              </w:rPr>
            </w:pPr>
            <w:r>
              <w:rPr>
                <w:spacing w:val="-3"/>
                <w:sz w:val="21"/>
              </w:rPr>
              <w:t>恒温水槽</w:t>
            </w:r>
          </w:p>
        </w:tc>
        <w:tc>
          <w:tcPr>
            <w:tcW w:w="3780" w:type="dxa"/>
            <w:vMerge/>
            <w:tcBorders>
              <w:top w:val="nil"/>
            </w:tcBorders>
          </w:tcPr>
          <w:p>
            <w:pPr>
              <w:rPr>
                <w:sz w:val="2"/>
                <w:szCs w:val="2"/>
              </w:rPr>
            </w:pPr>
          </w:p>
        </w:tc>
        <w:tc>
          <w:tcPr>
            <w:tcW w:w="1080" w:type="dxa"/>
          </w:tcPr>
          <w:p>
            <w:pPr>
              <w:pStyle w:val="TableParagraph"/>
              <w:spacing w:before="82"/>
              <w:ind w:left="10"/>
              <w:jc w:val="center"/>
              <w:rPr>
                <w:sz w:val="22"/>
              </w:rPr>
            </w:pPr>
            <w:r>
              <w:rPr>
                <w:sz w:val="22"/>
              </w:rPr>
              <w:t>3</w:t>
            </w:r>
          </w:p>
        </w:tc>
      </w:tr>
    </w:tbl>
    <w:p>
      <w:pPr>
        <w:pStyle w:val="BodyText"/>
        <w:spacing w:before="83" w:line="321" w:lineRule="auto"/>
        <w:ind w:left="714" w:right="761" w:hanging="420"/>
      </w:pPr>
      <w:r>
        <w:rPr>
          <w:spacing w:val="-2"/>
        </w:rPr>
        <w:t>注：1、交货安装期限：</w:t>
      </w:r>
      <w:r>
        <w:rPr>
          <w:color w:val="333333"/>
          <w:spacing w:val="-6"/>
        </w:rPr>
        <w:t xml:space="preserve">签订合同后 </w:t>
      </w:r>
      <w:r>
        <w:rPr>
          <w:color w:val="333333"/>
          <w:spacing w:val="-2"/>
          <w:u w:val="single" w:color="333333"/>
        </w:rPr>
        <w:t>30</w:t>
      </w:r>
      <w:r>
        <w:rPr>
          <w:color w:val="333333"/>
          <w:spacing w:val="-7"/>
        </w:rPr>
        <w:t xml:space="preserve"> 日历日内</w:t>
      </w:r>
      <w:r>
        <w:rPr>
          <w:spacing w:val="-2"/>
        </w:rPr>
        <w:t>将所有货物全部安装调试完毕、验收合格、交付使用。 2、交货地点：采购人指定的安装地点。</w:t>
      </w:r>
    </w:p>
    <w:p>
      <w:pPr>
        <w:spacing w:before="0" w:line="305" w:lineRule="exact"/>
        <w:ind w:left="705" w:right="0" w:firstLine="0"/>
        <w:jc w:val="left"/>
        <w:rPr>
          <w:rFonts w:ascii="微软雅黑" w:eastAsia="微软雅黑" w:hAnsi="微软雅黑"/>
          <w:b/>
          <w:sz w:val="21"/>
        </w:rPr>
      </w:pPr>
      <w:r>
        <w:rPr>
          <w:rFonts w:ascii="微软雅黑" w:eastAsia="微软雅黑" w:hAnsi="微软雅黑"/>
          <w:b/>
          <w:spacing w:val="-2"/>
          <w:sz w:val="21"/>
        </w:rPr>
        <w:t>3</w:t>
      </w:r>
      <w:r>
        <w:rPr>
          <w:rFonts w:ascii="微软雅黑" w:eastAsia="微软雅黑" w:hAnsi="微软雅黑"/>
          <w:b/>
          <w:spacing w:val="-3"/>
          <w:sz w:val="21"/>
        </w:rPr>
        <w:t>、采购项目为“政府强制采购节能产品”时，投标人所投标产品必须为最新一期《节能产品政府采</w:t>
      </w:r>
    </w:p>
    <w:p>
      <w:pPr>
        <w:spacing w:before="6" w:line="223" w:lineRule="auto"/>
        <w:ind w:left="294" w:right="572" w:firstLine="0"/>
        <w:jc w:val="left"/>
        <w:rPr>
          <w:rFonts w:ascii="微软雅黑" w:eastAsia="微软雅黑" w:hAnsi="微软雅黑"/>
          <w:b/>
          <w:sz w:val="21"/>
        </w:rPr>
      </w:pPr>
      <w:r>
        <w:rPr>
          <w:rFonts w:ascii="微软雅黑" w:eastAsia="微软雅黑" w:hAnsi="微软雅黑"/>
          <w:b/>
          <w:spacing w:val="-2"/>
          <w:sz w:val="21"/>
        </w:rPr>
        <w:t>购清单》内产品。节能清单中的照明产品（包括普通照明用双端荧光灯、普通照明用自镇流荧光灯、高压</w:t>
      </w:r>
      <w:r>
        <w:rPr>
          <w:rFonts w:ascii="微软雅黑" w:eastAsia="微软雅黑" w:hAnsi="微软雅黑"/>
          <w:b/>
          <w:spacing w:val="-2"/>
          <w:sz w:val="21"/>
        </w:rPr>
        <w:t>钠灯、管形荧光灯镇流器）等产品为政府强制采购节能产品（以“★”标注</w:t>
      </w:r>
      <w:r>
        <w:rPr>
          <w:rFonts w:ascii="微软雅黑" w:eastAsia="微软雅黑" w:hAnsi="微软雅黑"/>
          <w:b/>
          <w:spacing w:val="-105"/>
          <w:sz w:val="21"/>
        </w:rPr>
        <w:t>）</w:t>
      </w:r>
      <w:r>
        <w:rPr>
          <w:rFonts w:ascii="微软雅黑" w:eastAsia="微软雅黑" w:hAnsi="微软雅黑"/>
          <w:b/>
          <w:spacing w:val="-2"/>
          <w:sz w:val="21"/>
        </w:rPr>
        <w:t>。</w:t>
      </w:r>
    </w:p>
    <w:p>
      <w:pPr>
        <w:pStyle w:val="BodyText"/>
        <w:spacing w:before="47" w:line="264" w:lineRule="auto"/>
        <w:ind w:left="294" w:right="572" w:firstLine="411"/>
        <w:jc w:val="both"/>
      </w:pPr>
      <w:r>
        <w:t>4</w:t>
      </w:r>
      <w:r>
        <w:rPr>
          <w:spacing w:val="-6"/>
        </w:rPr>
        <w:t>、根据财政部《政府采购进口产品管理办法》</w:t>
      </w:r>
      <w:r>
        <w:t>（财库[2007]119</w:t>
      </w:r>
      <w:r>
        <w:rPr>
          <w:spacing w:val="-14"/>
        </w:rPr>
        <w:t xml:space="preserve"> 号</w:t>
      </w:r>
      <w:r>
        <w:t>）及《关于政府采购进口产品管理</w:t>
      </w:r>
      <w:r>
        <w:rPr>
          <w:spacing w:val="-4"/>
        </w:rPr>
        <w:t>有关问题的通知》(财办库［2008］248 号)要求</w:t>
      </w:r>
      <w:r>
        <w:rPr>
          <w:rFonts w:ascii="微软雅黑" w:eastAsia="微软雅黑"/>
          <w:b/>
          <w:spacing w:val="-4"/>
        </w:rPr>
        <w:t>，</w:t>
      </w:r>
      <w:r>
        <w:rPr>
          <w:rFonts w:ascii="微软雅黑" w:eastAsia="微软雅黑"/>
          <w:b/>
          <w:spacing w:val="-12"/>
          <w:u w:val="thick"/>
        </w:rPr>
        <w:t>本项目不接受进口产品投标。</w:t>
      </w:r>
      <w:r>
        <w:rPr>
          <w:spacing w:val="-4"/>
          <w:u w:val="thick"/>
        </w:rPr>
        <w:t>［</w:t>
      </w:r>
      <w:r>
        <w:rPr>
          <w:spacing w:val="-4"/>
        </w:rPr>
        <w:t>进口产品是指通过中国海</w:t>
      </w:r>
      <w:r>
        <w:rPr>
          <w:spacing w:val="-2"/>
        </w:rPr>
        <w:t>关报关验放进入中国境内且产自关境外的产品，但在中国海关特殊监管区域内企业生产或加工(包括从境</w:t>
      </w:r>
    </w:p>
    <w:p>
      <w:pPr>
        <w:pStyle w:val="BodyText"/>
        <w:spacing w:before="63"/>
        <w:ind w:left="294"/>
      </w:pPr>
      <w:r>
        <w:t>外进口料件)销往境内其他地区的产品除外</w:t>
      </w:r>
      <w:r>
        <w:rPr>
          <w:spacing w:val="-105"/>
        </w:rPr>
        <w:t>］</w:t>
      </w:r>
      <w:r>
        <w:rPr>
          <w:spacing w:val="-10"/>
        </w:rPr>
        <w:t>。</w:t>
      </w:r>
    </w:p>
    <w:p>
      <w:pPr>
        <w:spacing w:after="0"/>
        <w:sectPr>
          <w:headerReference w:type="default" r:id="rId16"/>
          <w:footerReference w:type="default" r:id="rId17"/>
          <w:pgSz w:w="11910" w:h="16840"/>
          <w:pgMar w:top="1100" w:right="560" w:bottom="1160" w:left="840" w:header="879" w:footer="971"/>
          <w:pgNumType w:start="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5"/>
        </w:rPr>
      </w:pPr>
    </w:p>
    <w:p>
      <w:pPr>
        <w:spacing w:before="0" w:line="610" w:lineRule="exact"/>
        <w:ind w:left="1992" w:right="2271" w:firstLine="0"/>
        <w:jc w:val="center"/>
        <w:rPr>
          <w:rFonts w:ascii="Microsoft JhengHei" w:eastAsia="Microsoft JhengHei"/>
          <w:b/>
          <w:sz w:val="44"/>
        </w:rPr>
      </w:pPr>
      <w:r>
        <w:rPr>
          <w:rFonts w:ascii="Microsoft JhengHei" w:eastAsia="Microsoft JhengHei"/>
          <w:b/>
          <w:spacing w:val="-3"/>
          <w:sz w:val="44"/>
        </w:rPr>
        <w:t>第二部分</w:t>
      </w:r>
    </w:p>
    <w:p>
      <w:pPr>
        <w:spacing w:before="42" w:line="184" w:lineRule="auto"/>
        <w:ind w:left="474" w:right="754" w:firstLine="0"/>
        <w:jc w:val="center"/>
        <w:rPr>
          <w:rFonts w:ascii="Microsoft JhengHei" w:eastAsia="Microsoft JhengHei"/>
          <w:b/>
          <w:sz w:val="44"/>
        </w:rPr>
      </w:pPr>
      <w:r>
        <w:rPr>
          <w:rFonts w:ascii="Microsoft JhengHei" w:eastAsia="Microsoft JhengHei"/>
          <w:b/>
          <w:spacing w:val="-2"/>
          <w:sz w:val="44"/>
        </w:rPr>
        <w:t>泉州师范学院化生院教学设备采购及服务采购需</w:t>
      </w:r>
      <w:r>
        <w:rPr>
          <w:rFonts w:ascii="Microsoft JhengHei" w:eastAsia="Microsoft JhengHei"/>
          <w:b/>
          <w:spacing w:val="-2"/>
          <w:sz w:val="44"/>
        </w:rPr>
        <w:t>求与技术商务应答内容</w:t>
      </w:r>
    </w:p>
    <w:p>
      <w:pPr>
        <w:spacing w:after="0" w:line="184" w:lineRule="auto"/>
        <w:jc w:val="center"/>
        <w:rPr>
          <w:rFonts w:ascii="Microsoft JhengHei" w:eastAsia="Microsoft JhengHei"/>
          <w:sz w:val="44"/>
        </w:rPr>
        <w:sectPr>
          <w:headerReference w:type="default" r:id="rId18"/>
          <w:footerReference w:type="default" r:id="rId19"/>
          <w:pgSz w:w="11910" w:h="16840"/>
          <w:pgMar w:top="1100" w:right="560" w:bottom="1160" w:left="840" w:header="879" w:footer="971"/>
          <w:pgNumType w:start="6"/>
          <w:cols w:space="708"/>
        </w:sectPr>
      </w:pPr>
    </w:p>
    <w:p>
      <w:pPr>
        <w:pStyle w:val="Heading3"/>
        <w:spacing w:before="4"/>
        <w:ind w:right="2271"/>
        <w:rPr>
          <w:rFonts w:ascii="Microsoft JhengHei" w:eastAsia="Microsoft JhengHei"/>
        </w:rPr>
      </w:pPr>
      <w:bookmarkStart w:id="1" w:name="_TOC_250010"/>
      <w:r>
        <w:rPr>
          <w:rFonts w:ascii="Microsoft JhengHei" w:eastAsia="Microsoft JhengHei"/>
        </w:rPr>
        <w:t>第一章</w:t>
      </w:r>
      <w:r>
        <w:rPr>
          <w:rFonts w:ascii="Microsoft JhengHei" w:eastAsia="Microsoft JhengHei"/>
          <w:spacing w:val="46"/>
          <w:w w:val="150"/>
        </w:rPr>
        <w:t xml:space="preserve"> </w:t>
      </w:r>
      <w:bookmarkEnd w:id="1"/>
      <w:r>
        <w:rPr>
          <w:rFonts w:ascii="Microsoft JhengHei" w:eastAsia="Microsoft JhengHei"/>
          <w:spacing w:val="-3"/>
        </w:rPr>
        <w:t>商务要求</w:t>
      </w:r>
    </w:p>
    <w:p>
      <w:pPr>
        <w:spacing w:before="64"/>
        <w:ind w:left="294" w:right="0" w:firstLine="0"/>
        <w:jc w:val="left"/>
        <w:rPr>
          <w:rFonts w:ascii="Microsoft JhengHei" w:eastAsia="Microsoft JhengHei"/>
          <w:b/>
          <w:sz w:val="21"/>
        </w:rPr>
      </w:pPr>
      <w:r>
        <w:rPr>
          <w:rFonts w:ascii="Microsoft JhengHei" w:eastAsia="Microsoft JhengHei"/>
          <w:b/>
          <w:sz w:val="21"/>
        </w:rPr>
        <w:t>一.</w:t>
      </w:r>
      <w:r>
        <w:rPr>
          <w:rFonts w:ascii="Microsoft JhengHei" w:eastAsia="Microsoft JhengHei"/>
          <w:b/>
          <w:spacing w:val="77"/>
          <w:w w:val="150"/>
          <w:sz w:val="21"/>
        </w:rPr>
        <w:t xml:space="preserve"> </w:t>
      </w:r>
      <w:r>
        <w:rPr>
          <w:rFonts w:ascii="Microsoft JhengHei" w:eastAsia="Microsoft JhengHei"/>
          <w:b/>
          <w:spacing w:val="-2"/>
          <w:sz w:val="21"/>
        </w:rPr>
        <w:t>投标人的工作范围</w:t>
      </w:r>
    </w:p>
    <w:p>
      <w:pPr>
        <w:pStyle w:val="ListParagraph"/>
        <w:numPr>
          <w:ilvl w:val="1"/>
          <w:numId w:val="44"/>
        </w:numPr>
        <w:tabs>
          <w:tab w:val="left" w:pos="1134"/>
        </w:tabs>
        <w:spacing w:before="73" w:after="0" w:line="348" w:lineRule="auto"/>
        <w:ind w:left="294" w:right="572" w:firstLine="420"/>
        <w:jc w:val="both"/>
        <w:rPr>
          <w:sz w:val="21"/>
        </w:rPr>
      </w:pPr>
      <w:r>
        <w:rPr>
          <w:spacing w:val="-2"/>
          <w:sz w:val="21"/>
        </w:rPr>
        <w:t>投标人必须能提供《泉州师范学院化生院教学设备采购及服务项目》中所有设备、材料、工具的</w:t>
      </w:r>
      <w:r>
        <w:rPr>
          <w:spacing w:val="-2"/>
          <w:sz w:val="21"/>
        </w:rPr>
        <w:t>采购和安装。</w:t>
      </w:r>
    </w:p>
    <w:p>
      <w:pPr>
        <w:pStyle w:val="ListParagraph"/>
        <w:numPr>
          <w:ilvl w:val="1"/>
          <w:numId w:val="44"/>
        </w:numPr>
        <w:tabs>
          <w:tab w:val="left" w:pos="1159"/>
        </w:tabs>
        <w:spacing w:before="0" w:after="0" w:line="348" w:lineRule="auto"/>
        <w:ind w:left="294" w:right="581" w:firstLine="420"/>
        <w:jc w:val="both"/>
        <w:rPr>
          <w:sz w:val="21"/>
        </w:rPr>
      </w:pPr>
      <w:r>
        <w:rPr>
          <w:sz w:val="21"/>
        </w:rPr>
        <w:t>投标人拟提供设备须为全新未使用且经国家相关管理部门认证并检验合格的产品。设备及其辅助装置的铭牌、使用指示、警告指示应以中文或英文及易懂的通用符号来表示，应能够准确无误地表示设备的型号、规格、制造商等内容。</w:t>
      </w:r>
    </w:p>
    <w:p>
      <w:pPr>
        <w:pStyle w:val="ListParagraph"/>
        <w:numPr>
          <w:ilvl w:val="1"/>
          <w:numId w:val="44"/>
        </w:numPr>
        <w:tabs>
          <w:tab w:val="left" w:pos="1099"/>
        </w:tabs>
        <w:spacing w:before="0" w:after="0" w:line="269" w:lineRule="exact"/>
        <w:ind w:left="1098" w:right="0" w:hanging="385"/>
        <w:jc w:val="both"/>
        <w:rPr>
          <w:sz w:val="21"/>
        </w:rPr>
      </w:pPr>
      <w:r>
        <w:rPr>
          <w:spacing w:val="2"/>
          <w:sz w:val="21"/>
        </w:rPr>
        <w:t>要求投标人提供的其它伴随服务</w:t>
      </w:r>
      <w:r>
        <w:rPr>
          <w:spacing w:val="10"/>
          <w:sz w:val="21"/>
        </w:rPr>
        <w:t>（</w:t>
      </w:r>
      <w:r>
        <w:rPr>
          <w:spacing w:val="3"/>
          <w:sz w:val="21"/>
        </w:rPr>
        <w:t>或义务</w:t>
      </w:r>
      <w:r>
        <w:rPr>
          <w:spacing w:val="-10"/>
          <w:sz w:val="21"/>
        </w:rPr>
        <w:t>）</w:t>
      </w:r>
    </w:p>
    <w:p>
      <w:pPr>
        <w:pStyle w:val="ListParagraph"/>
        <w:numPr>
          <w:ilvl w:val="2"/>
          <w:numId w:val="44"/>
        </w:numPr>
        <w:tabs>
          <w:tab w:val="left" w:pos="1320"/>
        </w:tabs>
        <w:spacing w:before="121" w:after="0" w:line="240" w:lineRule="auto"/>
        <w:ind w:left="1319" w:right="0" w:hanging="606"/>
        <w:jc w:val="both"/>
        <w:rPr>
          <w:sz w:val="21"/>
        </w:rPr>
      </w:pPr>
      <w:r>
        <w:rPr>
          <w:sz w:val="21"/>
        </w:rPr>
        <w:t>供货</w:t>
      </w:r>
    </w:p>
    <w:p>
      <w:pPr>
        <w:pStyle w:val="BodyText"/>
        <w:spacing w:before="121" w:line="348" w:lineRule="auto"/>
        <w:ind w:left="294" w:right="581" w:firstLine="420"/>
      </w:pPr>
      <w:r>
        <w:rPr>
          <w:spacing w:val="5"/>
        </w:rPr>
        <w:t>投标人必须能按照合同的规定，准时提供设备、配件、材料及工具，并负责所供设备、软件、配</w:t>
      </w:r>
      <w:r>
        <w:rPr>
          <w:spacing w:val="8"/>
        </w:rPr>
        <w:t>件、材料及工具的包装和运保、安装、调试、维修及培训。</w:t>
      </w:r>
    </w:p>
    <w:p>
      <w:pPr>
        <w:pStyle w:val="ListParagraph"/>
        <w:numPr>
          <w:ilvl w:val="2"/>
          <w:numId w:val="44"/>
        </w:numPr>
        <w:tabs>
          <w:tab w:val="left" w:pos="1320"/>
        </w:tabs>
        <w:spacing w:before="0" w:after="0" w:line="269" w:lineRule="exact"/>
        <w:ind w:left="1319" w:right="0" w:hanging="606"/>
        <w:jc w:val="left"/>
        <w:rPr>
          <w:sz w:val="21"/>
        </w:rPr>
      </w:pPr>
      <w:r>
        <w:rPr>
          <w:sz w:val="21"/>
        </w:rPr>
        <w:t>验收</w:t>
      </w:r>
    </w:p>
    <w:p>
      <w:pPr>
        <w:pStyle w:val="BodyText"/>
        <w:spacing w:before="121" w:line="348" w:lineRule="auto"/>
        <w:ind w:left="294" w:right="476" w:firstLine="420"/>
      </w:pPr>
      <w:r>
        <w:t>验收标准：生产厂家的产品说明书、合格证书及技术资料（</w:t>
      </w:r>
      <w:r>
        <w:rPr>
          <w:spacing w:val="4"/>
        </w:rPr>
        <w:t>由投标人提供</w:t>
      </w:r>
      <w:r>
        <w:t>）等；国家及行业规范；招标文件的约定。</w:t>
      </w:r>
    </w:p>
    <w:p>
      <w:pPr>
        <w:pStyle w:val="BodyText"/>
        <w:spacing w:line="269" w:lineRule="exact"/>
        <w:ind w:left="714"/>
      </w:pPr>
      <w:r>
        <w:rPr>
          <w:spacing w:val="1"/>
        </w:rPr>
        <w:t>验收程序：</w:t>
      </w:r>
    </w:p>
    <w:p>
      <w:pPr>
        <w:pStyle w:val="ListParagraph"/>
        <w:numPr>
          <w:ilvl w:val="3"/>
          <w:numId w:val="44"/>
        </w:numPr>
        <w:tabs>
          <w:tab w:val="left" w:pos="1394"/>
        </w:tabs>
        <w:spacing w:before="121" w:after="0" w:line="348" w:lineRule="auto"/>
        <w:ind w:left="294" w:right="582" w:firstLine="879"/>
        <w:jc w:val="left"/>
        <w:rPr>
          <w:sz w:val="21"/>
        </w:rPr>
      </w:pPr>
      <w:r>
        <w:rPr>
          <w:spacing w:val="8"/>
          <w:sz w:val="21"/>
        </w:rPr>
        <w:t>出厂检验:中标供应商在货物出厂前,应按产品技术标准规定的检验项目和试验方法进行</w:t>
      </w:r>
      <w:r>
        <w:rPr>
          <w:sz w:val="21"/>
        </w:rPr>
        <w:t>全面检验,卖方应随同货物提供出厂检验报告、产品质量合格证。属进口货物的应有报关单。</w:t>
      </w:r>
    </w:p>
    <w:p>
      <w:pPr>
        <w:pStyle w:val="ListParagraph"/>
        <w:numPr>
          <w:ilvl w:val="3"/>
          <w:numId w:val="44"/>
        </w:numPr>
        <w:tabs>
          <w:tab w:val="left" w:pos="1394"/>
        </w:tabs>
        <w:spacing w:before="0" w:after="0" w:line="348" w:lineRule="auto"/>
        <w:ind w:left="294" w:right="581" w:firstLine="879"/>
        <w:jc w:val="left"/>
        <w:rPr>
          <w:sz w:val="21"/>
        </w:rPr>
      </w:pPr>
      <w:r>
        <w:rPr>
          <w:sz w:val="21"/>
        </w:rPr>
        <w:t>货物运达采购单位安装现场后，由采购单位进行质量和数量的验收</w:t>
      </w:r>
      <w:r>
        <w:rPr>
          <w:spacing w:val="8"/>
          <w:sz w:val="21"/>
        </w:rPr>
        <w:t>（</w:t>
      </w:r>
      <w:r>
        <w:rPr>
          <w:spacing w:val="2"/>
          <w:sz w:val="21"/>
        </w:rPr>
        <w:t>但不作为最终合格的</w:t>
      </w:r>
      <w:r>
        <w:rPr>
          <w:spacing w:val="4"/>
          <w:sz w:val="21"/>
        </w:rPr>
        <w:t>保证</w:t>
      </w:r>
      <w:r>
        <w:rPr>
          <w:spacing w:val="-52"/>
          <w:sz w:val="21"/>
        </w:rPr>
        <w:t>）</w:t>
      </w:r>
      <w:r>
        <w:rPr>
          <w:spacing w:val="7"/>
          <w:sz w:val="21"/>
        </w:rPr>
        <w:t>，应达到合同规定的要求。</w:t>
      </w:r>
    </w:p>
    <w:p>
      <w:pPr>
        <w:pStyle w:val="ListParagraph"/>
        <w:numPr>
          <w:ilvl w:val="3"/>
          <w:numId w:val="44"/>
        </w:numPr>
        <w:tabs>
          <w:tab w:val="left" w:pos="1394"/>
        </w:tabs>
        <w:spacing w:before="0" w:after="0" w:line="348" w:lineRule="auto"/>
        <w:ind w:left="294" w:right="581" w:firstLine="879"/>
        <w:jc w:val="left"/>
        <w:rPr>
          <w:sz w:val="21"/>
        </w:rPr>
      </w:pPr>
      <w:r>
        <w:rPr>
          <w:sz w:val="21"/>
        </w:rPr>
        <w:t>本次采购货物的安装调试，检验结果应符合制造厂产品标准、国家有关标准和招标文件规</w:t>
      </w:r>
      <w:r>
        <w:rPr>
          <w:spacing w:val="1"/>
          <w:sz w:val="21"/>
        </w:rPr>
        <w:t>定的技术要求。</w:t>
      </w:r>
    </w:p>
    <w:p>
      <w:pPr>
        <w:pStyle w:val="ListParagraph"/>
        <w:numPr>
          <w:ilvl w:val="3"/>
          <w:numId w:val="44"/>
        </w:numPr>
        <w:tabs>
          <w:tab w:val="left" w:pos="1394"/>
        </w:tabs>
        <w:spacing w:before="0" w:after="0" w:line="348" w:lineRule="auto"/>
        <w:ind w:left="294" w:right="581" w:firstLine="879"/>
        <w:jc w:val="left"/>
        <w:rPr>
          <w:sz w:val="21"/>
        </w:rPr>
      </w:pPr>
      <w:r>
        <w:rPr>
          <w:sz w:val="21"/>
        </w:rPr>
        <w:t>本次采购的设备安装调试结束后，由中标供应商会同采购单位按双方规定的标准及合同要</w:t>
      </w:r>
      <w:r>
        <w:rPr>
          <w:spacing w:val="-5"/>
          <w:sz w:val="21"/>
        </w:rPr>
        <w:t>求进行联合验收，验收合格后签发《验收报告》。</w:t>
      </w:r>
    </w:p>
    <w:p>
      <w:pPr>
        <w:pStyle w:val="ListParagraph"/>
        <w:numPr>
          <w:ilvl w:val="2"/>
          <w:numId w:val="44"/>
        </w:numPr>
        <w:tabs>
          <w:tab w:val="left" w:pos="1320"/>
        </w:tabs>
        <w:spacing w:before="0" w:after="0" w:line="269" w:lineRule="exact"/>
        <w:ind w:left="1319" w:right="0" w:hanging="606"/>
        <w:jc w:val="left"/>
        <w:rPr>
          <w:sz w:val="21"/>
        </w:rPr>
      </w:pPr>
      <w:r>
        <w:rPr>
          <w:spacing w:val="1"/>
          <w:sz w:val="21"/>
        </w:rPr>
        <w:t>安装和调试</w:t>
      </w:r>
    </w:p>
    <w:p>
      <w:pPr>
        <w:pStyle w:val="BodyText"/>
        <w:spacing w:before="120" w:line="348" w:lineRule="auto"/>
        <w:ind w:left="753" w:right="476" w:hanging="40"/>
      </w:pPr>
      <w:r>
        <w:t>a.由中标供应商负责在采购单位设备安装现场安装、调试、验收合格直至交付采购单位使用。</w:t>
      </w:r>
      <w:r>
        <w:rPr>
          <w:spacing w:val="80"/>
        </w:rPr>
        <w:t xml:space="preserve">  </w:t>
      </w:r>
      <w:r>
        <w:t>b</w:t>
      </w:r>
      <w:r>
        <w:rPr>
          <w:spacing w:val="-4"/>
        </w:rPr>
        <w:t>.提供安装前的详细场地布置规范，提供安装的现场指导；中标供应商应在设备运抵现场一周前，</w:t>
      </w:r>
    </w:p>
    <w:p>
      <w:pPr>
        <w:pStyle w:val="BodyText"/>
        <w:spacing w:line="269" w:lineRule="exact"/>
        <w:ind w:left="294"/>
      </w:pPr>
      <w:r>
        <w:t>向采购单位提供安装、调试进度计划。</w:t>
      </w:r>
    </w:p>
    <w:p>
      <w:pPr>
        <w:pStyle w:val="ListParagraph"/>
        <w:numPr>
          <w:ilvl w:val="2"/>
          <w:numId w:val="44"/>
        </w:numPr>
        <w:tabs>
          <w:tab w:val="left" w:pos="1320"/>
        </w:tabs>
        <w:spacing w:before="121" w:after="0" w:line="240" w:lineRule="auto"/>
        <w:ind w:left="1319" w:right="0" w:hanging="606"/>
        <w:jc w:val="left"/>
        <w:rPr>
          <w:sz w:val="21"/>
        </w:rPr>
      </w:pPr>
      <w:r>
        <w:rPr>
          <w:sz w:val="21"/>
        </w:rPr>
        <w:t>培训</w:t>
      </w:r>
    </w:p>
    <w:p>
      <w:pPr>
        <w:pStyle w:val="ListParagraph"/>
        <w:numPr>
          <w:ilvl w:val="0"/>
          <w:numId w:val="42"/>
        </w:numPr>
        <w:tabs>
          <w:tab w:val="left" w:pos="935"/>
        </w:tabs>
        <w:spacing w:before="121" w:after="0" w:line="240" w:lineRule="auto"/>
        <w:ind w:left="934" w:right="0" w:hanging="221"/>
        <w:jc w:val="left"/>
        <w:rPr>
          <w:sz w:val="21"/>
        </w:rPr>
      </w:pPr>
      <w:r>
        <w:rPr>
          <w:spacing w:val="-1"/>
          <w:sz w:val="21"/>
        </w:rPr>
        <w:t>中标供应商负责对采购人受训人员进行现场操作、维修培训。</w:t>
      </w:r>
    </w:p>
    <w:p>
      <w:pPr>
        <w:pStyle w:val="ListParagraph"/>
        <w:numPr>
          <w:ilvl w:val="0"/>
          <w:numId w:val="42"/>
        </w:numPr>
        <w:tabs>
          <w:tab w:val="left" w:pos="935"/>
        </w:tabs>
        <w:spacing w:before="120" w:after="0" w:line="240" w:lineRule="auto"/>
        <w:ind w:left="934" w:right="0" w:hanging="221"/>
        <w:jc w:val="left"/>
        <w:rPr>
          <w:sz w:val="21"/>
        </w:rPr>
      </w:pPr>
      <w:r>
        <w:rPr>
          <w:sz w:val="21"/>
        </w:rPr>
        <w:t>全部培训服务的费用包括在合同总价内</w:t>
      </w:r>
      <w:r>
        <w:rPr>
          <w:spacing w:val="10"/>
          <w:sz w:val="21"/>
        </w:rPr>
        <w:t>（</w:t>
      </w:r>
      <w:r>
        <w:rPr>
          <w:spacing w:val="1"/>
          <w:sz w:val="21"/>
        </w:rPr>
        <w:t>中标供应商派出人员的差旅费自理</w:t>
      </w:r>
      <w:r>
        <w:rPr>
          <w:spacing w:val="-95"/>
          <w:sz w:val="21"/>
        </w:rPr>
        <w:t>）</w:t>
      </w:r>
      <w:r>
        <w:rPr>
          <w:spacing w:val="-10"/>
          <w:sz w:val="21"/>
        </w:rPr>
        <w:t>。</w:t>
      </w:r>
    </w:p>
    <w:p>
      <w:pPr>
        <w:pStyle w:val="ListParagraph"/>
        <w:numPr>
          <w:ilvl w:val="2"/>
          <w:numId w:val="44"/>
        </w:numPr>
        <w:tabs>
          <w:tab w:val="left" w:pos="1320"/>
        </w:tabs>
        <w:spacing w:before="121" w:after="0" w:line="240" w:lineRule="auto"/>
        <w:ind w:left="1319" w:right="0" w:hanging="606"/>
        <w:jc w:val="left"/>
        <w:rPr>
          <w:sz w:val="21"/>
        </w:rPr>
      </w:pPr>
      <w:r>
        <w:rPr>
          <w:spacing w:val="1"/>
          <w:sz w:val="21"/>
        </w:rPr>
        <w:t>文本资料：</w:t>
      </w:r>
    </w:p>
    <w:p>
      <w:pPr>
        <w:pStyle w:val="BodyText"/>
        <w:spacing w:before="121"/>
        <w:ind w:left="609"/>
      </w:pPr>
      <w:r>
        <w:rPr>
          <w:spacing w:val="-1"/>
        </w:rPr>
        <w:t>中标供应商应向采购人提供以下中文技术资料：</w:t>
      </w:r>
    </w:p>
    <w:p>
      <w:pPr>
        <w:pStyle w:val="ListParagraph"/>
        <w:numPr>
          <w:ilvl w:val="0"/>
          <w:numId w:val="41"/>
        </w:numPr>
        <w:tabs>
          <w:tab w:val="left" w:pos="935"/>
        </w:tabs>
        <w:spacing w:before="121" w:after="0" w:line="240" w:lineRule="auto"/>
        <w:ind w:left="934" w:right="0" w:hanging="221"/>
        <w:jc w:val="left"/>
        <w:rPr>
          <w:sz w:val="21"/>
        </w:rPr>
      </w:pPr>
      <w:r>
        <w:rPr>
          <w:spacing w:val="2"/>
          <w:sz w:val="21"/>
        </w:rPr>
        <w:t>产品技术说明书；</w:t>
      </w:r>
    </w:p>
    <w:p>
      <w:pPr>
        <w:pStyle w:val="ListParagraph"/>
        <w:numPr>
          <w:ilvl w:val="0"/>
          <w:numId w:val="41"/>
        </w:numPr>
        <w:tabs>
          <w:tab w:val="left" w:pos="935"/>
        </w:tabs>
        <w:spacing w:before="121" w:after="0" w:line="240" w:lineRule="auto"/>
        <w:ind w:left="934" w:right="0" w:hanging="221"/>
        <w:jc w:val="left"/>
        <w:rPr>
          <w:sz w:val="21"/>
        </w:rPr>
      </w:pPr>
      <w:r>
        <w:rPr>
          <w:spacing w:val="1"/>
          <w:sz w:val="21"/>
        </w:rPr>
        <w:t>安装、调试使用说明书；</w:t>
      </w:r>
    </w:p>
    <w:p>
      <w:pPr>
        <w:pStyle w:val="ListParagraph"/>
        <w:numPr>
          <w:ilvl w:val="0"/>
          <w:numId w:val="41"/>
        </w:numPr>
        <w:tabs>
          <w:tab w:val="left" w:pos="935"/>
        </w:tabs>
        <w:spacing w:before="121" w:after="0" w:line="240" w:lineRule="auto"/>
        <w:ind w:left="934" w:right="0" w:hanging="221"/>
        <w:jc w:val="left"/>
        <w:rPr>
          <w:sz w:val="21"/>
        </w:rPr>
      </w:pPr>
      <w:r>
        <w:rPr>
          <w:spacing w:val="4"/>
          <w:sz w:val="21"/>
        </w:rPr>
        <w:t>设备维修手册</w:t>
      </w:r>
      <w:r>
        <w:rPr>
          <w:spacing w:val="10"/>
          <w:sz w:val="21"/>
        </w:rPr>
        <w:t>（</w:t>
      </w:r>
      <w:r>
        <w:rPr>
          <w:spacing w:val="2"/>
          <w:sz w:val="21"/>
        </w:rPr>
        <w:t>包括机械、电气、仪器仪表等</w:t>
      </w:r>
      <w:r>
        <w:rPr>
          <w:spacing w:val="-5"/>
          <w:sz w:val="21"/>
        </w:rPr>
        <w:t>）；</w:t>
      </w:r>
    </w:p>
    <w:p>
      <w:pPr>
        <w:spacing w:after="0" w:line="240" w:lineRule="auto"/>
        <w:jc w:val="left"/>
        <w:rPr>
          <w:sz w:val="21"/>
        </w:rPr>
        <w:sectPr>
          <w:headerReference w:type="default" r:id="rId20"/>
          <w:footerReference w:type="default" r:id="rId21"/>
          <w:pgSz w:w="11910" w:h="16840"/>
          <w:pgMar w:top="1100" w:right="560" w:bottom="1160" w:left="840" w:header="879" w:footer="971"/>
          <w:pgNumType w:start="7"/>
          <w:cols w:space="708"/>
        </w:sectPr>
      </w:pPr>
    </w:p>
    <w:p>
      <w:pPr>
        <w:pStyle w:val="ListParagraph"/>
        <w:numPr>
          <w:ilvl w:val="0"/>
          <w:numId w:val="41"/>
        </w:numPr>
        <w:tabs>
          <w:tab w:val="left" w:pos="935"/>
        </w:tabs>
        <w:spacing w:before="102" w:after="0" w:line="240" w:lineRule="auto"/>
        <w:ind w:left="934" w:right="0" w:hanging="221"/>
        <w:jc w:val="left"/>
        <w:rPr>
          <w:sz w:val="21"/>
        </w:rPr>
      </w:pPr>
      <w:r>
        <w:rPr>
          <w:spacing w:val="5"/>
          <w:sz w:val="21"/>
        </w:rPr>
        <w:t>出厂明细表</w:t>
      </w:r>
      <w:r>
        <w:rPr>
          <w:sz w:val="21"/>
        </w:rPr>
        <w:t>（</w:t>
      </w:r>
      <w:r>
        <w:rPr>
          <w:spacing w:val="6"/>
          <w:sz w:val="21"/>
        </w:rPr>
        <w:t>装箱单</w:t>
      </w:r>
      <w:r>
        <w:rPr>
          <w:spacing w:val="-5"/>
          <w:sz w:val="21"/>
        </w:rPr>
        <w:t>）；</w:t>
      </w:r>
    </w:p>
    <w:p>
      <w:pPr>
        <w:pStyle w:val="ListParagraph"/>
        <w:numPr>
          <w:ilvl w:val="0"/>
          <w:numId w:val="41"/>
        </w:numPr>
        <w:tabs>
          <w:tab w:val="left" w:pos="935"/>
        </w:tabs>
        <w:spacing w:before="121" w:after="0" w:line="348" w:lineRule="auto"/>
        <w:ind w:left="714" w:right="5399" w:firstLine="0"/>
        <w:jc w:val="left"/>
        <w:rPr>
          <w:sz w:val="21"/>
        </w:rPr>
      </w:pPr>
      <w:r>
        <w:rPr>
          <w:spacing w:val="3"/>
          <w:sz w:val="21"/>
        </w:rPr>
        <w:t>产品技术标准</w:t>
      </w:r>
      <w:r>
        <w:rPr>
          <w:spacing w:val="8"/>
          <w:sz w:val="21"/>
        </w:rPr>
        <w:t>（</w:t>
      </w:r>
      <w:r>
        <w:rPr>
          <w:spacing w:val="4"/>
          <w:sz w:val="21"/>
        </w:rPr>
        <w:t>含验收标准</w:t>
      </w:r>
      <w:r>
        <w:rPr>
          <w:spacing w:val="8"/>
          <w:sz w:val="21"/>
        </w:rPr>
        <w:t>）</w:t>
      </w:r>
      <w:r>
        <w:rPr>
          <w:spacing w:val="3"/>
          <w:sz w:val="21"/>
        </w:rPr>
        <w:t>和试验方法；</w:t>
      </w:r>
      <w:r>
        <w:rPr>
          <w:sz w:val="21"/>
        </w:rPr>
        <w:t xml:space="preserve"> f.零部件和易损件的清单；</w:t>
      </w:r>
    </w:p>
    <w:p>
      <w:pPr>
        <w:pStyle w:val="BodyText"/>
        <w:spacing w:line="269" w:lineRule="exact"/>
        <w:ind w:left="714"/>
      </w:pPr>
      <w:r>
        <w:t>g.合同中要求的其他文件资料。</w:t>
      </w:r>
    </w:p>
    <w:p>
      <w:pPr>
        <w:pStyle w:val="ListParagraph"/>
        <w:numPr>
          <w:ilvl w:val="2"/>
          <w:numId w:val="43"/>
        </w:numPr>
        <w:tabs>
          <w:tab w:val="left" w:pos="1320"/>
        </w:tabs>
        <w:spacing w:before="121" w:after="0" w:line="240" w:lineRule="auto"/>
        <w:ind w:left="1319" w:right="0" w:hanging="606"/>
        <w:jc w:val="left"/>
        <w:rPr>
          <w:sz w:val="21"/>
        </w:rPr>
      </w:pPr>
      <w:r>
        <w:rPr>
          <w:spacing w:val="2"/>
          <w:sz w:val="21"/>
        </w:rPr>
        <w:t>保修期及售后服务</w:t>
      </w:r>
    </w:p>
    <w:p>
      <w:pPr>
        <w:pStyle w:val="BodyText"/>
        <w:spacing w:before="121" w:line="348" w:lineRule="auto"/>
        <w:ind w:left="294" w:right="539" w:firstLine="420"/>
        <w:jc w:val="both"/>
      </w:pPr>
      <w:r>
        <w:rPr>
          <w:spacing w:val="5"/>
        </w:rPr>
        <w:t>中标供应商必须确保提供的产品应是原厂、原装、全新产品，各项技术参数指标应达到该国家标</w:t>
      </w:r>
      <w:r>
        <w:rPr>
          <w:spacing w:val="8"/>
        </w:rPr>
        <w:t>准或行业标准以及招标文件的要求，中标供应商应严格履行服务承诺，若产品出现质量技术等问题，应更换合格的产品，并承担由此引起的延长交付使用的经济责任。</w:t>
      </w:r>
    </w:p>
    <w:p>
      <w:pPr>
        <w:pStyle w:val="BodyText"/>
        <w:spacing w:line="269" w:lineRule="exact"/>
        <w:ind w:left="714"/>
      </w:pPr>
      <w:r>
        <w:rPr>
          <w:spacing w:val="2"/>
        </w:rPr>
        <w:t>维保服务</w:t>
      </w:r>
    </w:p>
    <w:p>
      <w:pPr>
        <w:pStyle w:val="ListParagraph"/>
        <w:numPr>
          <w:ilvl w:val="0"/>
          <w:numId w:val="40"/>
        </w:numPr>
        <w:tabs>
          <w:tab w:val="left" w:pos="936"/>
        </w:tabs>
        <w:spacing w:before="18" w:after="0" w:line="390" w:lineRule="exact"/>
        <w:ind w:left="294" w:right="581" w:firstLine="420"/>
        <w:jc w:val="both"/>
        <w:rPr>
          <w:rFonts w:ascii="Microsoft JhengHei" w:eastAsia="Microsoft JhengHei"/>
          <w:b/>
          <w:sz w:val="19"/>
        </w:rPr>
      </w:pPr>
      <w:r>
        <w:rPr>
          <w:rFonts w:ascii="Microsoft JhengHei" w:eastAsia="Microsoft JhengHei"/>
          <w:b/>
          <w:spacing w:val="8"/>
          <w:sz w:val="21"/>
        </w:rPr>
        <w:t>本次采购的货物验收合格后</w:t>
      </w:r>
      <w:r>
        <w:rPr>
          <w:rFonts w:ascii="Microsoft JhengHei" w:eastAsia="Microsoft JhengHei"/>
          <w:b/>
          <w:color w:val="333333"/>
          <w:spacing w:val="7"/>
          <w:sz w:val="21"/>
        </w:rPr>
        <w:t>免费质量保证期为一年或以上</w:t>
      </w:r>
      <w:r>
        <w:rPr>
          <w:rFonts w:ascii="Microsoft JhengHei" w:eastAsia="Microsoft JhengHei"/>
          <w:b/>
          <w:color w:val="333333"/>
          <w:spacing w:val="8"/>
          <w:sz w:val="21"/>
        </w:rPr>
        <w:t>（</w:t>
      </w:r>
      <w:r>
        <w:rPr>
          <w:rFonts w:ascii="Microsoft JhengHei" w:eastAsia="Microsoft JhengHei"/>
          <w:b/>
          <w:color w:val="333333"/>
          <w:spacing w:val="7"/>
          <w:sz w:val="21"/>
        </w:rPr>
        <w:t>国家或厂家对设备或配件另有约定</w:t>
      </w:r>
      <w:r>
        <w:rPr>
          <w:rFonts w:ascii="Microsoft JhengHei" w:eastAsia="Microsoft JhengHei"/>
          <w:b/>
          <w:color w:val="333333"/>
          <w:spacing w:val="9"/>
          <w:sz w:val="21"/>
        </w:rPr>
        <w:t>更长免费保修期限的从其约定</w:t>
      </w:r>
      <w:r>
        <w:rPr>
          <w:rFonts w:ascii="Microsoft JhengHei" w:eastAsia="Microsoft JhengHei"/>
          <w:b/>
          <w:color w:val="333333"/>
          <w:spacing w:val="-53"/>
          <w:sz w:val="21"/>
        </w:rPr>
        <w:t>）</w:t>
      </w:r>
      <w:r>
        <w:rPr>
          <w:rFonts w:ascii="Microsoft JhengHei" w:eastAsia="Microsoft JhengHei"/>
          <w:b/>
          <w:color w:val="333333"/>
          <w:spacing w:val="9"/>
          <w:sz w:val="21"/>
        </w:rPr>
        <w:t>，软件提供终生免费升级，</w:t>
      </w:r>
      <w:r>
        <w:rPr>
          <w:spacing w:val="8"/>
          <w:sz w:val="21"/>
        </w:rPr>
        <w:t>在免费质量保证期内如出现故障中标供应</w:t>
      </w:r>
      <w:r>
        <w:rPr>
          <w:sz w:val="21"/>
        </w:rPr>
        <w:t>商应免费提供咨询、维修服务，包括免费更换零部件。如其中部件有质量问题，中标供应商应免费予</w:t>
      </w:r>
      <w:r>
        <w:rPr>
          <w:spacing w:val="9"/>
          <w:sz w:val="21"/>
        </w:rPr>
        <w:t>以更换（同一型号、产地</w:t>
      </w:r>
      <w:r>
        <w:rPr>
          <w:spacing w:val="-53"/>
          <w:sz w:val="21"/>
        </w:rPr>
        <w:t>）</w:t>
      </w:r>
      <w:r>
        <w:rPr>
          <w:spacing w:val="5"/>
          <w:sz w:val="21"/>
        </w:rPr>
        <w:t xml:space="preserve">，而更换部件的质量保证期从更换后起再延长 </w:t>
      </w:r>
      <w:r>
        <w:rPr>
          <w:sz w:val="21"/>
        </w:rPr>
        <w:t>1 年。质量保证期内检修人</w:t>
      </w:r>
    </w:p>
    <w:p>
      <w:pPr>
        <w:pStyle w:val="BodyText"/>
        <w:spacing w:before="102" w:line="348" w:lineRule="auto"/>
        <w:ind w:left="294" w:right="581"/>
        <w:jc w:val="both"/>
      </w:pPr>
      <w:r>
        <w:rPr>
          <w:spacing w:val="7"/>
        </w:rPr>
        <w:t xml:space="preserve">员响应到达时间应不超过 </w:t>
      </w:r>
      <w:r>
        <w:t>24</w:t>
      </w:r>
      <w:r>
        <w:rPr>
          <w:spacing w:val="4"/>
        </w:rPr>
        <w:t xml:space="preserve"> 小时。检修人员不能排除故障时，中标供应商应负责货物生产厂家派技</w:t>
      </w:r>
      <w:r>
        <w:t>术人员到现场解决故障问题，三天内厂家不能排除故障时，采购人可委托他方处理，其费用由中标供</w:t>
      </w:r>
      <w:r>
        <w:rPr>
          <w:spacing w:val="3"/>
        </w:rPr>
        <w:t>应商负责</w:t>
      </w:r>
      <w:r>
        <w:rPr>
          <w:spacing w:val="8"/>
        </w:rPr>
        <w:t>（</w:t>
      </w:r>
      <w:r>
        <w:rPr>
          <w:spacing w:val="2"/>
        </w:rPr>
        <w:t>费用在质量保证金中扣除</w:t>
      </w:r>
      <w:r>
        <w:rPr>
          <w:spacing w:val="-95"/>
        </w:rPr>
        <w:t>）</w:t>
      </w:r>
      <w:r>
        <w:t>。</w:t>
      </w:r>
    </w:p>
    <w:p>
      <w:pPr>
        <w:pStyle w:val="ListParagraph"/>
        <w:numPr>
          <w:ilvl w:val="0"/>
          <w:numId w:val="40"/>
        </w:numPr>
        <w:tabs>
          <w:tab w:val="left" w:pos="1110"/>
        </w:tabs>
        <w:spacing w:before="0" w:after="0" w:line="348" w:lineRule="auto"/>
        <w:ind w:left="294" w:right="582" w:firstLine="480"/>
        <w:jc w:val="both"/>
        <w:rPr>
          <w:sz w:val="21"/>
        </w:rPr>
      </w:pPr>
      <w:r>
        <w:rPr>
          <w:spacing w:val="7"/>
          <w:sz w:val="21"/>
        </w:rPr>
        <w:t>质量保证期结束后，中标供应商有责任在货物使用地指定有能力的货物维保代理人，在必要</w:t>
      </w:r>
      <w:r>
        <w:rPr>
          <w:spacing w:val="1"/>
          <w:sz w:val="21"/>
        </w:rPr>
        <w:t>时对货物进行维护或修理。</w:t>
      </w:r>
    </w:p>
    <w:p>
      <w:pPr>
        <w:pStyle w:val="ListParagraph"/>
        <w:numPr>
          <w:ilvl w:val="0"/>
          <w:numId w:val="40"/>
        </w:numPr>
        <w:tabs>
          <w:tab w:val="left" w:pos="900"/>
        </w:tabs>
        <w:spacing w:before="0" w:after="0" w:line="269" w:lineRule="exact"/>
        <w:ind w:left="899" w:right="0" w:hanging="221"/>
        <w:jc w:val="both"/>
        <w:rPr>
          <w:sz w:val="19"/>
        </w:rPr>
      </w:pPr>
      <w:r>
        <w:rPr>
          <w:spacing w:val="-5"/>
          <w:sz w:val="21"/>
        </w:rPr>
        <w:t xml:space="preserve">能提供 </w:t>
      </w:r>
      <w:r>
        <w:rPr>
          <w:sz w:val="21"/>
        </w:rPr>
        <w:t>800</w:t>
      </w:r>
      <w:r>
        <w:rPr>
          <w:spacing w:val="1"/>
          <w:sz w:val="21"/>
        </w:rPr>
        <w:t xml:space="preserve"> 免费咨询电话，以保证用户能以最快、最低成本得到技术支持；仪器运行后，保证</w:t>
      </w:r>
    </w:p>
    <w:p>
      <w:pPr>
        <w:pStyle w:val="BodyText"/>
        <w:spacing w:before="121" w:line="348" w:lineRule="auto"/>
        <w:ind w:left="259" w:right="582"/>
        <w:jc w:val="both"/>
      </w:pPr>
      <w:r>
        <w:rPr>
          <w:spacing w:val="-12"/>
        </w:rPr>
        <w:t xml:space="preserve">客户 </w:t>
      </w:r>
      <w:r>
        <w:t>2</w:t>
      </w:r>
      <w:r>
        <w:rPr>
          <w:spacing w:val="-7"/>
        </w:rPr>
        <w:t xml:space="preserve"> 名分析人员在国内免费受到系统性培训；对客户的服务要求 </w:t>
      </w:r>
      <w:r>
        <w:rPr>
          <w:spacing w:val="5"/>
        </w:rPr>
        <w:t>2</w:t>
      </w:r>
      <w:r>
        <w:t>4</w:t>
      </w:r>
      <w:r>
        <w:rPr>
          <w:spacing w:val="-13"/>
        </w:rPr>
        <w:t xml:space="preserve"> 小时作出响应，两天内到现场</w:t>
      </w:r>
      <w:r>
        <w:rPr>
          <w:spacing w:val="9"/>
        </w:rPr>
        <w:t>（</w:t>
      </w:r>
      <w:r>
        <w:t>如</w:t>
      </w:r>
      <w:r>
        <w:rPr>
          <w:spacing w:val="9"/>
        </w:rPr>
        <w:t>电话中及远程诊断无法解决</w:t>
      </w:r>
      <w:r>
        <w:rPr>
          <w:spacing w:val="6"/>
        </w:rPr>
        <w:t>）</w:t>
      </w:r>
      <w:r>
        <w:rPr>
          <w:spacing w:val="7"/>
        </w:rPr>
        <w:t>厂商必须在福建当地设有长驻工程师至少两名，长驻应用支持工程师至</w:t>
      </w:r>
      <w:r>
        <w:rPr>
          <w:spacing w:val="-17"/>
        </w:rPr>
        <w:t xml:space="preserve">少 </w:t>
      </w:r>
      <w:r>
        <w:t>1 名，并配备消耗品仓库，以保证用户能得到及时的售后服务。</w:t>
      </w:r>
    </w:p>
    <w:p>
      <w:pPr>
        <w:pStyle w:val="ListParagraph"/>
        <w:numPr>
          <w:ilvl w:val="0"/>
          <w:numId w:val="40"/>
        </w:numPr>
        <w:tabs>
          <w:tab w:val="left" w:pos="935"/>
        </w:tabs>
        <w:spacing w:before="0" w:after="0" w:line="348" w:lineRule="auto"/>
        <w:ind w:left="294" w:right="581" w:firstLine="420"/>
        <w:jc w:val="left"/>
        <w:rPr>
          <w:sz w:val="19"/>
        </w:rPr>
      </w:pPr>
      <w:r>
        <w:rPr>
          <w:sz w:val="21"/>
        </w:rPr>
        <w:t>中标供应商如有违反上述保修服务条款或自身承诺，采购单位有权没收其履约保证金，造成损</w:t>
      </w:r>
      <w:r>
        <w:rPr>
          <w:spacing w:val="1"/>
          <w:sz w:val="21"/>
        </w:rPr>
        <w:t>失的同时应承担赔偿责任。</w:t>
      </w:r>
    </w:p>
    <w:p>
      <w:pPr>
        <w:pStyle w:val="ListParagraph"/>
        <w:numPr>
          <w:ilvl w:val="1"/>
          <w:numId w:val="43"/>
        </w:numPr>
        <w:tabs>
          <w:tab w:val="left" w:pos="1159"/>
        </w:tabs>
        <w:spacing w:before="0" w:after="0" w:line="348" w:lineRule="auto"/>
        <w:ind w:left="294" w:right="581" w:firstLine="420"/>
        <w:jc w:val="both"/>
        <w:rPr>
          <w:sz w:val="21"/>
        </w:rPr>
      </w:pPr>
      <w:r>
        <w:rPr>
          <w:sz w:val="21"/>
        </w:rPr>
        <w:t>知识产权：投标人必须保证所提供的产品具有独立的知识产权，保证采购单位在使用投标方所提供的产品时不受任何专利或版权等方面的侵权困扰，如出现类似纠纷，投标人应对由此产生的后果负全部责任，并赔偿甲方由此而造成的全部损失。</w:t>
      </w:r>
    </w:p>
    <w:p>
      <w:pPr>
        <w:pStyle w:val="ListParagraph"/>
        <w:numPr>
          <w:ilvl w:val="1"/>
          <w:numId w:val="43"/>
        </w:numPr>
        <w:tabs>
          <w:tab w:val="left" w:pos="1159"/>
        </w:tabs>
        <w:spacing w:before="0" w:after="0" w:line="348" w:lineRule="auto"/>
        <w:ind w:left="294" w:right="476" w:firstLine="420"/>
        <w:jc w:val="left"/>
        <w:rPr>
          <w:sz w:val="21"/>
        </w:rPr>
      </w:pPr>
      <w:r>
        <w:rPr>
          <w:spacing w:val="3"/>
          <w:sz w:val="21"/>
        </w:rPr>
        <w:t>投标人应保证：其所提供的货物必须是自身合法生产的或通过正当合法来源获得的全新的产</w:t>
      </w:r>
      <w:r>
        <w:rPr>
          <w:spacing w:val="5"/>
          <w:sz w:val="21"/>
        </w:rPr>
        <w:t>品，并对之享有完全所有权；任何第三方均不得就其所提供的货物</w:t>
      </w:r>
      <w:r>
        <w:rPr>
          <w:spacing w:val="10"/>
          <w:sz w:val="21"/>
        </w:rPr>
        <w:t>（</w:t>
      </w:r>
      <w:r>
        <w:rPr>
          <w:spacing w:val="9"/>
          <w:sz w:val="21"/>
        </w:rPr>
        <w:t>包括设计、及相关软件）</w:t>
      </w:r>
      <w:r>
        <w:rPr>
          <w:spacing w:val="6"/>
          <w:sz w:val="21"/>
        </w:rPr>
        <w:t>提出包</w:t>
      </w:r>
      <w:r>
        <w:rPr>
          <w:spacing w:val="3"/>
          <w:sz w:val="21"/>
        </w:rPr>
        <w:t>括但不限于所有权、专利权、外观设计和商标权等知识产权或包括但不限于抵押权在内的担保物权之</w:t>
      </w:r>
      <w:r>
        <w:rPr>
          <w:spacing w:val="-4"/>
          <w:sz w:val="21"/>
        </w:rPr>
        <w:t>异议。就货物的所有权、知识产权或担保物权可能提出的异议或有关索赔责任或费用，由投标人承担，</w:t>
      </w:r>
      <w:r>
        <w:rPr>
          <w:spacing w:val="8"/>
          <w:sz w:val="21"/>
        </w:rPr>
        <w:t>政府买方及采购方不承担任何责任。</w:t>
      </w:r>
    </w:p>
    <w:p>
      <w:pPr>
        <w:spacing w:before="0" w:line="316" w:lineRule="exact"/>
        <w:ind w:left="294" w:right="0" w:firstLine="0"/>
        <w:jc w:val="left"/>
        <w:rPr>
          <w:rFonts w:ascii="Microsoft JhengHei" w:eastAsia="Microsoft JhengHei"/>
          <w:b/>
          <w:sz w:val="21"/>
        </w:rPr>
      </w:pPr>
      <w:r>
        <w:rPr>
          <w:rFonts w:ascii="Microsoft JhengHei" w:eastAsia="Microsoft JhengHei"/>
          <w:b/>
          <w:spacing w:val="-2"/>
          <w:sz w:val="21"/>
        </w:rPr>
        <w:t>二、供货范围</w:t>
      </w:r>
    </w:p>
    <w:p>
      <w:pPr>
        <w:pStyle w:val="ListParagraph"/>
        <w:numPr>
          <w:ilvl w:val="1"/>
          <w:numId w:val="39"/>
        </w:numPr>
        <w:tabs>
          <w:tab w:val="left" w:pos="1099"/>
        </w:tabs>
        <w:spacing w:before="72" w:after="0" w:line="348" w:lineRule="auto"/>
        <w:ind w:left="294" w:right="582" w:firstLine="420"/>
        <w:jc w:val="left"/>
        <w:rPr>
          <w:sz w:val="21"/>
        </w:rPr>
      </w:pPr>
      <w:r>
        <w:rPr>
          <w:sz w:val="21"/>
        </w:rPr>
        <w:t>投标人必须能按照《泉州师范学院化生院教学设备采购及服务项目采购一览表》相应品目号内容提供必需的所有设备、软件、备品配件、材料、附件及专用工具。</w:t>
      </w:r>
    </w:p>
    <w:p>
      <w:pPr>
        <w:pStyle w:val="ListParagraph"/>
        <w:numPr>
          <w:ilvl w:val="1"/>
          <w:numId w:val="39"/>
        </w:numPr>
        <w:tabs>
          <w:tab w:val="left" w:pos="1099"/>
        </w:tabs>
        <w:spacing w:before="0" w:after="0" w:line="269" w:lineRule="exact"/>
        <w:ind w:left="1098" w:right="0" w:hanging="385"/>
        <w:jc w:val="left"/>
        <w:rPr>
          <w:sz w:val="21"/>
        </w:rPr>
      </w:pPr>
      <w:r>
        <w:rPr>
          <w:spacing w:val="-1"/>
          <w:sz w:val="21"/>
        </w:rPr>
        <w:t>备品备件：投标人应提供的备品备件由其自行列表填报。</w:t>
      </w:r>
    </w:p>
    <w:p>
      <w:pPr>
        <w:spacing w:after="0" w:line="269" w:lineRule="exact"/>
        <w:jc w:val="left"/>
        <w:rPr>
          <w:sz w:val="21"/>
        </w:rPr>
        <w:sectPr>
          <w:headerReference w:type="default" r:id="rId22"/>
          <w:footerReference w:type="default" r:id="rId23"/>
          <w:pgSz w:w="11910" w:h="16840"/>
          <w:pgMar w:top="1100" w:right="560" w:bottom="1160" w:left="840" w:header="879" w:footer="971"/>
          <w:pgNumType w:start="8"/>
          <w:cols w:space="708"/>
        </w:sectPr>
      </w:pPr>
    </w:p>
    <w:p>
      <w:pPr>
        <w:spacing w:before="32"/>
        <w:ind w:left="294" w:right="0" w:firstLine="0"/>
        <w:jc w:val="left"/>
        <w:rPr>
          <w:rFonts w:ascii="Microsoft JhengHei" w:eastAsia="Microsoft JhengHei"/>
          <w:b/>
          <w:sz w:val="21"/>
        </w:rPr>
      </w:pPr>
      <w:r>
        <w:rPr>
          <w:rFonts w:ascii="Microsoft JhengHei" w:eastAsia="Microsoft JhengHei"/>
          <w:b/>
          <w:spacing w:val="-2"/>
          <w:sz w:val="21"/>
        </w:rPr>
        <w:t>三、报价要求</w:t>
      </w:r>
    </w:p>
    <w:p>
      <w:pPr>
        <w:pStyle w:val="ListParagraph"/>
        <w:numPr>
          <w:ilvl w:val="1"/>
          <w:numId w:val="45"/>
        </w:numPr>
        <w:tabs>
          <w:tab w:val="left" w:pos="1099"/>
        </w:tabs>
        <w:spacing w:before="74" w:after="0" w:line="240" w:lineRule="auto"/>
        <w:ind w:left="1098" w:right="0" w:hanging="385"/>
        <w:jc w:val="both"/>
        <w:rPr>
          <w:sz w:val="21"/>
        </w:rPr>
      </w:pPr>
      <w:r>
        <w:rPr>
          <w:spacing w:val="-1"/>
          <w:sz w:val="21"/>
        </w:rPr>
        <w:t>根据投标报价的内容，应报出各重要设备组件或部件的单价。</w:t>
      </w:r>
    </w:p>
    <w:p>
      <w:pPr>
        <w:pStyle w:val="ListParagraph"/>
        <w:numPr>
          <w:ilvl w:val="1"/>
          <w:numId w:val="45"/>
        </w:numPr>
        <w:tabs>
          <w:tab w:val="left" w:pos="1159"/>
        </w:tabs>
        <w:spacing w:before="120" w:after="0" w:line="240" w:lineRule="auto"/>
        <w:ind w:left="1159" w:right="0" w:hanging="445"/>
        <w:jc w:val="both"/>
        <w:rPr>
          <w:sz w:val="21"/>
        </w:rPr>
      </w:pPr>
      <w:r>
        <w:rPr>
          <w:sz w:val="21"/>
        </w:rPr>
        <w:t>填写投标价格表时应注意下列要求：</w:t>
      </w:r>
    </w:p>
    <w:p>
      <w:pPr>
        <w:pStyle w:val="ListParagraph"/>
        <w:numPr>
          <w:ilvl w:val="2"/>
          <w:numId w:val="45"/>
        </w:numPr>
        <w:tabs>
          <w:tab w:val="left" w:pos="1320"/>
        </w:tabs>
        <w:spacing w:before="121" w:after="0" w:line="348" w:lineRule="auto"/>
        <w:ind w:left="294" w:right="582" w:firstLine="420"/>
        <w:jc w:val="both"/>
        <w:rPr>
          <w:sz w:val="21"/>
        </w:rPr>
      </w:pPr>
      <w:r>
        <w:rPr>
          <w:spacing w:val="7"/>
          <w:sz w:val="21"/>
        </w:rPr>
        <w:t>货物总价和以上述明的安装、调试、培训、备品配件、专用工具及其它附带伴随服务的费</w:t>
      </w:r>
      <w:r>
        <w:rPr>
          <w:sz w:val="21"/>
        </w:rPr>
        <w:t>用需在投标报价中详细标明。</w:t>
      </w:r>
    </w:p>
    <w:p>
      <w:pPr>
        <w:pStyle w:val="ListParagraph"/>
        <w:numPr>
          <w:ilvl w:val="1"/>
          <w:numId w:val="45"/>
        </w:numPr>
        <w:tabs>
          <w:tab w:val="left" w:pos="1099"/>
        </w:tabs>
        <w:spacing w:before="0" w:after="0" w:line="348" w:lineRule="auto"/>
        <w:ind w:left="294" w:right="581" w:firstLine="420"/>
        <w:jc w:val="both"/>
        <w:rPr>
          <w:sz w:val="21"/>
        </w:rPr>
      </w:pPr>
      <w:r>
        <w:rPr>
          <w:spacing w:val="10"/>
          <w:sz w:val="21"/>
        </w:rPr>
        <w:t>投标报价除设备主机（含标配）</w:t>
      </w:r>
      <w:r>
        <w:rPr>
          <w:spacing w:val="9"/>
          <w:sz w:val="21"/>
        </w:rPr>
        <w:t>价格及运保费外，还应包括设备的搬运费、安装费、调试至</w:t>
      </w:r>
      <w:r>
        <w:rPr>
          <w:spacing w:val="4"/>
          <w:sz w:val="21"/>
        </w:rPr>
        <w:t>正常运行费、验收费、技术服务费、人员培训费、保险费、检验费</w:t>
      </w:r>
      <w:r>
        <w:rPr>
          <w:spacing w:val="10"/>
          <w:sz w:val="21"/>
        </w:rPr>
        <w:t>（</w:t>
      </w:r>
      <w:r>
        <w:rPr>
          <w:spacing w:val="6"/>
          <w:sz w:val="21"/>
        </w:rPr>
        <w:t>包括海关、商检、技术监督局检</w:t>
      </w:r>
      <w:r>
        <w:rPr>
          <w:spacing w:val="9"/>
          <w:sz w:val="21"/>
        </w:rPr>
        <w:t>验等</w:t>
      </w:r>
      <w:r>
        <w:rPr>
          <w:spacing w:val="-95"/>
          <w:sz w:val="21"/>
        </w:rPr>
        <w:t>）</w:t>
      </w:r>
      <w:r>
        <w:rPr>
          <w:spacing w:val="-96"/>
          <w:sz w:val="21"/>
        </w:rPr>
        <w:t>、</w:t>
      </w:r>
      <w:r>
        <w:rPr>
          <w:spacing w:val="10"/>
          <w:sz w:val="21"/>
        </w:rPr>
        <w:t>（</w:t>
      </w:r>
      <w:r>
        <w:rPr>
          <w:spacing w:val="9"/>
          <w:sz w:val="21"/>
        </w:rPr>
        <w:t>若有</w:t>
      </w:r>
      <w:r>
        <w:rPr>
          <w:spacing w:val="10"/>
          <w:sz w:val="21"/>
        </w:rPr>
        <w:t>）</w:t>
      </w:r>
      <w:r>
        <w:rPr>
          <w:spacing w:val="8"/>
          <w:sz w:val="21"/>
        </w:rPr>
        <w:t>海关手续费、备品备件费、税费以及所有不可预见的费用。</w:t>
      </w:r>
    </w:p>
    <w:p>
      <w:pPr>
        <w:spacing w:before="0" w:line="316" w:lineRule="exact"/>
        <w:ind w:left="294" w:right="0" w:firstLine="0"/>
        <w:jc w:val="left"/>
        <w:rPr>
          <w:rFonts w:ascii="Microsoft JhengHei" w:eastAsia="Microsoft JhengHei"/>
          <w:b/>
          <w:sz w:val="21"/>
        </w:rPr>
      </w:pPr>
      <w:r>
        <w:rPr>
          <w:rFonts w:ascii="Microsoft JhengHei" w:eastAsia="Microsoft JhengHei"/>
          <w:b/>
          <w:spacing w:val="-1"/>
          <w:sz w:val="21"/>
        </w:rPr>
        <w:t>四、交货、安装期限、交货地点</w:t>
      </w:r>
    </w:p>
    <w:p>
      <w:pPr>
        <w:pStyle w:val="ListParagraph"/>
        <w:numPr>
          <w:ilvl w:val="1"/>
          <w:numId w:val="37"/>
        </w:numPr>
        <w:tabs>
          <w:tab w:val="left" w:pos="1099"/>
        </w:tabs>
        <w:spacing w:before="73" w:after="0" w:line="240" w:lineRule="auto"/>
        <w:ind w:left="1098" w:right="0" w:hanging="385"/>
        <w:jc w:val="left"/>
        <w:rPr>
          <w:sz w:val="21"/>
        </w:rPr>
      </w:pPr>
      <w:r>
        <w:rPr>
          <w:spacing w:val="-4"/>
          <w:sz w:val="21"/>
        </w:rPr>
        <w:t xml:space="preserve">交货安装期限：签订合同后 </w:t>
      </w:r>
      <w:r>
        <w:rPr>
          <w:sz w:val="21"/>
        </w:rPr>
        <w:t>30</w:t>
      </w:r>
      <w:r>
        <w:rPr>
          <w:spacing w:val="-8"/>
          <w:sz w:val="21"/>
        </w:rPr>
        <w:t xml:space="preserve"> 个日历内全部交货安装调试完毕、验收合格、交付使用。</w:t>
      </w:r>
    </w:p>
    <w:p>
      <w:pPr>
        <w:pStyle w:val="ListParagraph"/>
        <w:numPr>
          <w:ilvl w:val="1"/>
          <w:numId w:val="37"/>
        </w:numPr>
        <w:tabs>
          <w:tab w:val="left" w:pos="1099"/>
        </w:tabs>
        <w:spacing w:before="121" w:after="0" w:line="240" w:lineRule="auto"/>
        <w:ind w:left="1098" w:right="0" w:hanging="385"/>
        <w:jc w:val="left"/>
        <w:rPr>
          <w:sz w:val="21"/>
        </w:rPr>
      </w:pPr>
      <w:r>
        <w:rPr>
          <w:spacing w:val="-1"/>
          <w:sz w:val="21"/>
        </w:rPr>
        <w:t>货物安装地点：采购人指定的安装地点。</w:t>
      </w:r>
    </w:p>
    <w:p>
      <w:pPr>
        <w:spacing w:before="52"/>
        <w:ind w:left="0" w:right="7891" w:firstLine="0"/>
        <w:jc w:val="right"/>
        <w:rPr>
          <w:rFonts w:ascii="Microsoft JhengHei" w:eastAsia="Microsoft JhengHei"/>
          <w:b/>
          <w:sz w:val="21"/>
        </w:rPr>
      </w:pPr>
      <w:r>
        <w:rPr>
          <w:rFonts w:ascii="Microsoft JhengHei" w:eastAsia="Microsoft JhengHei"/>
          <w:b/>
          <w:spacing w:val="-1"/>
          <w:sz w:val="21"/>
        </w:rPr>
        <w:t>五、货款结算及支付方式</w:t>
      </w:r>
    </w:p>
    <w:p>
      <w:pPr>
        <w:pStyle w:val="ListParagraph"/>
        <w:numPr>
          <w:ilvl w:val="1"/>
          <w:numId w:val="36"/>
        </w:numPr>
        <w:tabs>
          <w:tab w:val="left" w:pos="388"/>
        </w:tabs>
        <w:spacing w:before="4" w:after="0" w:line="240" w:lineRule="auto"/>
        <w:ind w:left="387" w:right="7849" w:hanging="388"/>
        <w:jc w:val="right"/>
        <w:rPr>
          <w:rFonts w:ascii="Microsoft JhengHei" w:eastAsia="Microsoft JhengHei"/>
          <w:b/>
          <w:sz w:val="21"/>
        </w:rPr>
      </w:pPr>
      <w:r>
        <w:rPr>
          <w:rFonts w:ascii="Microsoft JhengHei" w:eastAsia="Microsoft JhengHei"/>
          <w:b/>
          <w:spacing w:val="7"/>
          <w:sz w:val="21"/>
        </w:rPr>
        <w:t>货款结算方式：</w:t>
      </w:r>
    </w:p>
    <w:p>
      <w:pPr>
        <w:pStyle w:val="ListParagraph"/>
        <w:numPr>
          <w:ilvl w:val="2"/>
          <w:numId w:val="36"/>
        </w:numPr>
        <w:tabs>
          <w:tab w:val="left" w:pos="1267"/>
        </w:tabs>
        <w:spacing w:before="73" w:after="0" w:line="240" w:lineRule="auto"/>
        <w:ind w:left="1266" w:right="0" w:hanging="606"/>
        <w:jc w:val="left"/>
        <w:rPr>
          <w:sz w:val="21"/>
        </w:rPr>
      </w:pPr>
      <w:r>
        <w:rPr>
          <w:spacing w:val="10"/>
          <w:sz w:val="21"/>
        </w:rPr>
        <w:t xml:space="preserve">货物全部安装调试试运行结束，通过最终验收后采购单位在 </w:t>
      </w:r>
      <w:r>
        <w:rPr>
          <w:sz w:val="21"/>
        </w:rPr>
        <w:t>15</w:t>
      </w:r>
      <w:r>
        <w:rPr>
          <w:spacing w:val="3"/>
          <w:sz w:val="21"/>
        </w:rPr>
        <w:t xml:space="preserve"> 个工作日内支付总货款的</w:t>
      </w:r>
    </w:p>
    <w:p>
      <w:pPr>
        <w:pStyle w:val="BodyText"/>
        <w:spacing w:before="121"/>
        <w:ind w:left="294"/>
      </w:pPr>
      <w:r>
        <w:t>100</w:t>
      </w:r>
      <w:r>
        <w:rPr>
          <w:spacing w:val="-5"/>
        </w:rPr>
        <w:t>%。</w:t>
      </w:r>
    </w:p>
    <w:p>
      <w:pPr>
        <w:pStyle w:val="ListParagraph"/>
        <w:numPr>
          <w:ilvl w:val="2"/>
          <w:numId w:val="36"/>
        </w:numPr>
        <w:tabs>
          <w:tab w:val="left" w:pos="1338"/>
        </w:tabs>
        <w:spacing w:before="121" w:after="0" w:line="240" w:lineRule="auto"/>
        <w:ind w:left="1337" w:right="0" w:hanging="606"/>
        <w:jc w:val="left"/>
        <w:rPr>
          <w:sz w:val="21"/>
        </w:rPr>
      </w:pPr>
      <w:r>
        <w:rPr>
          <w:spacing w:val="1"/>
          <w:sz w:val="21"/>
        </w:rPr>
        <w:t>支付货款时应提供的资料：</w:t>
      </w:r>
    </w:p>
    <w:p>
      <w:pPr>
        <w:pStyle w:val="ListParagraph"/>
        <w:numPr>
          <w:ilvl w:val="1"/>
          <w:numId w:val="36"/>
        </w:numPr>
        <w:tabs>
          <w:tab w:val="left" w:pos="1100"/>
        </w:tabs>
        <w:spacing w:before="121" w:after="0" w:line="240" w:lineRule="auto"/>
        <w:ind w:left="1099" w:right="0" w:hanging="368"/>
        <w:jc w:val="left"/>
        <w:rPr>
          <w:sz w:val="21"/>
        </w:rPr>
      </w:pPr>
      <w:r>
        <w:rPr>
          <w:spacing w:val="-1"/>
          <w:sz w:val="21"/>
        </w:rPr>
        <w:t>支付货款时应提供的资料：</w:t>
      </w:r>
    </w:p>
    <w:p>
      <w:pPr>
        <w:pStyle w:val="ListParagraph"/>
        <w:numPr>
          <w:ilvl w:val="2"/>
          <w:numId w:val="36"/>
        </w:numPr>
        <w:tabs>
          <w:tab w:val="left" w:pos="1344"/>
        </w:tabs>
        <w:spacing w:before="121" w:after="0" w:line="240" w:lineRule="auto"/>
        <w:ind w:left="1344" w:right="0" w:hanging="630"/>
        <w:jc w:val="left"/>
        <w:rPr>
          <w:sz w:val="21"/>
        </w:rPr>
      </w:pPr>
      <w:r>
        <w:rPr>
          <w:sz w:val="21"/>
        </w:rPr>
        <w:t>中标人应开具销货税务发票（非本中标人开具的销货税务发票无效</w:t>
      </w:r>
      <w:r>
        <w:rPr>
          <w:spacing w:val="-105"/>
          <w:sz w:val="21"/>
        </w:rPr>
        <w:t>）</w:t>
      </w:r>
      <w:r>
        <w:rPr>
          <w:spacing w:val="-10"/>
          <w:sz w:val="21"/>
        </w:rPr>
        <w:t>。</w:t>
      </w:r>
    </w:p>
    <w:p>
      <w:pPr>
        <w:pStyle w:val="ListParagraph"/>
        <w:numPr>
          <w:ilvl w:val="2"/>
          <w:numId w:val="36"/>
        </w:numPr>
        <w:tabs>
          <w:tab w:val="left" w:pos="1292"/>
        </w:tabs>
        <w:spacing w:before="121" w:after="0" w:line="348" w:lineRule="auto"/>
        <w:ind w:left="294" w:right="602" w:firstLine="420"/>
        <w:jc w:val="left"/>
        <w:rPr>
          <w:sz w:val="21"/>
        </w:rPr>
      </w:pPr>
      <w:r>
        <w:rPr>
          <w:spacing w:val="-2"/>
          <w:sz w:val="21"/>
        </w:rPr>
        <w:t>中标的供应商、收款单位、购货票证开票单位三者应一致；中标供应商收款账号应为经人民银</w:t>
      </w:r>
      <w:r>
        <w:rPr>
          <w:spacing w:val="-2"/>
          <w:sz w:val="21"/>
        </w:rPr>
        <w:t>行批准的收款单位银行账号。</w:t>
      </w:r>
    </w:p>
    <w:p>
      <w:pPr>
        <w:spacing w:before="0" w:line="317" w:lineRule="exact"/>
        <w:ind w:left="294" w:right="0" w:firstLine="0"/>
        <w:jc w:val="left"/>
        <w:rPr>
          <w:rFonts w:ascii="Microsoft JhengHei" w:eastAsia="Microsoft JhengHei"/>
          <w:b/>
          <w:sz w:val="21"/>
        </w:rPr>
      </w:pPr>
      <w:r>
        <w:rPr>
          <w:rFonts w:ascii="Microsoft JhengHei" w:eastAsia="Microsoft JhengHei"/>
          <w:b/>
          <w:spacing w:val="-1"/>
          <w:sz w:val="21"/>
        </w:rPr>
        <w:t>六、履约及维护保证金</w:t>
      </w:r>
    </w:p>
    <w:p>
      <w:pPr>
        <w:pStyle w:val="ListParagraph"/>
        <w:numPr>
          <w:ilvl w:val="1"/>
          <w:numId w:val="35"/>
        </w:numPr>
        <w:tabs>
          <w:tab w:val="left" w:pos="1099"/>
        </w:tabs>
        <w:spacing w:before="73" w:after="0" w:line="348" w:lineRule="auto"/>
        <w:ind w:left="294" w:right="581" w:firstLine="420"/>
        <w:jc w:val="left"/>
        <w:rPr>
          <w:sz w:val="21"/>
        </w:rPr>
      </w:pPr>
      <w:r>
        <w:rPr>
          <w:spacing w:val="-1"/>
          <w:sz w:val="21"/>
        </w:rPr>
        <w:t xml:space="preserve">中标供应商在与采购单位签订合同时，应以汇款的方式向采购单位提交按中标金额 </w:t>
      </w:r>
      <w:r>
        <w:rPr>
          <w:sz w:val="21"/>
        </w:rPr>
        <w:t>5</w:t>
      </w:r>
      <w:r>
        <w:rPr>
          <w:spacing w:val="4"/>
          <w:sz w:val="21"/>
        </w:rPr>
        <w:t>%计算的</w:t>
      </w:r>
      <w:r>
        <w:rPr>
          <w:spacing w:val="1"/>
          <w:sz w:val="21"/>
        </w:rPr>
        <w:t>履约保证金。</w:t>
      </w:r>
    </w:p>
    <w:p>
      <w:pPr>
        <w:pStyle w:val="ListParagraph"/>
        <w:numPr>
          <w:ilvl w:val="1"/>
          <w:numId w:val="35"/>
        </w:numPr>
        <w:tabs>
          <w:tab w:val="left" w:pos="1102"/>
        </w:tabs>
        <w:spacing w:before="0" w:after="0" w:line="309" w:lineRule="exact"/>
        <w:ind w:left="1101" w:right="0" w:hanging="388"/>
        <w:jc w:val="left"/>
        <w:rPr>
          <w:rFonts w:ascii="Microsoft JhengHei" w:eastAsia="Microsoft JhengHei"/>
          <w:b/>
          <w:sz w:val="21"/>
        </w:rPr>
      </w:pPr>
      <w:r>
        <w:rPr>
          <w:spacing w:val="-1"/>
          <w:sz w:val="21"/>
        </w:rPr>
        <w:t>该履约保证金直接转为质量保证金，在中标供应商提供的货物验收合格后且无质量问题时在保修</w:t>
      </w:r>
    </w:p>
    <w:p>
      <w:pPr>
        <w:pStyle w:val="BodyText"/>
        <w:spacing w:before="63"/>
        <w:ind w:left="294"/>
      </w:pPr>
      <w:r>
        <w:rPr>
          <w:color w:val="333333"/>
          <w:spacing w:val="-2"/>
        </w:rPr>
        <w:t>期满后无息退还。</w:t>
      </w:r>
    </w:p>
    <w:p>
      <w:pPr>
        <w:spacing w:before="49"/>
        <w:ind w:left="294" w:right="0" w:firstLine="0"/>
        <w:jc w:val="left"/>
        <w:rPr>
          <w:rFonts w:ascii="Microsoft JhengHei" w:eastAsia="Microsoft JhengHei"/>
          <w:b/>
          <w:sz w:val="21"/>
        </w:rPr>
      </w:pPr>
      <w:r>
        <w:rPr>
          <w:rFonts w:ascii="Microsoft JhengHei" w:eastAsia="Microsoft JhengHei"/>
          <w:b/>
          <w:spacing w:val="-2"/>
          <w:sz w:val="21"/>
        </w:rPr>
        <w:t>七、注意事项</w:t>
      </w:r>
    </w:p>
    <w:p>
      <w:pPr>
        <w:pStyle w:val="ListParagraph"/>
        <w:numPr>
          <w:ilvl w:val="1"/>
          <w:numId w:val="34"/>
        </w:numPr>
        <w:tabs>
          <w:tab w:val="left" w:pos="1134"/>
        </w:tabs>
        <w:spacing w:before="74" w:after="0" w:line="348" w:lineRule="auto"/>
        <w:ind w:left="294" w:right="572" w:firstLine="420"/>
        <w:jc w:val="left"/>
        <w:rPr>
          <w:sz w:val="21"/>
        </w:rPr>
      </w:pPr>
      <w:r>
        <w:rPr>
          <w:spacing w:val="-2"/>
          <w:sz w:val="21"/>
        </w:rPr>
        <w:t>本项目不允许中标人以任何名义和理由进行转包，如有发现，采购人有权单方中止合同，且中标</w:t>
      </w:r>
      <w:r>
        <w:rPr>
          <w:spacing w:val="-2"/>
          <w:sz w:val="21"/>
        </w:rPr>
        <w:t>人必须赔偿由此给采购人带来的一切损失。</w:t>
      </w:r>
    </w:p>
    <w:p>
      <w:pPr>
        <w:pStyle w:val="ListParagraph"/>
        <w:numPr>
          <w:ilvl w:val="1"/>
          <w:numId w:val="34"/>
        </w:numPr>
        <w:tabs>
          <w:tab w:val="left" w:pos="1134"/>
        </w:tabs>
        <w:spacing w:before="0" w:after="0" w:line="269" w:lineRule="exact"/>
        <w:ind w:left="1134" w:right="0" w:hanging="420"/>
        <w:jc w:val="left"/>
        <w:rPr>
          <w:sz w:val="21"/>
        </w:rPr>
      </w:pPr>
      <w:r>
        <w:rPr>
          <w:spacing w:val="-1"/>
          <w:sz w:val="21"/>
        </w:rPr>
        <w:t>本招标文件中所发生的一切费用均包含在投标总价中。</w:t>
      </w:r>
    </w:p>
    <w:p>
      <w:pPr>
        <w:pStyle w:val="ListParagraph"/>
        <w:numPr>
          <w:ilvl w:val="1"/>
          <w:numId w:val="34"/>
        </w:numPr>
        <w:tabs>
          <w:tab w:val="left" w:pos="1082"/>
        </w:tabs>
        <w:spacing w:before="121" w:after="0" w:line="240" w:lineRule="auto"/>
        <w:ind w:left="1081" w:right="0" w:hanging="368"/>
        <w:jc w:val="left"/>
        <w:rPr>
          <w:sz w:val="21"/>
        </w:rPr>
      </w:pPr>
      <w:r>
        <w:rPr>
          <w:spacing w:val="-1"/>
          <w:sz w:val="21"/>
        </w:rPr>
        <w:t>采购人在授予合同时有权对本招标项目的服务和设备进行部分调整。</w:t>
      </w:r>
    </w:p>
    <w:p>
      <w:pPr>
        <w:pStyle w:val="ListParagraph"/>
        <w:numPr>
          <w:ilvl w:val="1"/>
          <w:numId w:val="34"/>
        </w:numPr>
        <w:tabs>
          <w:tab w:val="left" w:pos="1082"/>
        </w:tabs>
        <w:spacing w:before="120" w:after="0" w:line="348" w:lineRule="auto"/>
        <w:ind w:left="294" w:right="572" w:firstLine="420"/>
        <w:jc w:val="left"/>
        <w:rPr>
          <w:sz w:val="21"/>
        </w:rPr>
      </w:pPr>
      <w:r>
        <w:rPr>
          <w:spacing w:val="-2"/>
          <w:sz w:val="21"/>
        </w:rPr>
        <w:t>中标人应保证采购人不受到第三方关于侵犯版权和专利权的指控，任何第三方如果提出指控，中</w:t>
      </w:r>
      <w:r>
        <w:rPr>
          <w:spacing w:val="-2"/>
          <w:sz w:val="21"/>
        </w:rPr>
        <w:t>标人应与第三方交涉，承担可能发生的一切法律责任、费用和后果，并赔偿采购人的损失。</w:t>
      </w:r>
    </w:p>
    <w:p>
      <w:pPr>
        <w:pStyle w:val="ListParagraph"/>
        <w:numPr>
          <w:ilvl w:val="1"/>
          <w:numId w:val="34"/>
        </w:numPr>
        <w:tabs>
          <w:tab w:val="left" w:pos="1134"/>
        </w:tabs>
        <w:spacing w:before="0" w:after="0" w:line="269" w:lineRule="exact"/>
        <w:ind w:left="1134" w:right="0" w:hanging="420"/>
        <w:jc w:val="left"/>
        <w:rPr>
          <w:sz w:val="21"/>
        </w:rPr>
      </w:pPr>
      <w:r>
        <w:rPr>
          <w:spacing w:val="-1"/>
          <w:sz w:val="21"/>
        </w:rPr>
        <w:t>投标人应遵守国家有关法律、规章，不得提供虚假资料，不得串通报价；</w:t>
      </w:r>
    </w:p>
    <w:p>
      <w:pPr>
        <w:pStyle w:val="ListParagraph"/>
        <w:numPr>
          <w:ilvl w:val="1"/>
          <w:numId w:val="34"/>
        </w:numPr>
        <w:tabs>
          <w:tab w:val="left" w:pos="1134"/>
        </w:tabs>
        <w:spacing w:before="121" w:after="0" w:line="348" w:lineRule="auto"/>
        <w:ind w:left="294" w:right="572" w:firstLine="420"/>
        <w:jc w:val="left"/>
        <w:rPr>
          <w:sz w:val="21"/>
        </w:rPr>
      </w:pPr>
      <w:r>
        <w:rPr>
          <w:spacing w:val="-2"/>
          <w:sz w:val="21"/>
        </w:rPr>
        <w:t>本次采购不单独提供招标货物使用地自然环境、气候条件、公用设施等情况，投标人被视为熟悉</w:t>
      </w:r>
      <w:r>
        <w:rPr>
          <w:spacing w:val="-2"/>
          <w:sz w:val="21"/>
        </w:rPr>
        <w:t>上述与履行合同有关的一切情况。</w:t>
      </w:r>
    </w:p>
    <w:p>
      <w:pPr>
        <w:pStyle w:val="ListParagraph"/>
        <w:numPr>
          <w:ilvl w:val="1"/>
          <w:numId w:val="34"/>
        </w:numPr>
        <w:tabs>
          <w:tab w:val="left" w:pos="1085"/>
        </w:tabs>
        <w:spacing w:before="0" w:after="0" w:line="317" w:lineRule="exact"/>
        <w:ind w:left="1084" w:right="0" w:hanging="371"/>
        <w:jc w:val="left"/>
        <w:rPr>
          <w:rFonts w:ascii="Microsoft JhengHei" w:eastAsia="Microsoft JhengHei"/>
          <w:b/>
          <w:sz w:val="21"/>
        </w:rPr>
      </w:pPr>
      <w:r>
        <w:rPr>
          <w:rFonts w:ascii="Microsoft JhengHei" w:eastAsia="Microsoft JhengHei"/>
          <w:b/>
          <w:spacing w:val="-1"/>
          <w:sz w:val="21"/>
        </w:rPr>
        <w:t>投标文件一旦递交，概不退还。</w:t>
      </w:r>
    </w:p>
    <w:p>
      <w:pPr>
        <w:spacing w:after="0" w:line="317" w:lineRule="exact"/>
        <w:jc w:val="left"/>
        <w:rPr>
          <w:rFonts w:ascii="Microsoft JhengHei" w:eastAsia="Microsoft JhengHei"/>
          <w:sz w:val="21"/>
        </w:rPr>
        <w:sectPr>
          <w:headerReference w:type="default" r:id="rId24"/>
          <w:footerReference w:type="default" r:id="rId25"/>
          <w:pgSz w:w="11910" w:h="16840"/>
          <w:pgMar w:top="1100" w:right="560" w:bottom="1160" w:left="840" w:header="879" w:footer="971"/>
          <w:pgNumType w:start="9"/>
          <w:cols w:space="708"/>
        </w:sectPr>
      </w:pPr>
    </w:p>
    <w:p>
      <w:pPr>
        <w:pStyle w:val="BodyText"/>
        <w:spacing w:before="12"/>
        <w:rPr>
          <w:rFonts w:ascii="Microsoft JhengHei"/>
          <w:b/>
          <w:sz w:val="18"/>
        </w:rPr>
      </w:pPr>
    </w:p>
    <w:p>
      <w:pPr>
        <w:spacing w:before="0"/>
        <w:ind w:left="294" w:right="0" w:firstLine="0"/>
        <w:jc w:val="left"/>
        <w:rPr>
          <w:rFonts w:ascii="Microsoft JhengHei" w:eastAsia="Microsoft JhengHei"/>
          <w:b/>
          <w:sz w:val="21"/>
        </w:rPr>
      </w:pPr>
      <w:r>
        <w:rPr>
          <w:rFonts w:ascii="Microsoft JhengHei" w:eastAsia="Microsoft JhengHei"/>
          <w:b/>
          <w:spacing w:val="-1"/>
          <w:sz w:val="21"/>
        </w:rPr>
        <w:t>一、设备清单及技术参数：</w:t>
      </w:r>
    </w:p>
    <w:p>
      <w:pPr>
        <w:pStyle w:val="Heading3"/>
        <w:spacing w:line="475" w:lineRule="exact"/>
        <w:ind w:left="294"/>
        <w:jc w:val="left"/>
        <w:rPr>
          <w:rFonts w:ascii="Microsoft JhengHei" w:eastAsia="Microsoft JhengHei"/>
        </w:rPr>
      </w:pPr>
      <w:bookmarkStart w:id="2" w:name="_TOC_250009"/>
      <w:r>
        <w:rPr>
          <w:b w:val="0"/>
        </w:rPr>
        <w:br w:type="column"/>
      </w:r>
      <w:r>
        <w:rPr>
          <w:rFonts w:ascii="Microsoft JhengHei" w:eastAsia="Microsoft JhengHei"/>
        </w:rPr>
        <w:t>第二章</w:t>
      </w:r>
      <w:r>
        <w:rPr>
          <w:rFonts w:ascii="Microsoft JhengHei" w:eastAsia="Microsoft JhengHei"/>
          <w:spacing w:val="46"/>
          <w:w w:val="150"/>
        </w:rPr>
        <w:t xml:space="preserve"> </w:t>
      </w:r>
      <w:bookmarkEnd w:id="2"/>
      <w:r>
        <w:rPr>
          <w:rFonts w:ascii="Microsoft JhengHei" w:eastAsia="Microsoft JhengHei"/>
          <w:spacing w:val="-3"/>
        </w:rPr>
        <w:t>技术要求</w:t>
      </w:r>
    </w:p>
    <w:p>
      <w:pPr>
        <w:spacing w:after="0" w:line="475" w:lineRule="exact"/>
        <w:jc w:val="left"/>
        <w:rPr>
          <w:rFonts w:ascii="Microsoft JhengHei" w:eastAsia="Microsoft JhengHei"/>
        </w:rPr>
        <w:sectPr>
          <w:headerReference w:type="default" r:id="rId26"/>
          <w:footerReference w:type="default" r:id="rId27"/>
          <w:pgSz w:w="11910" w:h="16840"/>
          <w:pgMar w:top="1100" w:right="560" w:bottom="1160" w:left="840" w:header="879" w:footer="971"/>
          <w:pgNumType w:start="10"/>
          <w:cols w:num="2" w:space="708" w:equalWidth="0">
            <w:col w:w="2864" w:space="751"/>
            <w:col w:w="6895" w:space="0"/>
          </w:cols>
        </w:sectPr>
      </w:pPr>
    </w:p>
    <w:p>
      <w:pPr>
        <w:pStyle w:val="BodyText"/>
        <w:spacing w:before="9" w:after="1"/>
        <w:rPr>
          <w:rFonts w:ascii="Microsoft JhengHei"/>
          <w:b/>
          <w:sz w:val="18"/>
        </w:rPr>
      </w:pPr>
    </w:p>
    <w:tbl>
      <w:tblPr>
        <w:tblStyle w:val="TableNormal2"/>
        <w:tblW w:w="0" w:type="auto"/>
        <w:jc w:val="lef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5"/>
        <w:gridCol w:w="2135"/>
        <w:gridCol w:w="5549"/>
        <w:gridCol w:w="879"/>
      </w:tblGrid>
      <w:tr>
        <w:tblPrEx>
          <w:tblW w:w="0" w:type="auto"/>
          <w:jc w:val="lef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1085" w:type="dxa"/>
          </w:tcPr>
          <w:p>
            <w:pPr>
              <w:pStyle w:val="TableParagraph"/>
              <w:spacing w:before="23"/>
              <w:ind w:left="213" w:right="203"/>
              <w:jc w:val="center"/>
              <w:rPr>
                <w:sz w:val="21"/>
              </w:rPr>
            </w:pPr>
            <w:r>
              <w:rPr>
                <w:spacing w:val="-4"/>
                <w:sz w:val="21"/>
              </w:rPr>
              <w:t>品目号</w:t>
            </w:r>
          </w:p>
        </w:tc>
        <w:tc>
          <w:tcPr>
            <w:tcW w:w="2135" w:type="dxa"/>
          </w:tcPr>
          <w:p>
            <w:pPr>
              <w:pStyle w:val="TableParagraph"/>
              <w:spacing w:before="23"/>
              <w:ind w:left="111" w:right="101"/>
              <w:jc w:val="center"/>
              <w:rPr>
                <w:sz w:val="21"/>
              </w:rPr>
            </w:pPr>
            <w:r>
              <w:rPr>
                <w:spacing w:val="-3"/>
                <w:sz w:val="21"/>
              </w:rPr>
              <w:t>物资名称</w:t>
            </w:r>
          </w:p>
        </w:tc>
        <w:tc>
          <w:tcPr>
            <w:tcW w:w="5549" w:type="dxa"/>
          </w:tcPr>
          <w:p>
            <w:pPr>
              <w:pStyle w:val="TableParagraph"/>
              <w:spacing w:before="23"/>
              <w:ind w:left="1831"/>
              <w:rPr>
                <w:sz w:val="21"/>
              </w:rPr>
            </w:pPr>
            <w:r>
              <w:rPr>
                <w:spacing w:val="-2"/>
                <w:sz w:val="21"/>
              </w:rPr>
              <w:t>主要技术参数及规格</w:t>
            </w:r>
          </w:p>
        </w:tc>
        <w:tc>
          <w:tcPr>
            <w:tcW w:w="879" w:type="dxa"/>
          </w:tcPr>
          <w:p>
            <w:pPr>
              <w:pStyle w:val="TableParagraph"/>
              <w:spacing w:before="23"/>
              <w:ind w:left="214" w:right="204"/>
              <w:jc w:val="center"/>
              <w:rPr>
                <w:sz w:val="21"/>
              </w:rPr>
            </w:pPr>
            <w:r>
              <w:rPr>
                <w:spacing w:val="-5"/>
                <w:sz w:val="21"/>
              </w:rPr>
              <w:t>数量</w:t>
            </w:r>
          </w:p>
        </w:tc>
      </w:tr>
      <w:tr>
        <w:tblPrEx>
          <w:tblW w:w="0" w:type="auto"/>
          <w:jc w:val="left"/>
          <w:tblInd w:w="289" w:type="dxa"/>
          <w:tblLayout w:type="fixed"/>
          <w:tblCellMar>
            <w:top w:w="0" w:type="dxa"/>
            <w:left w:w="0" w:type="dxa"/>
            <w:bottom w:w="0" w:type="dxa"/>
            <w:right w:w="0" w:type="dxa"/>
          </w:tblCellMar>
          <w:tblLook w:val="01E0"/>
        </w:tblPrEx>
        <w:trPr>
          <w:trHeight w:val="1646"/>
          <w:jc w:val="left"/>
        </w:trPr>
        <w:tc>
          <w:tcPr>
            <w:tcW w:w="1085" w:type="dxa"/>
          </w:tcPr>
          <w:p>
            <w:pPr>
              <w:pStyle w:val="TableParagraph"/>
              <w:rPr>
                <w:rFonts w:ascii="Microsoft JhengHei"/>
                <w:b/>
                <w:sz w:val="20"/>
              </w:rPr>
            </w:pPr>
          </w:p>
          <w:p>
            <w:pPr>
              <w:pStyle w:val="TableParagraph"/>
              <w:spacing w:before="10"/>
              <w:rPr>
                <w:rFonts w:ascii="Microsoft JhengHei"/>
                <w:b/>
                <w:sz w:val="17"/>
              </w:rPr>
            </w:pPr>
          </w:p>
          <w:p>
            <w:pPr>
              <w:pStyle w:val="TableParagraph"/>
              <w:ind w:left="10"/>
              <w:jc w:val="center"/>
              <w:rPr>
                <w:sz w:val="21"/>
              </w:rPr>
            </w:pPr>
            <w:r>
              <w:rPr>
                <w:sz w:val="21"/>
              </w:rPr>
              <w:t>1</w:t>
            </w:r>
          </w:p>
        </w:tc>
        <w:tc>
          <w:tcPr>
            <w:tcW w:w="2135" w:type="dxa"/>
          </w:tcPr>
          <w:p>
            <w:pPr>
              <w:pStyle w:val="TableParagraph"/>
              <w:rPr>
                <w:rFonts w:ascii="Microsoft JhengHei"/>
                <w:b/>
                <w:sz w:val="22"/>
              </w:rPr>
            </w:pPr>
          </w:p>
          <w:p>
            <w:pPr>
              <w:pStyle w:val="TableParagraph"/>
              <w:spacing w:before="3"/>
              <w:rPr>
                <w:rFonts w:ascii="Microsoft JhengHei"/>
                <w:b/>
                <w:sz w:val="15"/>
              </w:rPr>
            </w:pPr>
          </w:p>
          <w:p>
            <w:pPr>
              <w:pStyle w:val="TableParagraph"/>
              <w:spacing w:before="1"/>
              <w:ind w:left="111" w:right="101"/>
              <w:jc w:val="center"/>
              <w:rPr>
                <w:sz w:val="22"/>
              </w:rPr>
            </w:pPr>
            <w:r>
              <w:rPr>
                <w:spacing w:val="-2"/>
                <w:sz w:val="22"/>
              </w:rPr>
              <w:t>真空干燥箱</w:t>
            </w:r>
          </w:p>
        </w:tc>
        <w:tc>
          <w:tcPr>
            <w:tcW w:w="5549" w:type="dxa"/>
          </w:tcPr>
          <w:p>
            <w:pPr>
              <w:pStyle w:val="TableParagraph"/>
              <w:spacing w:before="66"/>
              <w:ind w:left="5"/>
              <w:jc w:val="both"/>
              <w:rPr>
                <w:sz w:val="21"/>
              </w:rPr>
            </w:pPr>
            <w:r>
              <w:rPr>
                <w:sz w:val="21"/>
              </w:rPr>
              <w:t>DZF-6050</w:t>
            </w:r>
            <w:r>
              <w:rPr>
                <w:spacing w:val="-18"/>
                <w:sz w:val="21"/>
              </w:rPr>
              <w:t xml:space="preserve"> 型 </w:t>
            </w:r>
            <w:r>
              <w:rPr>
                <w:sz w:val="21"/>
              </w:rPr>
              <w:t xml:space="preserve">220V </w:t>
            </w:r>
            <w:r>
              <w:rPr>
                <w:spacing w:val="-2"/>
                <w:sz w:val="21"/>
              </w:rPr>
              <w:t>；1400W；10℃～250℃；</w:t>
            </w:r>
          </w:p>
          <w:p>
            <w:pPr>
              <w:pStyle w:val="TableParagraph"/>
              <w:spacing w:before="43"/>
              <w:ind w:left="5"/>
              <w:jc w:val="both"/>
              <w:rPr>
                <w:sz w:val="21"/>
              </w:rPr>
            </w:pPr>
            <w:r>
              <w:rPr>
                <w:spacing w:val="-9"/>
                <w:sz w:val="21"/>
              </w:rPr>
              <w:t xml:space="preserve">工作室尺寸 </w:t>
            </w:r>
            <w:r>
              <w:rPr>
                <w:spacing w:val="-2"/>
                <w:sz w:val="21"/>
              </w:rPr>
              <w:t>415×370×345mm；</w:t>
            </w:r>
          </w:p>
          <w:p>
            <w:pPr>
              <w:pStyle w:val="TableParagraph"/>
              <w:spacing w:before="43" w:line="278" w:lineRule="auto"/>
              <w:ind w:left="5" w:right="-15"/>
              <w:jc w:val="both"/>
              <w:rPr>
                <w:sz w:val="21"/>
              </w:rPr>
            </w:pPr>
            <w:r>
              <w:rPr>
                <w:spacing w:val="-8"/>
                <w:sz w:val="21"/>
              </w:rPr>
              <w:t xml:space="preserve">工作室材料 </w:t>
            </w:r>
            <w:r>
              <w:rPr>
                <w:spacing w:val="-4"/>
                <w:sz w:val="21"/>
              </w:rPr>
              <w:t>1Grl8Ni9Ti；带钢化、防弹双层玻璃门；*微电脑</w:t>
            </w:r>
            <w:r>
              <w:rPr>
                <w:spacing w:val="-2"/>
                <w:sz w:val="21"/>
              </w:rPr>
              <w:t xml:space="preserve">智能控温仪，具有设定，测定温度双数字显示和 </w:t>
            </w:r>
            <w:r>
              <w:rPr>
                <w:sz w:val="21"/>
              </w:rPr>
              <w:t>PID</w:t>
            </w:r>
            <w:r>
              <w:rPr>
                <w:spacing w:val="-7"/>
                <w:sz w:val="21"/>
              </w:rPr>
              <w:t xml:space="preserve"> 自整定</w:t>
            </w:r>
            <w:r>
              <w:rPr>
                <w:spacing w:val="-6"/>
                <w:sz w:val="21"/>
              </w:rPr>
              <w:t>功能</w:t>
            </w:r>
          </w:p>
        </w:tc>
        <w:tc>
          <w:tcPr>
            <w:tcW w:w="879" w:type="dxa"/>
          </w:tcPr>
          <w:p>
            <w:pPr>
              <w:pStyle w:val="TableParagraph"/>
              <w:rPr>
                <w:rFonts w:ascii="Microsoft JhengHei"/>
                <w:b/>
                <w:sz w:val="22"/>
              </w:rPr>
            </w:pPr>
          </w:p>
          <w:p>
            <w:pPr>
              <w:pStyle w:val="TableParagraph"/>
              <w:spacing w:before="3"/>
              <w:rPr>
                <w:rFonts w:ascii="Microsoft JhengHei"/>
                <w:b/>
                <w:sz w:val="15"/>
              </w:rPr>
            </w:pPr>
          </w:p>
          <w:p>
            <w:pPr>
              <w:pStyle w:val="TableParagraph"/>
              <w:spacing w:before="1"/>
              <w:ind w:left="10"/>
              <w:jc w:val="center"/>
              <w:rPr>
                <w:sz w:val="22"/>
              </w:rPr>
            </w:pPr>
            <w:r>
              <w:rPr>
                <w:sz w:val="22"/>
              </w:rPr>
              <w:t>3</w:t>
            </w:r>
          </w:p>
        </w:tc>
      </w:tr>
      <w:tr>
        <w:tblPrEx>
          <w:tblW w:w="0" w:type="auto"/>
          <w:jc w:val="left"/>
          <w:tblInd w:w="289" w:type="dxa"/>
          <w:tblLayout w:type="fixed"/>
          <w:tblCellMar>
            <w:top w:w="0" w:type="dxa"/>
            <w:left w:w="0" w:type="dxa"/>
            <w:bottom w:w="0" w:type="dxa"/>
            <w:right w:w="0" w:type="dxa"/>
          </w:tblCellMar>
          <w:tblLook w:val="01E0"/>
        </w:tblPrEx>
        <w:trPr>
          <w:trHeight w:val="2645"/>
          <w:jc w:val="left"/>
        </w:trPr>
        <w:tc>
          <w:tcPr>
            <w:tcW w:w="1085" w:type="dxa"/>
          </w:tcPr>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24"/>
              </w:rPr>
            </w:pPr>
          </w:p>
          <w:p>
            <w:pPr>
              <w:pStyle w:val="TableParagraph"/>
              <w:ind w:left="10"/>
              <w:jc w:val="center"/>
              <w:rPr>
                <w:sz w:val="21"/>
              </w:rPr>
            </w:pPr>
            <w:r>
              <w:rPr>
                <w:sz w:val="21"/>
              </w:rPr>
              <w:t>2</w:t>
            </w:r>
          </w:p>
        </w:tc>
        <w:tc>
          <w:tcPr>
            <w:tcW w:w="2135" w:type="dxa"/>
          </w:tcPr>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24"/>
              </w:rPr>
            </w:pPr>
          </w:p>
          <w:p>
            <w:pPr>
              <w:pStyle w:val="TableParagraph"/>
              <w:ind w:left="111" w:right="101"/>
              <w:jc w:val="center"/>
              <w:rPr>
                <w:sz w:val="21"/>
              </w:rPr>
            </w:pPr>
            <w:r>
              <w:rPr>
                <w:spacing w:val="-4"/>
                <w:sz w:val="21"/>
              </w:rPr>
              <w:t>熔点仪</w:t>
            </w:r>
          </w:p>
        </w:tc>
        <w:tc>
          <w:tcPr>
            <w:tcW w:w="5549" w:type="dxa"/>
          </w:tcPr>
          <w:p>
            <w:pPr>
              <w:pStyle w:val="TableParagraph"/>
              <w:spacing w:before="15"/>
              <w:rPr>
                <w:rFonts w:ascii="Microsoft JhengHei"/>
                <w:b/>
                <w:sz w:val="12"/>
              </w:rPr>
            </w:pPr>
          </w:p>
          <w:p>
            <w:pPr>
              <w:pStyle w:val="TableParagraph"/>
              <w:numPr>
                <w:ilvl w:val="0"/>
                <w:numId w:val="33"/>
              </w:numPr>
              <w:tabs>
                <w:tab w:val="left" w:pos="216"/>
              </w:tabs>
              <w:spacing w:before="0" w:after="0" w:line="240" w:lineRule="auto"/>
              <w:ind w:left="216" w:right="0" w:hanging="211"/>
              <w:jc w:val="left"/>
              <w:rPr>
                <w:sz w:val="21"/>
              </w:rPr>
            </w:pPr>
            <w:r>
              <w:rPr>
                <w:spacing w:val="-5"/>
                <w:sz w:val="21"/>
              </w:rPr>
              <w:t xml:space="preserve">熔点测量范围：室温至 </w:t>
            </w:r>
            <w:r>
              <w:rPr>
                <w:spacing w:val="-4"/>
                <w:sz w:val="21"/>
              </w:rPr>
              <w:t>300℃；</w:t>
            </w:r>
          </w:p>
          <w:p>
            <w:pPr>
              <w:pStyle w:val="TableParagraph"/>
              <w:numPr>
                <w:ilvl w:val="0"/>
                <w:numId w:val="33"/>
              </w:numPr>
              <w:tabs>
                <w:tab w:val="left" w:pos="216"/>
              </w:tabs>
              <w:spacing w:before="4" w:after="0" w:line="240" w:lineRule="auto"/>
              <w:ind w:left="216" w:right="0" w:hanging="211"/>
              <w:jc w:val="left"/>
              <w:rPr>
                <w:sz w:val="21"/>
              </w:rPr>
            </w:pPr>
            <w:r>
              <w:rPr>
                <w:sz w:val="21"/>
              </w:rPr>
              <w:t>温度显示最小示值</w:t>
            </w:r>
            <w:r>
              <w:rPr>
                <w:spacing w:val="-2"/>
                <w:sz w:val="21"/>
              </w:rPr>
              <w:t>：0.1℃；</w:t>
            </w:r>
          </w:p>
          <w:p>
            <w:pPr>
              <w:pStyle w:val="TableParagraph"/>
              <w:numPr>
                <w:ilvl w:val="0"/>
                <w:numId w:val="33"/>
              </w:numPr>
              <w:tabs>
                <w:tab w:val="left" w:pos="216"/>
              </w:tabs>
              <w:spacing w:before="3" w:after="0" w:line="240" w:lineRule="auto"/>
              <w:ind w:left="216" w:right="-15" w:hanging="211"/>
              <w:jc w:val="left"/>
              <w:rPr>
                <w:sz w:val="21"/>
              </w:rPr>
            </w:pPr>
            <w:r>
              <w:rPr>
                <w:spacing w:val="6"/>
                <w:sz w:val="21"/>
              </w:rPr>
              <w:t xml:space="preserve">线性升温速率： </w:t>
            </w:r>
            <w:r>
              <w:rPr>
                <w:sz w:val="21"/>
              </w:rPr>
              <w:t>0.2,0.5,1.0,1.5，</w:t>
            </w:r>
            <w:r>
              <w:rPr>
                <w:spacing w:val="-82"/>
                <w:sz w:val="21"/>
              </w:rPr>
              <w:t xml:space="preserve"> </w:t>
            </w:r>
            <w:r>
              <w:rPr>
                <w:spacing w:val="-2"/>
                <w:sz w:val="21"/>
              </w:rPr>
              <w:t>2.0,3.0,4.0,5.0(℃</w:t>
            </w:r>
          </w:p>
          <w:p>
            <w:pPr>
              <w:pStyle w:val="TableParagraph"/>
              <w:spacing w:before="3"/>
              <w:ind w:left="5"/>
              <w:rPr>
                <w:sz w:val="21"/>
              </w:rPr>
            </w:pPr>
            <w:r>
              <w:rPr>
                <w:spacing w:val="-2"/>
                <w:sz w:val="21"/>
              </w:rPr>
              <w:t>/min)；</w:t>
            </w:r>
          </w:p>
          <w:p>
            <w:pPr>
              <w:pStyle w:val="TableParagraph"/>
              <w:numPr>
                <w:ilvl w:val="0"/>
                <w:numId w:val="33"/>
              </w:numPr>
              <w:tabs>
                <w:tab w:val="left" w:pos="216"/>
                <w:tab w:val="left" w:pos="2314"/>
              </w:tabs>
              <w:spacing w:before="4" w:after="0" w:line="236" w:lineRule="exact"/>
              <w:ind w:left="216" w:right="0" w:hanging="211"/>
              <w:jc w:val="left"/>
              <w:rPr>
                <w:sz w:val="21"/>
              </w:rPr>
            </w:pPr>
            <w:r>
              <w:rPr>
                <w:sz w:val="21"/>
              </w:rPr>
              <w:t>测量准确</w:t>
            </w:r>
            <w:r>
              <w:rPr>
                <w:spacing w:val="-53"/>
                <w:sz w:val="21"/>
              </w:rPr>
              <w:t>率</w:t>
            </w:r>
            <w:r>
              <w:rPr>
                <w:spacing w:val="-2"/>
                <w:sz w:val="21"/>
              </w:rPr>
              <w:t>：＜200℃</w:t>
            </w:r>
            <w:r>
              <w:rPr>
                <w:sz w:val="21"/>
              </w:rPr>
              <w:tab/>
            </w:r>
            <w:r>
              <w:rPr>
                <w:spacing w:val="-8"/>
                <w:sz w:val="21"/>
              </w:rPr>
              <w:t>：±0.5℃；200℃～300℃：±0.8℃</w:t>
            </w:r>
          </w:p>
          <w:p>
            <w:pPr>
              <w:pStyle w:val="TableParagraph"/>
              <w:spacing w:line="331" w:lineRule="exact"/>
              <w:ind w:left="5"/>
              <w:rPr>
                <w:sz w:val="21"/>
              </w:rPr>
            </w:pPr>
            <w:r>
              <w:rPr>
                <w:rFonts w:ascii="Microsoft JhengHei" w:eastAsia="Microsoft JhengHei"/>
                <w:b/>
                <w:sz w:val="21"/>
              </w:rPr>
              <w:t>*</w:t>
            </w:r>
            <w:r>
              <w:rPr>
                <w:sz w:val="21"/>
              </w:rPr>
              <w:t>5.</w:t>
            </w:r>
            <w:r>
              <w:rPr>
                <w:spacing w:val="-1"/>
                <w:sz w:val="21"/>
              </w:rPr>
              <w:t>液晶显示，自动检测熔点，可显示初熔和终熔的数字；</w:t>
            </w:r>
          </w:p>
          <w:p>
            <w:pPr>
              <w:pStyle w:val="TableParagraph"/>
              <w:spacing w:line="214" w:lineRule="exact"/>
              <w:ind w:left="5"/>
              <w:rPr>
                <w:sz w:val="21"/>
              </w:rPr>
            </w:pPr>
            <w:r>
              <w:rPr>
                <w:sz w:val="21"/>
              </w:rPr>
              <w:t>6.RS232</w:t>
            </w:r>
            <w:r>
              <w:rPr>
                <w:spacing w:val="-9"/>
                <w:sz w:val="21"/>
              </w:rPr>
              <w:t xml:space="preserve"> 接口可连接电脑；</w:t>
            </w:r>
          </w:p>
          <w:p>
            <w:pPr>
              <w:pStyle w:val="TableParagraph"/>
              <w:spacing w:line="353" w:lineRule="exact"/>
              <w:ind w:left="5"/>
              <w:rPr>
                <w:sz w:val="21"/>
              </w:rPr>
            </w:pPr>
            <w:r>
              <w:rPr>
                <w:rFonts w:ascii="Microsoft JhengHei" w:eastAsia="Microsoft JhengHei"/>
                <w:b/>
                <w:w w:val="88"/>
                <w:sz w:val="21"/>
              </w:rPr>
              <w:t>*</w:t>
            </w:r>
            <w:r>
              <w:rPr>
                <w:rFonts w:ascii="Microsoft JhengHei" w:eastAsia="Microsoft JhengHei"/>
                <w:b/>
                <w:w w:val="64"/>
                <w:sz w:val="21"/>
              </w:rPr>
              <w:t>7</w:t>
            </w:r>
            <w:r>
              <w:rPr>
                <w:rFonts w:ascii="Microsoft JhengHei" w:eastAsia="Microsoft JhengHei"/>
                <w:b/>
                <w:w w:val="177"/>
                <w:sz w:val="21"/>
              </w:rPr>
              <w:t>.</w:t>
            </w:r>
            <w:r>
              <w:rPr>
                <w:spacing w:val="-4"/>
                <w:sz w:val="21"/>
              </w:rPr>
              <w:t xml:space="preserve">光源采用英国进口 </w:t>
            </w:r>
            <w:r>
              <w:rPr>
                <w:sz w:val="21"/>
              </w:rPr>
              <w:t>CML</w:t>
            </w:r>
            <w:r>
              <w:rPr>
                <w:spacing w:val="-10"/>
                <w:sz w:val="21"/>
              </w:rPr>
              <w:t xml:space="preserve"> 灯泡。</w:t>
            </w:r>
          </w:p>
        </w:tc>
        <w:tc>
          <w:tcPr>
            <w:tcW w:w="879" w:type="dxa"/>
          </w:tcPr>
          <w:p>
            <w:pPr>
              <w:pStyle w:val="TableParagraph"/>
              <w:rPr>
                <w:rFonts w:ascii="Microsoft JhengHei"/>
                <w:b/>
                <w:sz w:val="22"/>
              </w:rPr>
            </w:pPr>
          </w:p>
          <w:p>
            <w:pPr>
              <w:pStyle w:val="TableParagraph"/>
              <w:rPr>
                <w:rFonts w:ascii="Microsoft JhengHei"/>
                <w:b/>
                <w:sz w:val="22"/>
              </w:rPr>
            </w:pPr>
          </w:p>
          <w:p>
            <w:pPr>
              <w:pStyle w:val="TableParagraph"/>
              <w:spacing w:before="6"/>
              <w:rPr>
                <w:rFonts w:ascii="Microsoft JhengHei"/>
                <w:b/>
                <w:sz w:val="20"/>
              </w:rPr>
            </w:pPr>
          </w:p>
          <w:p>
            <w:pPr>
              <w:pStyle w:val="TableParagraph"/>
              <w:ind w:left="10"/>
              <w:jc w:val="center"/>
              <w:rPr>
                <w:sz w:val="22"/>
              </w:rPr>
            </w:pPr>
            <w:r>
              <w:rPr>
                <w:sz w:val="22"/>
              </w:rPr>
              <w:t>2</w:t>
            </w:r>
          </w:p>
        </w:tc>
      </w:tr>
      <w:tr>
        <w:tblPrEx>
          <w:tblW w:w="0" w:type="auto"/>
          <w:jc w:val="left"/>
          <w:tblInd w:w="289" w:type="dxa"/>
          <w:tblLayout w:type="fixed"/>
          <w:tblCellMar>
            <w:top w:w="0" w:type="dxa"/>
            <w:left w:w="0" w:type="dxa"/>
            <w:bottom w:w="0" w:type="dxa"/>
            <w:right w:w="0" w:type="dxa"/>
          </w:tblCellMar>
          <w:tblLook w:val="01E0"/>
        </w:tblPrEx>
        <w:trPr>
          <w:trHeight w:val="1768"/>
          <w:jc w:val="left"/>
        </w:trPr>
        <w:tc>
          <w:tcPr>
            <w:tcW w:w="1085" w:type="dxa"/>
          </w:tcPr>
          <w:p>
            <w:pPr>
              <w:pStyle w:val="TableParagraph"/>
              <w:rPr>
                <w:rFonts w:ascii="Microsoft JhengHei"/>
                <w:b/>
                <w:sz w:val="20"/>
              </w:rPr>
            </w:pPr>
          </w:p>
          <w:p>
            <w:pPr>
              <w:pStyle w:val="TableParagraph"/>
              <w:spacing w:before="16"/>
              <w:rPr>
                <w:rFonts w:ascii="Microsoft JhengHei"/>
                <w:b/>
                <w:sz w:val="20"/>
              </w:rPr>
            </w:pPr>
          </w:p>
          <w:p>
            <w:pPr>
              <w:pStyle w:val="TableParagraph"/>
              <w:ind w:left="10"/>
              <w:jc w:val="center"/>
              <w:rPr>
                <w:sz w:val="21"/>
              </w:rPr>
            </w:pPr>
            <w:r>
              <w:rPr>
                <w:sz w:val="21"/>
              </w:rPr>
              <w:t>3</w:t>
            </w:r>
          </w:p>
        </w:tc>
        <w:tc>
          <w:tcPr>
            <w:tcW w:w="2135" w:type="dxa"/>
          </w:tcPr>
          <w:p>
            <w:pPr>
              <w:pStyle w:val="TableParagraph"/>
              <w:rPr>
                <w:rFonts w:ascii="Microsoft JhengHei"/>
                <w:b/>
                <w:sz w:val="20"/>
              </w:rPr>
            </w:pPr>
          </w:p>
          <w:p>
            <w:pPr>
              <w:pStyle w:val="TableParagraph"/>
              <w:spacing w:before="16"/>
              <w:rPr>
                <w:rFonts w:ascii="Microsoft JhengHei"/>
                <w:b/>
                <w:sz w:val="20"/>
              </w:rPr>
            </w:pPr>
          </w:p>
          <w:p>
            <w:pPr>
              <w:pStyle w:val="TableParagraph"/>
              <w:ind w:left="111" w:right="101"/>
              <w:jc w:val="center"/>
              <w:rPr>
                <w:sz w:val="21"/>
              </w:rPr>
            </w:pPr>
            <w:r>
              <w:rPr>
                <w:spacing w:val="-2"/>
                <w:sz w:val="21"/>
              </w:rPr>
              <w:t>阿贝折光仪</w:t>
            </w:r>
          </w:p>
        </w:tc>
        <w:tc>
          <w:tcPr>
            <w:tcW w:w="5549" w:type="dxa"/>
          </w:tcPr>
          <w:p>
            <w:pPr>
              <w:pStyle w:val="TableParagraph"/>
              <w:numPr>
                <w:ilvl w:val="0"/>
                <w:numId w:val="32"/>
              </w:numPr>
              <w:tabs>
                <w:tab w:val="left" w:pos="216"/>
              </w:tabs>
              <w:spacing w:before="70" w:after="0" w:line="240" w:lineRule="auto"/>
              <w:ind w:left="216" w:right="0" w:hanging="211"/>
              <w:jc w:val="left"/>
              <w:rPr>
                <w:sz w:val="21"/>
              </w:rPr>
            </w:pPr>
            <w:r>
              <w:rPr>
                <w:sz w:val="21"/>
              </w:rPr>
              <w:t>测量范围：n D 1.3000-</w:t>
            </w:r>
            <w:r>
              <w:rPr>
                <w:spacing w:val="-2"/>
                <w:sz w:val="21"/>
              </w:rPr>
              <w:t>1.7000；</w:t>
            </w:r>
          </w:p>
          <w:p>
            <w:pPr>
              <w:pStyle w:val="TableParagraph"/>
              <w:numPr>
                <w:ilvl w:val="0"/>
                <w:numId w:val="32"/>
              </w:numPr>
              <w:tabs>
                <w:tab w:val="left" w:pos="216"/>
              </w:tabs>
              <w:spacing w:before="4" w:after="0" w:line="240" w:lineRule="auto"/>
              <w:ind w:left="216" w:right="0" w:hanging="211"/>
              <w:jc w:val="left"/>
              <w:rPr>
                <w:sz w:val="21"/>
              </w:rPr>
            </w:pPr>
            <w:r>
              <w:rPr>
                <w:sz w:val="21"/>
              </w:rPr>
              <w:t xml:space="preserve">Brix ( % ) 0.0 至 </w:t>
            </w:r>
            <w:r>
              <w:rPr>
                <w:spacing w:val="-2"/>
                <w:sz w:val="21"/>
              </w:rPr>
              <w:t>95.0%；</w:t>
            </w:r>
          </w:p>
          <w:p>
            <w:pPr>
              <w:pStyle w:val="TableParagraph"/>
              <w:numPr>
                <w:ilvl w:val="0"/>
                <w:numId w:val="32"/>
              </w:numPr>
              <w:tabs>
                <w:tab w:val="left" w:pos="216"/>
              </w:tabs>
              <w:spacing w:before="3" w:after="0" w:line="240" w:lineRule="auto"/>
              <w:ind w:left="216" w:right="0" w:hanging="211"/>
              <w:jc w:val="left"/>
              <w:rPr>
                <w:sz w:val="21"/>
              </w:rPr>
            </w:pPr>
            <w:r>
              <w:rPr>
                <w:sz w:val="21"/>
              </w:rPr>
              <w:t>准确度：n D ±0.0002</w:t>
            </w:r>
            <w:r>
              <w:rPr>
                <w:spacing w:val="-14"/>
                <w:sz w:val="21"/>
              </w:rPr>
              <w:t xml:space="preserve"> 糖度 ；</w:t>
            </w:r>
          </w:p>
          <w:p>
            <w:pPr>
              <w:pStyle w:val="TableParagraph"/>
              <w:numPr>
                <w:ilvl w:val="0"/>
                <w:numId w:val="32"/>
              </w:numPr>
              <w:tabs>
                <w:tab w:val="left" w:pos="216"/>
              </w:tabs>
              <w:spacing w:before="3" w:after="0" w:line="240" w:lineRule="auto"/>
              <w:ind w:left="216" w:right="0" w:hanging="211"/>
              <w:jc w:val="left"/>
              <w:rPr>
                <w:sz w:val="21"/>
              </w:rPr>
            </w:pPr>
            <w:r>
              <w:rPr>
                <w:sz w:val="21"/>
              </w:rPr>
              <w:t xml:space="preserve">Brix ( % ) </w:t>
            </w:r>
            <w:r>
              <w:rPr>
                <w:spacing w:val="-2"/>
                <w:sz w:val="21"/>
              </w:rPr>
              <w:t>±0.1%；</w:t>
            </w:r>
          </w:p>
          <w:p>
            <w:pPr>
              <w:pStyle w:val="TableParagraph"/>
              <w:numPr>
                <w:ilvl w:val="0"/>
                <w:numId w:val="32"/>
              </w:numPr>
              <w:tabs>
                <w:tab w:val="left" w:pos="216"/>
              </w:tabs>
              <w:spacing w:before="4" w:after="0" w:line="240" w:lineRule="auto"/>
              <w:ind w:left="216" w:right="0" w:hanging="211"/>
              <w:jc w:val="left"/>
              <w:rPr>
                <w:sz w:val="21"/>
              </w:rPr>
            </w:pPr>
            <w:r>
              <w:rPr>
                <w:spacing w:val="-1"/>
                <w:sz w:val="21"/>
              </w:rPr>
              <w:t>液晶显示，自动读数；</w:t>
            </w:r>
          </w:p>
          <w:p>
            <w:pPr>
              <w:pStyle w:val="TableParagraph"/>
              <w:numPr>
                <w:ilvl w:val="0"/>
                <w:numId w:val="32"/>
              </w:numPr>
              <w:tabs>
                <w:tab w:val="left" w:pos="216"/>
              </w:tabs>
              <w:spacing w:before="3" w:after="0" w:line="240" w:lineRule="auto"/>
              <w:ind w:left="216" w:right="0" w:hanging="211"/>
              <w:jc w:val="left"/>
              <w:rPr>
                <w:sz w:val="21"/>
              </w:rPr>
            </w:pPr>
            <w:r>
              <w:rPr>
                <w:spacing w:val="-5"/>
                <w:sz w:val="21"/>
              </w:rPr>
              <w:t xml:space="preserve">温度显示范围(最小示值 </w:t>
            </w:r>
            <w:r>
              <w:rPr>
                <w:sz w:val="21"/>
              </w:rPr>
              <w:t>0.1℃)：0-</w:t>
            </w:r>
            <w:r>
              <w:rPr>
                <w:spacing w:val="-4"/>
                <w:sz w:val="21"/>
              </w:rPr>
              <w:t>50℃；</w:t>
            </w:r>
          </w:p>
        </w:tc>
        <w:tc>
          <w:tcPr>
            <w:tcW w:w="879" w:type="dxa"/>
          </w:tcPr>
          <w:p>
            <w:pPr>
              <w:pStyle w:val="TableParagraph"/>
              <w:rPr>
                <w:rFonts w:ascii="Microsoft JhengHei"/>
                <w:b/>
                <w:sz w:val="22"/>
              </w:rPr>
            </w:pPr>
          </w:p>
          <w:p>
            <w:pPr>
              <w:pStyle w:val="TableParagraph"/>
              <w:spacing w:before="9"/>
              <w:rPr>
                <w:rFonts w:ascii="Microsoft JhengHei"/>
                <w:b/>
                <w:sz w:val="18"/>
              </w:rPr>
            </w:pPr>
          </w:p>
          <w:p>
            <w:pPr>
              <w:pStyle w:val="TableParagraph"/>
              <w:ind w:left="10"/>
              <w:jc w:val="center"/>
              <w:rPr>
                <w:sz w:val="22"/>
              </w:rPr>
            </w:pPr>
            <w:r>
              <w:rPr>
                <w:sz w:val="22"/>
              </w:rPr>
              <w:t>3</w:t>
            </w:r>
          </w:p>
        </w:tc>
      </w:tr>
      <w:tr>
        <w:tblPrEx>
          <w:tblW w:w="0" w:type="auto"/>
          <w:jc w:val="left"/>
          <w:tblInd w:w="289" w:type="dxa"/>
          <w:tblLayout w:type="fixed"/>
          <w:tblCellMar>
            <w:top w:w="0" w:type="dxa"/>
            <w:left w:w="0" w:type="dxa"/>
            <w:bottom w:w="0" w:type="dxa"/>
            <w:right w:w="0" w:type="dxa"/>
          </w:tblCellMar>
          <w:tblLook w:val="01E0"/>
        </w:tblPrEx>
        <w:trPr>
          <w:trHeight w:val="342"/>
          <w:jc w:val="left"/>
        </w:trPr>
        <w:tc>
          <w:tcPr>
            <w:tcW w:w="1085" w:type="dxa"/>
            <w:tcBorders>
              <w:bottom w:val="nil"/>
            </w:tcBorders>
          </w:tcPr>
          <w:p>
            <w:pPr>
              <w:pStyle w:val="TableParagraph"/>
              <w:rPr>
                <w:rFonts w:ascii="Times New Roman"/>
                <w:sz w:val="20"/>
              </w:rPr>
            </w:pPr>
          </w:p>
        </w:tc>
        <w:tc>
          <w:tcPr>
            <w:tcW w:w="2135" w:type="dxa"/>
            <w:tcBorders>
              <w:bottom w:val="nil"/>
            </w:tcBorders>
          </w:tcPr>
          <w:p>
            <w:pPr>
              <w:pStyle w:val="TableParagraph"/>
              <w:rPr>
                <w:rFonts w:ascii="Times New Roman"/>
                <w:sz w:val="20"/>
              </w:rPr>
            </w:pPr>
          </w:p>
        </w:tc>
        <w:tc>
          <w:tcPr>
            <w:tcW w:w="5549" w:type="dxa"/>
            <w:tcBorders>
              <w:bottom w:val="nil"/>
            </w:tcBorders>
          </w:tcPr>
          <w:p>
            <w:pPr>
              <w:pStyle w:val="TableParagraph"/>
              <w:numPr>
                <w:ilvl w:val="0"/>
                <w:numId w:val="31"/>
              </w:numPr>
              <w:tabs>
                <w:tab w:val="left" w:pos="216"/>
                <w:tab w:val="left" w:pos="2367"/>
              </w:tabs>
              <w:spacing w:before="3" w:after="0" w:line="240" w:lineRule="auto"/>
              <w:ind w:left="216" w:right="0" w:hanging="211"/>
              <w:jc w:val="left"/>
              <w:rPr>
                <w:sz w:val="21"/>
              </w:rPr>
            </w:pPr>
            <w:r>
              <w:rPr>
                <w:color w:val="333333"/>
                <w:sz w:val="21"/>
              </w:rPr>
              <w:t>电源</w:t>
            </w:r>
            <w:r>
              <w:rPr>
                <w:color w:val="333333"/>
                <w:spacing w:val="-53"/>
                <w:sz w:val="21"/>
              </w:rPr>
              <w:t xml:space="preserve"> </w:t>
            </w:r>
            <w:r>
              <w:rPr>
                <w:color w:val="333333"/>
                <w:sz w:val="21"/>
              </w:rPr>
              <w:t>AC220</w:t>
            </w:r>
            <w:r>
              <w:rPr>
                <w:color w:val="333333"/>
                <w:spacing w:val="-53"/>
                <w:sz w:val="21"/>
              </w:rPr>
              <w:t xml:space="preserve"> </w:t>
            </w:r>
            <w:r>
              <w:rPr>
                <w:color w:val="333333"/>
                <w:sz w:val="21"/>
              </w:rPr>
              <w:t>电压</w:t>
            </w:r>
            <w:r>
              <w:rPr>
                <w:color w:val="333333"/>
                <w:spacing w:val="-53"/>
                <w:sz w:val="21"/>
              </w:rPr>
              <w:t xml:space="preserve"> </w:t>
            </w:r>
            <w:r>
              <w:rPr>
                <w:color w:val="333333"/>
                <w:spacing w:val="-4"/>
                <w:sz w:val="21"/>
              </w:rPr>
              <w:t>50HZ</w:t>
            </w:r>
            <w:r>
              <w:rPr>
                <w:color w:val="333333"/>
                <w:sz w:val="21"/>
              </w:rPr>
              <w:tab/>
              <w:t xml:space="preserve">输入功率 </w:t>
            </w:r>
            <w:r>
              <w:rPr>
                <w:color w:val="333333"/>
                <w:spacing w:val="-2"/>
                <w:sz w:val="21"/>
              </w:rPr>
              <w:t>1020W</w:t>
            </w:r>
          </w:p>
        </w:tc>
        <w:tc>
          <w:tcPr>
            <w:tcW w:w="879" w:type="dxa"/>
            <w:tcBorders>
              <w:bottom w:val="nil"/>
            </w:tcBorders>
          </w:tcPr>
          <w:p>
            <w:pPr>
              <w:pStyle w:val="TableParagraph"/>
              <w:rPr>
                <w:rFonts w:ascii="Times New Roman"/>
                <w:sz w:val="20"/>
              </w:rPr>
            </w:pPr>
          </w:p>
        </w:tc>
      </w:tr>
      <w:tr>
        <w:tblPrEx>
          <w:tblW w:w="0" w:type="auto"/>
          <w:jc w:val="left"/>
          <w:tblInd w:w="289" w:type="dxa"/>
          <w:tblLayout w:type="fixed"/>
          <w:tblCellMar>
            <w:top w:w="0" w:type="dxa"/>
            <w:left w:w="0" w:type="dxa"/>
            <w:bottom w:w="0" w:type="dxa"/>
            <w:right w:w="0" w:type="dxa"/>
          </w:tblCellMar>
          <w:tblLook w:val="01E0"/>
        </w:tblPrEx>
        <w:trPr>
          <w:trHeight w:val="408"/>
          <w:jc w:val="left"/>
        </w:trPr>
        <w:tc>
          <w:tcPr>
            <w:tcW w:w="1085" w:type="dxa"/>
            <w:tcBorders>
              <w:top w:val="nil"/>
              <w:bottom w:val="nil"/>
            </w:tcBorders>
          </w:tcPr>
          <w:p>
            <w:pPr>
              <w:pStyle w:val="TableParagraph"/>
              <w:rPr>
                <w:rFonts w:ascii="Times New Roman"/>
                <w:sz w:val="20"/>
              </w:rPr>
            </w:pPr>
          </w:p>
        </w:tc>
        <w:tc>
          <w:tcPr>
            <w:tcW w:w="2135" w:type="dxa"/>
            <w:tcBorders>
              <w:top w:val="nil"/>
              <w:bottom w:val="nil"/>
            </w:tcBorders>
          </w:tcPr>
          <w:p>
            <w:pPr>
              <w:pStyle w:val="TableParagraph"/>
              <w:rPr>
                <w:rFonts w:ascii="Times New Roman"/>
                <w:sz w:val="20"/>
              </w:rPr>
            </w:pPr>
          </w:p>
        </w:tc>
        <w:tc>
          <w:tcPr>
            <w:tcW w:w="5549" w:type="dxa"/>
            <w:tcBorders>
              <w:top w:val="nil"/>
              <w:bottom w:val="nil"/>
            </w:tcBorders>
          </w:tcPr>
          <w:p>
            <w:pPr>
              <w:pStyle w:val="TableParagraph"/>
              <w:ind w:left="5"/>
              <w:rPr>
                <w:sz w:val="21"/>
              </w:rPr>
            </w:pPr>
            <w:r>
              <w:rPr>
                <w:rFonts w:ascii="Microsoft JhengHei" w:eastAsia="Microsoft JhengHei"/>
                <w:b/>
                <w:color w:val="333333"/>
                <w:sz w:val="21"/>
              </w:rPr>
              <w:t>*</w:t>
            </w:r>
            <w:r>
              <w:rPr>
                <w:color w:val="333333"/>
                <w:sz w:val="21"/>
              </w:rPr>
              <w:t>2.控温范围 RT+10-200</w:t>
            </w:r>
            <w:r>
              <w:rPr>
                <w:color w:val="333333"/>
                <w:spacing w:val="-32"/>
                <w:sz w:val="21"/>
              </w:rPr>
              <w:t xml:space="preserve"> 度</w:t>
            </w:r>
          </w:p>
        </w:tc>
        <w:tc>
          <w:tcPr>
            <w:tcW w:w="879" w:type="dxa"/>
            <w:tcBorders>
              <w:top w:val="nil"/>
              <w:bottom w:val="nil"/>
            </w:tcBorders>
          </w:tcPr>
          <w:p>
            <w:pPr>
              <w:pStyle w:val="TableParagraph"/>
              <w:rPr>
                <w:rFonts w:ascii="Times New Roman"/>
                <w:sz w:val="20"/>
              </w:rPr>
            </w:pPr>
          </w:p>
        </w:tc>
      </w:tr>
      <w:tr>
        <w:tblPrEx>
          <w:tblW w:w="0" w:type="auto"/>
          <w:jc w:val="left"/>
          <w:tblInd w:w="289" w:type="dxa"/>
          <w:tblLayout w:type="fixed"/>
          <w:tblCellMar>
            <w:top w:w="0" w:type="dxa"/>
            <w:left w:w="0" w:type="dxa"/>
            <w:bottom w:w="0" w:type="dxa"/>
            <w:right w:w="0" w:type="dxa"/>
          </w:tblCellMar>
          <w:tblLook w:val="01E0"/>
        </w:tblPrEx>
        <w:trPr>
          <w:trHeight w:val="826"/>
          <w:jc w:val="left"/>
        </w:trPr>
        <w:tc>
          <w:tcPr>
            <w:tcW w:w="1085" w:type="dxa"/>
            <w:tcBorders>
              <w:top w:val="nil"/>
              <w:bottom w:val="nil"/>
            </w:tcBorders>
          </w:tcPr>
          <w:p>
            <w:pPr>
              <w:pStyle w:val="TableParagraph"/>
              <w:spacing w:before="11"/>
              <w:rPr>
                <w:rFonts w:ascii="Microsoft JhengHei"/>
                <w:b/>
                <w:sz w:val="18"/>
              </w:rPr>
            </w:pPr>
          </w:p>
          <w:p>
            <w:pPr>
              <w:pStyle w:val="TableParagraph"/>
              <w:ind w:left="10"/>
              <w:jc w:val="center"/>
              <w:rPr>
                <w:sz w:val="21"/>
              </w:rPr>
            </w:pPr>
            <w:r>
              <w:rPr>
                <w:sz w:val="21"/>
              </w:rPr>
              <w:t>4</w:t>
            </w:r>
          </w:p>
        </w:tc>
        <w:tc>
          <w:tcPr>
            <w:tcW w:w="2135" w:type="dxa"/>
            <w:tcBorders>
              <w:top w:val="nil"/>
              <w:bottom w:val="nil"/>
            </w:tcBorders>
          </w:tcPr>
          <w:p>
            <w:pPr>
              <w:pStyle w:val="TableParagraph"/>
              <w:spacing w:before="145" w:line="310" w:lineRule="atLeast"/>
              <w:ind w:left="227" w:right="5" w:hanging="210"/>
              <w:rPr>
                <w:sz w:val="21"/>
              </w:rPr>
            </w:pPr>
            <w:r>
              <w:rPr>
                <w:spacing w:val="-2"/>
                <w:sz w:val="21"/>
              </w:rPr>
              <w:t>真空干燥箱（微电脑控</w:t>
            </w:r>
            <w:r>
              <w:rPr>
                <w:spacing w:val="-2"/>
                <w:sz w:val="21"/>
              </w:rPr>
              <w:t>制）程序液晶控制</w:t>
            </w:r>
          </w:p>
        </w:tc>
        <w:tc>
          <w:tcPr>
            <w:tcW w:w="5549" w:type="dxa"/>
            <w:tcBorders>
              <w:top w:val="nil"/>
              <w:bottom w:val="nil"/>
            </w:tcBorders>
          </w:tcPr>
          <w:p>
            <w:pPr>
              <w:pStyle w:val="TableParagraph"/>
              <w:ind w:left="5"/>
              <w:rPr>
                <w:rFonts w:ascii="Microsoft JhengHei" w:eastAsia="Microsoft JhengHei"/>
                <w:b/>
                <w:sz w:val="21"/>
              </w:rPr>
            </w:pPr>
            <w:r>
              <w:rPr>
                <w:rFonts w:ascii="Microsoft JhengHei" w:eastAsia="Microsoft JhengHei"/>
                <w:b/>
                <w:color w:val="333333"/>
                <w:sz w:val="21"/>
              </w:rPr>
              <w:t>**</w:t>
            </w:r>
            <w:r>
              <w:rPr>
                <w:rFonts w:ascii="Microsoft JhengHei" w:eastAsia="Microsoft JhengHei"/>
                <w:b/>
                <w:color w:val="333333"/>
                <w:spacing w:val="7"/>
                <w:sz w:val="21"/>
                <w:u w:val="thick" w:color="333333"/>
              </w:rPr>
              <w:t xml:space="preserve">温度分辨 </w:t>
            </w:r>
            <w:r>
              <w:rPr>
                <w:rFonts w:ascii="Microsoft JhengHei" w:eastAsia="Microsoft JhengHei"/>
                <w:b/>
                <w:color w:val="333333"/>
                <w:w w:val="62"/>
                <w:sz w:val="21"/>
                <w:u w:val="thick" w:color="333333"/>
              </w:rPr>
              <w:t>0</w:t>
            </w:r>
            <w:r>
              <w:rPr>
                <w:rFonts w:ascii="Microsoft JhengHei" w:eastAsia="Microsoft JhengHei"/>
                <w:b/>
                <w:color w:val="333333"/>
                <w:w w:val="175"/>
                <w:sz w:val="21"/>
                <w:u w:val="thick" w:color="333333"/>
              </w:rPr>
              <w:t>.</w:t>
            </w:r>
            <w:r>
              <w:rPr>
                <w:rFonts w:ascii="Microsoft JhengHei" w:eastAsia="Microsoft JhengHei"/>
                <w:b/>
                <w:color w:val="333333"/>
                <w:w w:val="62"/>
                <w:sz w:val="21"/>
                <w:u w:val="thick" w:color="333333"/>
              </w:rPr>
              <w:t>1</w:t>
            </w:r>
            <w:r>
              <w:rPr>
                <w:rFonts w:ascii="Microsoft JhengHei" w:eastAsia="Microsoft JhengHei"/>
                <w:b/>
                <w:color w:val="333333"/>
                <w:spacing w:val="1"/>
                <w:sz w:val="21"/>
                <w:u w:val="thick" w:color="333333"/>
              </w:rPr>
              <w:t xml:space="preserve"> 度，率波动度+/-</w:t>
            </w:r>
            <w:r>
              <w:rPr>
                <w:rFonts w:ascii="Microsoft JhengHei" w:eastAsia="Microsoft JhengHei"/>
                <w:b/>
                <w:color w:val="333333"/>
                <w:w w:val="62"/>
                <w:sz w:val="21"/>
                <w:u w:val="thick" w:color="333333"/>
              </w:rPr>
              <w:t>0</w:t>
            </w:r>
            <w:r>
              <w:rPr>
                <w:rFonts w:ascii="Microsoft JhengHei" w:eastAsia="Microsoft JhengHei"/>
                <w:b/>
                <w:color w:val="333333"/>
                <w:w w:val="175"/>
                <w:sz w:val="21"/>
                <w:u w:val="thick" w:color="333333"/>
              </w:rPr>
              <w:t>.</w:t>
            </w:r>
            <w:r>
              <w:rPr>
                <w:rFonts w:ascii="Microsoft JhengHei" w:eastAsia="Microsoft JhengHei"/>
                <w:b/>
                <w:color w:val="333333"/>
                <w:w w:val="62"/>
                <w:sz w:val="21"/>
                <w:u w:val="thick" w:color="333333"/>
              </w:rPr>
              <w:t>1</w:t>
            </w:r>
            <w:r>
              <w:rPr>
                <w:rFonts w:ascii="Microsoft JhengHei" w:eastAsia="Microsoft JhengHei"/>
                <w:b/>
                <w:color w:val="333333"/>
                <w:spacing w:val="9"/>
                <w:sz w:val="21"/>
                <w:u w:val="thick" w:color="333333"/>
              </w:rPr>
              <w:t xml:space="preserve"> 度；</w:t>
            </w:r>
          </w:p>
          <w:p>
            <w:pPr>
              <w:pStyle w:val="TableParagraph"/>
              <w:tabs>
                <w:tab w:val="left" w:pos="2219"/>
              </w:tabs>
              <w:spacing w:before="22"/>
              <w:ind w:left="5"/>
              <w:rPr>
                <w:rFonts w:ascii="Microsoft JhengHei" w:eastAsia="Microsoft JhengHei"/>
                <w:b/>
                <w:sz w:val="21"/>
              </w:rPr>
            </w:pPr>
            <w:r>
              <w:rPr>
                <w:rFonts w:ascii="Microsoft JhengHei" w:eastAsia="Microsoft JhengHei"/>
                <w:b/>
                <w:color w:val="333333"/>
                <w:sz w:val="21"/>
              </w:rPr>
              <w:t>**</w:t>
            </w:r>
            <w:r>
              <w:rPr>
                <w:rFonts w:ascii="Microsoft JhengHei" w:eastAsia="Microsoft JhengHei"/>
                <w:b/>
                <w:color w:val="333333"/>
                <w:sz w:val="21"/>
                <w:u w:val="thick" w:color="333333"/>
              </w:rPr>
              <w:t>达到真空度</w:t>
            </w:r>
            <w:r>
              <w:rPr>
                <w:rFonts w:ascii="Microsoft JhengHei" w:eastAsia="Microsoft JhengHei"/>
                <w:b/>
                <w:color w:val="333333"/>
                <w:spacing w:val="66"/>
                <w:sz w:val="21"/>
                <w:u w:val="thick" w:color="333333"/>
              </w:rPr>
              <w:t xml:space="preserve"> </w:t>
            </w:r>
            <w:r>
              <w:rPr>
                <w:rFonts w:ascii="Microsoft JhengHei" w:eastAsia="Microsoft JhengHei"/>
                <w:b/>
                <w:color w:val="333333"/>
                <w:spacing w:val="-4"/>
                <w:sz w:val="21"/>
                <w:u w:val="thick" w:color="333333"/>
              </w:rPr>
              <w:t>133Pa</w:t>
            </w:r>
            <w:r>
              <w:rPr>
                <w:rFonts w:ascii="Microsoft JhengHei" w:eastAsia="Microsoft JhengHei"/>
                <w:b/>
                <w:color w:val="333333"/>
                <w:sz w:val="21"/>
                <w:u w:val="thick" w:color="333333"/>
              </w:rPr>
              <w:tab/>
            </w:r>
            <w:r>
              <w:rPr>
                <w:rFonts w:ascii="Microsoft JhengHei" w:eastAsia="Microsoft JhengHei"/>
                <w:b/>
                <w:color w:val="333333"/>
                <w:spacing w:val="-2"/>
                <w:sz w:val="21"/>
                <w:u w:val="thick" w:color="333333"/>
              </w:rPr>
              <w:t>工</w:t>
            </w:r>
            <w:r>
              <w:rPr>
                <w:rFonts w:ascii="Microsoft JhengHei" w:eastAsia="Microsoft JhengHei"/>
                <w:b/>
                <w:color w:val="333333"/>
                <w:spacing w:val="-2"/>
                <w:sz w:val="21"/>
                <w:u w:val="thick" w:color="333333"/>
              </w:rPr>
              <w:t>作</w:t>
            </w:r>
            <w:r>
              <w:rPr>
                <w:rFonts w:ascii="Microsoft JhengHei" w:eastAsia="Microsoft JhengHei"/>
                <w:b/>
                <w:color w:val="333333"/>
                <w:spacing w:val="-2"/>
                <w:sz w:val="21"/>
                <w:u w:val="thick" w:color="333333"/>
              </w:rPr>
              <w:t>环</w:t>
            </w:r>
            <w:r>
              <w:rPr>
                <w:rFonts w:ascii="Microsoft JhengHei" w:eastAsia="Microsoft JhengHei"/>
                <w:b/>
                <w:color w:val="333333"/>
                <w:spacing w:val="-2"/>
                <w:sz w:val="21"/>
                <w:u w:val="thick" w:color="333333"/>
              </w:rPr>
              <w:t>境</w:t>
            </w:r>
            <w:r>
              <w:rPr>
                <w:rFonts w:ascii="Microsoft JhengHei" w:eastAsia="Microsoft JhengHei"/>
                <w:b/>
                <w:color w:val="333333"/>
                <w:spacing w:val="-2"/>
                <w:sz w:val="21"/>
                <w:u w:val="thick" w:color="333333"/>
              </w:rPr>
              <w:t>温</w:t>
            </w:r>
            <w:r>
              <w:rPr>
                <w:rFonts w:ascii="Microsoft JhengHei" w:eastAsia="Microsoft JhengHei"/>
                <w:b/>
                <w:color w:val="333333"/>
                <w:spacing w:val="-2"/>
                <w:sz w:val="21"/>
                <w:u w:val="thick" w:color="333333"/>
              </w:rPr>
              <w:t>度</w:t>
            </w:r>
            <w:r>
              <w:rPr>
                <w:rFonts w:ascii="Microsoft JhengHei" w:eastAsia="Microsoft JhengHei"/>
                <w:b/>
                <w:color w:val="333333"/>
                <w:spacing w:val="15"/>
                <w:sz w:val="21"/>
                <w:u w:val="thick" w:color="333333"/>
              </w:rPr>
              <w:t xml:space="preserve"> </w:t>
            </w:r>
            <w:r>
              <w:rPr>
                <w:rFonts w:ascii="Microsoft JhengHei" w:eastAsia="Microsoft JhengHei"/>
                <w:b/>
                <w:color w:val="333333"/>
                <w:spacing w:val="-2"/>
                <w:sz w:val="21"/>
                <w:u w:val="thick" w:color="333333"/>
              </w:rPr>
              <w:t>+5-40</w:t>
            </w:r>
            <w:r>
              <w:rPr>
                <w:rFonts w:ascii="Microsoft JhengHei" w:eastAsia="Microsoft JhengHei"/>
                <w:b/>
                <w:color w:val="333333"/>
                <w:spacing w:val="-11"/>
                <w:sz w:val="21"/>
                <w:u w:val="thick" w:color="333333"/>
              </w:rPr>
              <w:t xml:space="preserve"> </w:t>
            </w:r>
            <w:r>
              <w:rPr>
                <w:rFonts w:ascii="Microsoft JhengHei" w:eastAsia="Microsoft JhengHei"/>
                <w:b/>
                <w:color w:val="333333"/>
                <w:spacing w:val="-2"/>
                <w:sz w:val="21"/>
                <w:u w:val="thick" w:color="333333"/>
              </w:rPr>
              <w:t>度</w:t>
            </w:r>
            <w:r>
              <w:rPr>
                <w:rFonts w:ascii="Microsoft JhengHei" w:eastAsia="Microsoft JhengHei"/>
                <w:b/>
                <w:color w:val="333333"/>
                <w:spacing w:val="21"/>
                <w:sz w:val="21"/>
                <w:u w:val="thick" w:color="333333"/>
              </w:rPr>
              <w:t xml:space="preserve"> </w:t>
            </w:r>
            <w:r>
              <w:rPr>
                <w:rFonts w:ascii="Microsoft JhengHei" w:eastAsia="Microsoft JhengHei"/>
                <w:b/>
                <w:color w:val="333333"/>
                <w:spacing w:val="-10"/>
                <w:sz w:val="21"/>
                <w:u w:val="thick" w:color="333333"/>
              </w:rPr>
              <w:t>。</w:t>
            </w:r>
          </w:p>
        </w:tc>
        <w:tc>
          <w:tcPr>
            <w:tcW w:w="879" w:type="dxa"/>
            <w:tcBorders>
              <w:top w:val="nil"/>
              <w:bottom w:val="nil"/>
            </w:tcBorders>
          </w:tcPr>
          <w:p>
            <w:pPr>
              <w:pStyle w:val="TableParagraph"/>
              <w:spacing w:before="4"/>
              <w:rPr>
                <w:rFonts w:ascii="Microsoft JhengHei"/>
                <w:b/>
                <w:sz w:val="18"/>
              </w:rPr>
            </w:pPr>
          </w:p>
          <w:p>
            <w:pPr>
              <w:pStyle w:val="TableParagraph"/>
              <w:ind w:left="10"/>
              <w:jc w:val="center"/>
              <w:rPr>
                <w:sz w:val="22"/>
              </w:rPr>
            </w:pPr>
            <w:r>
              <w:rPr>
                <w:sz w:val="22"/>
              </w:rPr>
              <w:t>2</w:t>
            </w:r>
          </w:p>
        </w:tc>
      </w:tr>
      <w:tr>
        <w:tblPrEx>
          <w:tblW w:w="0" w:type="auto"/>
          <w:jc w:val="left"/>
          <w:tblInd w:w="289" w:type="dxa"/>
          <w:tblLayout w:type="fixed"/>
          <w:tblCellMar>
            <w:top w:w="0" w:type="dxa"/>
            <w:left w:w="0" w:type="dxa"/>
            <w:bottom w:w="0" w:type="dxa"/>
            <w:right w:w="0" w:type="dxa"/>
          </w:tblCellMar>
          <w:tblLook w:val="01E0"/>
        </w:tblPrEx>
        <w:trPr>
          <w:trHeight w:val="398"/>
          <w:jc w:val="left"/>
        </w:trPr>
        <w:tc>
          <w:tcPr>
            <w:tcW w:w="1085" w:type="dxa"/>
            <w:tcBorders>
              <w:top w:val="nil"/>
              <w:bottom w:val="nil"/>
            </w:tcBorders>
          </w:tcPr>
          <w:p>
            <w:pPr>
              <w:pStyle w:val="TableParagraph"/>
              <w:rPr>
                <w:rFonts w:ascii="Times New Roman"/>
                <w:sz w:val="20"/>
              </w:rPr>
            </w:pPr>
          </w:p>
        </w:tc>
        <w:tc>
          <w:tcPr>
            <w:tcW w:w="2135" w:type="dxa"/>
            <w:tcBorders>
              <w:top w:val="nil"/>
              <w:bottom w:val="nil"/>
            </w:tcBorders>
          </w:tcPr>
          <w:p>
            <w:pPr>
              <w:pStyle w:val="TableParagraph"/>
              <w:rPr>
                <w:rFonts w:ascii="Times New Roman"/>
                <w:sz w:val="20"/>
              </w:rPr>
            </w:pPr>
          </w:p>
        </w:tc>
        <w:tc>
          <w:tcPr>
            <w:tcW w:w="5549" w:type="dxa"/>
            <w:tcBorders>
              <w:top w:val="nil"/>
              <w:bottom w:val="nil"/>
            </w:tcBorders>
          </w:tcPr>
          <w:p>
            <w:pPr>
              <w:pStyle w:val="TableParagraph"/>
              <w:spacing w:before="60"/>
              <w:ind w:left="5"/>
              <w:rPr>
                <w:sz w:val="21"/>
              </w:rPr>
            </w:pPr>
            <w:r>
              <w:rPr>
                <w:color w:val="333333"/>
                <w:sz w:val="21"/>
              </w:rPr>
              <w:t xml:space="preserve">3.内胆尺寸(mm) </w:t>
            </w:r>
            <w:r>
              <w:rPr>
                <w:color w:val="333333"/>
                <w:spacing w:val="-2"/>
                <w:sz w:val="21"/>
              </w:rPr>
              <w:t>320×320×320</w:t>
            </w:r>
          </w:p>
        </w:tc>
        <w:tc>
          <w:tcPr>
            <w:tcW w:w="879" w:type="dxa"/>
            <w:tcBorders>
              <w:top w:val="nil"/>
              <w:bottom w:val="nil"/>
            </w:tcBorders>
          </w:tcPr>
          <w:p>
            <w:pPr>
              <w:pStyle w:val="TableParagraph"/>
              <w:rPr>
                <w:rFonts w:ascii="Times New Roman"/>
                <w:sz w:val="20"/>
              </w:rPr>
            </w:pPr>
          </w:p>
        </w:tc>
      </w:tr>
      <w:tr>
        <w:tblPrEx>
          <w:tblW w:w="0" w:type="auto"/>
          <w:jc w:val="left"/>
          <w:tblInd w:w="289" w:type="dxa"/>
          <w:tblLayout w:type="fixed"/>
          <w:tblCellMar>
            <w:top w:w="0" w:type="dxa"/>
            <w:left w:w="0" w:type="dxa"/>
            <w:bottom w:w="0" w:type="dxa"/>
            <w:right w:w="0" w:type="dxa"/>
          </w:tblCellMar>
          <w:tblLook w:val="01E0"/>
        </w:tblPrEx>
        <w:trPr>
          <w:trHeight w:val="474"/>
          <w:jc w:val="left"/>
        </w:trPr>
        <w:tc>
          <w:tcPr>
            <w:tcW w:w="1085" w:type="dxa"/>
            <w:tcBorders>
              <w:top w:val="nil"/>
            </w:tcBorders>
          </w:tcPr>
          <w:p>
            <w:pPr>
              <w:pStyle w:val="TableParagraph"/>
              <w:rPr>
                <w:rFonts w:ascii="Times New Roman"/>
                <w:sz w:val="20"/>
              </w:rPr>
            </w:pPr>
          </w:p>
        </w:tc>
        <w:tc>
          <w:tcPr>
            <w:tcW w:w="2135" w:type="dxa"/>
            <w:tcBorders>
              <w:top w:val="nil"/>
            </w:tcBorders>
          </w:tcPr>
          <w:p>
            <w:pPr>
              <w:pStyle w:val="TableParagraph"/>
              <w:rPr>
                <w:rFonts w:ascii="Times New Roman"/>
                <w:sz w:val="20"/>
              </w:rPr>
            </w:pPr>
          </w:p>
        </w:tc>
        <w:tc>
          <w:tcPr>
            <w:tcW w:w="5549" w:type="dxa"/>
            <w:tcBorders>
              <w:top w:val="nil"/>
            </w:tcBorders>
          </w:tcPr>
          <w:p>
            <w:pPr>
              <w:pStyle w:val="TableParagraph"/>
              <w:spacing w:before="69"/>
              <w:ind w:left="5"/>
              <w:rPr>
                <w:sz w:val="21"/>
              </w:rPr>
            </w:pPr>
            <w:r>
              <w:rPr>
                <w:color w:val="333333"/>
                <w:sz w:val="21"/>
              </w:rPr>
              <w:t xml:space="preserve">4.外开尺寸(mm) </w:t>
            </w:r>
            <w:r>
              <w:rPr>
                <w:color w:val="333333"/>
                <w:spacing w:val="-2"/>
                <w:sz w:val="21"/>
              </w:rPr>
              <w:t>550×490×1240</w:t>
            </w:r>
          </w:p>
        </w:tc>
        <w:tc>
          <w:tcPr>
            <w:tcW w:w="879" w:type="dxa"/>
            <w:tcBorders>
              <w:top w:val="nil"/>
            </w:tcBorders>
          </w:tcPr>
          <w:p>
            <w:pPr>
              <w:pStyle w:val="TableParagraph"/>
              <w:rPr>
                <w:rFonts w:ascii="Times New Roman"/>
                <w:sz w:val="20"/>
              </w:rPr>
            </w:pPr>
          </w:p>
        </w:tc>
      </w:tr>
      <w:tr>
        <w:tblPrEx>
          <w:tblW w:w="0" w:type="auto"/>
          <w:jc w:val="left"/>
          <w:tblInd w:w="289" w:type="dxa"/>
          <w:tblLayout w:type="fixed"/>
          <w:tblCellMar>
            <w:top w:w="0" w:type="dxa"/>
            <w:left w:w="0" w:type="dxa"/>
            <w:bottom w:w="0" w:type="dxa"/>
            <w:right w:w="0" w:type="dxa"/>
          </w:tblCellMar>
          <w:tblLook w:val="01E0"/>
        </w:tblPrEx>
        <w:trPr>
          <w:trHeight w:val="1871"/>
          <w:jc w:val="left"/>
        </w:trPr>
        <w:tc>
          <w:tcPr>
            <w:tcW w:w="1085" w:type="dxa"/>
          </w:tcPr>
          <w:p>
            <w:pPr>
              <w:pStyle w:val="TableParagraph"/>
              <w:rPr>
                <w:rFonts w:ascii="Microsoft JhengHei"/>
                <w:b/>
                <w:sz w:val="20"/>
              </w:rPr>
            </w:pPr>
          </w:p>
          <w:p>
            <w:pPr>
              <w:pStyle w:val="TableParagraph"/>
              <w:spacing w:before="12"/>
              <w:rPr>
                <w:rFonts w:ascii="Microsoft JhengHei"/>
                <w:b/>
                <w:sz w:val="23"/>
              </w:rPr>
            </w:pPr>
          </w:p>
          <w:p>
            <w:pPr>
              <w:pStyle w:val="TableParagraph"/>
              <w:ind w:left="10"/>
              <w:jc w:val="center"/>
              <w:rPr>
                <w:sz w:val="21"/>
              </w:rPr>
            </w:pPr>
            <w:r>
              <w:rPr>
                <w:sz w:val="21"/>
              </w:rPr>
              <w:t>5</w:t>
            </w:r>
          </w:p>
        </w:tc>
        <w:tc>
          <w:tcPr>
            <w:tcW w:w="2135" w:type="dxa"/>
          </w:tcPr>
          <w:p>
            <w:pPr>
              <w:pStyle w:val="TableParagraph"/>
              <w:rPr>
                <w:rFonts w:ascii="Microsoft JhengHei"/>
                <w:b/>
                <w:sz w:val="20"/>
              </w:rPr>
            </w:pPr>
          </w:p>
          <w:p>
            <w:pPr>
              <w:pStyle w:val="TableParagraph"/>
              <w:spacing w:before="12"/>
              <w:rPr>
                <w:rFonts w:ascii="Microsoft JhengHei"/>
                <w:b/>
                <w:sz w:val="23"/>
              </w:rPr>
            </w:pPr>
          </w:p>
          <w:p>
            <w:pPr>
              <w:pStyle w:val="TableParagraph"/>
              <w:ind w:left="111" w:right="101"/>
              <w:jc w:val="center"/>
              <w:rPr>
                <w:sz w:val="21"/>
              </w:rPr>
            </w:pPr>
            <w:r>
              <w:rPr>
                <w:spacing w:val="-2"/>
                <w:sz w:val="21"/>
              </w:rPr>
              <w:t>旋转粘度计</w:t>
            </w:r>
          </w:p>
        </w:tc>
        <w:tc>
          <w:tcPr>
            <w:tcW w:w="5549" w:type="dxa"/>
          </w:tcPr>
          <w:p>
            <w:pPr>
              <w:pStyle w:val="TableParagraph"/>
              <w:spacing w:line="338" w:lineRule="exact"/>
              <w:ind w:left="5" w:right="-116"/>
              <w:rPr>
                <w:sz w:val="21"/>
              </w:rPr>
            </w:pPr>
            <w:r>
              <w:rPr>
                <w:rFonts w:ascii="Microsoft JhengHei" w:eastAsia="Microsoft JhengHei" w:hAnsi="Microsoft JhengHei"/>
                <w:b/>
                <w:w w:val="78"/>
                <w:sz w:val="21"/>
              </w:rPr>
              <w:t>*</w:t>
            </w:r>
            <w:r>
              <w:rPr>
                <w:rFonts w:ascii="Microsoft JhengHei" w:eastAsia="Microsoft JhengHei" w:hAnsi="Microsoft JhengHei"/>
                <w:b/>
                <w:w w:val="54"/>
                <w:sz w:val="21"/>
              </w:rPr>
              <w:t>1</w:t>
            </w:r>
            <w:r>
              <w:rPr>
                <w:rFonts w:ascii="Microsoft JhengHei" w:eastAsia="Microsoft JhengHei" w:hAnsi="Microsoft JhengHei"/>
                <w:b/>
                <w:w w:val="167"/>
                <w:sz w:val="21"/>
              </w:rPr>
              <w:t>.</w:t>
            </w:r>
            <w:r>
              <w:rPr>
                <w:spacing w:val="-6"/>
                <w:sz w:val="21"/>
              </w:rPr>
              <w:t xml:space="preserve">粘度测量范围 </w:t>
            </w:r>
            <w:r>
              <w:rPr>
                <w:sz w:val="21"/>
              </w:rPr>
              <w:t>cp（mPa·s）1—2000000（200</w:t>
            </w:r>
            <w:r>
              <w:rPr>
                <w:spacing w:val="-24"/>
                <w:sz w:val="21"/>
              </w:rPr>
              <w:t xml:space="preserve"> 万 </w:t>
            </w:r>
            <w:r>
              <w:rPr>
                <w:spacing w:val="-1"/>
                <w:sz w:val="21"/>
              </w:rPr>
              <w:t>mPa·s</w:t>
            </w:r>
            <w:r>
              <w:rPr>
                <w:spacing w:val="-159"/>
                <w:sz w:val="21"/>
              </w:rPr>
              <w:t>）</w:t>
            </w:r>
            <w:r>
              <w:rPr>
                <w:spacing w:val="-1"/>
                <w:sz w:val="21"/>
              </w:rPr>
              <w:t>；</w:t>
            </w:r>
          </w:p>
          <w:p>
            <w:pPr>
              <w:pStyle w:val="TableParagraph"/>
              <w:spacing w:line="278" w:lineRule="auto"/>
              <w:ind w:left="5" w:right="-116"/>
              <w:rPr>
                <w:sz w:val="21"/>
              </w:rPr>
            </w:pPr>
            <w:r>
              <w:rPr>
                <w:sz w:val="21"/>
              </w:rPr>
              <w:t>2.</w:t>
            </w:r>
            <w:r>
              <w:rPr>
                <w:spacing w:val="35"/>
                <w:sz w:val="21"/>
              </w:rPr>
              <w:t>速度</w:t>
            </w:r>
            <w:r>
              <w:rPr>
                <w:sz w:val="21"/>
              </w:rPr>
              <w:t>(RPM)（</w:t>
            </w:r>
            <w:r>
              <w:rPr>
                <w:spacing w:val="16"/>
                <w:sz w:val="21"/>
              </w:rPr>
              <w:t xml:space="preserve"> 无齿轮带动</w:t>
            </w:r>
            <w:r>
              <w:rPr>
                <w:sz w:val="21"/>
              </w:rPr>
              <w:t>）</w:t>
            </w:r>
            <w:r>
              <w:rPr>
                <w:spacing w:val="-70"/>
                <w:sz w:val="21"/>
              </w:rPr>
              <w:t xml:space="preserve"> </w:t>
            </w:r>
            <w:r>
              <w:rPr>
                <w:sz w:val="21"/>
              </w:rPr>
              <w:t>0.3rpm，</w:t>
            </w:r>
            <w:r>
              <w:rPr>
                <w:spacing w:val="-70"/>
                <w:sz w:val="21"/>
              </w:rPr>
              <w:t xml:space="preserve"> </w:t>
            </w:r>
            <w:r>
              <w:rPr>
                <w:sz w:val="21"/>
              </w:rPr>
              <w:t>0.6rpm，</w:t>
            </w:r>
            <w:r>
              <w:rPr>
                <w:spacing w:val="-70"/>
                <w:sz w:val="21"/>
              </w:rPr>
              <w:t xml:space="preserve"> </w:t>
            </w:r>
            <w:r>
              <w:rPr>
                <w:sz w:val="21"/>
              </w:rPr>
              <w:t xml:space="preserve">1.5rpm， </w:t>
            </w:r>
            <w:r>
              <w:rPr>
                <w:spacing w:val="-2"/>
                <w:sz w:val="21"/>
              </w:rPr>
              <w:t>3rpm，6rpm，12rpm，30rpm，60rpm；</w:t>
            </w:r>
          </w:p>
          <w:p>
            <w:pPr>
              <w:pStyle w:val="TableParagraph"/>
              <w:spacing w:line="256" w:lineRule="exact"/>
              <w:ind w:left="5"/>
              <w:rPr>
                <w:sz w:val="21"/>
              </w:rPr>
            </w:pPr>
            <w:r>
              <w:rPr>
                <w:sz w:val="21"/>
              </w:rPr>
              <w:t>3.</w:t>
            </w:r>
            <w:r>
              <w:rPr>
                <w:spacing w:val="-11"/>
                <w:sz w:val="21"/>
              </w:rPr>
              <w:t xml:space="preserve">转子数量 </w:t>
            </w:r>
            <w:r>
              <w:rPr>
                <w:sz w:val="21"/>
              </w:rPr>
              <w:t>4</w:t>
            </w:r>
            <w:r>
              <w:rPr>
                <w:spacing w:val="-18"/>
                <w:sz w:val="21"/>
              </w:rPr>
              <w:t xml:space="preserve"> 种 </w:t>
            </w:r>
            <w:r>
              <w:rPr>
                <w:sz w:val="21"/>
              </w:rPr>
              <w:t>(0</w:t>
            </w:r>
            <w:r>
              <w:rPr>
                <w:spacing w:val="-8"/>
                <w:sz w:val="21"/>
              </w:rPr>
              <w:t xml:space="preserve"> 号转子为选配件)；</w:t>
            </w:r>
          </w:p>
          <w:p>
            <w:pPr>
              <w:pStyle w:val="TableParagraph"/>
              <w:spacing w:line="371" w:lineRule="exact"/>
              <w:ind w:left="5"/>
              <w:rPr>
                <w:sz w:val="21"/>
              </w:rPr>
            </w:pPr>
            <w:r>
              <w:rPr>
                <w:rFonts w:ascii="Microsoft JhengHei" w:eastAsia="Microsoft JhengHei" w:hAnsi="Microsoft JhengHei"/>
                <w:b/>
                <w:spacing w:val="-4"/>
                <w:sz w:val="21"/>
              </w:rPr>
              <w:t>*4</w:t>
            </w:r>
            <w:r>
              <w:rPr>
                <w:spacing w:val="-4"/>
                <w:sz w:val="21"/>
              </w:rPr>
              <w:t>.测量精度±2.0%；</w:t>
            </w:r>
          </w:p>
          <w:p>
            <w:pPr>
              <w:pStyle w:val="TableParagraph"/>
              <w:spacing w:line="266" w:lineRule="exact"/>
              <w:ind w:left="5"/>
              <w:rPr>
                <w:sz w:val="21"/>
              </w:rPr>
            </w:pPr>
            <w:r>
              <w:rPr>
                <w:sz w:val="21"/>
              </w:rPr>
              <w:t>5</w:t>
            </w:r>
            <w:r>
              <w:rPr>
                <w:spacing w:val="-11"/>
                <w:sz w:val="21"/>
              </w:rPr>
              <w:t xml:space="preserve">、重现性 </w:t>
            </w:r>
            <w:r>
              <w:rPr>
                <w:sz w:val="21"/>
              </w:rPr>
              <w:t>0.5%</w:t>
            </w:r>
            <w:r>
              <w:rPr>
                <w:spacing w:val="-10"/>
                <w:sz w:val="21"/>
              </w:rPr>
              <w:t>。</w:t>
            </w:r>
          </w:p>
        </w:tc>
        <w:tc>
          <w:tcPr>
            <w:tcW w:w="879" w:type="dxa"/>
          </w:tcPr>
          <w:p>
            <w:pPr>
              <w:pStyle w:val="TableParagraph"/>
              <w:rPr>
                <w:rFonts w:ascii="Microsoft JhengHei"/>
                <w:b/>
                <w:sz w:val="22"/>
              </w:rPr>
            </w:pPr>
          </w:p>
          <w:p>
            <w:pPr>
              <w:pStyle w:val="TableParagraph"/>
              <w:spacing w:before="6"/>
              <w:rPr>
                <w:rFonts w:ascii="Microsoft JhengHei"/>
                <w:b/>
                <w:sz w:val="21"/>
              </w:rPr>
            </w:pPr>
          </w:p>
          <w:p>
            <w:pPr>
              <w:pStyle w:val="TableParagraph"/>
              <w:ind w:left="10"/>
              <w:jc w:val="center"/>
              <w:rPr>
                <w:sz w:val="22"/>
              </w:rPr>
            </w:pPr>
            <w:r>
              <w:rPr>
                <w:sz w:val="22"/>
              </w:rPr>
              <w:t>1</w:t>
            </w:r>
          </w:p>
        </w:tc>
      </w:tr>
    </w:tbl>
    <w:p>
      <w:pPr>
        <w:spacing w:after="0"/>
        <w:jc w:val="center"/>
        <w:rPr>
          <w:sz w:val="22"/>
        </w:rPr>
        <w:sectPr>
          <w:headerReference w:type="default" r:id="rId28"/>
          <w:footerReference w:type="default" r:id="rId29"/>
          <w:type w:val="continuous"/>
          <w:pgSz w:w="11910" w:h="16840"/>
          <w:pgMar w:top="1920" w:right="560" w:bottom="280" w:left="840" w:header="879" w:footer="971"/>
          <w:pgNumType w:start="11"/>
          <w:cols w:space="708"/>
        </w:sectPr>
      </w:pPr>
    </w:p>
    <w:p>
      <w:pPr>
        <w:pStyle w:val="BodyText"/>
        <w:spacing w:before="8"/>
        <w:rPr>
          <w:rFonts w:ascii="Microsoft JhengHei"/>
          <w:b/>
          <w:sz w:val="2"/>
        </w:rPr>
      </w:pPr>
    </w:p>
    <w:tbl>
      <w:tblPr>
        <w:tblStyle w:val="TableNormal3"/>
        <w:tblW w:w="0" w:type="auto"/>
        <w:jc w:val="left"/>
        <w:tblInd w:w="2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85"/>
        <w:gridCol w:w="2135"/>
        <w:gridCol w:w="123"/>
        <w:gridCol w:w="1224"/>
        <w:gridCol w:w="518"/>
        <w:gridCol w:w="711"/>
        <w:gridCol w:w="1034"/>
        <w:gridCol w:w="501"/>
        <w:gridCol w:w="1444"/>
        <w:gridCol w:w="94"/>
        <w:gridCol w:w="787"/>
      </w:tblGrid>
      <w:tr>
        <w:tblPrEx>
          <w:tblW w:w="0" w:type="auto"/>
          <w:jc w:val="left"/>
          <w:tblInd w:w="2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09"/>
          <w:jc w:val="left"/>
        </w:trPr>
        <w:tc>
          <w:tcPr>
            <w:tcW w:w="1085" w:type="dxa"/>
            <w:vMerge w:val="restart"/>
            <w:tcBorders>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4"/>
              <w:rPr>
                <w:rFonts w:ascii="Microsoft JhengHei"/>
                <w:b/>
                <w:sz w:val="10"/>
              </w:rPr>
            </w:pPr>
          </w:p>
          <w:p>
            <w:pPr>
              <w:pStyle w:val="TableParagraph"/>
              <w:ind w:left="10"/>
              <w:jc w:val="center"/>
              <w:rPr>
                <w:sz w:val="21"/>
              </w:rPr>
            </w:pPr>
            <w:r>
              <w:rPr>
                <w:sz w:val="21"/>
              </w:rPr>
              <w:t>6</w:t>
            </w:r>
          </w:p>
        </w:tc>
        <w:tc>
          <w:tcPr>
            <w:tcW w:w="2135" w:type="dxa"/>
            <w:vMerge w:val="restart"/>
            <w:tcBorders>
              <w:top w:val="single" w:sz="12"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4"/>
              <w:rPr>
                <w:rFonts w:ascii="Microsoft JhengHei"/>
                <w:b/>
                <w:sz w:val="10"/>
              </w:rPr>
            </w:pPr>
          </w:p>
          <w:p>
            <w:pPr>
              <w:pStyle w:val="TableParagraph"/>
              <w:ind w:left="542"/>
              <w:rPr>
                <w:sz w:val="21"/>
              </w:rPr>
            </w:pPr>
            <w:r>
              <w:rPr>
                <w:spacing w:val="-2"/>
                <w:sz w:val="21"/>
              </w:rPr>
              <w:t>偏光显微镜</w:t>
            </w:r>
          </w:p>
        </w:tc>
        <w:tc>
          <w:tcPr>
            <w:tcW w:w="5555" w:type="dxa"/>
            <w:gridSpan w:val="7"/>
            <w:tcBorders>
              <w:top w:val="single" w:sz="12" w:space="0" w:color="000000"/>
              <w:left w:val="single" w:sz="4" w:space="0" w:color="000000"/>
              <w:bottom w:val="single" w:sz="8" w:space="0" w:color="000000"/>
              <w:right w:val="single" w:sz="4" w:space="0" w:color="000000"/>
            </w:tcBorders>
          </w:tcPr>
          <w:p>
            <w:pPr>
              <w:pStyle w:val="TableParagraph"/>
              <w:spacing w:before="20"/>
              <w:ind w:left="5"/>
              <w:rPr>
                <w:sz w:val="21"/>
              </w:rPr>
            </w:pPr>
            <w:r>
              <w:rPr>
                <w:sz w:val="21"/>
              </w:rPr>
              <w:t>1.</w:t>
            </w:r>
            <w:r>
              <w:rPr>
                <w:spacing w:val="-4"/>
                <w:sz w:val="21"/>
              </w:rPr>
              <w:t xml:space="preserve"> 目镜</w:t>
            </w:r>
          </w:p>
        </w:tc>
        <w:tc>
          <w:tcPr>
            <w:tcW w:w="881" w:type="dxa"/>
            <w:gridSpan w:val="2"/>
            <w:tcBorders>
              <w:top w:val="single" w:sz="12" w:space="0" w:color="000000"/>
              <w:left w:val="single" w:sz="4" w:space="0" w:color="000000"/>
              <w:bottom w:val="nil"/>
              <w:right w:val="single" w:sz="4" w:space="0" w:color="000000"/>
            </w:tcBorders>
          </w:tcPr>
          <w:p>
            <w:pPr>
              <w:pStyle w:val="TableParagraph"/>
              <w:rPr>
                <w:rFonts w:ascii="Times New Roman"/>
                <w:sz w:val="20"/>
              </w:rPr>
            </w:pPr>
          </w:p>
        </w:tc>
      </w:tr>
      <w:tr>
        <w:tblPrEx>
          <w:tblW w:w="0" w:type="auto"/>
          <w:jc w:val="left"/>
          <w:tblInd w:w="289" w:type="dxa"/>
          <w:tblLayout w:type="fixed"/>
          <w:tblCellMar>
            <w:top w:w="0" w:type="dxa"/>
            <w:left w:w="0" w:type="dxa"/>
            <w:bottom w:w="0" w:type="dxa"/>
            <w:right w:w="0" w:type="dxa"/>
          </w:tblCellMar>
          <w:tblLook w:val="01E0"/>
        </w:tblPrEx>
        <w:trPr>
          <w:trHeight w:val="307"/>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val="restart"/>
            <w:tcBorders>
              <w:top w:val="nil"/>
              <w:left w:val="single" w:sz="4" w:space="0" w:color="000000"/>
              <w:bottom w:val="nil"/>
              <w:right w:val="single" w:sz="8" w:space="0" w:color="000000"/>
            </w:tcBorders>
          </w:tcPr>
          <w:p>
            <w:pPr>
              <w:pStyle w:val="TableParagraph"/>
              <w:rPr>
                <w:rFonts w:ascii="Times New Roman"/>
                <w:sz w:val="20"/>
              </w:rPr>
            </w:pPr>
          </w:p>
        </w:tc>
        <w:tc>
          <w:tcPr>
            <w:tcW w:w="1742" w:type="dxa"/>
            <w:gridSpan w:val="2"/>
            <w:tcBorders>
              <w:top w:val="single" w:sz="8" w:space="0" w:color="000000"/>
              <w:left w:val="single" w:sz="8" w:space="0" w:color="000000"/>
              <w:bottom w:val="single" w:sz="8" w:space="0" w:color="ECE9D8"/>
              <w:right w:val="single" w:sz="8" w:space="0" w:color="ECE9D8"/>
            </w:tcBorders>
          </w:tcPr>
          <w:p>
            <w:pPr>
              <w:pStyle w:val="TableParagraph"/>
              <w:tabs>
                <w:tab w:val="left" w:pos="1023"/>
              </w:tabs>
              <w:spacing w:before="23" w:line="264" w:lineRule="exact"/>
              <w:ind w:left="498"/>
              <w:rPr>
                <w:sz w:val="21"/>
              </w:rPr>
            </w:pPr>
            <w:r>
              <w:rPr>
                <w:spacing w:val="-10"/>
                <w:sz w:val="21"/>
              </w:rPr>
              <w:t>类</w:t>
            </w:r>
            <w:r>
              <w:rPr>
                <w:sz w:val="21"/>
              </w:rPr>
              <w:tab/>
            </w:r>
            <w:r>
              <w:rPr>
                <w:spacing w:val="-10"/>
                <w:sz w:val="21"/>
              </w:rPr>
              <w:t>别</w:t>
            </w:r>
          </w:p>
        </w:tc>
        <w:tc>
          <w:tcPr>
            <w:tcW w:w="1745" w:type="dxa"/>
            <w:gridSpan w:val="2"/>
            <w:tcBorders>
              <w:top w:val="single" w:sz="8" w:space="0" w:color="000000"/>
              <w:left w:val="single" w:sz="8" w:space="0" w:color="ECE9D8"/>
              <w:bottom w:val="single" w:sz="8" w:space="0" w:color="ECE9D8"/>
              <w:right w:val="single" w:sz="8" w:space="0" w:color="ECE9D8"/>
            </w:tcBorders>
          </w:tcPr>
          <w:p>
            <w:pPr>
              <w:pStyle w:val="TableParagraph"/>
              <w:spacing w:before="23" w:line="264" w:lineRule="exact"/>
              <w:ind w:left="447"/>
              <w:rPr>
                <w:sz w:val="21"/>
              </w:rPr>
            </w:pPr>
            <w:r>
              <w:rPr>
                <w:spacing w:val="-3"/>
                <w:sz w:val="21"/>
              </w:rPr>
              <w:t>放大倍数</w:t>
            </w:r>
          </w:p>
        </w:tc>
        <w:tc>
          <w:tcPr>
            <w:tcW w:w="1945" w:type="dxa"/>
            <w:gridSpan w:val="2"/>
            <w:tcBorders>
              <w:top w:val="single" w:sz="8" w:space="0" w:color="000000"/>
              <w:left w:val="single" w:sz="8" w:space="0" w:color="ECE9D8"/>
              <w:bottom w:val="single" w:sz="8" w:space="0" w:color="ECE9D8"/>
              <w:right w:val="single" w:sz="4" w:space="0" w:color="000000"/>
            </w:tcBorders>
          </w:tcPr>
          <w:p>
            <w:pPr>
              <w:pStyle w:val="TableParagraph"/>
              <w:spacing w:before="23" w:line="264" w:lineRule="exact"/>
              <w:ind w:left="485"/>
              <w:rPr>
                <w:sz w:val="21"/>
              </w:rPr>
            </w:pPr>
            <w:r>
              <w:rPr>
                <w:sz w:val="21"/>
              </w:rPr>
              <w:t>视场</w:t>
            </w:r>
            <w:r>
              <w:rPr>
                <w:spacing w:val="-4"/>
                <w:sz w:val="21"/>
              </w:rPr>
              <w:t>（mm）</w:t>
            </w:r>
          </w:p>
        </w:tc>
        <w:tc>
          <w:tcPr>
            <w:tcW w:w="94" w:type="dxa"/>
            <w:tcBorders>
              <w:top w:val="single" w:sz="8" w:space="0" w:color="000000"/>
              <w:left w:val="single" w:sz="4" w:space="0" w:color="000000"/>
              <w:bottom w:val="single" w:sz="8" w:space="0" w:color="ECE9D8"/>
              <w:right w:val="single" w:sz="8" w:space="0" w:color="000000"/>
            </w:tcBorders>
          </w:tcPr>
          <w:p>
            <w:pPr>
              <w:pStyle w:val="TableParagraph"/>
              <w:rPr>
                <w:rFonts w:ascii="Times New Roman"/>
                <w:sz w:val="20"/>
              </w:rPr>
            </w:pPr>
          </w:p>
        </w:tc>
        <w:tc>
          <w:tcPr>
            <w:tcW w:w="787" w:type="dxa"/>
            <w:vMerge w:val="restart"/>
            <w:tcBorders>
              <w:top w:val="nil"/>
              <w:left w:val="single" w:sz="8" w:space="0" w:color="000000"/>
              <w:bottom w:val="nil"/>
              <w:right w:val="single" w:sz="4" w:space="0" w:color="000000"/>
            </w:tcBorders>
          </w:tcPr>
          <w:p>
            <w:pPr>
              <w:pStyle w:val="TableParagraph"/>
              <w:rPr>
                <w:rFonts w:ascii="Times New Roman"/>
                <w:sz w:val="20"/>
              </w:rPr>
            </w:pPr>
          </w:p>
        </w:tc>
      </w:tr>
      <w:tr>
        <w:tblPrEx>
          <w:tblW w:w="0" w:type="auto"/>
          <w:jc w:val="left"/>
          <w:tblInd w:w="289" w:type="dxa"/>
          <w:tblLayout w:type="fixed"/>
          <w:tblCellMar>
            <w:top w:w="0" w:type="dxa"/>
            <w:left w:w="0" w:type="dxa"/>
            <w:bottom w:w="0" w:type="dxa"/>
            <w:right w:w="0" w:type="dxa"/>
          </w:tblCellMar>
          <w:tblLook w:val="01E0"/>
        </w:tblPrEx>
        <w:trPr>
          <w:trHeight w:val="312"/>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742" w:type="dxa"/>
            <w:gridSpan w:val="2"/>
            <w:tcBorders>
              <w:top w:val="single" w:sz="8" w:space="0" w:color="ECE9D8"/>
              <w:left w:val="single" w:sz="8" w:space="0" w:color="000000"/>
              <w:bottom w:val="single" w:sz="8" w:space="0" w:color="ECE9D8"/>
              <w:right w:val="single" w:sz="8" w:space="0" w:color="ECE9D8"/>
            </w:tcBorders>
          </w:tcPr>
          <w:p>
            <w:pPr>
              <w:pStyle w:val="TableParagraph"/>
              <w:spacing w:before="28" w:line="264" w:lineRule="exact"/>
              <w:ind w:left="446"/>
              <w:rPr>
                <w:sz w:val="21"/>
              </w:rPr>
            </w:pPr>
            <w:r>
              <w:rPr>
                <w:spacing w:val="-3"/>
                <w:sz w:val="21"/>
              </w:rPr>
              <w:t>十字目镜</w:t>
            </w:r>
          </w:p>
        </w:tc>
        <w:tc>
          <w:tcPr>
            <w:tcW w:w="174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697" w:right="688"/>
              <w:jc w:val="center"/>
              <w:rPr>
                <w:sz w:val="21"/>
              </w:rPr>
            </w:pPr>
            <w:r>
              <w:rPr>
                <w:spacing w:val="-5"/>
                <w:sz w:val="21"/>
              </w:rPr>
              <w:t>10X</w:t>
            </w:r>
          </w:p>
        </w:tc>
        <w:tc>
          <w:tcPr>
            <w:tcW w:w="1945" w:type="dxa"/>
            <w:gridSpan w:val="2"/>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790" w:right="695"/>
              <w:jc w:val="center"/>
              <w:rPr>
                <w:sz w:val="21"/>
              </w:rPr>
            </w:pPr>
            <w:r>
              <w:rPr>
                <w:spacing w:val="-5"/>
                <w:sz w:val="21"/>
              </w:rPr>
              <w:t>φ18</w:t>
            </w:r>
          </w:p>
        </w:tc>
        <w:tc>
          <w:tcPr>
            <w:tcW w:w="94"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787" w:type="dxa"/>
            <w:vMerge/>
            <w:tcBorders>
              <w:top w:val="nil"/>
              <w:left w:val="single" w:sz="8" w:space="0" w:color="000000"/>
              <w:bottom w:val="nil"/>
              <w:right w:val="single" w:sz="4" w:space="0" w:color="000000"/>
            </w:tcBorders>
          </w:tcPr>
          <w:p>
            <w:pPr>
              <w:rPr>
                <w:sz w:val="2"/>
                <w:szCs w:val="2"/>
              </w:rPr>
            </w:pPr>
          </w:p>
        </w:tc>
      </w:tr>
      <w:tr>
        <w:tblPrEx>
          <w:tblW w:w="0" w:type="auto"/>
          <w:jc w:val="left"/>
          <w:tblInd w:w="289" w:type="dxa"/>
          <w:tblLayout w:type="fixed"/>
          <w:tblCellMar>
            <w:top w:w="0" w:type="dxa"/>
            <w:left w:w="0" w:type="dxa"/>
            <w:bottom w:w="0" w:type="dxa"/>
            <w:right w:w="0" w:type="dxa"/>
          </w:tblCellMar>
          <w:tblLook w:val="01E0"/>
        </w:tblPrEx>
        <w:trPr>
          <w:trHeight w:val="317"/>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742" w:type="dxa"/>
            <w:gridSpan w:val="2"/>
            <w:tcBorders>
              <w:top w:val="single" w:sz="8" w:space="0" w:color="ECE9D8"/>
              <w:left w:val="single" w:sz="8" w:space="0" w:color="000000"/>
              <w:bottom w:val="single" w:sz="8" w:space="0" w:color="000000"/>
              <w:right w:val="single" w:sz="8" w:space="0" w:color="ECE9D8"/>
            </w:tcBorders>
          </w:tcPr>
          <w:p>
            <w:pPr>
              <w:pStyle w:val="TableParagraph"/>
              <w:spacing w:before="28"/>
              <w:ind w:left="446"/>
              <w:rPr>
                <w:sz w:val="21"/>
              </w:rPr>
            </w:pPr>
            <w:r>
              <w:rPr>
                <w:spacing w:val="-3"/>
                <w:sz w:val="21"/>
              </w:rPr>
              <w:t>分划目镜</w:t>
            </w:r>
          </w:p>
        </w:tc>
        <w:tc>
          <w:tcPr>
            <w:tcW w:w="1745" w:type="dxa"/>
            <w:gridSpan w:val="2"/>
            <w:tcBorders>
              <w:top w:val="single" w:sz="8" w:space="0" w:color="ECE9D8"/>
              <w:left w:val="single" w:sz="8" w:space="0" w:color="ECE9D8"/>
              <w:bottom w:val="single" w:sz="8" w:space="0" w:color="000000"/>
              <w:right w:val="single" w:sz="8" w:space="0" w:color="ECE9D8"/>
            </w:tcBorders>
          </w:tcPr>
          <w:p>
            <w:pPr>
              <w:pStyle w:val="TableParagraph"/>
              <w:spacing w:before="28"/>
              <w:ind w:left="697" w:right="688"/>
              <w:jc w:val="center"/>
              <w:rPr>
                <w:sz w:val="21"/>
              </w:rPr>
            </w:pPr>
            <w:r>
              <w:rPr>
                <w:spacing w:val="-5"/>
                <w:sz w:val="21"/>
              </w:rPr>
              <w:t>10X</w:t>
            </w:r>
          </w:p>
        </w:tc>
        <w:tc>
          <w:tcPr>
            <w:tcW w:w="1945" w:type="dxa"/>
            <w:gridSpan w:val="2"/>
            <w:tcBorders>
              <w:top w:val="single" w:sz="8" w:space="0" w:color="ECE9D8"/>
              <w:left w:val="single" w:sz="8" w:space="0" w:color="ECE9D8"/>
              <w:bottom w:val="single" w:sz="8" w:space="0" w:color="000000"/>
              <w:right w:val="single" w:sz="4" w:space="0" w:color="000000"/>
            </w:tcBorders>
          </w:tcPr>
          <w:p>
            <w:pPr>
              <w:pStyle w:val="TableParagraph"/>
              <w:spacing w:before="28"/>
              <w:ind w:left="790" w:right="695"/>
              <w:jc w:val="center"/>
              <w:rPr>
                <w:sz w:val="21"/>
              </w:rPr>
            </w:pPr>
            <w:r>
              <w:rPr>
                <w:spacing w:val="-5"/>
                <w:sz w:val="21"/>
              </w:rPr>
              <w:t>φ18</w:t>
            </w:r>
          </w:p>
        </w:tc>
        <w:tc>
          <w:tcPr>
            <w:tcW w:w="94" w:type="dxa"/>
            <w:tcBorders>
              <w:top w:val="single" w:sz="8" w:space="0" w:color="ECE9D8"/>
              <w:left w:val="single" w:sz="4" w:space="0" w:color="000000"/>
              <w:bottom w:val="single" w:sz="8" w:space="0" w:color="000000"/>
              <w:right w:val="single" w:sz="8" w:space="0" w:color="000000"/>
            </w:tcBorders>
          </w:tcPr>
          <w:p>
            <w:pPr>
              <w:pStyle w:val="TableParagraph"/>
              <w:rPr>
                <w:rFonts w:ascii="Times New Roman"/>
                <w:sz w:val="20"/>
              </w:rPr>
            </w:pPr>
          </w:p>
        </w:tc>
        <w:tc>
          <w:tcPr>
            <w:tcW w:w="787" w:type="dxa"/>
            <w:vMerge/>
            <w:tcBorders>
              <w:top w:val="nil"/>
              <w:left w:val="single" w:sz="8" w:space="0" w:color="000000"/>
              <w:bottom w:val="nil"/>
              <w:right w:val="single" w:sz="4" w:space="0" w:color="000000"/>
            </w:tcBorders>
          </w:tcPr>
          <w:p>
            <w:pPr>
              <w:rPr>
                <w:sz w:val="2"/>
                <w:szCs w:val="2"/>
              </w:rPr>
            </w:pPr>
          </w:p>
        </w:tc>
      </w:tr>
      <w:tr>
        <w:tblPrEx>
          <w:tblW w:w="0" w:type="auto"/>
          <w:jc w:val="left"/>
          <w:tblInd w:w="289" w:type="dxa"/>
          <w:tblLayout w:type="fixed"/>
          <w:tblCellMar>
            <w:top w:w="0" w:type="dxa"/>
            <w:left w:w="0" w:type="dxa"/>
            <w:bottom w:w="0" w:type="dxa"/>
            <w:right w:w="0" w:type="dxa"/>
          </w:tblCellMar>
          <w:tblLook w:val="01E0"/>
        </w:tblPrEx>
        <w:trPr>
          <w:trHeight w:val="272"/>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5555" w:type="dxa"/>
            <w:gridSpan w:val="7"/>
            <w:tcBorders>
              <w:top w:val="single" w:sz="8" w:space="0" w:color="000000"/>
              <w:left w:val="single" w:sz="4" w:space="0" w:color="000000"/>
              <w:bottom w:val="single" w:sz="8" w:space="0" w:color="000000"/>
              <w:right w:val="single" w:sz="4" w:space="0" w:color="000000"/>
            </w:tcBorders>
          </w:tcPr>
          <w:p>
            <w:pPr>
              <w:pStyle w:val="TableParagraph"/>
              <w:spacing w:before="3" w:line="249" w:lineRule="exact"/>
              <w:ind w:left="5"/>
              <w:rPr>
                <w:sz w:val="21"/>
              </w:rPr>
            </w:pPr>
            <w:r>
              <w:rPr>
                <w:sz w:val="21"/>
              </w:rPr>
              <w:t>2.</w:t>
            </w:r>
            <w:r>
              <w:rPr>
                <w:spacing w:val="-4"/>
                <w:sz w:val="21"/>
              </w:rPr>
              <w:t xml:space="preserve"> 物镜</w:t>
            </w:r>
          </w:p>
        </w:tc>
        <w:tc>
          <w:tcPr>
            <w:tcW w:w="881" w:type="dxa"/>
            <w:gridSpan w:val="2"/>
            <w:tcBorders>
              <w:top w:val="nil"/>
              <w:left w:val="single" w:sz="4" w:space="0" w:color="000000"/>
              <w:bottom w:val="nil"/>
              <w:right w:val="single" w:sz="4" w:space="0" w:color="000000"/>
            </w:tcBorders>
          </w:tcPr>
          <w:p>
            <w:pPr>
              <w:pStyle w:val="TableParagraph"/>
              <w:rPr>
                <w:rFonts w:ascii="Times New Roman"/>
                <w:sz w:val="20"/>
              </w:rPr>
            </w:pPr>
          </w:p>
        </w:tc>
      </w:tr>
      <w:tr>
        <w:tblPrEx>
          <w:tblW w:w="0" w:type="auto"/>
          <w:jc w:val="left"/>
          <w:tblInd w:w="289" w:type="dxa"/>
          <w:tblLayout w:type="fixed"/>
          <w:tblCellMar>
            <w:top w:w="0" w:type="dxa"/>
            <w:left w:w="0" w:type="dxa"/>
            <w:bottom w:w="0" w:type="dxa"/>
            <w:right w:w="0" w:type="dxa"/>
          </w:tblCellMar>
          <w:tblLook w:val="01E0"/>
        </w:tblPrEx>
        <w:trPr>
          <w:trHeight w:val="307"/>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val="restart"/>
            <w:tcBorders>
              <w:top w:val="nil"/>
              <w:left w:val="single" w:sz="4" w:space="0" w:color="000000"/>
              <w:bottom w:val="nil"/>
              <w:right w:val="single" w:sz="8" w:space="0" w:color="000000"/>
            </w:tcBorders>
          </w:tcPr>
          <w:p>
            <w:pPr>
              <w:pStyle w:val="TableParagraph"/>
              <w:rPr>
                <w:rFonts w:ascii="Times New Roman"/>
                <w:sz w:val="20"/>
              </w:rPr>
            </w:pPr>
          </w:p>
        </w:tc>
        <w:tc>
          <w:tcPr>
            <w:tcW w:w="1224" w:type="dxa"/>
            <w:tcBorders>
              <w:top w:val="single" w:sz="8" w:space="0" w:color="000000"/>
              <w:left w:val="single" w:sz="8" w:space="0" w:color="000000"/>
              <w:bottom w:val="single" w:sz="8" w:space="0" w:color="ECE9D8"/>
              <w:right w:val="single" w:sz="8" w:space="0" w:color="ECE9D8"/>
            </w:tcBorders>
          </w:tcPr>
          <w:p>
            <w:pPr>
              <w:pStyle w:val="TableParagraph"/>
              <w:spacing w:before="23" w:line="264" w:lineRule="exact"/>
              <w:ind w:left="397"/>
              <w:rPr>
                <w:sz w:val="21"/>
              </w:rPr>
            </w:pPr>
            <w:r>
              <w:rPr>
                <w:spacing w:val="-5"/>
                <w:sz w:val="21"/>
              </w:rPr>
              <w:t>类别</w:t>
            </w:r>
          </w:p>
        </w:tc>
        <w:tc>
          <w:tcPr>
            <w:tcW w:w="1229" w:type="dxa"/>
            <w:gridSpan w:val="2"/>
            <w:tcBorders>
              <w:top w:val="single" w:sz="8" w:space="0" w:color="000000"/>
              <w:left w:val="single" w:sz="8" w:space="0" w:color="ECE9D8"/>
              <w:bottom w:val="single" w:sz="8" w:space="0" w:color="ECE9D8"/>
              <w:right w:val="single" w:sz="8" w:space="0" w:color="ECE9D8"/>
            </w:tcBorders>
          </w:tcPr>
          <w:p>
            <w:pPr>
              <w:pStyle w:val="TableParagraph"/>
              <w:spacing w:before="23" w:line="264" w:lineRule="exact"/>
              <w:ind w:left="190"/>
              <w:rPr>
                <w:sz w:val="21"/>
              </w:rPr>
            </w:pPr>
            <w:r>
              <w:rPr>
                <w:spacing w:val="-3"/>
                <w:sz w:val="21"/>
              </w:rPr>
              <w:t>放大倍数</w:t>
            </w:r>
          </w:p>
        </w:tc>
        <w:tc>
          <w:tcPr>
            <w:tcW w:w="1535" w:type="dxa"/>
            <w:gridSpan w:val="2"/>
            <w:tcBorders>
              <w:top w:val="single" w:sz="8" w:space="0" w:color="000000"/>
              <w:left w:val="single" w:sz="8" w:space="0" w:color="ECE9D8"/>
              <w:bottom w:val="single" w:sz="8" w:space="0" w:color="ECE9D8"/>
              <w:right w:val="single" w:sz="8" w:space="0" w:color="ECE9D8"/>
            </w:tcBorders>
          </w:tcPr>
          <w:p>
            <w:pPr>
              <w:pStyle w:val="TableParagraph"/>
              <w:spacing w:before="23" w:line="264" w:lineRule="exact"/>
              <w:ind w:left="341"/>
              <w:rPr>
                <w:sz w:val="21"/>
              </w:rPr>
            </w:pPr>
            <w:r>
              <w:rPr>
                <w:spacing w:val="-3"/>
                <w:sz w:val="21"/>
              </w:rPr>
              <w:t>数值孔径</w:t>
            </w:r>
          </w:p>
        </w:tc>
        <w:tc>
          <w:tcPr>
            <w:tcW w:w="1444" w:type="dxa"/>
            <w:tcBorders>
              <w:top w:val="single" w:sz="8" w:space="0" w:color="000000"/>
              <w:left w:val="single" w:sz="8" w:space="0" w:color="ECE9D8"/>
              <w:bottom w:val="single" w:sz="8" w:space="0" w:color="ECE9D8"/>
              <w:right w:val="single" w:sz="4" w:space="0" w:color="000000"/>
            </w:tcBorders>
          </w:tcPr>
          <w:p>
            <w:pPr>
              <w:pStyle w:val="TableParagraph"/>
              <w:spacing w:before="23" w:line="264" w:lineRule="exact"/>
              <w:ind w:left="327" w:right="233"/>
              <w:jc w:val="center"/>
              <w:rPr>
                <w:sz w:val="21"/>
              </w:rPr>
            </w:pPr>
            <w:r>
              <w:rPr>
                <w:spacing w:val="-3"/>
                <w:sz w:val="21"/>
              </w:rPr>
              <w:t>工作距离</w:t>
            </w:r>
          </w:p>
        </w:tc>
        <w:tc>
          <w:tcPr>
            <w:tcW w:w="94" w:type="dxa"/>
            <w:tcBorders>
              <w:top w:val="single" w:sz="8" w:space="0" w:color="000000"/>
              <w:left w:val="single" w:sz="4" w:space="0" w:color="000000"/>
              <w:bottom w:val="single" w:sz="8" w:space="0" w:color="ECE9D8"/>
              <w:right w:val="single" w:sz="8" w:space="0" w:color="000000"/>
            </w:tcBorders>
          </w:tcPr>
          <w:p>
            <w:pPr>
              <w:pStyle w:val="TableParagraph"/>
              <w:rPr>
                <w:rFonts w:ascii="Times New Roman"/>
                <w:sz w:val="20"/>
              </w:rPr>
            </w:pPr>
          </w:p>
        </w:tc>
        <w:tc>
          <w:tcPr>
            <w:tcW w:w="787" w:type="dxa"/>
            <w:vMerge w:val="restart"/>
            <w:tcBorders>
              <w:top w:val="nil"/>
              <w:left w:val="single" w:sz="8" w:space="0" w:color="000000"/>
              <w:bottom w:val="nil"/>
              <w:right w:val="single" w:sz="4" w:space="0" w:color="000000"/>
            </w:tcBorders>
          </w:tcPr>
          <w:p>
            <w:pPr>
              <w:pStyle w:val="TableParagraph"/>
              <w:rPr>
                <w:rFonts w:ascii="Microsoft JhengHei"/>
                <w:b/>
                <w:sz w:val="22"/>
              </w:rPr>
            </w:pPr>
          </w:p>
          <w:p>
            <w:pPr>
              <w:pStyle w:val="TableParagraph"/>
              <w:rPr>
                <w:rFonts w:ascii="Microsoft JhengHei"/>
                <w:b/>
                <w:sz w:val="22"/>
              </w:rPr>
            </w:pPr>
          </w:p>
          <w:p>
            <w:pPr>
              <w:pStyle w:val="TableParagraph"/>
              <w:spacing w:before="16"/>
              <w:rPr>
                <w:rFonts w:ascii="Microsoft JhengHei"/>
                <w:b/>
                <w:sz w:val="17"/>
              </w:rPr>
            </w:pPr>
          </w:p>
          <w:p>
            <w:pPr>
              <w:pStyle w:val="TableParagraph"/>
              <w:spacing w:before="1"/>
              <w:ind w:right="97"/>
              <w:jc w:val="center"/>
              <w:rPr>
                <w:sz w:val="22"/>
              </w:rPr>
            </w:pPr>
            <w:r>
              <w:rPr>
                <w:sz w:val="22"/>
              </w:rPr>
              <w:t>1</w:t>
            </w:r>
          </w:p>
        </w:tc>
      </w:tr>
      <w:tr>
        <w:tblPrEx>
          <w:tblW w:w="0" w:type="auto"/>
          <w:jc w:val="left"/>
          <w:tblInd w:w="289" w:type="dxa"/>
          <w:tblLayout w:type="fixed"/>
          <w:tblCellMar>
            <w:top w:w="0" w:type="dxa"/>
            <w:left w:w="0" w:type="dxa"/>
            <w:bottom w:w="0" w:type="dxa"/>
            <w:right w:w="0" w:type="dxa"/>
          </w:tblCellMar>
          <w:tblLook w:val="01E0"/>
        </w:tblPrEx>
        <w:trPr>
          <w:trHeight w:val="312"/>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224" w:type="dxa"/>
            <w:vMerge w:val="restart"/>
            <w:tcBorders>
              <w:top w:val="single" w:sz="8" w:space="0" w:color="ECE9D8"/>
              <w:left w:val="single" w:sz="8" w:space="0" w:color="000000"/>
              <w:bottom w:val="single" w:sz="8" w:space="0" w:color="000000"/>
              <w:right w:val="single" w:sz="8" w:space="0" w:color="ECE9D8"/>
            </w:tcBorders>
          </w:tcPr>
          <w:p>
            <w:pPr>
              <w:pStyle w:val="TableParagraph"/>
              <w:spacing w:before="9"/>
              <w:rPr>
                <w:rFonts w:ascii="Microsoft JhengHei"/>
                <w:b/>
                <w:sz w:val="21"/>
              </w:rPr>
            </w:pPr>
          </w:p>
          <w:p>
            <w:pPr>
              <w:pStyle w:val="TableParagraph"/>
              <w:spacing w:before="1" w:line="528" w:lineRule="auto"/>
              <w:ind w:left="502" w:right="489"/>
              <w:jc w:val="center"/>
              <w:rPr>
                <w:sz w:val="21"/>
              </w:rPr>
            </w:pPr>
            <w:r>
              <w:rPr>
                <w:spacing w:val="-10"/>
                <w:sz w:val="21"/>
              </w:rPr>
              <w:t>物</w:t>
            </w:r>
            <w:r>
              <w:rPr>
                <w:spacing w:val="-10"/>
                <w:sz w:val="21"/>
              </w:rPr>
              <w:t>镜</w:t>
            </w:r>
          </w:p>
        </w:tc>
        <w:tc>
          <w:tcPr>
            <w:tcW w:w="1229"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440" w:right="429"/>
              <w:jc w:val="center"/>
              <w:rPr>
                <w:sz w:val="21"/>
              </w:rPr>
            </w:pPr>
            <w:r>
              <w:rPr>
                <w:spacing w:val="-5"/>
                <w:sz w:val="21"/>
              </w:rPr>
              <w:t>4X</w:t>
            </w:r>
          </w:p>
        </w:tc>
        <w:tc>
          <w:tcPr>
            <w:tcW w:w="153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539" w:right="532"/>
              <w:jc w:val="center"/>
              <w:rPr>
                <w:sz w:val="21"/>
              </w:rPr>
            </w:pPr>
            <w:r>
              <w:rPr>
                <w:spacing w:val="-4"/>
                <w:sz w:val="21"/>
              </w:rPr>
              <w:t>0.10</w:t>
            </w:r>
          </w:p>
        </w:tc>
        <w:tc>
          <w:tcPr>
            <w:tcW w:w="1444" w:type="dxa"/>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327" w:right="233"/>
              <w:jc w:val="center"/>
              <w:rPr>
                <w:sz w:val="21"/>
              </w:rPr>
            </w:pPr>
            <w:r>
              <w:rPr>
                <w:spacing w:val="-4"/>
                <w:sz w:val="21"/>
              </w:rPr>
              <w:t>7.80</w:t>
            </w:r>
          </w:p>
        </w:tc>
        <w:tc>
          <w:tcPr>
            <w:tcW w:w="94"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787" w:type="dxa"/>
            <w:vMerge/>
            <w:tcBorders>
              <w:top w:val="nil"/>
              <w:left w:val="single" w:sz="8" w:space="0" w:color="000000"/>
              <w:bottom w:val="nil"/>
              <w:right w:val="single" w:sz="4" w:space="0" w:color="000000"/>
            </w:tcBorders>
          </w:tcPr>
          <w:p>
            <w:pPr>
              <w:rPr>
                <w:sz w:val="2"/>
                <w:szCs w:val="2"/>
              </w:rPr>
            </w:pPr>
          </w:p>
        </w:tc>
      </w:tr>
      <w:tr>
        <w:tblPrEx>
          <w:tblW w:w="0" w:type="auto"/>
          <w:jc w:val="left"/>
          <w:tblInd w:w="289" w:type="dxa"/>
          <w:tblLayout w:type="fixed"/>
          <w:tblCellMar>
            <w:top w:w="0" w:type="dxa"/>
            <w:left w:w="0" w:type="dxa"/>
            <w:bottom w:w="0" w:type="dxa"/>
            <w:right w:w="0" w:type="dxa"/>
          </w:tblCellMar>
          <w:tblLook w:val="01E0"/>
        </w:tblPrEx>
        <w:trPr>
          <w:trHeight w:val="312"/>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224" w:type="dxa"/>
            <w:vMerge/>
            <w:tcBorders>
              <w:top w:val="nil"/>
              <w:left w:val="single" w:sz="8" w:space="0" w:color="000000"/>
              <w:bottom w:val="single" w:sz="8" w:space="0" w:color="000000"/>
              <w:right w:val="single" w:sz="8" w:space="0" w:color="ECE9D8"/>
            </w:tcBorders>
          </w:tcPr>
          <w:p>
            <w:pPr>
              <w:rPr>
                <w:sz w:val="2"/>
                <w:szCs w:val="2"/>
              </w:rPr>
            </w:pPr>
          </w:p>
        </w:tc>
        <w:tc>
          <w:tcPr>
            <w:tcW w:w="1229"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440" w:right="429"/>
              <w:jc w:val="center"/>
              <w:rPr>
                <w:sz w:val="21"/>
              </w:rPr>
            </w:pPr>
            <w:r>
              <w:rPr>
                <w:spacing w:val="-5"/>
                <w:sz w:val="21"/>
              </w:rPr>
              <w:t>10X</w:t>
            </w:r>
          </w:p>
        </w:tc>
        <w:tc>
          <w:tcPr>
            <w:tcW w:w="153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539" w:right="532"/>
              <w:jc w:val="center"/>
              <w:rPr>
                <w:sz w:val="21"/>
              </w:rPr>
            </w:pPr>
            <w:r>
              <w:rPr>
                <w:spacing w:val="-4"/>
                <w:sz w:val="21"/>
              </w:rPr>
              <w:t>0.25</w:t>
            </w:r>
          </w:p>
        </w:tc>
        <w:tc>
          <w:tcPr>
            <w:tcW w:w="1444" w:type="dxa"/>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327" w:right="233"/>
              <w:jc w:val="center"/>
              <w:rPr>
                <w:sz w:val="21"/>
              </w:rPr>
            </w:pPr>
            <w:r>
              <w:rPr>
                <w:spacing w:val="-5"/>
                <w:sz w:val="21"/>
              </w:rPr>
              <w:t>4.7</w:t>
            </w:r>
          </w:p>
        </w:tc>
        <w:tc>
          <w:tcPr>
            <w:tcW w:w="94"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787" w:type="dxa"/>
            <w:vMerge/>
            <w:tcBorders>
              <w:top w:val="nil"/>
              <w:left w:val="single" w:sz="8" w:space="0" w:color="000000"/>
              <w:bottom w:val="nil"/>
              <w:right w:val="single" w:sz="4" w:space="0" w:color="000000"/>
            </w:tcBorders>
          </w:tcPr>
          <w:p>
            <w:pPr>
              <w:rPr>
                <w:sz w:val="2"/>
                <w:szCs w:val="2"/>
              </w:rPr>
            </w:pPr>
          </w:p>
        </w:tc>
      </w:tr>
      <w:tr>
        <w:tblPrEx>
          <w:tblW w:w="0" w:type="auto"/>
          <w:jc w:val="left"/>
          <w:tblInd w:w="289" w:type="dxa"/>
          <w:tblLayout w:type="fixed"/>
          <w:tblCellMar>
            <w:top w:w="0" w:type="dxa"/>
            <w:left w:w="0" w:type="dxa"/>
            <w:bottom w:w="0" w:type="dxa"/>
            <w:right w:w="0" w:type="dxa"/>
          </w:tblCellMar>
          <w:tblLook w:val="01E0"/>
        </w:tblPrEx>
        <w:trPr>
          <w:trHeight w:val="311"/>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224" w:type="dxa"/>
            <w:vMerge/>
            <w:tcBorders>
              <w:top w:val="nil"/>
              <w:left w:val="single" w:sz="8" w:space="0" w:color="000000"/>
              <w:bottom w:val="single" w:sz="8" w:space="0" w:color="000000"/>
              <w:right w:val="single" w:sz="8" w:space="0" w:color="ECE9D8"/>
            </w:tcBorders>
          </w:tcPr>
          <w:p>
            <w:pPr>
              <w:rPr>
                <w:sz w:val="2"/>
                <w:szCs w:val="2"/>
              </w:rPr>
            </w:pPr>
          </w:p>
        </w:tc>
        <w:tc>
          <w:tcPr>
            <w:tcW w:w="1229"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440" w:right="429"/>
              <w:jc w:val="center"/>
              <w:rPr>
                <w:sz w:val="21"/>
              </w:rPr>
            </w:pPr>
            <w:r>
              <w:rPr>
                <w:spacing w:val="-5"/>
                <w:sz w:val="21"/>
              </w:rPr>
              <w:t>25X</w:t>
            </w:r>
          </w:p>
        </w:tc>
        <w:tc>
          <w:tcPr>
            <w:tcW w:w="153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539" w:right="532"/>
              <w:jc w:val="center"/>
              <w:rPr>
                <w:sz w:val="21"/>
              </w:rPr>
            </w:pPr>
            <w:r>
              <w:rPr>
                <w:spacing w:val="-4"/>
                <w:sz w:val="21"/>
              </w:rPr>
              <w:t>0.40</w:t>
            </w:r>
          </w:p>
        </w:tc>
        <w:tc>
          <w:tcPr>
            <w:tcW w:w="1444" w:type="dxa"/>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327" w:right="233"/>
              <w:jc w:val="center"/>
              <w:rPr>
                <w:sz w:val="21"/>
              </w:rPr>
            </w:pPr>
            <w:r>
              <w:rPr>
                <w:spacing w:val="-4"/>
                <w:sz w:val="21"/>
              </w:rPr>
              <w:t>1.75</w:t>
            </w:r>
          </w:p>
        </w:tc>
        <w:tc>
          <w:tcPr>
            <w:tcW w:w="94"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787" w:type="dxa"/>
            <w:vMerge/>
            <w:tcBorders>
              <w:top w:val="nil"/>
              <w:left w:val="single" w:sz="8" w:space="0" w:color="000000"/>
              <w:bottom w:val="nil"/>
              <w:right w:val="single" w:sz="4" w:space="0" w:color="000000"/>
            </w:tcBorders>
          </w:tcPr>
          <w:p>
            <w:pPr>
              <w:rPr>
                <w:sz w:val="2"/>
                <w:szCs w:val="2"/>
              </w:rPr>
            </w:pPr>
          </w:p>
        </w:tc>
      </w:tr>
      <w:tr>
        <w:tblPrEx>
          <w:tblW w:w="0" w:type="auto"/>
          <w:jc w:val="left"/>
          <w:tblInd w:w="289" w:type="dxa"/>
          <w:tblLayout w:type="fixed"/>
          <w:tblCellMar>
            <w:top w:w="0" w:type="dxa"/>
            <w:left w:w="0" w:type="dxa"/>
            <w:bottom w:w="0" w:type="dxa"/>
            <w:right w:w="0" w:type="dxa"/>
          </w:tblCellMar>
          <w:tblLook w:val="01E0"/>
        </w:tblPrEx>
        <w:trPr>
          <w:trHeight w:val="311"/>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224" w:type="dxa"/>
            <w:vMerge/>
            <w:tcBorders>
              <w:top w:val="nil"/>
              <w:left w:val="single" w:sz="8" w:space="0" w:color="000000"/>
              <w:bottom w:val="single" w:sz="8" w:space="0" w:color="000000"/>
              <w:right w:val="single" w:sz="8" w:space="0" w:color="ECE9D8"/>
            </w:tcBorders>
          </w:tcPr>
          <w:p>
            <w:pPr>
              <w:rPr>
                <w:sz w:val="2"/>
                <w:szCs w:val="2"/>
              </w:rPr>
            </w:pPr>
          </w:p>
        </w:tc>
        <w:tc>
          <w:tcPr>
            <w:tcW w:w="1229"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440" w:right="429"/>
              <w:jc w:val="center"/>
              <w:rPr>
                <w:sz w:val="21"/>
              </w:rPr>
            </w:pPr>
            <w:r>
              <w:rPr>
                <w:spacing w:val="-5"/>
                <w:sz w:val="21"/>
              </w:rPr>
              <w:t>40X</w:t>
            </w:r>
          </w:p>
        </w:tc>
        <w:tc>
          <w:tcPr>
            <w:tcW w:w="153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539" w:right="532"/>
              <w:jc w:val="center"/>
              <w:rPr>
                <w:sz w:val="21"/>
              </w:rPr>
            </w:pPr>
            <w:r>
              <w:rPr>
                <w:spacing w:val="-4"/>
                <w:sz w:val="21"/>
              </w:rPr>
              <w:t>0.65</w:t>
            </w:r>
          </w:p>
        </w:tc>
        <w:tc>
          <w:tcPr>
            <w:tcW w:w="1444" w:type="dxa"/>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327" w:right="233"/>
              <w:jc w:val="center"/>
              <w:rPr>
                <w:sz w:val="21"/>
              </w:rPr>
            </w:pPr>
            <w:r>
              <w:rPr>
                <w:spacing w:val="-4"/>
                <w:sz w:val="21"/>
              </w:rPr>
              <w:t>1.72</w:t>
            </w:r>
          </w:p>
        </w:tc>
        <w:tc>
          <w:tcPr>
            <w:tcW w:w="94"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787" w:type="dxa"/>
            <w:vMerge/>
            <w:tcBorders>
              <w:top w:val="nil"/>
              <w:left w:val="single" w:sz="8" w:space="0" w:color="000000"/>
              <w:bottom w:val="nil"/>
              <w:right w:val="single" w:sz="4" w:space="0" w:color="000000"/>
            </w:tcBorders>
          </w:tcPr>
          <w:p>
            <w:pPr>
              <w:rPr>
                <w:sz w:val="2"/>
                <w:szCs w:val="2"/>
              </w:rPr>
            </w:pPr>
          </w:p>
        </w:tc>
      </w:tr>
      <w:tr>
        <w:tblPrEx>
          <w:tblW w:w="0" w:type="auto"/>
          <w:jc w:val="left"/>
          <w:tblInd w:w="289" w:type="dxa"/>
          <w:tblLayout w:type="fixed"/>
          <w:tblCellMar>
            <w:top w:w="0" w:type="dxa"/>
            <w:left w:w="0" w:type="dxa"/>
            <w:bottom w:w="0" w:type="dxa"/>
            <w:right w:w="0" w:type="dxa"/>
          </w:tblCellMar>
          <w:tblLook w:val="01E0"/>
        </w:tblPrEx>
        <w:trPr>
          <w:trHeight w:val="316"/>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224" w:type="dxa"/>
            <w:vMerge/>
            <w:tcBorders>
              <w:top w:val="nil"/>
              <w:left w:val="single" w:sz="8" w:space="0" w:color="000000"/>
              <w:bottom w:val="single" w:sz="8" w:space="0" w:color="000000"/>
              <w:right w:val="single" w:sz="8" w:space="0" w:color="ECE9D8"/>
            </w:tcBorders>
          </w:tcPr>
          <w:p>
            <w:pPr>
              <w:rPr>
                <w:sz w:val="2"/>
                <w:szCs w:val="2"/>
              </w:rPr>
            </w:pPr>
          </w:p>
        </w:tc>
        <w:tc>
          <w:tcPr>
            <w:tcW w:w="1229" w:type="dxa"/>
            <w:gridSpan w:val="2"/>
            <w:tcBorders>
              <w:top w:val="single" w:sz="8" w:space="0" w:color="ECE9D8"/>
              <w:left w:val="single" w:sz="8" w:space="0" w:color="ECE9D8"/>
              <w:bottom w:val="single" w:sz="8" w:space="0" w:color="000000"/>
              <w:right w:val="single" w:sz="8" w:space="0" w:color="ECE9D8"/>
            </w:tcBorders>
          </w:tcPr>
          <w:p>
            <w:pPr>
              <w:pStyle w:val="TableParagraph"/>
              <w:spacing w:before="28"/>
              <w:ind w:left="440" w:right="429"/>
              <w:jc w:val="center"/>
              <w:rPr>
                <w:sz w:val="21"/>
              </w:rPr>
            </w:pPr>
            <w:r>
              <w:rPr>
                <w:spacing w:val="-5"/>
                <w:sz w:val="21"/>
              </w:rPr>
              <w:t>63X</w:t>
            </w:r>
          </w:p>
        </w:tc>
        <w:tc>
          <w:tcPr>
            <w:tcW w:w="1535" w:type="dxa"/>
            <w:gridSpan w:val="2"/>
            <w:tcBorders>
              <w:top w:val="single" w:sz="8" w:space="0" w:color="ECE9D8"/>
              <w:left w:val="single" w:sz="8" w:space="0" w:color="ECE9D8"/>
              <w:bottom w:val="single" w:sz="8" w:space="0" w:color="000000"/>
              <w:right w:val="single" w:sz="8" w:space="0" w:color="ECE9D8"/>
            </w:tcBorders>
          </w:tcPr>
          <w:p>
            <w:pPr>
              <w:pStyle w:val="TableParagraph"/>
              <w:spacing w:before="28"/>
              <w:ind w:left="539" w:right="532"/>
              <w:jc w:val="center"/>
              <w:rPr>
                <w:sz w:val="21"/>
              </w:rPr>
            </w:pPr>
            <w:r>
              <w:rPr>
                <w:spacing w:val="-4"/>
                <w:sz w:val="21"/>
              </w:rPr>
              <w:t>0.85</w:t>
            </w:r>
          </w:p>
        </w:tc>
        <w:tc>
          <w:tcPr>
            <w:tcW w:w="1444" w:type="dxa"/>
            <w:tcBorders>
              <w:top w:val="single" w:sz="8" w:space="0" w:color="ECE9D8"/>
              <w:left w:val="single" w:sz="8" w:space="0" w:color="ECE9D8"/>
              <w:bottom w:val="single" w:sz="8" w:space="0" w:color="000000"/>
              <w:right w:val="single" w:sz="4" w:space="0" w:color="000000"/>
            </w:tcBorders>
          </w:tcPr>
          <w:p>
            <w:pPr>
              <w:pStyle w:val="TableParagraph"/>
              <w:spacing w:before="28"/>
              <w:ind w:left="327" w:right="233"/>
              <w:jc w:val="center"/>
              <w:rPr>
                <w:sz w:val="21"/>
              </w:rPr>
            </w:pPr>
            <w:r>
              <w:rPr>
                <w:spacing w:val="-4"/>
                <w:sz w:val="21"/>
              </w:rPr>
              <w:t>0.18</w:t>
            </w:r>
          </w:p>
        </w:tc>
        <w:tc>
          <w:tcPr>
            <w:tcW w:w="94" w:type="dxa"/>
            <w:tcBorders>
              <w:top w:val="single" w:sz="8" w:space="0" w:color="ECE9D8"/>
              <w:left w:val="single" w:sz="4" w:space="0" w:color="000000"/>
              <w:bottom w:val="single" w:sz="8" w:space="0" w:color="000000"/>
              <w:right w:val="single" w:sz="8" w:space="0" w:color="000000"/>
            </w:tcBorders>
          </w:tcPr>
          <w:p>
            <w:pPr>
              <w:pStyle w:val="TableParagraph"/>
              <w:rPr>
                <w:rFonts w:ascii="Times New Roman"/>
                <w:sz w:val="20"/>
              </w:rPr>
            </w:pPr>
          </w:p>
        </w:tc>
        <w:tc>
          <w:tcPr>
            <w:tcW w:w="787" w:type="dxa"/>
            <w:vMerge/>
            <w:tcBorders>
              <w:top w:val="nil"/>
              <w:left w:val="single" w:sz="8" w:space="0" w:color="000000"/>
              <w:bottom w:val="nil"/>
              <w:right w:val="single" w:sz="4" w:space="0" w:color="000000"/>
            </w:tcBorders>
          </w:tcPr>
          <w:p>
            <w:pPr>
              <w:rPr>
                <w:sz w:val="2"/>
                <w:szCs w:val="2"/>
              </w:rPr>
            </w:pPr>
          </w:p>
        </w:tc>
      </w:tr>
      <w:tr>
        <w:tblPrEx>
          <w:tblW w:w="0" w:type="auto"/>
          <w:jc w:val="left"/>
          <w:tblInd w:w="289" w:type="dxa"/>
          <w:tblLayout w:type="fixed"/>
          <w:tblCellMar>
            <w:top w:w="0" w:type="dxa"/>
            <w:left w:w="0" w:type="dxa"/>
            <w:bottom w:w="0" w:type="dxa"/>
            <w:right w:w="0" w:type="dxa"/>
          </w:tblCellMar>
          <w:tblLook w:val="01E0"/>
        </w:tblPrEx>
        <w:trPr>
          <w:trHeight w:val="2183"/>
          <w:jc w:val="left"/>
        </w:trPr>
        <w:tc>
          <w:tcPr>
            <w:tcW w:w="1085" w:type="dxa"/>
            <w:vMerge/>
            <w:tcBorders>
              <w:top w:val="nil"/>
              <w:left w:val="single" w:sz="4" w:space="0" w:color="000000"/>
              <w:bottom w:val="single" w:sz="4" w:space="0" w:color="000000"/>
              <w:right w:val="single" w:sz="4" w:space="0" w:color="000000"/>
            </w:tcBorders>
          </w:tcPr>
          <w:p>
            <w:pPr>
              <w:rPr>
                <w:sz w:val="2"/>
                <w:szCs w:val="2"/>
              </w:rPr>
            </w:pPr>
          </w:p>
        </w:tc>
        <w:tc>
          <w:tcPr>
            <w:tcW w:w="2135" w:type="dxa"/>
            <w:vMerge/>
            <w:tcBorders>
              <w:top w:val="nil"/>
              <w:left w:val="single" w:sz="4" w:space="0" w:color="000000"/>
              <w:bottom w:val="single" w:sz="4" w:space="0" w:color="000000"/>
              <w:right w:val="single" w:sz="4" w:space="0" w:color="000000"/>
            </w:tcBorders>
          </w:tcPr>
          <w:p>
            <w:pPr>
              <w:rPr>
                <w:sz w:val="2"/>
                <w:szCs w:val="2"/>
              </w:rPr>
            </w:pPr>
          </w:p>
        </w:tc>
        <w:tc>
          <w:tcPr>
            <w:tcW w:w="5555" w:type="dxa"/>
            <w:gridSpan w:val="7"/>
            <w:tcBorders>
              <w:top w:val="single" w:sz="8" w:space="0" w:color="000000"/>
              <w:left w:val="single" w:sz="4" w:space="0" w:color="000000"/>
              <w:bottom w:val="single" w:sz="4" w:space="0" w:color="000000"/>
              <w:right w:val="single" w:sz="4" w:space="0" w:color="000000"/>
            </w:tcBorders>
          </w:tcPr>
          <w:p>
            <w:pPr>
              <w:pStyle w:val="TableParagraph"/>
              <w:spacing w:line="338" w:lineRule="exact"/>
              <w:ind w:left="215"/>
              <w:rPr>
                <w:sz w:val="21"/>
              </w:rPr>
            </w:pPr>
            <w:r>
              <w:rPr>
                <w:rFonts w:ascii="Microsoft JhengHei" w:eastAsia="Microsoft JhengHei"/>
                <w:b/>
                <w:sz w:val="21"/>
              </w:rPr>
              <w:t>*</w:t>
            </w:r>
            <w:r>
              <w:rPr>
                <w:sz w:val="21"/>
              </w:rPr>
              <w:t>3.总放大倍数</w:t>
            </w:r>
            <w:r>
              <w:rPr>
                <w:spacing w:val="-2"/>
                <w:sz w:val="21"/>
              </w:rPr>
              <w:t>：40X～630X</w:t>
            </w:r>
          </w:p>
          <w:p>
            <w:pPr>
              <w:pStyle w:val="TableParagraph"/>
              <w:spacing w:line="253" w:lineRule="exact"/>
              <w:ind w:left="215"/>
              <w:rPr>
                <w:sz w:val="21"/>
              </w:rPr>
            </w:pPr>
            <w:r>
              <w:rPr>
                <w:sz w:val="21"/>
              </w:rPr>
              <w:t>4.</w:t>
            </w:r>
            <w:r>
              <w:rPr>
                <w:spacing w:val="-9"/>
                <w:sz w:val="21"/>
              </w:rPr>
              <w:t xml:space="preserve">试片:石膏 </w:t>
            </w:r>
            <w:r>
              <w:rPr>
                <w:sz w:val="21"/>
              </w:rPr>
              <w:t>1λ,</w:t>
            </w:r>
            <w:r>
              <w:rPr>
                <w:spacing w:val="-18"/>
                <w:sz w:val="21"/>
              </w:rPr>
              <w:t xml:space="preserve">云母 </w:t>
            </w:r>
            <w:r>
              <w:rPr>
                <w:sz w:val="21"/>
              </w:rPr>
              <w:t>1/4λ,</w:t>
            </w:r>
            <w:r>
              <w:rPr>
                <w:spacing w:val="-3"/>
                <w:sz w:val="21"/>
              </w:rPr>
              <w:t>石英楔子</w:t>
            </w:r>
          </w:p>
          <w:p>
            <w:pPr>
              <w:pStyle w:val="TableParagraph"/>
              <w:spacing w:line="371" w:lineRule="exact"/>
              <w:ind w:left="215"/>
              <w:rPr>
                <w:sz w:val="21"/>
              </w:rPr>
            </w:pPr>
            <w:r>
              <w:rPr>
                <w:rFonts w:ascii="Microsoft JhengHei" w:eastAsia="Microsoft JhengHei"/>
                <w:b/>
                <w:sz w:val="21"/>
              </w:rPr>
              <w:t>*</w:t>
            </w:r>
            <w:r>
              <w:rPr>
                <w:sz w:val="21"/>
              </w:rPr>
              <w:t>5.测微尺</w:t>
            </w:r>
            <w:r>
              <w:rPr>
                <w:spacing w:val="-2"/>
                <w:sz w:val="21"/>
              </w:rPr>
              <w:t>:0.01mm</w:t>
            </w:r>
          </w:p>
          <w:p>
            <w:pPr>
              <w:pStyle w:val="TableParagraph"/>
              <w:spacing w:line="253" w:lineRule="exact"/>
              <w:ind w:left="215"/>
              <w:rPr>
                <w:sz w:val="21"/>
              </w:rPr>
            </w:pPr>
            <w:r>
              <w:rPr>
                <w:sz w:val="21"/>
              </w:rPr>
              <w:t>6.</w:t>
            </w:r>
            <w:r>
              <w:rPr>
                <w:spacing w:val="-2"/>
                <w:sz w:val="21"/>
              </w:rPr>
              <w:t>滤色片:蓝色</w:t>
            </w:r>
          </w:p>
          <w:p>
            <w:pPr>
              <w:pStyle w:val="TableParagraph"/>
              <w:spacing w:line="371" w:lineRule="exact"/>
              <w:ind w:left="215"/>
              <w:rPr>
                <w:sz w:val="21"/>
              </w:rPr>
            </w:pPr>
            <w:r>
              <w:rPr>
                <w:rFonts w:ascii="Microsoft JhengHei" w:eastAsia="Microsoft JhengHei"/>
                <w:b/>
                <w:sz w:val="21"/>
              </w:rPr>
              <w:t>*</w:t>
            </w:r>
            <w:r>
              <w:rPr>
                <w:sz w:val="21"/>
              </w:rPr>
              <w:t>7.带座目镜网格</w:t>
            </w:r>
            <w:r>
              <w:rPr>
                <w:spacing w:val="-2"/>
                <w:sz w:val="21"/>
              </w:rPr>
              <w:t>:0.2mm</w:t>
            </w:r>
          </w:p>
          <w:p>
            <w:pPr>
              <w:pStyle w:val="TableParagraph"/>
              <w:spacing w:line="267" w:lineRule="exact"/>
              <w:ind w:left="215"/>
              <w:rPr>
                <w:sz w:val="21"/>
              </w:rPr>
            </w:pPr>
            <w:r>
              <w:rPr>
                <w:sz w:val="21"/>
              </w:rPr>
              <w:t>8.照明光源: 220V/0-6V</w:t>
            </w:r>
            <w:r>
              <w:rPr>
                <w:spacing w:val="-16"/>
                <w:sz w:val="21"/>
              </w:rPr>
              <w:t xml:space="preserve"> 变压器</w:t>
            </w:r>
          </w:p>
          <w:p>
            <w:pPr>
              <w:pStyle w:val="TableParagraph"/>
              <w:spacing w:before="43"/>
              <w:ind w:left="215"/>
              <w:rPr>
                <w:sz w:val="21"/>
              </w:rPr>
            </w:pPr>
            <w:r>
              <w:rPr>
                <w:sz w:val="21"/>
              </w:rPr>
              <w:t>9.灯泡</w:t>
            </w:r>
            <w:r>
              <w:rPr>
                <w:spacing w:val="-2"/>
                <w:sz w:val="21"/>
              </w:rPr>
              <w:t>：6V/15W</w:t>
            </w:r>
          </w:p>
        </w:tc>
        <w:tc>
          <w:tcPr>
            <w:tcW w:w="881" w:type="dxa"/>
            <w:gridSpan w:val="2"/>
            <w:tcBorders>
              <w:top w:val="nil"/>
              <w:left w:val="single" w:sz="4" w:space="0" w:color="000000"/>
              <w:bottom w:val="single" w:sz="4" w:space="0" w:color="000000"/>
              <w:right w:val="single" w:sz="4" w:space="0" w:color="000000"/>
            </w:tcBorders>
          </w:tcPr>
          <w:p>
            <w:pPr>
              <w:pStyle w:val="TableParagraph"/>
              <w:rPr>
                <w:rFonts w:ascii="Times New Roman"/>
                <w:sz w:val="20"/>
              </w:rPr>
            </w:pPr>
          </w:p>
        </w:tc>
      </w:tr>
      <w:tr>
        <w:tblPrEx>
          <w:tblW w:w="0" w:type="auto"/>
          <w:jc w:val="left"/>
          <w:tblInd w:w="289" w:type="dxa"/>
          <w:tblLayout w:type="fixed"/>
          <w:tblCellMar>
            <w:top w:w="0" w:type="dxa"/>
            <w:left w:w="0" w:type="dxa"/>
            <w:bottom w:w="0" w:type="dxa"/>
            <w:right w:w="0" w:type="dxa"/>
          </w:tblCellMar>
          <w:tblLook w:val="01E0"/>
        </w:tblPrEx>
        <w:trPr>
          <w:trHeight w:val="1115"/>
          <w:jc w:val="left"/>
        </w:trPr>
        <w:tc>
          <w:tcPr>
            <w:tcW w:w="1085"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Microsoft JhengHei"/>
                <w:b/>
                <w:sz w:val="23"/>
              </w:rPr>
            </w:pPr>
          </w:p>
          <w:p>
            <w:pPr>
              <w:pStyle w:val="TableParagraph"/>
              <w:ind w:left="489"/>
              <w:rPr>
                <w:sz w:val="21"/>
              </w:rPr>
            </w:pPr>
            <w:r>
              <w:rPr>
                <w:sz w:val="21"/>
              </w:rPr>
              <w:t>7</w:t>
            </w:r>
          </w:p>
        </w:tc>
        <w:tc>
          <w:tcPr>
            <w:tcW w:w="2135"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Microsoft JhengHei"/>
                <w:b/>
                <w:sz w:val="23"/>
              </w:rPr>
            </w:pPr>
          </w:p>
          <w:p>
            <w:pPr>
              <w:pStyle w:val="TableParagraph"/>
              <w:ind w:left="111" w:right="101"/>
              <w:jc w:val="center"/>
              <w:rPr>
                <w:sz w:val="21"/>
              </w:rPr>
            </w:pPr>
            <w:r>
              <w:rPr>
                <w:spacing w:val="-2"/>
                <w:sz w:val="21"/>
              </w:rPr>
              <w:t>雪花制冰机</w:t>
            </w:r>
          </w:p>
        </w:tc>
        <w:tc>
          <w:tcPr>
            <w:tcW w:w="5555" w:type="dxa"/>
            <w:gridSpan w:val="7"/>
            <w:tcBorders>
              <w:top w:val="single" w:sz="4" w:space="0" w:color="000000"/>
              <w:left w:val="single" w:sz="4" w:space="0" w:color="000000"/>
              <w:bottom w:val="single" w:sz="4" w:space="0" w:color="000000"/>
              <w:right w:val="single" w:sz="4" w:space="0" w:color="000000"/>
            </w:tcBorders>
          </w:tcPr>
          <w:p>
            <w:pPr>
              <w:pStyle w:val="TableParagraph"/>
              <w:spacing w:line="277" w:lineRule="exact"/>
              <w:ind w:left="5"/>
              <w:rPr>
                <w:sz w:val="21"/>
              </w:rPr>
            </w:pPr>
            <w:r>
              <w:rPr>
                <w:rFonts w:ascii="Microsoft JhengHei" w:eastAsia="Microsoft JhengHei"/>
                <w:b/>
                <w:color w:val="333333"/>
                <w:sz w:val="21"/>
              </w:rPr>
              <w:t>*</w:t>
            </w:r>
            <w:r>
              <w:rPr>
                <w:color w:val="333333"/>
                <w:sz w:val="21"/>
              </w:rPr>
              <w:t>制冰量</w:t>
            </w:r>
            <w:r>
              <w:rPr>
                <w:color w:val="333333"/>
                <w:spacing w:val="-2"/>
                <w:sz w:val="21"/>
              </w:rPr>
              <w:t>：20kg/24h；</w:t>
            </w:r>
          </w:p>
          <w:p>
            <w:pPr>
              <w:pStyle w:val="TableParagraph"/>
              <w:spacing w:line="307" w:lineRule="exact"/>
              <w:ind w:left="5"/>
              <w:rPr>
                <w:sz w:val="21"/>
              </w:rPr>
            </w:pPr>
            <w:r>
              <w:rPr>
                <w:rFonts w:ascii="Microsoft JhengHei" w:eastAsia="Microsoft JhengHei"/>
                <w:b/>
                <w:color w:val="333333"/>
                <w:sz w:val="21"/>
              </w:rPr>
              <w:t>*</w:t>
            </w:r>
            <w:r>
              <w:rPr>
                <w:color w:val="333333"/>
                <w:sz w:val="21"/>
              </w:rPr>
              <w:t>储冰量</w:t>
            </w:r>
            <w:r>
              <w:rPr>
                <w:color w:val="333333"/>
                <w:spacing w:val="-2"/>
                <w:sz w:val="21"/>
              </w:rPr>
              <w:t>：10kg；</w:t>
            </w:r>
          </w:p>
          <w:p>
            <w:pPr>
              <w:pStyle w:val="TableParagraph"/>
              <w:spacing w:line="247" w:lineRule="exact"/>
              <w:ind w:left="5" w:right="-15"/>
              <w:rPr>
                <w:sz w:val="21"/>
              </w:rPr>
            </w:pPr>
            <w:r>
              <w:rPr>
                <w:color w:val="333333"/>
                <w:spacing w:val="-2"/>
                <w:sz w:val="21"/>
              </w:rPr>
              <w:t>输入功率：180w；箱体外形尺寸：300×493×595</w:t>
            </w:r>
            <w:r>
              <w:rPr>
                <w:color w:val="333333"/>
                <w:spacing w:val="-4"/>
                <w:sz w:val="21"/>
              </w:rPr>
              <w:t>；包装外净</w:t>
            </w:r>
          </w:p>
          <w:p>
            <w:pPr>
              <w:pStyle w:val="TableParagraph"/>
              <w:spacing w:before="3" w:line="262" w:lineRule="exact"/>
              <w:ind w:left="5"/>
              <w:rPr>
                <w:sz w:val="21"/>
              </w:rPr>
            </w:pPr>
            <w:r>
              <w:rPr>
                <w:color w:val="333333"/>
                <w:sz w:val="21"/>
              </w:rPr>
              <w:t>尺寸：377×571×595</w:t>
            </w:r>
            <w:r>
              <w:rPr>
                <w:color w:val="333333"/>
                <w:spacing w:val="-10"/>
                <w:sz w:val="21"/>
              </w:rPr>
              <w:t>。</w:t>
            </w:r>
          </w:p>
        </w:tc>
        <w:tc>
          <w:tcPr>
            <w:tcW w:w="881"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4"/>
              <w:rPr>
                <w:rFonts w:ascii="Microsoft JhengHei"/>
                <w:b/>
                <w:sz w:val="22"/>
              </w:rPr>
            </w:pPr>
          </w:p>
          <w:p>
            <w:pPr>
              <w:pStyle w:val="TableParagraph"/>
              <w:ind w:right="3"/>
              <w:jc w:val="center"/>
              <w:rPr>
                <w:sz w:val="22"/>
              </w:rPr>
            </w:pPr>
            <w:r>
              <w:rPr>
                <w:sz w:val="22"/>
              </w:rPr>
              <w:t>1</w:t>
            </w:r>
          </w:p>
        </w:tc>
      </w:tr>
      <w:tr>
        <w:tblPrEx>
          <w:tblW w:w="0" w:type="auto"/>
          <w:jc w:val="left"/>
          <w:tblInd w:w="289" w:type="dxa"/>
          <w:tblLayout w:type="fixed"/>
          <w:tblCellMar>
            <w:top w:w="0" w:type="dxa"/>
            <w:left w:w="0" w:type="dxa"/>
            <w:bottom w:w="0" w:type="dxa"/>
            <w:right w:w="0" w:type="dxa"/>
          </w:tblCellMar>
          <w:tblLook w:val="01E0"/>
        </w:tblPrEx>
        <w:trPr>
          <w:trHeight w:val="3268"/>
          <w:jc w:val="left"/>
        </w:trPr>
        <w:tc>
          <w:tcPr>
            <w:tcW w:w="1085"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1"/>
              </w:rPr>
            </w:pPr>
          </w:p>
          <w:p>
            <w:pPr>
              <w:pStyle w:val="TableParagraph"/>
              <w:ind w:left="489"/>
              <w:rPr>
                <w:sz w:val="21"/>
              </w:rPr>
            </w:pPr>
            <w:r>
              <w:rPr>
                <w:sz w:val="21"/>
              </w:rPr>
              <w:t>8</w:t>
            </w:r>
          </w:p>
        </w:tc>
        <w:tc>
          <w:tcPr>
            <w:tcW w:w="2135"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1"/>
              </w:rPr>
            </w:pPr>
          </w:p>
          <w:p>
            <w:pPr>
              <w:pStyle w:val="TableParagraph"/>
              <w:ind w:left="111" w:right="101"/>
              <w:jc w:val="center"/>
              <w:rPr>
                <w:sz w:val="21"/>
              </w:rPr>
            </w:pPr>
            <w:r>
              <w:rPr>
                <w:spacing w:val="-2"/>
                <w:sz w:val="21"/>
              </w:rPr>
              <w:t>智能型实验室压片机</w:t>
            </w:r>
          </w:p>
        </w:tc>
        <w:tc>
          <w:tcPr>
            <w:tcW w:w="5555" w:type="dxa"/>
            <w:gridSpan w:val="7"/>
            <w:tcBorders>
              <w:top w:val="single" w:sz="4" w:space="0" w:color="000000"/>
              <w:left w:val="single" w:sz="4" w:space="0" w:color="000000"/>
              <w:bottom w:val="single" w:sz="4" w:space="0" w:color="000000"/>
              <w:right w:val="single" w:sz="4" w:space="0" w:color="000000"/>
            </w:tcBorders>
          </w:tcPr>
          <w:p>
            <w:pPr>
              <w:pStyle w:val="TableParagraph"/>
              <w:spacing w:before="3" w:line="242" w:lineRule="auto"/>
              <w:ind w:left="5" w:right="46"/>
              <w:rPr>
                <w:sz w:val="21"/>
              </w:rPr>
            </w:pPr>
            <w:r>
              <w:rPr>
                <w:color w:val="333333"/>
                <w:sz w:val="21"/>
              </w:rPr>
              <w:t>1、压片尺寸（可选其中二个）： 标配为 8mm,可另外定制 5mm,6mm, 8mm,9mm,11mm,13mm etc</w:t>
            </w:r>
          </w:p>
          <w:p>
            <w:pPr>
              <w:pStyle w:val="TableParagraph"/>
              <w:spacing w:before="1"/>
              <w:ind w:left="5" w:right="-116"/>
              <w:rPr>
                <w:sz w:val="21"/>
              </w:rPr>
            </w:pPr>
            <w:r>
              <w:rPr>
                <w:color w:val="333333"/>
                <w:spacing w:val="-2"/>
                <w:sz w:val="21"/>
              </w:rPr>
              <w:t>2</w:t>
            </w:r>
            <w:r>
              <w:rPr>
                <w:color w:val="333333"/>
                <w:spacing w:val="-12"/>
                <w:sz w:val="21"/>
              </w:rPr>
              <w:t>、压机速度：</w:t>
            </w:r>
            <w:r>
              <w:rPr>
                <w:color w:val="333333"/>
                <w:spacing w:val="-2"/>
                <w:sz w:val="21"/>
              </w:rPr>
              <w:t>10~140</w:t>
            </w:r>
            <w:r>
              <w:rPr>
                <w:color w:val="333333"/>
                <w:spacing w:val="-10"/>
                <w:sz w:val="21"/>
              </w:rPr>
              <w:t xml:space="preserve"> 片/分，可无极调速</w:t>
            </w:r>
            <w:r>
              <w:rPr>
                <w:color w:val="333333"/>
                <w:spacing w:val="-2"/>
                <w:sz w:val="21"/>
              </w:rPr>
              <w:t>（</w:t>
            </w:r>
            <w:r>
              <w:rPr>
                <w:color w:val="333333"/>
                <w:spacing w:val="-19"/>
                <w:sz w:val="21"/>
              </w:rPr>
              <w:t xml:space="preserve">使用 </w:t>
            </w:r>
            <w:r>
              <w:rPr>
                <w:color w:val="333333"/>
                <w:spacing w:val="-2"/>
                <w:sz w:val="21"/>
              </w:rPr>
              <w:t>8MM</w:t>
            </w:r>
            <w:r>
              <w:rPr>
                <w:color w:val="333333"/>
                <w:spacing w:val="-6"/>
                <w:sz w:val="21"/>
              </w:rPr>
              <w:t xml:space="preserve"> 模具时</w:t>
            </w:r>
            <w:r>
              <w:rPr>
                <w:color w:val="333333"/>
                <w:spacing w:val="-10"/>
                <w:sz w:val="21"/>
              </w:rPr>
              <w:t>）</w:t>
            </w:r>
          </w:p>
          <w:p>
            <w:pPr>
              <w:pStyle w:val="TableParagraph"/>
              <w:rPr>
                <w:rFonts w:ascii="Microsoft JhengHei"/>
                <w:b/>
                <w:sz w:val="15"/>
              </w:rPr>
            </w:pPr>
          </w:p>
          <w:p>
            <w:pPr>
              <w:pStyle w:val="TableParagraph"/>
              <w:ind w:left="5"/>
              <w:rPr>
                <w:sz w:val="21"/>
              </w:rPr>
            </w:pPr>
            <w:r>
              <w:rPr>
                <w:color w:val="333333"/>
                <w:sz w:val="21"/>
              </w:rPr>
              <w:t xml:space="preserve">3、机体：700×350×600 mm </w:t>
            </w:r>
            <w:r>
              <w:rPr>
                <w:color w:val="333333"/>
                <w:spacing w:val="-2"/>
                <w:sz w:val="21"/>
              </w:rPr>
              <w:t>(L*W*H)</w:t>
            </w:r>
          </w:p>
          <w:p>
            <w:pPr>
              <w:pStyle w:val="TableParagraph"/>
              <w:spacing w:before="3"/>
              <w:ind w:left="5"/>
              <w:rPr>
                <w:sz w:val="21"/>
              </w:rPr>
            </w:pPr>
            <w:r>
              <w:rPr>
                <w:color w:val="333333"/>
                <w:sz w:val="21"/>
              </w:rPr>
              <w:t>4、重量</w:t>
            </w:r>
            <w:r>
              <w:rPr>
                <w:color w:val="333333"/>
                <w:spacing w:val="-2"/>
                <w:sz w:val="21"/>
              </w:rPr>
              <w:t>：150kg</w:t>
            </w:r>
          </w:p>
          <w:p>
            <w:pPr>
              <w:pStyle w:val="TableParagraph"/>
              <w:spacing w:before="3" w:line="236" w:lineRule="exact"/>
              <w:ind w:left="5"/>
              <w:rPr>
                <w:sz w:val="21"/>
              </w:rPr>
            </w:pPr>
            <w:r>
              <w:rPr>
                <w:color w:val="333333"/>
                <w:sz w:val="21"/>
              </w:rPr>
              <w:t xml:space="preserve">5、电源：220/240v 50/60Hz </w:t>
            </w:r>
            <w:r>
              <w:rPr>
                <w:color w:val="333333"/>
                <w:spacing w:val="-4"/>
                <w:sz w:val="21"/>
              </w:rPr>
              <w:t>8amp</w:t>
            </w:r>
          </w:p>
          <w:p>
            <w:pPr>
              <w:pStyle w:val="TableParagraph"/>
              <w:spacing w:before="7" w:line="206" w:lineRule="auto"/>
              <w:ind w:left="5" w:right="3437"/>
              <w:rPr>
                <w:sz w:val="21"/>
              </w:rPr>
            </w:pPr>
            <w:r>
              <w:rPr>
                <w:rFonts w:ascii="Microsoft JhengHei" w:eastAsia="Microsoft JhengHei"/>
                <w:b/>
                <w:color w:val="333333"/>
                <w:spacing w:val="-2"/>
                <w:sz w:val="21"/>
              </w:rPr>
              <w:t>*</w:t>
            </w:r>
            <w:r>
              <w:rPr>
                <w:color w:val="333333"/>
                <w:spacing w:val="-2"/>
                <w:sz w:val="21"/>
              </w:rPr>
              <w:t>6、冲头压力</w:t>
            </w:r>
            <w:r>
              <w:rPr>
                <w:color w:val="333333"/>
                <w:spacing w:val="-2"/>
                <w:sz w:val="21"/>
              </w:rPr>
              <w:t>：4000KG 7、自带驱动电机</w:t>
            </w:r>
          </w:p>
          <w:p>
            <w:pPr>
              <w:pStyle w:val="TableParagraph"/>
              <w:spacing w:before="11"/>
              <w:ind w:left="5"/>
              <w:rPr>
                <w:sz w:val="21"/>
              </w:rPr>
            </w:pPr>
            <w:r>
              <w:rPr>
                <w:color w:val="333333"/>
                <w:sz w:val="21"/>
              </w:rPr>
              <w:t>8</w:t>
            </w:r>
            <w:r>
              <w:rPr>
                <w:color w:val="333333"/>
                <w:spacing w:val="-1"/>
                <w:sz w:val="21"/>
              </w:rPr>
              <w:t>、工作部位配有有机玻璃外罩，可实时观察工作状态</w:t>
            </w:r>
          </w:p>
          <w:p>
            <w:pPr>
              <w:pStyle w:val="TableParagraph"/>
              <w:spacing w:before="3" w:line="236" w:lineRule="exact"/>
              <w:ind w:left="5"/>
              <w:rPr>
                <w:sz w:val="21"/>
              </w:rPr>
            </w:pPr>
            <w:r>
              <w:rPr>
                <w:color w:val="333333"/>
                <w:sz w:val="21"/>
              </w:rPr>
              <w:t>9</w:t>
            </w:r>
            <w:r>
              <w:rPr>
                <w:color w:val="333333"/>
                <w:spacing w:val="-2"/>
                <w:sz w:val="21"/>
              </w:rPr>
              <w:t>、机体可移动</w:t>
            </w:r>
          </w:p>
          <w:p>
            <w:pPr>
              <w:pStyle w:val="TableParagraph"/>
              <w:spacing w:line="285" w:lineRule="exact"/>
              <w:ind w:left="5"/>
              <w:rPr>
                <w:sz w:val="21"/>
              </w:rPr>
            </w:pPr>
            <w:r>
              <w:rPr>
                <w:rFonts w:ascii="Microsoft JhengHei" w:eastAsia="Microsoft JhengHei"/>
                <w:b/>
                <w:color w:val="333333"/>
                <w:sz w:val="21"/>
              </w:rPr>
              <w:t>*</w:t>
            </w:r>
            <w:r>
              <w:rPr>
                <w:color w:val="333333"/>
                <w:sz w:val="21"/>
              </w:rPr>
              <w:t>10</w:t>
            </w:r>
            <w:r>
              <w:rPr>
                <w:color w:val="333333"/>
                <w:spacing w:val="-5"/>
                <w:sz w:val="21"/>
              </w:rPr>
              <w:t xml:space="preserve">、产品有专利认证和 </w:t>
            </w:r>
            <w:r>
              <w:rPr>
                <w:color w:val="333333"/>
                <w:sz w:val="21"/>
              </w:rPr>
              <w:t>CE</w:t>
            </w:r>
            <w:r>
              <w:rPr>
                <w:color w:val="333333"/>
                <w:spacing w:val="-20"/>
                <w:sz w:val="21"/>
              </w:rPr>
              <w:t xml:space="preserve"> 认证</w:t>
            </w:r>
          </w:p>
        </w:tc>
        <w:tc>
          <w:tcPr>
            <w:tcW w:w="881"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spacing w:before="5"/>
              <w:rPr>
                <w:rFonts w:ascii="Microsoft JhengHei"/>
                <w:b/>
                <w:sz w:val="15"/>
              </w:rPr>
            </w:pPr>
          </w:p>
          <w:p>
            <w:pPr>
              <w:pStyle w:val="TableParagraph"/>
              <w:ind w:right="3"/>
              <w:jc w:val="center"/>
              <w:rPr>
                <w:sz w:val="22"/>
              </w:rPr>
            </w:pPr>
            <w:r>
              <w:rPr>
                <w:sz w:val="22"/>
              </w:rPr>
              <w:t>1</w:t>
            </w:r>
          </w:p>
        </w:tc>
      </w:tr>
      <w:tr>
        <w:tblPrEx>
          <w:tblW w:w="0" w:type="auto"/>
          <w:jc w:val="left"/>
          <w:tblInd w:w="289" w:type="dxa"/>
          <w:tblLayout w:type="fixed"/>
          <w:tblCellMar>
            <w:top w:w="0" w:type="dxa"/>
            <w:left w:w="0" w:type="dxa"/>
            <w:bottom w:w="0" w:type="dxa"/>
            <w:right w:w="0" w:type="dxa"/>
          </w:tblCellMar>
          <w:tblLook w:val="01E0"/>
        </w:tblPrEx>
        <w:trPr>
          <w:trHeight w:val="1865"/>
          <w:jc w:val="left"/>
        </w:trPr>
        <w:tc>
          <w:tcPr>
            <w:tcW w:w="1085"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9"/>
              <w:rPr>
                <w:rFonts w:ascii="Microsoft JhengHei"/>
                <w:b/>
                <w:sz w:val="23"/>
              </w:rPr>
            </w:pPr>
          </w:p>
          <w:p>
            <w:pPr>
              <w:pStyle w:val="TableParagraph"/>
              <w:ind w:left="489"/>
              <w:rPr>
                <w:sz w:val="21"/>
              </w:rPr>
            </w:pPr>
            <w:r>
              <w:rPr>
                <w:sz w:val="21"/>
              </w:rPr>
              <w:t>9</w:t>
            </w:r>
          </w:p>
        </w:tc>
        <w:tc>
          <w:tcPr>
            <w:tcW w:w="2135"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9"/>
              <w:rPr>
                <w:rFonts w:ascii="Microsoft JhengHei"/>
                <w:b/>
                <w:sz w:val="23"/>
              </w:rPr>
            </w:pPr>
          </w:p>
          <w:p>
            <w:pPr>
              <w:pStyle w:val="TableParagraph"/>
              <w:ind w:left="111" w:right="101"/>
              <w:jc w:val="center"/>
              <w:rPr>
                <w:sz w:val="21"/>
              </w:rPr>
            </w:pPr>
            <w:r>
              <w:rPr>
                <w:spacing w:val="-3"/>
                <w:sz w:val="21"/>
              </w:rPr>
              <w:t>恒温水槽</w:t>
            </w:r>
          </w:p>
        </w:tc>
        <w:tc>
          <w:tcPr>
            <w:tcW w:w="5555" w:type="dxa"/>
            <w:gridSpan w:val="7"/>
            <w:tcBorders>
              <w:top w:val="single" w:sz="4" w:space="0" w:color="000000"/>
              <w:left w:val="single" w:sz="4" w:space="0" w:color="000000"/>
              <w:bottom w:val="single" w:sz="4" w:space="0" w:color="000000"/>
              <w:right w:val="single" w:sz="4" w:space="0" w:color="000000"/>
            </w:tcBorders>
          </w:tcPr>
          <w:p>
            <w:pPr>
              <w:pStyle w:val="TableParagraph"/>
              <w:spacing w:before="50" w:line="329" w:lineRule="exact"/>
              <w:ind w:left="5"/>
              <w:rPr>
                <w:sz w:val="21"/>
              </w:rPr>
            </w:pPr>
            <w:r>
              <w:rPr>
                <w:rFonts w:ascii="Microsoft JhengHei" w:eastAsia="Microsoft JhengHei"/>
                <w:b/>
                <w:color w:val="333333"/>
                <w:sz w:val="21"/>
              </w:rPr>
              <w:t>*</w:t>
            </w:r>
            <w:r>
              <w:rPr>
                <w:color w:val="333333"/>
                <w:sz w:val="21"/>
              </w:rPr>
              <w:t>1.</w:t>
            </w:r>
            <w:r>
              <w:rPr>
                <w:color w:val="333333"/>
                <w:spacing w:val="-1"/>
                <w:sz w:val="21"/>
              </w:rPr>
              <w:t>形式：数显式自动控温；</w:t>
            </w:r>
          </w:p>
          <w:p>
            <w:pPr>
              <w:pStyle w:val="TableParagraph"/>
              <w:spacing w:line="272" w:lineRule="exact"/>
              <w:ind w:left="5"/>
              <w:rPr>
                <w:sz w:val="21"/>
              </w:rPr>
            </w:pPr>
            <w:r>
              <w:rPr>
                <w:rFonts w:ascii="Microsoft JhengHei" w:eastAsia="Microsoft JhengHei" w:hAnsi="Microsoft JhengHei"/>
                <w:b/>
                <w:color w:val="333333"/>
                <w:sz w:val="21"/>
              </w:rPr>
              <w:t>*</w:t>
            </w:r>
            <w:r>
              <w:rPr>
                <w:color w:val="333333"/>
                <w:sz w:val="21"/>
              </w:rPr>
              <w:t>2.温度范围：室温</w:t>
            </w:r>
            <w:r>
              <w:rPr>
                <w:color w:val="333333"/>
                <w:spacing w:val="-2"/>
                <w:sz w:val="21"/>
              </w:rPr>
              <w:t>～100℃；</w:t>
            </w:r>
          </w:p>
          <w:p>
            <w:pPr>
              <w:pStyle w:val="TableParagraph"/>
              <w:spacing w:line="307" w:lineRule="exact"/>
              <w:ind w:left="5"/>
              <w:rPr>
                <w:sz w:val="21"/>
              </w:rPr>
            </w:pPr>
            <w:r>
              <w:rPr>
                <w:rFonts w:ascii="Microsoft JhengHei" w:eastAsia="Microsoft JhengHei" w:hAnsi="Microsoft JhengHei"/>
                <w:b/>
                <w:color w:val="333333"/>
                <w:sz w:val="21"/>
              </w:rPr>
              <w:t>*</w:t>
            </w:r>
            <w:r>
              <w:rPr>
                <w:color w:val="333333"/>
                <w:sz w:val="21"/>
              </w:rPr>
              <w:t>3.</w:t>
            </w:r>
            <w:r>
              <w:rPr>
                <w:color w:val="333333"/>
                <w:spacing w:val="1"/>
                <w:sz w:val="21"/>
              </w:rPr>
              <w:t xml:space="preserve">水温波动 </w:t>
            </w:r>
            <w:r>
              <w:rPr>
                <w:color w:val="333333"/>
                <w:spacing w:val="-2"/>
                <w:sz w:val="21"/>
              </w:rPr>
              <w:t>＜0.1℃；</w:t>
            </w:r>
          </w:p>
          <w:p>
            <w:pPr>
              <w:pStyle w:val="TableParagraph"/>
              <w:numPr>
                <w:ilvl w:val="0"/>
                <w:numId w:val="30"/>
              </w:numPr>
              <w:tabs>
                <w:tab w:val="left" w:pos="216"/>
              </w:tabs>
              <w:spacing w:before="0" w:after="0" w:line="247" w:lineRule="exact"/>
              <w:ind w:left="216" w:right="0" w:hanging="211"/>
              <w:jc w:val="left"/>
              <w:rPr>
                <w:sz w:val="21"/>
              </w:rPr>
            </w:pPr>
            <w:r>
              <w:rPr>
                <w:color w:val="333333"/>
                <w:sz w:val="21"/>
              </w:rPr>
              <w:t>加热功率</w:t>
            </w:r>
            <w:r>
              <w:rPr>
                <w:color w:val="333333"/>
                <w:spacing w:val="-2"/>
                <w:sz w:val="21"/>
              </w:rPr>
              <w:t>：1000W；</w:t>
            </w:r>
          </w:p>
          <w:p>
            <w:pPr>
              <w:pStyle w:val="TableParagraph"/>
              <w:numPr>
                <w:ilvl w:val="0"/>
                <w:numId w:val="30"/>
              </w:numPr>
              <w:tabs>
                <w:tab w:val="left" w:pos="216"/>
              </w:tabs>
              <w:spacing w:before="3" w:after="0" w:line="240" w:lineRule="auto"/>
              <w:ind w:left="216" w:right="0" w:hanging="211"/>
              <w:jc w:val="left"/>
              <w:rPr>
                <w:sz w:val="21"/>
              </w:rPr>
            </w:pPr>
            <w:r>
              <w:rPr>
                <w:color w:val="333333"/>
                <w:sz w:val="21"/>
              </w:rPr>
              <w:t>电机功率</w:t>
            </w:r>
            <w:r>
              <w:rPr>
                <w:color w:val="333333"/>
                <w:spacing w:val="-2"/>
                <w:sz w:val="21"/>
              </w:rPr>
              <w:t>：60W；</w:t>
            </w:r>
          </w:p>
          <w:p>
            <w:pPr>
              <w:pStyle w:val="TableParagraph"/>
              <w:numPr>
                <w:ilvl w:val="0"/>
                <w:numId w:val="30"/>
              </w:numPr>
              <w:tabs>
                <w:tab w:val="left" w:pos="216"/>
              </w:tabs>
              <w:spacing w:before="3" w:after="0" w:line="240" w:lineRule="auto"/>
              <w:ind w:left="216" w:right="0" w:hanging="211"/>
              <w:jc w:val="left"/>
              <w:rPr>
                <w:sz w:val="21"/>
              </w:rPr>
            </w:pPr>
            <w:r>
              <w:rPr>
                <w:color w:val="333333"/>
                <w:sz w:val="21"/>
              </w:rPr>
              <w:t>无级调速：起动~2000rpm</w:t>
            </w:r>
            <w:r>
              <w:rPr>
                <w:color w:val="333333"/>
                <w:spacing w:val="-10"/>
                <w:sz w:val="21"/>
              </w:rPr>
              <w:t>。</w:t>
            </w:r>
          </w:p>
        </w:tc>
        <w:tc>
          <w:tcPr>
            <w:tcW w:w="881"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2"/>
              </w:rPr>
            </w:pPr>
          </w:p>
          <w:p>
            <w:pPr>
              <w:pStyle w:val="TableParagraph"/>
              <w:spacing w:before="3"/>
              <w:rPr>
                <w:rFonts w:ascii="Microsoft JhengHei"/>
                <w:b/>
                <w:sz w:val="21"/>
              </w:rPr>
            </w:pPr>
          </w:p>
          <w:p>
            <w:pPr>
              <w:pStyle w:val="TableParagraph"/>
              <w:ind w:right="3"/>
              <w:jc w:val="center"/>
              <w:rPr>
                <w:sz w:val="22"/>
              </w:rPr>
            </w:pPr>
            <w:r>
              <w:rPr>
                <w:sz w:val="22"/>
              </w:rPr>
              <w:t>3</w:t>
            </w:r>
          </w:p>
        </w:tc>
      </w:tr>
    </w:tbl>
    <w:p>
      <w:pPr>
        <w:spacing w:before="0" w:line="325" w:lineRule="exact"/>
        <w:ind w:left="819" w:right="0" w:firstLine="0"/>
        <w:jc w:val="left"/>
        <w:rPr>
          <w:rFonts w:ascii="Microsoft JhengHei" w:eastAsia="Microsoft JhengHei"/>
          <w:b/>
          <w:sz w:val="21"/>
        </w:rPr>
      </w:pPr>
      <w:r>
        <w:rPr>
          <w:rFonts w:ascii="Microsoft JhengHei" w:eastAsia="Microsoft JhengHei"/>
          <w:b/>
          <w:sz w:val="21"/>
        </w:rPr>
        <w:t>注：上述为参考规格型号。投标人可以提供技术要求、指标性能、功</w:t>
      </w:r>
      <w:r>
        <w:rPr>
          <w:rFonts w:ascii="Microsoft JhengHei" w:eastAsia="Microsoft JhengHei"/>
          <w:b/>
          <w:color w:val="333333"/>
          <w:spacing w:val="-1"/>
          <w:sz w:val="21"/>
        </w:rPr>
        <w:t>能、配置及质量等更优于上述</w:t>
      </w:r>
    </w:p>
    <w:p>
      <w:pPr>
        <w:spacing w:before="22" w:line="254" w:lineRule="auto"/>
        <w:ind w:left="294" w:right="572" w:firstLine="0"/>
        <w:jc w:val="both"/>
        <w:rPr>
          <w:rFonts w:ascii="Microsoft JhengHei" w:eastAsia="Microsoft JhengHei" w:hAnsi="Microsoft JhengHei"/>
          <w:b/>
          <w:sz w:val="21"/>
        </w:rPr>
      </w:pPr>
      <w:r>
        <w:rPr>
          <w:rFonts w:ascii="Microsoft JhengHei" w:eastAsia="Microsoft JhengHei" w:hAnsi="Microsoft JhengHei"/>
          <w:b/>
          <w:color w:val="333333"/>
          <w:spacing w:val="-2"/>
          <w:sz w:val="21"/>
        </w:rPr>
        <w:t>参考规格型号的仪器及软件。</w:t>
      </w:r>
      <w:r>
        <w:rPr>
          <w:rFonts w:ascii="Microsoft JhengHei" w:eastAsia="Microsoft JhengHei" w:hAnsi="Microsoft JhengHei"/>
          <w:b/>
          <w:spacing w:val="-2"/>
          <w:sz w:val="21"/>
        </w:rPr>
        <w:t>标注有“**”号的指标有负偏离为无效投标，标注有“*”号的指标为重要</w:t>
      </w:r>
      <w:r>
        <w:rPr>
          <w:rFonts w:ascii="Microsoft JhengHei" w:eastAsia="Microsoft JhengHei" w:hAnsi="Microsoft JhengHei"/>
          <w:b/>
          <w:spacing w:val="-2"/>
          <w:sz w:val="21"/>
        </w:rPr>
        <w:t>指标投标人在应标中要清楚明确。投标人应在投标文件中提供投标仪器及软件的详细配置、功能、技术指</w:t>
      </w:r>
      <w:r>
        <w:rPr>
          <w:rFonts w:ascii="Microsoft JhengHei" w:eastAsia="Microsoft JhengHei" w:hAnsi="Microsoft JhengHei"/>
          <w:b/>
          <w:spacing w:val="-2"/>
          <w:sz w:val="21"/>
        </w:rPr>
        <w:t>标等清单。</w:t>
      </w:r>
    </w:p>
    <w:p>
      <w:pPr>
        <w:spacing w:after="0" w:line="254" w:lineRule="auto"/>
        <w:jc w:val="both"/>
        <w:rPr>
          <w:rFonts w:ascii="Microsoft JhengHei" w:eastAsia="Microsoft JhengHei" w:hAnsi="Microsoft JhengHei"/>
          <w:sz w:val="21"/>
        </w:rPr>
        <w:sectPr>
          <w:headerReference w:type="default" r:id="rId30"/>
          <w:footerReference w:type="default" r:id="rId31"/>
          <w:pgSz w:w="11910" w:h="16840"/>
          <w:pgMar w:top="1040" w:right="560" w:bottom="1160" w:left="840" w:header="859" w:footer="971"/>
          <w:pgNumType w:start="12"/>
          <w:cols w:space="708"/>
        </w:sectPr>
      </w:pPr>
    </w:p>
    <w:p>
      <w:pPr>
        <w:pStyle w:val="BodyText"/>
        <w:spacing w:before="12"/>
        <w:rPr>
          <w:rFonts w:ascii="Microsoft JhengHei"/>
          <w:b/>
          <w:sz w:val="22"/>
        </w:rPr>
      </w:pPr>
    </w:p>
    <w:p>
      <w:pPr>
        <w:pStyle w:val="Heading3"/>
        <w:tabs>
          <w:tab w:val="left" w:pos="1283"/>
        </w:tabs>
        <w:spacing w:line="543" w:lineRule="exact"/>
        <w:ind w:left="0" w:right="279"/>
      </w:pPr>
      <w:bookmarkStart w:id="3" w:name="_TOC_250008"/>
      <w:r>
        <w:t>第</w:t>
      </w:r>
      <w:r>
        <w:t>三</w:t>
      </w:r>
      <w:r>
        <w:rPr>
          <w:spacing w:val="-10"/>
        </w:rPr>
        <w:t>章</w:t>
      </w:r>
      <w:r>
        <w:tab/>
        <w:t>技</w:t>
      </w:r>
      <w:r>
        <w:t>术</w:t>
      </w:r>
      <w:r>
        <w:t>与</w:t>
      </w:r>
      <w:r>
        <w:t>商</w:t>
      </w:r>
      <w:r>
        <w:t>务</w:t>
      </w:r>
      <w:r>
        <w:t>应</w:t>
      </w:r>
      <w:r>
        <w:t>答</w:t>
      </w:r>
      <w:r>
        <w:t>内</w:t>
      </w:r>
      <w:bookmarkEnd w:id="3"/>
      <w:r>
        <w:rPr>
          <w:spacing w:val="-10"/>
        </w:rPr>
        <w:t>容</w:t>
      </w:r>
    </w:p>
    <w:p>
      <w:pPr>
        <w:pStyle w:val="BodyText"/>
        <w:rPr>
          <w:rFonts w:ascii="微软雅黑"/>
          <w:b/>
          <w:sz w:val="18"/>
        </w:rPr>
      </w:pPr>
    </w:p>
    <w:p>
      <w:pPr>
        <w:pStyle w:val="BodyText"/>
        <w:spacing w:line="364" w:lineRule="auto"/>
        <w:ind w:left="294" w:right="467" w:firstLine="420"/>
      </w:pPr>
      <w:r>
        <w:rPr>
          <w:spacing w:val="-4"/>
        </w:rPr>
        <w:t>根据商务要求、技术与规格要求内容，要求投标人按照采购要求，对照下列技术、商务应答条款应答，</w:t>
      </w:r>
      <w:r>
        <w:rPr>
          <w:spacing w:val="-2"/>
        </w:rPr>
        <w:t>并保证应答内容真实、可信。如果出现应答内容与事实不符情况，招标人将拒绝投标人的商务请求。</w:t>
      </w:r>
    </w:p>
    <w:p>
      <w:pPr>
        <w:spacing w:before="0" w:line="319" w:lineRule="exact"/>
        <w:ind w:left="294" w:right="0" w:firstLine="0"/>
        <w:jc w:val="left"/>
        <w:rPr>
          <w:rFonts w:ascii="微软雅黑" w:eastAsia="微软雅黑"/>
          <w:b/>
          <w:sz w:val="21"/>
        </w:rPr>
      </w:pPr>
      <w:r>
        <w:rPr>
          <w:rFonts w:ascii="微软雅黑" w:eastAsia="微软雅黑"/>
          <w:b/>
          <w:sz w:val="21"/>
        </w:rPr>
        <w:t>一、仪器及软件配置清单（附货物简要说明一览表</w:t>
      </w:r>
      <w:r>
        <w:rPr>
          <w:rFonts w:ascii="微软雅黑" w:eastAsia="微软雅黑"/>
          <w:b/>
          <w:spacing w:val="-10"/>
          <w:sz w:val="21"/>
        </w:rPr>
        <w:t>）</w:t>
      </w:r>
    </w:p>
    <w:p>
      <w:pPr>
        <w:pStyle w:val="ListParagraph"/>
        <w:numPr>
          <w:ilvl w:val="0"/>
          <w:numId w:val="46"/>
        </w:numPr>
        <w:tabs>
          <w:tab w:val="left" w:pos="925"/>
        </w:tabs>
        <w:spacing w:before="89" w:after="0" w:line="240" w:lineRule="auto"/>
        <w:ind w:left="925" w:right="0" w:hanging="211"/>
        <w:jc w:val="left"/>
        <w:rPr>
          <w:sz w:val="21"/>
        </w:rPr>
      </w:pPr>
      <w:r>
        <w:rPr>
          <w:spacing w:val="-1"/>
          <w:sz w:val="21"/>
        </w:rPr>
        <w:t>投标人应根据本招标文件约定，详细提供仪器及软件的品牌、规格型号及主要技术参数等指标。</w:t>
      </w:r>
    </w:p>
    <w:p>
      <w:pPr>
        <w:pStyle w:val="ListParagraph"/>
        <w:numPr>
          <w:ilvl w:val="0"/>
          <w:numId w:val="46"/>
        </w:numPr>
        <w:tabs>
          <w:tab w:val="left" w:pos="925"/>
        </w:tabs>
        <w:spacing w:before="23" w:after="0" w:line="408" w:lineRule="exact"/>
        <w:ind w:left="294" w:right="571" w:firstLine="420"/>
        <w:jc w:val="both"/>
        <w:rPr>
          <w:sz w:val="21"/>
        </w:rPr>
      </w:pPr>
      <w:r>
        <w:rPr>
          <w:spacing w:val="-8"/>
          <w:sz w:val="21"/>
        </w:rPr>
        <w:t>按项目技术与规格要求内容详细提供</w:t>
      </w:r>
      <w:r>
        <w:rPr>
          <w:rFonts w:ascii="Microsoft JhengHei" w:eastAsia="Microsoft JhengHei"/>
          <w:b/>
          <w:spacing w:val="-8"/>
          <w:sz w:val="22"/>
        </w:rPr>
        <w:t>仪</w:t>
      </w:r>
      <w:r>
        <w:rPr>
          <w:rFonts w:ascii="Microsoft JhengHei" w:eastAsia="Microsoft JhengHei"/>
          <w:b/>
          <w:spacing w:val="-8"/>
          <w:sz w:val="22"/>
        </w:rPr>
        <w:t>器</w:t>
      </w:r>
      <w:r>
        <w:rPr>
          <w:rFonts w:ascii="Microsoft JhengHei" w:eastAsia="Microsoft JhengHei"/>
          <w:b/>
          <w:spacing w:val="-8"/>
          <w:sz w:val="22"/>
        </w:rPr>
        <w:t>及</w:t>
      </w:r>
      <w:r>
        <w:rPr>
          <w:rFonts w:ascii="Microsoft JhengHei" w:eastAsia="Microsoft JhengHei"/>
          <w:b/>
          <w:spacing w:val="-8"/>
          <w:sz w:val="22"/>
        </w:rPr>
        <w:t>软</w:t>
      </w:r>
      <w:r>
        <w:rPr>
          <w:rFonts w:ascii="Microsoft JhengHei" w:eastAsia="Microsoft JhengHei"/>
          <w:b/>
          <w:spacing w:val="-8"/>
          <w:sz w:val="22"/>
        </w:rPr>
        <w:t>件</w:t>
      </w:r>
      <w:r>
        <w:rPr>
          <w:rFonts w:ascii="Microsoft JhengHei" w:eastAsia="Microsoft JhengHei"/>
          <w:b/>
          <w:spacing w:val="-8"/>
          <w:sz w:val="22"/>
        </w:rPr>
        <w:t>、</w:t>
      </w:r>
      <w:r>
        <w:rPr>
          <w:rFonts w:ascii="Microsoft JhengHei" w:eastAsia="Microsoft JhengHei"/>
          <w:b/>
          <w:spacing w:val="-8"/>
          <w:sz w:val="22"/>
        </w:rPr>
        <w:t>仪</w:t>
      </w:r>
      <w:r>
        <w:rPr>
          <w:rFonts w:ascii="Microsoft JhengHei" w:eastAsia="Microsoft JhengHei"/>
          <w:b/>
          <w:spacing w:val="-8"/>
          <w:sz w:val="22"/>
        </w:rPr>
        <w:t>器</w:t>
      </w:r>
      <w:r>
        <w:rPr>
          <w:rFonts w:ascii="Microsoft JhengHei" w:eastAsia="Microsoft JhengHei"/>
          <w:b/>
          <w:spacing w:val="-8"/>
          <w:sz w:val="22"/>
        </w:rPr>
        <w:t>及</w:t>
      </w:r>
      <w:r>
        <w:rPr>
          <w:rFonts w:ascii="Microsoft JhengHei" w:eastAsia="Microsoft JhengHei"/>
          <w:b/>
          <w:spacing w:val="-8"/>
          <w:sz w:val="22"/>
        </w:rPr>
        <w:t>软</w:t>
      </w:r>
      <w:r>
        <w:rPr>
          <w:rFonts w:ascii="Microsoft JhengHei" w:eastAsia="Microsoft JhengHei"/>
          <w:b/>
          <w:spacing w:val="-8"/>
          <w:sz w:val="22"/>
        </w:rPr>
        <w:t>件</w:t>
      </w:r>
      <w:r>
        <w:rPr>
          <w:rFonts w:ascii="Microsoft JhengHei" w:eastAsia="Microsoft JhengHei"/>
          <w:b/>
          <w:spacing w:val="-8"/>
          <w:sz w:val="22"/>
        </w:rPr>
        <w:t>标</w:t>
      </w:r>
      <w:r>
        <w:rPr>
          <w:rFonts w:ascii="Microsoft JhengHei" w:eastAsia="Microsoft JhengHei"/>
          <w:b/>
          <w:spacing w:val="-8"/>
          <w:sz w:val="22"/>
        </w:rPr>
        <w:t>配</w:t>
      </w:r>
      <w:r>
        <w:rPr>
          <w:rFonts w:ascii="Microsoft JhengHei" w:eastAsia="Microsoft JhengHei"/>
          <w:b/>
          <w:spacing w:val="-8"/>
          <w:sz w:val="22"/>
        </w:rPr>
        <w:t>配</w:t>
      </w:r>
      <w:r>
        <w:rPr>
          <w:rFonts w:ascii="Microsoft JhengHei" w:eastAsia="Microsoft JhengHei"/>
          <w:b/>
          <w:spacing w:val="-8"/>
          <w:sz w:val="22"/>
        </w:rPr>
        <w:t>置</w:t>
      </w:r>
      <w:r>
        <w:rPr>
          <w:rFonts w:ascii="Microsoft JhengHei" w:eastAsia="Microsoft JhengHei"/>
          <w:b/>
          <w:spacing w:val="-8"/>
          <w:sz w:val="22"/>
        </w:rPr>
        <w:t>清</w:t>
      </w:r>
      <w:r>
        <w:rPr>
          <w:rFonts w:ascii="Microsoft JhengHei" w:eastAsia="Microsoft JhengHei"/>
          <w:b/>
          <w:spacing w:val="-8"/>
          <w:sz w:val="22"/>
        </w:rPr>
        <w:t>单</w:t>
      </w:r>
      <w:r>
        <w:rPr>
          <w:rFonts w:ascii="Microsoft JhengHei" w:eastAsia="Microsoft JhengHei"/>
          <w:b/>
          <w:spacing w:val="-8"/>
          <w:sz w:val="22"/>
        </w:rPr>
        <w:t>及</w:t>
      </w:r>
      <w:r>
        <w:rPr>
          <w:rFonts w:ascii="Microsoft JhengHei" w:eastAsia="Microsoft JhengHei"/>
          <w:b/>
          <w:spacing w:val="-8"/>
          <w:sz w:val="22"/>
        </w:rPr>
        <w:t>要</w:t>
      </w:r>
      <w:r>
        <w:rPr>
          <w:rFonts w:ascii="Microsoft JhengHei" w:eastAsia="Microsoft JhengHei"/>
          <w:b/>
          <w:spacing w:val="-8"/>
          <w:sz w:val="22"/>
        </w:rPr>
        <w:t>求</w:t>
      </w:r>
      <w:r>
        <w:rPr>
          <w:rFonts w:ascii="Microsoft JhengHei" w:eastAsia="Microsoft JhengHei"/>
          <w:b/>
          <w:spacing w:val="-8"/>
          <w:sz w:val="22"/>
        </w:rPr>
        <w:t>选</w:t>
      </w:r>
      <w:r>
        <w:rPr>
          <w:rFonts w:ascii="Microsoft JhengHei" w:eastAsia="Microsoft JhengHei"/>
          <w:b/>
          <w:spacing w:val="-8"/>
          <w:sz w:val="22"/>
        </w:rPr>
        <w:t>用</w:t>
      </w:r>
      <w:r>
        <w:rPr>
          <w:rFonts w:ascii="Microsoft JhengHei" w:eastAsia="Microsoft JhengHei"/>
          <w:b/>
          <w:spacing w:val="-8"/>
          <w:sz w:val="22"/>
        </w:rPr>
        <w:t>的</w:t>
      </w:r>
      <w:r>
        <w:rPr>
          <w:rFonts w:ascii="Microsoft JhengHei" w:eastAsia="Microsoft JhengHei"/>
          <w:b/>
          <w:spacing w:val="-8"/>
          <w:sz w:val="22"/>
        </w:rPr>
        <w:t>配</w:t>
      </w:r>
      <w:r>
        <w:rPr>
          <w:rFonts w:ascii="Microsoft JhengHei" w:eastAsia="Microsoft JhengHei"/>
          <w:b/>
          <w:spacing w:val="-8"/>
          <w:sz w:val="22"/>
        </w:rPr>
        <w:t>件</w:t>
      </w:r>
      <w:r>
        <w:rPr>
          <w:rFonts w:ascii="Microsoft JhengHei" w:eastAsia="Microsoft JhengHei"/>
          <w:b/>
          <w:spacing w:val="-8"/>
          <w:sz w:val="22"/>
        </w:rPr>
        <w:t>、备</w:t>
      </w:r>
      <w:r>
        <w:rPr>
          <w:rFonts w:ascii="Microsoft JhengHei" w:eastAsia="Microsoft JhengHei"/>
          <w:b/>
          <w:spacing w:val="-4"/>
          <w:sz w:val="22"/>
        </w:rPr>
        <w:t>品</w:t>
      </w:r>
      <w:r>
        <w:rPr>
          <w:rFonts w:ascii="Microsoft JhengHei" w:eastAsia="Microsoft JhengHei"/>
          <w:b/>
          <w:spacing w:val="-4"/>
          <w:sz w:val="22"/>
        </w:rPr>
        <w:t>配</w:t>
      </w:r>
      <w:r>
        <w:rPr>
          <w:rFonts w:ascii="Microsoft JhengHei" w:eastAsia="Microsoft JhengHei"/>
          <w:b/>
          <w:spacing w:val="-4"/>
          <w:sz w:val="22"/>
        </w:rPr>
        <w:t>件</w:t>
      </w:r>
      <w:r>
        <w:rPr>
          <w:rFonts w:ascii="Microsoft JhengHei" w:eastAsia="Microsoft JhengHei"/>
          <w:b/>
          <w:spacing w:val="-4"/>
          <w:sz w:val="22"/>
        </w:rPr>
        <w:t>、</w:t>
      </w:r>
      <w:r>
        <w:rPr>
          <w:rFonts w:ascii="Microsoft JhengHei" w:eastAsia="Microsoft JhengHei"/>
          <w:b/>
          <w:spacing w:val="-4"/>
          <w:sz w:val="22"/>
        </w:rPr>
        <w:t>专</w:t>
      </w:r>
      <w:r>
        <w:rPr>
          <w:rFonts w:ascii="Microsoft JhengHei" w:eastAsia="Microsoft JhengHei"/>
          <w:b/>
          <w:spacing w:val="-4"/>
          <w:sz w:val="22"/>
        </w:rPr>
        <w:t>用</w:t>
      </w:r>
      <w:r>
        <w:rPr>
          <w:rFonts w:ascii="Microsoft JhengHei" w:eastAsia="Microsoft JhengHei"/>
          <w:b/>
          <w:spacing w:val="-4"/>
          <w:sz w:val="22"/>
        </w:rPr>
        <w:t>工</w:t>
      </w:r>
      <w:r>
        <w:rPr>
          <w:rFonts w:ascii="Microsoft JhengHei" w:eastAsia="Microsoft JhengHei"/>
          <w:b/>
          <w:spacing w:val="-4"/>
          <w:sz w:val="22"/>
        </w:rPr>
        <w:t>具</w:t>
      </w:r>
      <w:r>
        <w:rPr>
          <w:rFonts w:ascii="Microsoft JhengHei" w:eastAsia="Microsoft JhengHei"/>
          <w:b/>
          <w:spacing w:val="-4"/>
          <w:sz w:val="22"/>
        </w:rPr>
        <w:t>和</w:t>
      </w:r>
      <w:r>
        <w:rPr>
          <w:rFonts w:ascii="Microsoft JhengHei" w:eastAsia="Microsoft JhengHei"/>
          <w:b/>
          <w:spacing w:val="-4"/>
          <w:sz w:val="22"/>
        </w:rPr>
        <w:t>易</w:t>
      </w:r>
      <w:r>
        <w:rPr>
          <w:rFonts w:ascii="Microsoft JhengHei" w:eastAsia="Microsoft JhengHei"/>
          <w:b/>
          <w:spacing w:val="-4"/>
          <w:sz w:val="22"/>
        </w:rPr>
        <w:t>耗</w:t>
      </w:r>
      <w:r>
        <w:rPr>
          <w:rFonts w:ascii="Microsoft JhengHei" w:eastAsia="Microsoft JhengHei"/>
          <w:b/>
          <w:spacing w:val="-4"/>
          <w:sz w:val="22"/>
        </w:rPr>
        <w:t>品</w:t>
      </w:r>
      <w:r>
        <w:rPr>
          <w:rFonts w:ascii="Microsoft JhengHei" w:eastAsia="Microsoft JhengHei"/>
          <w:b/>
          <w:spacing w:val="-4"/>
          <w:sz w:val="22"/>
        </w:rPr>
        <w:t>等</w:t>
      </w:r>
      <w:r>
        <w:rPr>
          <w:rFonts w:ascii="Microsoft JhengHei" w:eastAsia="Microsoft JhengHei"/>
          <w:b/>
          <w:spacing w:val="-4"/>
          <w:sz w:val="22"/>
        </w:rPr>
        <w:t>清</w:t>
      </w:r>
      <w:r>
        <w:rPr>
          <w:rFonts w:ascii="Microsoft JhengHei" w:eastAsia="Microsoft JhengHei"/>
          <w:b/>
          <w:spacing w:val="-4"/>
          <w:sz w:val="22"/>
        </w:rPr>
        <w:t>单</w:t>
      </w:r>
      <w:r>
        <w:rPr>
          <w:spacing w:val="-4"/>
          <w:sz w:val="21"/>
        </w:rPr>
        <w:t>，清单应详细标明每一配置的品牌、规格型号、参数、性能指标、产地</w:t>
      </w:r>
      <w:r>
        <w:rPr>
          <w:spacing w:val="-2"/>
          <w:sz w:val="21"/>
        </w:rPr>
        <w:t>及生产厂家等内容。</w:t>
      </w:r>
    </w:p>
    <w:p>
      <w:pPr>
        <w:pStyle w:val="ListParagraph"/>
        <w:numPr>
          <w:ilvl w:val="0"/>
          <w:numId w:val="46"/>
        </w:numPr>
        <w:tabs>
          <w:tab w:val="left" w:pos="925"/>
        </w:tabs>
        <w:spacing w:before="35" w:after="0" w:line="240" w:lineRule="auto"/>
        <w:ind w:left="925" w:right="0" w:hanging="211"/>
        <w:jc w:val="left"/>
        <w:rPr>
          <w:sz w:val="21"/>
        </w:rPr>
      </w:pPr>
      <w:r>
        <w:rPr>
          <w:spacing w:val="-8"/>
          <w:sz w:val="21"/>
        </w:rPr>
        <w:t>按项目技术与规格要求内容详细提供</w:t>
      </w:r>
      <w:r>
        <w:rPr>
          <w:rFonts w:ascii="Microsoft JhengHei" w:eastAsia="Microsoft JhengHei"/>
          <w:b/>
          <w:spacing w:val="-8"/>
          <w:sz w:val="22"/>
        </w:rPr>
        <w:t>仪</w:t>
      </w:r>
      <w:r>
        <w:rPr>
          <w:rFonts w:ascii="Microsoft JhengHei" w:eastAsia="Microsoft JhengHei"/>
          <w:b/>
          <w:spacing w:val="-8"/>
          <w:sz w:val="22"/>
        </w:rPr>
        <w:t>器</w:t>
      </w:r>
      <w:r>
        <w:rPr>
          <w:rFonts w:ascii="Microsoft JhengHei" w:eastAsia="Microsoft JhengHei"/>
          <w:b/>
          <w:spacing w:val="-8"/>
          <w:sz w:val="22"/>
        </w:rPr>
        <w:t>及</w:t>
      </w:r>
      <w:r>
        <w:rPr>
          <w:rFonts w:ascii="Microsoft JhengHei" w:eastAsia="Microsoft JhengHei"/>
          <w:b/>
          <w:spacing w:val="-8"/>
          <w:sz w:val="22"/>
        </w:rPr>
        <w:t>软</w:t>
      </w:r>
      <w:r>
        <w:rPr>
          <w:rFonts w:ascii="Microsoft JhengHei" w:eastAsia="Microsoft JhengHei"/>
          <w:b/>
          <w:spacing w:val="-8"/>
          <w:sz w:val="22"/>
        </w:rPr>
        <w:t>件</w:t>
      </w:r>
      <w:r>
        <w:rPr>
          <w:rFonts w:ascii="Microsoft JhengHei" w:eastAsia="Microsoft JhengHei"/>
          <w:b/>
          <w:spacing w:val="-8"/>
          <w:sz w:val="22"/>
        </w:rPr>
        <w:t>的</w:t>
      </w:r>
      <w:r>
        <w:rPr>
          <w:rFonts w:ascii="Microsoft JhengHei" w:eastAsia="Microsoft JhengHei"/>
          <w:b/>
          <w:spacing w:val="-8"/>
          <w:sz w:val="22"/>
        </w:rPr>
        <w:t>功</w:t>
      </w:r>
      <w:r>
        <w:rPr>
          <w:rFonts w:ascii="Microsoft JhengHei" w:eastAsia="Microsoft JhengHei"/>
          <w:b/>
          <w:spacing w:val="-8"/>
          <w:sz w:val="22"/>
        </w:rPr>
        <w:t>能</w:t>
      </w:r>
      <w:r>
        <w:rPr>
          <w:rFonts w:ascii="Microsoft JhengHei" w:eastAsia="Microsoft JhengHei"/>
          <w:b/>
          <w:spacing w:val="-8"/>
          <w:sz w:val="22"/>
        </w:rPr>
        <w:t>、</w:t>
      </w:r>
      <w:r>
        <w:rPr>
          <w:rFonts w:ascii="Microsoft JhengHei" w:eastAsia="Microsoft JhengHei"/>
          <w:b/>
          <w:spacing w:val="-8"/>
          <w:sz w:val="22"/>
        </w:rPr>
        <w:t>用</w:t>
      </w:r>
      <w:r>
        <w:rPr>
          <w:rFonts w:ascii="Microsoft JhengHei" w:eastAsia="Microsoft JhengHei"/>
          <w:b/>
          <w:spacing w:val="-8"/>
          <w:sz w:val="22"/>
        </w:rPr>
        <w:t>途</w:t>
      </w:r>
      <w:r>
        <w:rPr>
          <w:rFonts w:ascii="Microsoft JhengHei" w:eastAsia="Microsoft JhengHei"/>
          <w:b/>
          <w:spacing w:val="-8"/>
          <w:sz w:val="22"/>
        </w:rPr>
        <w:t>及</w:t>
      </w:r>
      <w:r>
        <w:rPr>
          <w:rFonts w:ascii="Microsoft JhengHei" w:eastAsia="Microsoft JhengHei"/>
          <w:b/>
          <w:spacing w:val="-8"/>
          <w:sz w:val="22"/>
        </w:rPr>
        <w:t>详</w:t>
      </w:r>
      <w:r>
        <w:rPr>
          <w:rFonts w:ascii="Microsoft JhengHei" w:eastAsia="Microsoft JhengHei"/>
          <w:b/>
          <w:spacing w:val="-8"/>
          <w:sz w:val="22"/>
        </w:rPr>
        <w:t>细</w:t>
      </w:r>
      <w:r>
        <w:rPr>
          <w:rFonts w:ascii="Microsoft JhengHei" w:eastAsia="Microsoft JhengHei"/>
          <w:b/>
          <w:spacing w:val="-8"/>
          <w:sz w:val="22"/>
        </w:rPr>
        <w:t>的</w:t>
      </w:r>
      <w:r>
        <w:rPr>
          <w:rFonts w:ascii="Microsoft JhengHei" w:eastAsia="Microsoft JhengHei"/>
          <w:b/>
          <w:spacing w:val="-8"/>
          <w:sz w:val="22"/>
        </w:rPr>
        <w:t>技</w:t>
      </w:r>
      <w:r>
        <w:rPr>
          <w:rFonts w:ascii="Microsoft JhengHei" w:eastAsia="Microsoft JhengHei"/>
          <w:b/>
          <w:spacing w:val="-8"/>
          <w:sz w:val="22"/>
        </w:rPr>
        <w:t>术</w:t>
      </w:r>
      <w:r>
        <w:rPr>
          <w:rFonts w:ascii="Microsoft JhengHei" w:eastAsia="Microsoft JhengHei"/>
          <w:b/>
          <w:spacing w:val="-8"/>
          <w:sz w:val="22"/>
        </w:rPr>
        <w:t>指</w:t>
      </w:r>
      <w:r>
        <w:rPr>
          <w:rFonts w:ascii="Microsoft JhengHei" w:eastAsia="Microsoft JhengHei"/>
          <w:b/>
          <w:spacing w:val="-8"/>
          <w:sz w:val="22"/>
        </w:rPr>
        <w:t>标</w:t>
      </w:r>
      <w:r>
        <w:rPr>
          <w:rFonts w:ascii="Microsoft JhengHei" w:eastAsia="Microsoft JhengHei"/>
          <w:b/>
          <w:spacing w:val="-8"/>
          <w:sz w:val="22"/>
        </w:rPr>
        <w:t>等</w:t>
      </w:r>
      <w:r>
        <w:rPr>
          <w:rFonts w:ascii="Microsoft JhengHei" w:eastAsia="Microsoft JhengHei"/>
          <w:b/>
          <w:spacing w:val="-8"/>
          <w:sz w:val="22"/>
        </w:rPr>
        <w:t>内</w:t>
      </w:r>
      <w:r>
        <w:rPr>
          <w:rFonts w:ascii="Microsoft JhengHei" w:eastAsia="Microsoft JhengHei"/>
          <w:b/>
          <w:spacing w:val="-8"/>
          <w:sz w:val="22"/>
        </w:rPr>
        <w:t>容</w:t>
      </w:r>
      <w:r>
        <w:rPr>
          <w:spacing w:val="-10"/>
          <w:sz w:val="21"/>
        </w:rPr>
        <w:t>。</w:t>
      </w:r>
    </w:p>
    <w:p>
      <w:pPr>
        <w:pStyle w:val="ListParagraph"/>
        <w:numPr>
          <w:ilvl w:val="0"/>
          <w:numId w:val="46"/>
        </w:numPr>
        <w:tabs>
          <w:tab w:val="left" w:pos="925"/>
        </w:tabs>
        <w:spacing w:before="87" w:after="0" w:line="240" w:lineRule="auto"/>
        <w:ind w:left="925" w:right="0" w:hanging="211"/>
        <w:jc w:val="left"/>
        <w:rPr>
          <w:sz w:val="21"/>
        </w:rPr>
      </w:pPr>
      <w:r>
        <w:rPr>
          <w:spacing w:val="-1"/>
          <w:sz w:val="21"/>
        </w:rPr>
        <w:t>提供投标产品厂家对外的产品宣传彩页或技术资料。</w:t>
      </w:r>
    </w:p>
    <w:p>
      <w:pPr>
        <w:spacing w:before="72"/>
        <w:ind w:left="294" w:right="0" w:firstLine="0"/>
        <w:jc w:val="left"/>
        <w:rPr>
          <w:rFonts w:ascii="微软雅黑" w:eastAsia="微软雅黑"/>
          <w:b/>
          <w:sz w:val="21"/>
        </w:rPr>
      </w:pPr>
      <w:r>
        <w:rPr>
          <w:rFonts w:ascii="微软雅黑" w:eastAsia="微软雅黑"/>
          <w:b/>
          <w:spacing w:val="-2"/>
          <w:sz w:val="21"/>
        </w:rPr>
        <w:t>二、服务质量保证</w:t>
      </w:r>
    </w:p>
    <w:p>
      <w:pPr>
        <w:pStyle w:val="ListParagraph"/>
        <w:numPr>
          <w:ilvl w:val="0"/>
          <w:numId w:val="28"/>
        </w:numPr>
        <w:tabs>
          <w:tab w:val="left" w:pos="926"/>
        </w:tabs>
        <w:spacing w:before="21" w:after="0" w:line="240" w:lineRule="auto"/>
        <w:ind w:left="925" w:right="0" w:hanging="212"/>
        <w:jc w:val="left"/>
        <w:rPr>
          <w:rFonts w:ascii="微软雅黑" w:eastAsia="微软雅黑"/>
          <w:b/>
          <w:sz w:val="21"/>
        </w:rPr>
      </w:pPr>
      <w:r>
        <w:rPr>
          <w:rFonts w:ascii="微软雅黑" w:eastAsia="微软雅黑"/>
          <w:b/>
          <w:spacing w:val="-1"/>
          <w:sz w:val="21"/>
        </w:rPr>
        <w:t>服务、质量保证条款。</w:t>
      </w:r>
    </w:p>
    <w:p>
      <w:pPr>
        <w:pStyle w:val="ListParagraph"/>
        <w:numPr>
          <w:ilvl w:val="0"/>
          <w:numId w:val="28"/>
        </w:numPr>
        <w:tabs>
          <w:tab w:val="left" w:pos="918"/>
        </w:tabs>
        <w:spacing w:before="22" w:after="0" w:line="240" w:lineRule="auto"/>
        <w:ind w:left="917" w:right="0" w:hanging="213"/>
        <w:jc w:val="left"/>
        <w:rPr>
          <w:rFonts w:ascii="微软雅黑" w:eastAsia="微软雅黑"/>
          <w:b/>
          <w:sz w:val="21"/>
        </w:rPr>
      </w:pPr>
      <w:r>
        <w:rPr>
          <w:rFonts w:ascii="微软雅黑" w:eastAsia="微软雅黑"/>
          <w:b/>
          <w:sz w:val="21"/>
        </w:rPr>
        <w:t>仪器及软件的售后服务承诺书(</w:t>
      </w:r>
      <w:r>
        <w:rPr>
          <w:rFonts w:ascii="微软雅黑" w:eastAsia="微软雅黑"/>
          <w:b/>
          <w:spacing w:val="-1"/>
          <w:sz w:val="21"/>
        </w:rPr>
        <w:t>含制造商的售后服务承诺书)。</w:t>
      </w:r>
    </w:p>
    <w:p>
      <w:pPr>
        <w:pStyle w:val="ListParagraph"/>
        <w:numPr>
          <w:ilvl w:val="0"/>
          <w:numId w:val="28"/>
        </w:numPr>
        <w:tabs>
          <w:tab w:val="left" w:pos="918"/>
        </w:tabs>
        <w:spacing w:before="21" w:after="0" w:line="240" w:lineRule="auto"/>
        <w:ind w:left="917" w:right="0" w:hanging="213"/>
        <w:jc w:val="left"/>
        <w:rPr>
          <w:rFonts w:ascii="微软雅黑" w:eastAsia="微软雅黑"/>
          <w:b/>
          <w:sz w:val="21"/>
        </w:rPr>
      </w:pPr>
      <w:r>
        <w:rPr>
          <w:rFonts w:ascii="微软雅黑" w:eastAsia="微软雅黑"/>
          <w:b/>
          <w:spacing w:val="-2"/>
          <w:sz w:val="21"/>
        </w:rPr>
        <w:t>技术培训服务承诺。</w:t>
      </w:r>
    </w:p>
    <w:p>
      <w:pPr>
        <w:pStyle w:val="ListParagraph"/>
        <w:numPr>
          <w:ilvl w:val="0"/>
          <w:numId w:val="28"/>
        </w:numPr>
        <w:tabs>
          <w:tab w:val="left" w:pos="926"/>
        </w:tabs>
        <w:spacing w:before="53" w:after="0" w:line="240" w:lineRule="auto"/>
        <w:ind w:left="925" w:right="0" w:hanging="212"/>
        <w:jc w:val="left"/>
        <w:rPr>
          <w:rFonts w:ascii="微软雅黑" w:eastAsia="微软雅黑"/>
          <w:b/>
          <w:sz w:val="21"/>
        </w:rPr>
      </w:pPr>
      <w:r>
        <w:rPr>
          <w:rFonts w:ascii="微软雅黑" w:eastAsia="微软雅黑"/>
          <w:b/>
          <w:spacing w:val="-1"/>
          <w:sz w:val="21"/>
        </w:rPr>
        <w:t>提供易损、易耗件清单和价格表：</w:t>
      </w:r>
    </w:p>
    <w:p>
      <w:pPr>
        <w:pStyle w:val="ListParagraph"/>
        <w:numPr>
          <w:ilvl w:val="0"/>
          <w:numId w:val="28"/>
        </w:numPr>
        <w:tabs>
          <w:tab w:val="left" w:pos="918"/>
        </w:tabs>
        <w:spacing w:before="52" w:after="0" w:line="254" w:lineRule="auto"/>
        <w:ind w:left="294" w:right="7479" w:firstLine="411"/>
        <w:jc w:val="left"/>
        <w:rPr>
          <w:rFonts w:ascii="微软雅黑" w:eastAsia="微软雅黑"/>
          <w:b/>
          <w:sz w:val="21"/>
        </w:rPr>
      </w:pPr>
      <w:r>
        <w:rPr>
          <w:rFonts w:ascii="微软雅黑" w:eastAsia="微软雅黑"/>
          <w:b/>
          <w:spacing w:val="-2"/>
          <w:sz w:val="21"/>
        </w:rPr>
        <w:t>其他的售后服务内容。</w:t>
      </w:r>
      <w:r>
        <w:rPr>
          <w:rFonts w:ascii="微软雅黑" w:eastAsia="微软雅黑"/>
          <w:b/>
          <w:spacing w:val="-2"/>
          <w:sz w:val="21"/>
        </w:rPr>
        <w:t>三、其他要求</w:t>
      </w:r>
    </w:p>
    <w:p>
      <w:pPr>
        <w:pStyle w:val="ListParagraph"/>
        <w:numPr>
          <w:ilvl w:val="0"/>
          <w:numId w:val="27"/>
        </w:numPr>
        <w:tabs>
          <w:tab w:val="left" w:pos="925"/>
        </w:tabs>
        <w:spacing w:before="64" w:after="0" w:line="240" w:lineRule="auto"/>
        <w:ind w:left="925" w:right="0" w:hanging="211"/>
        <w:jc w:val="left"/>
        <w:rPr>
          <w:sz w:val="19"/>
        </w:rPr>
      </w:pPr>
      <w:r>
        <w:rPr>
          <w:spacing w:val="-1"/>
          <w:sz w:val="21"/>
        </w:rPr>
        <w:t>提供企业资质、信誉、企业实力、财务状况、履约能力、业绩等可以证明企业综合实力的材料。</w:t>
      </w:r>
    </w:p>
    <w:p>
      <w:pPr>
        <w:pStyle w:val="ListParagraph"/>
        <w:numPr>
          <w:ilvl w:val="0"/>
          <w:numId w:val="27"/>
        </w:numPr>
        <w:tabs>
          <w:tab w:val="left" w:pos="925"/>
        </w:tabs>
        <w:spacing w:before="139" w:after="0" w:line="240" w:lineRule="auto"/>
        <w:ind w:left="925" w:right="0" w:hanging="211"/>
        <w:jc w:val="left"/>
        <w:rPr>
          <w:sz w:val="19"/>
        </w:rPr>
      </w:pPr>
      <w:r>
        <w:rPr>
          <w:spacing w:val="-1"/>
          <w:sz w:val="21"/>
        </w:rPr>
        <w:t>代理经销商投标时须有产品制造商出具的对该产品销售的证明文件。</w:t>
      </w:r>
    </w:p>
    <w:p>
      <w:pPr>
        <w:pStyle w:val="BodyText"/>
        <w:spacing w:before="6"/>
        <w:rPr>
          <w:sz w:val="18"/>
        </w:rPr>
      </w:pPr>
    </w:p>
    <w:p>
      <w:pPr>
        <w:pStyle w:val="ListParagraph"/>
        <w:numPr>
          <w:ilvl w:val="0"/>
          <w:numId w:val="27"/>
        </w:numPr>
        <w:tabs>
          <w:tab w:val="left" w:pos="925"/>
        </w:tabs>
        <w:spacing w:before="1" w:after="0" w:line="417" w:lineRule="auto"/>
        <w:ind w:left="294" w:right="572" w:firstLine="420"/>
        <w:jc w:val="both"/>
        <w:rPr>
          <w:sz w:val="19"/>
        </w:rPr>
      </w:pPr>
      <w:r>
        <w:rPr>
          <w:spacing w:val="-7"/>
          <w:sz w:val="21"/>
        </w:rPr>
        <w:t xml:space="preserve">投标人 </w:t>
      </w:r>
      <w:r>
        <w:rPr>
          <w:spacing w:val="-4"/>
          <w:sz w:val="21"/>
        </w:rPr>
        <w:t>2010</w:t>
      </w:r>
      <w:r>
        <w:rPr>
          <w:spacing w:val="-9"/>
          <w:sz w:val="21"/>
        </w:rPr>
        <w:t xml:space="preserve"> 年以来有合同金额为人民币 </w:t>
      </w:r>
      <w:r>
        <w:rPr>
          <w:spacing w:val="-4"/>
          <w:sz w:val="21"/>
        </w:rPr>
        <w:t>30</w:t>
      </w:r>
      <w:r>
        <w:rPr>
          <w:spacing w:val="-8"/>
          <w:sz w:val="21"/>
        </w:rPr>
        <w:t xml:space="preserve"> 万元以上</w:t>
      </w:r>
      <w:r>
        <w:rPr>
          <w:spacing w:val="-4"/>
          <w:sz w:val="21"/>
        </w:rPr>
        <w:t>（</w:t>
      </w:r>
      <w:r>
        <w:rPr>
          <w:spacing w:val="-9"/>
          <w:sz w:val="21"/>
        </w:rPr>
        <w:t xml:space="preserve">含 </w:t>
      </w:r>
      <w:r>
        <w:rPr>
          <w:spacing w:val="-4"/>
          <w:sz w:val="21"/>
        </w:rPr>
        <w:t>30</w:t>
      </w:r>
      <w:r>
        <w:rPr>
          <w:spacing w:val="-9"/>
          <w:sz w:val="21"/>
        </w:rPr>
        <w:t xml:space="preserve"> 万元</w:t>
      </w:r>
      <w:r>
        <w:rPr>
          <w:spacing w:val="-4"/>
          <w:sz w:val="21"/>
        </w:rPr>
        <w:t>）的类似案例（投标人须提供该</w:t>
      </w:r>
      <w:r>
        <w:rPr>
          <w:spacing w:val="-2"/>
          <w:sz w:val="21"/>
        </w:rPr>
        <w:t>业绩项目的中标公告（提供相关网站中标公告的下载网页并注明网址</w:t>
      </w:r>
      <w:r>
        <w:rPr>
          <w:spacing w:val="-104"/>
          <w:sz w:val="21"/>
        </w:rPr>
        <w:t>）</w:t>
      </w:r>
      <w:r>
        <w:rPr>
          <w:spacing w:val="-2"/>
          <w:sz w:val="21"/>
        </w:rPr>
        <w:t>、中标通知书复印件、采购合同文</w:t>
      </w:r>
      <w:r>
        <w:rPr>
          <w:spacing w:val="-2"/>
          <w:sz w:val="21"/>
        </w:rPr>
        <w:t>本复印件，以及能够证明该业绩项目已经采购人验收合格的相关证明文件复印件（原件备查</w:t>
      </w:r>
      <w:r>
        <w:rPr>
          <w:spacing w:val="-105"/>
          <w:sz w:val="21"/>
        </w:rPr>
        <w:t>）。</w:t>
      </w:r>
      <w:r>
        <w:rPr>
          <w:spacing w:val="-2"/>
          <w:sz w:val="21"/>
        </w:rPr>
        <w:t>）</w:t>
      </w:r>
    </w:p>
    <w:p>
      <w:pPr>
        <w:pStyle w:val="ListParagraph"/>
        <w:numPr>
          <w:ilvl w:val="0"/>
          <w:numId w:val="27"/>
        </w:numPr>
        <w:tabs>
          <w:tab w:val="left" w:pos="926"/>
        </w:tabs>
        <w:spacing w:before="0" w:after="0" w:line="283" w:lineRule="exact"/>
        <w:ind w:left="925" w:right="0" w:hanging="212"/>
        <w:jc w:val="left"/>
        <w:rPr>
          <w:rFonts w:ascii="微软雅黑" w:eastAsia="微软雅黑"/>
          <w:b/>
          <w:sz w:val="19"/>
        </w:rPr>
      </w:pPr>
      <w:r>
        <w:rPr>
          <w:rFonts w:ascii="微软雅黑" w:eastAsia="微软雅黑"/>
          <w:b/>
          <w:spacing w:val="-3"/>
          <w:sz w:val="21"/>
        </w:rPr>
        <w:t>投标人提供的证明文件必须真实有效，故意提供虚假材料应标的，一经查实将予以废标、没收其投</w:t>
      </w:r>
    </w:p>
    <w:p>
      <w:pPr>
        <w:spacing w:before="0" w:line="374" w:lineRule="exact"/>
        <w:ind w:left="294" w:right="0" w:firstLine="0"/>
        <w:jc w:val="left"/>
        <w:rPr>
          <w:rFonts w:ascii="微软雅黑" w:eastAsia="微软雅黑"/>
          <w:b/>
          <w:sz w:val="21"/>
        </w:rPr>
      </w:pPr>
      <w:r>
        <w:rPr>
          <w:rFonts w:ascii="微软雅黑" w:eastAsia="微软雅黑"/>
          <w:b/>
          <w:spacing w:val="-1"/>
          <w:sz w:val="21"/>
        </w:rPr>
        <w:t>标保证金并按政府招标法规有关处罚规定予以处罚。</w:t>
      </w:r>
    </w:p>
    <w:p>
      <w:pPr>
        <w:spacing w:after="0" w:line="374" w:lineRule="exact"/>
        <w:jc w:val="left"/>
        <w:rPr>
          <w:rFonts w:ascii="微软雅黑" w:eastAsia="微软雅黑"/>
          <w:sz w:val="21"/>
        </w:rPr>
        <w:sectPr>
          <w:headerReference w:type="default" r:id="rId32"/>
          <w:footerReference w:type="default" r:id="rId33"/>
          <w:pgSz w:w="11910" w:h="16840"/>
          <w:pgMar w:top="1100" w:right="560" w:bottom="1160" w:left="840" w:header="879" w:footer="971"/>
          <w:pgNumType w:start="13"/>
          <w:cols w:space="708"/>
        </w:sect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rPr>
          <w:rFonts w:ascii="微软雅黑"/>
          <w:b/>
          <w:sz w:val="20"/>
        </w:rPr>
      </w:pPr>
    </w:p>
    <w:p>
      <w:pPr>
        <w:pStyle w:val="BodyText"/>
        <w:spacing w:before="7"/>
        <w:rPr>
          <w:rFonts w:ascii="微软雅黑"/>
          <w:b/>
          <w:sz w:val="24"/>
        </w:rPr>
      </w:pPr>
    </w:p>
    <w:p>
      <w:pPr>
        <w:spacing w:before="0" w:line="597" w:lineRule="exact"/>
        <w:ind w:left="1992" w:right="2271" w:firstLine="0"/>
        <w:jc w:val="center"/>
        <w:rPr>
          <w:rFonts w:ascii="微软雅黑" w:eastAsia="微软雅黑"/>
          <w:b/>
          <w:sz w:val="44"/>
        </w:rPr>
      </w:pPr>
      <w:r>
        <w:rPr>
          <w:rFonts w:ascii="微软雅黑" w:eastAsia="微软雅黑"/>
          <w:b/>
          <w:spacing w:val="-3"/>
          <w:sz w:val="44"/>
        </w:rPr>
        <w:t>第三部分</w:t>
      </w:r>
    </w:p>
    <w:p>
      <w:pPr>
        <w:pStyle w:val="Heading1"/>
      </w:pPr>
      <w:r>
        <w:rPr>
          <w:spacing w:val="-2"/>
        </w:rPr>
        <w:t>投标人须知</w:t>
      </w:r>
    </w:p>
    <w:p>
      <w:pPr>
        <w:spacing w:after="0"/>
        <w:sectPr>
          <w:headerReference w:type="default" r:id="rId34"/>
          <w:footerReference w:type="default" r:id="rId35"/>
          <w:pgSz w:w="11910" w:h="16840"/>
          <w:pgMar w:top="1100" w:right="560" w:bottom="1160" w:left="840" w:header="879" w:footer="971"/>
          <w:pgNumType w:start="14"/>
          <w:cols w:space="708"/>
        </w:sectPr>
      </w:pPr>
    </w:p>
    <w:p>
      <w:pPr>
        <w:pStyle w:val="Heading3"/>
        <w:tabs>
          <w:tab w:val="left" w:pos="962"/>
        </w:tabs>
        <w:spacing w:line="492" w:lineRule="exact"/>
        <w:ind w:left="0" w:right="279"/>
      </w:pPr>
      <w:bookmarkStart w:id="4" w:name="_TOC_250007"/>
      <w:r>
        <w:t>一</w:t>
      </w:r>
      <w:r>
        <w:rPr>
          <w:spacing w:val="-12"/>
        </w:rPr>
        <w:t>、</w:t>
      </w:r>
      <w:r>
        <w:tab/>
        <w:t>说</w:t>
      </w:r>
      <w:bookmarkEnd w:id="4"/>
      <w:r>
        <w:rPr>
          <w:spacing w:val="-10"/>
        </w:rPr>
        <w:t>明</w:t>
      </w:r>
    </w:p>
    <w:p>
      <w:pPr>
        <w:spacing w:before="66"/>
        <w:ind w:left="294" w:right="0" w:firstLine="0"/>
        <w:jc w:val="left"/>
        <w:rPr>
          <w:rFonts w:ascii="微软雅黑" w:eastAsia="微软雅黑"/>
          <w:b/>
          <w:sz w:val="21"/>
        </w:rPr>
      </w:pPr>
      <w:r>
        <w:rPr>
          <w:rFonts w:ascii="微软雅黑" w:eastAsia="微软雅黑"/>
          <w:b/>
          <w:sz w:val="21"/>
        </w:rPr>
        <w:t>１.</w:t>
      </w:r>
      <w:r>
        <w:rPr>
          <w:rFonts w:ascii="微软雅黑" w:eastAsia="微软雅黑"/>
          <w:b/>
          <w:spacing w:val="-3"/>
          <w:sz w:val="21"/>
        </w:rPr>
        <w:t>适用范围</w:t>
      </w:r>
    </w:p>
    <w:p>
      <w:pPr>
        <w:pStyle w:val="ListParagraph"/>
        <w:numPr>
          <w:ilvl w:val="1"/>
          <w:numId w:val="47"/>
        </w:numPr>
        <w:tabs>
          <w:tab w:val="left" w:pos="1134"/>
        </w:tabs>
        <w:spacing w:before="88" w:after="0" w:line="240" w:lineRule="auto"/>
        <w:ind w:left="1134" w:right="0" w:hanging="420"/>
        <w:jc w:val="left"/>
        <w:rPr>
          <w:sz w:val="21"/>
        </w:rPr>
      </w:pPr>
      <w:r>
        <w:rPr>
          <w:spacing w:val="-1"/>
          <w:sz w:val="21"/>
        </w:rPr>
        <w:t>本招标文件仅适用于本次投标邀请中所叙述项目的货物及服务采购。</w:t>
      </w:r>
    </w:p>
    <w:p>
      <w:pPr>
        <w:spacing w:before="73"/>
        <w:ind w:left="294" w:right="0" w:firstLine="0"/>
        <w:jc w:val="left"/>
        <w:rPr>
          <w:rFonts w:ascii="微软雅黑" w:eastAsia="微软雅黑"/>
          <w:b/>
          <w:sz w:val="21"/>
        </w:rPr>
      </w:pPr>
      <w:r>
        <w:rPr>
          <w:rFonts w:ascii="微软雅黑" w:eastAsia="微软雅黑"/>
          <w:b/>
          <w:sz w:val="21"/>
        </w:rPr>
        <w:t>２.</w:t>
      </w:r>
      <w:r>
        <w:rPr>
          <w:rFonts w:ascii="微软雅黑" w:eastAsia="微软雅黑"/>
          <w:b/>
          <w:spacing w:val="-5"/>
          <w:sz w:val="21"/>
        </w:rPr>
        <w:t>定义</w:t>
      </w:r>
    </w:p>
    <w:p>
      <w:pPr>
        <w:pStyle w:val="ListParagraph"/>
        <w:numPr>
          <w:ilvl w:val="1"/>
          <w:numId w:val="25"/>
        </w:numPr>
        <w:tabs>
          <w:tab w:val="left" w:pos="1030"/>
        </w:tabs>
        <w:spacing w:before="88" w:after="0" w:line="240" w:lineRule="auto"/>
        <w:ind w:left="1030" w:right="0" w:hanging="316"/>
        <w:jc w:val="left"/>
        <w:rPr>
          <w:sz w:val="21"/>
        </w:rPr>
      </w:pPr>
      <w:r>
        <w:rPr>
          <w:spacing w:val="-1"/>
          <w:sz w:val="21"/>
        </w:rPr>
        <w:t>“采购人”系指本次采购项目的委托方即泉州师范学院。</w:t>
      </w:r>
    </w:p>
    <w:p>
      <w:pPr>
        <w:pStyle w:val="ListParagraph"/>
        <w:numPr>
          <w:ilvl w:val="1"/>
          <w:numId w:val="25"/>
        </w:numPr>
        <w:tabs>
          <w:tab w:val="left" w:pos="1030"/>
        </w:tabs>
        <w:spacing w:before="140" w:after="0" w:line="240" w:lineRule="auto"/>
        <w:ind w:left="1030" w:right="0" w:hanging="316"/>
        <w:jc w:val="left"/>
        <w:rPr>
          <w:sz w:val="21"/>
        </w:rPr>
      </w:pPr>
      <w:r>
        <w:rPr>
          <w:spacing w:val="-1"/>
          <w:sz w:val="21"/>
        </w:rPr>
        <w:t>“招标代理机构”系指组织本次招标的采购代理机构即泉州市嘉隆招标代理有限公司。</w:t>
      </w:r>
    </w:p>
    <w:p>
      <w:pPr>
        <w:pStyle w:val="BodyText"/>
        <w:spacing w:before="6"/>
        <w:rPr>
          <w:sz w:val="18"/>
        </w:rPr>
      </w:pPr>
    </w:p>
    <w:p>
      <w:pPr>
        <w:pStyle w:val="ListParagraph"/>
        <w:numPr>
          <w:ilvl w:val="1"/>
          <w:numId w:val="25"/>
        </w:numPr>
        <w:tabs>
          <w:tab w:val="left" w:pos="1030"/>
        </w:tabs>
        <w:spacing w:before="0" w:after="0" w:line="240" w:lineRule="auto"/>
        <w:ind w:left="1030" w:right="0" w:hanging="316"/>
        <w:jc w:val="left"/>
        <w:rPr>
          <w:sz w:val="21"/>
        </w:rPr>
      </w:pPr>
      <w:r>
        <w:rPr>
          <w:spacing w:val="-1"/>
          <w:sz w:val="21"/>
        </w:rPr>
        <w:t>“投标人”系指购买了本招标文件，且已经提交或准备提交本次投标文件的制造商或供货商。</w:t>
      </w:r>
    </w:p>
    <w:p>
      <w:pPr>
        <w:pStyle w:val="BodyText"/>
        <w:spacing w:before="7"/>
        <w:rPr>
          <w:sz w:val="15"/>
        </w:rPr>
      </w:pPr>
    </w:p>
    <w:p>
      <w:pPr>
        <w:pStyle w:val="ListParagraph"/>
        <w:numPr>
          <w:ilvl w:val="1"/>
          <w:numId w:val="25"/>
        </w:numPr>
        <w:tabs>
          <w:tab w:val="left" w:pos="1030"/>
        </w:tabs>
        <w:spacing w:before="0" w:after="0" w:line="417" w:lineRule="auto"/>
        <w:ind w:left="294" w:right="572" w:firstLine="420"/>
        <w:jc w:val="left"/>
        <w:rPr>
          <w:sz w:val="21"/>
        </w:rPr>
      </w:pPr>
      <w:r>
        <w:rPr>
          <w:spacing w:val="-7"/>
          <w:sz w:val="21"/>
        </w:rPr>
        <w:t>“投标人代表”指全权代表投标人签署《投标文件》，参加采购活动的法定代表人或须持有《法人</w:t>
      </w:r>
      <w:r>
        <w:rPr>
          <w:spacing w:val="-2"/>
          <w:sz w:val="21"/>
        </w:rPr>
        <w:t>委托授权书》的授权代理人。</w:t>
      </w:r>
    </w:p>
    <w:p>
      <w:pPr>
        <w:pStyle w:val="ListParagraph"/>
        <w:numPr>
          <w:ilvl w:val="1"/>
          <w:numId w:val="25"/>
        </w:numPr>
        <w:tabs>
          <w:tab w:val="left" w:pos="1030"/>
        </w:tabs>
        <w:spacing w:before="0" w:after="0" w:line="269" w:lineRule="exact"/>
        <w:ind w:left="1030" w:right="0" w:hanging="316"/>
        <w:jc w:val="left"/>
        <w:rPr>
          <w:sz w:val="21"/>
        </w:rPr>
      </w:pPr>
      <w:r>
        <w:rPr>
          <w:spacing w:val="-1"/>
          <w:sz w:val="21"/>
        </w:rPr>
        <w:t>“货物”系指中标人按采购规定须向指定用户提供的设备系统、配件及工具。</w:t>
      </w:r>
    </w:p>
    <w:p>
      <w:pPr>
        <w:pStyle w:val="ListParagraph"/>
        <w:numPr>
          <w:ilvl w:val="1"/>
          <w:numId w:val="25"/>
        </w:numPr>
        <w:tabs>
          <w:tab w:val="left" w:pos="1030"/>
        </w:tabs>
        <w:spacing w:before="8" w:after="0" w:line="460" w:lineRule="atLeast"/>
        <w:ind w:left="294" w:right="572" w:firstLine="420"/>
        <w:jc w:val="left"/>
        <w:rPr>
          <w:sz w:val="21"/>
        </w:rPr>
      </w:pPr>
      <w:r>
        <w:rPr>
          <w:spacing w:val="-2"/>
          <w:sz w:val="21"/>
        </w:rPr>
        <w:t>“服务”系指按招标文件规定，中标人须承担的货物运输、安装、技术协助、维护及自身承诺的</w:t>
      </w:r>
      <w:r>
        <w:rPr>
          <w:spacing w:val="-4"/>
          <w:sz w:val="21"/>
        </w:rPr>
        <w:t>义务。</w:t>
      </w:r>
    </w:p>
    <w:p>
      <w:pPr>
        <w:pStyle w:val="ListParagraph"/>
        <w:numPr>
          <w:ilvl w:val="1"/>
          <w:numId w:val="25"/>
        </w:numPr>
        <w:tabs>
          <w:tab w:val="left" w:pos="1030"/>
        </w:tabs>
        <w:spacing w:before="109" w:after="0" w:line="240" w:lineRule="auto"/>
        <w:ind w:left="1030" w:right="0" w:hanging="316"/>
        <w:jc w:val="left"/>
        <w:rPr>
          <w:sz w:val="21"/>
        </w:rPr>
      </w:pPr>
      <w:r>
        <w:rPr>
          <w:spacing w:val="-1"/>
          <w:sz w:val="21"/>
        </w:rPr>
        <w:t>“中标候选供应商” 经过参与本次采购项目的评委审查、考评、推荐的中标供应商候选人。</w:t>
      </w:r>
    </w:p>
    <w:p>
      <w:pPr>
        <w:pStyle w:val="ListParagraph"/>
        <w:numPr>
          <w:ilvl w:val="1"/>
          <w:numId w:val="25"/>
        </w:numPr>
        <w:tabs>
          <w:tab w:val="left" w:pos="1030"/>
        </w:tabs>
        <w:spacing w:before="140" w:after="0" w:line="240" w:lineRule="auto"/>
        <w:ind w:left="1030" w:right="0" w:hanging="316"/>
        <w:jc w:val="left"/>
        <w:rPr>
          <w:sz w:val="21"/>
        </w:rPr>
      </w:pPr>
      <w:r>
        <w:rPr>
          <w:spacing w:val="-6"/>
          <w:sz w:val="21"/>
        </w:rPr>
        <w:t>“中标供应商”持有招标代理机构签发的《中标通知书》，与采购人签订《买卖合同》的法人。</w:t>
      </w:r>
    </w:p>
    <w:p>
      <w:pPr>
        <w:spacing w:before="72"/>
        <w:ind w:left="294" w:right="0" w:firstLine="0"/>
        <w:jc w:val="left"/>
        <w:rPr>
          <w:rFonts w:ascii="微软雅黑" w:eastAsia="微软雅黑"/>
          <w:b/>
          <w:sz w:val="21"/>
        </w:rPr>
      </w:pPr>
      <w:r>
        <w:rPr>
          <w:rFonts w:ascii="微软雅黑" w:eastAsia="微软雅黑"/>
          <w:b/>
          <w:sz w:val="21"/>
        </w:rPr>
        <w:t>３.</w:t>
      </w:r>
      <w:r>
        <w:rPr>
          <w:rFonts w:ascii="微软雅黑" w:eastAsia="微软雅黑"/>
          <w:b/>
          <w:spacing w:val="-2"/>
          <w:sz w:val="21"/>
        </w:rPr>
        <w:t>投标人条件</w:t>
      </w:r>
    </w:p>
    <w:p>
      <w:pPr>
        <w:pStyle w:val="ListParagraph"/>
        <w:numPr>
          <w:ilvl w:val="1"/>
          <w:numId w:val="24"/>
        </w:numPr>
        <w:tabs>
          <w:tab w:val="left" w:pos="1082"/>
        </w:tabs>
        <w:spacing w:before="88" w:after="0" w:line="240" w:lineRule="auto"/>
        <w:ind w:left="1081" w:right="0" w:hanging="368"/>
        <w:jc w:val="left"/>
        <w:rPr>
          <w:sz w:val="21"/>
        </w:rPr>
      </w:pPr>
      <w:r>
        <w:rPr>
          <w:spacing w:val="-1"/>
          <w:sz w:val="21"/>
        </w:rPr>
        <w:t>具有本次采购货物经营权的企业法人；</w:t>
      </w:r>
    </w:p>
    <w:p>
      <w:pPr>
        <w:pStyle w:val="ListParagraph"/>
        <w:numPr>
          <w:ilvl w:val="1"/>
          <w:numId w:val="24"/>
        </w:numPr>
        <w:tabs>
          <w:tab w:val="left" w:pos="1082"/>
        </w:tabs>
        <w:spacing w:before="140" w:after="0" w:line="240" w:lineRule="auto"/>
        <w:ind w:left="1081" w:right="0" w:hanging="368"/>
        <w:jc w:val="left"/>
        <w:rPr>
          <w:sz w:val="21"/>
        </w:rPr>
      </w:pPr>
      <w:r>
        <w:rPr>
          <w:spacing w:val="-1"/>
          <w:sz w:val="21"/>
        </w:rPr>
        <w:t>企业必须具备完善的售后服务能力；</w:t>
      </w:r>
    </w:p>
    <w:p>
      <w:pPr>
        <w:pStyle w:val="ListParagraph"/>
        <w:numPr>
          <w:ilvl w:val="1"/>
          <w:numId w:val="24"/>
        </w:numPr>
        <w:tabs>
          <w:tab w:val="left" w:pos="1082"/>
        </w:tabs>
        <w:spacing w:before="139" w:after="0" w:line="240" w:lineRule="auto"/>
        <w:ind w:left="1081" w:right="0" w:hanging="368"/>
        <w:jc w:val="left"/>
        <w:rPr>
          <w:sz w:val="21"/>
        </w:rPr>
      </w:pPr>
      <w:r>
        <w:rPr>
          <w:spacing w:val="-1"/>
          <w:sz w:val="21"/>
        </w:rPr>
        <w:t>具有良好的商业信誉和健全的财务会计制度；</w:t>
      </w:r>
    </w:p>
    <w:p>
      <w:pPr>
        <w:pStyle w:val="ListParagraph"/>
        <w:numPr>
          <w:ilvl w:val="1"/>
          <w:numId w:val="24"/>
        </w:numPr>
        <w:tabs>
          <w:tab w:val="left" w:pos="1082"/>
        </w:tabs>
        <w:spacing w:before="140" w:after="0" w:line="240" w:lineRule="auto"/>
        <w:ind w:left="1081" w:right="0" w:hanging="368"/>
        <w:jc w:val="left"/>
        <w:rPr>
          <w:sz w:val="21"/>
        </w:rPr>
      </w:pPr>
      <w:r>
        <w:rPr>
          <w:spacing w:val="-1"/>
          <w:sz w:val="21"/>
        </w:rPr>
        <w:t>具有履行合同所必需的设备和专业技术能力；</w:t>
      </w:r>
    </w:p>
    <w:p>
      <w:pPr>
        <w:pStyle w:val="ListParagraph"/>
        <w:numPr>
          <w:ilvl w:val="1"/>
          <w:numId w:val="24"/>
        </w:numPr>
        <w:tabs>
          <w:tab w:val="left" w:pos="1082"/>
        </w:tabs>
        <w:spacing w:before="139" w:after="0" w:line="240" w:lineRule="auto"/>
        <w:ind w:left="1081" w:right="0" w:hanging="368"/>
        <w:jc w:val="left"/>
        <w:rPr>
          <w:sz w:val="21"/>
        </w:rPr>
      </w:pPr>
      <w:r>
        <w:rPr>
          <w:spacing w:val="-1"/>
          <w:sz w:val="21"/>
        </w:rPr>
        <w:t>有依法缴纳税收和社会保障资金的良好记录；</w:t>
      </w:r>
    </w:p>
    <w:p>
      <w:pPr>
        <w:pStyle w:val="ListParagraph"/>
        <w:numPr>
          <w:ilvl w:val="1"/>
          <w:numId w:val="24"/>
        </w:numPr>
        <w:tabs>
          <w:tab w:val="left" w:pos="1082"/>
        </w:tabs>
        <w:spacing w:before="140" w:after="0" w:line="240" w:lineRule="auto"/>
        <w:ind w:left="1081" w:right="0" w:hanging="368"/>
        <w:jc w:val="left"/>
        <w:rPr>
          <w:sz w:val="21"/>
        </w:rPr>
      </w:pPr>
      <w:r>
        <w:rPr>
          <w:spacing w:val="-1"/>
          <w:sz w:val="21"/>
        </w:rPr>
        <w:t>本次采购活动前三年内在泉州区域区内的政府采购活动中没有违法违规行为；</w:t>
      </w:r>
    </w:p>
    <w:p>
      <w:pPr>
        <w:pStyle w:val="ListParagraph"/>
        <w:numPr>
          <w:ilvl w:val="1"/>
          <w:numId w:val="24"/>
        </w:numPr>
        <w:tabs>
          <w:tab w:val="left" w:pos="1082"/>
        </w:tabs>
        <w:spacing w:before="139" w:after="0" w:line="240" w:lineRule="auto"/>
        <w:ind w:left="1081" w:right="0" w:hanging="368"/>
        <w:jc w:val="left"/>
        <w:rPr>
          <w:sz w:val="21"/>
        </w:rPr>
      </w:pPr>
      <w:r>
        <w:rPr>
          <w:spacing w:val="-1"/>
          <w:sz w:val="21"/>
        </w:rPr>
        <w:t>应提供近三年检察机关行贿犯罪档案查询结果告知函；</w:t>
      </w:r>
    </w:p>
    <w:p>
      <w:pPr>
        <w:pStyle w:val="ListParagraph"/>
        <w:numPr>
          <w:ilvl w:val="1"/>
          <w:numId w:val="24"/>
        </w:numPr>
        <w:tabs>
          <w:tab w:val="left" w:pos="1082"/>
        </w:tabs>
        <w:spacing w:before="140" w:after="0" w:line="240" w:lineRule="auto"/>
        <w:ind w:left="1081" w:right="0" w:hanging="368"/>
        <w:jc w:val="left"/>
        <w:rPr>
          <w:sz w:val="21"/>
        </w:rPr>
      </w:pPr>
      <w:r>
        <w:rPr>
          <w:spacing w:val="-1"/>
          <w:sz w:val="21"/>
        </w:rPr>
        <w:t>法律、行政法规规定的其他条件。</w:t>
      </w:r>
    </w:p>
    <w:p>
      <w:pPr>
        <w:spacing w:before="72"/>
        <w:ind w:left="294" w:right="0" w:firstLine="0"/>
        <w:jc w:val="left"/>
        <w:rPr>
          <w:rFonts w:ascii="微软雅黑" w:eastAsia="微软雅黑"/>
          <w:b/>
          <w:sz w:val="21"/>
        </w:rPr>
      </w:pPr>
      <w:r>
        <w:rPr>
          <w:rFonts w:ascii="微软雅黑" w:eastAsia="微软雅黑"/>
          <w:b/>
          <w:sz w:val="21"/>
        </w:rPr>
        <w:t>４.</w:t>
      </w:r>
      <w:r>
        <w:rPr>
          <w:rFonts w:ascii="微软雅黑" w:eastAsia="微软雅黑"/>
          <w:b/>
          <w:spacing w:val="-3"/>
          <w:sz w:val="21"/>
        </w:rPr>
        <w:t>投标费用</w:t>
      </w:r>
    </w:p>
    <w:p>
      <w:pPr>
        <w:pStyle w:val="ListParagraph"/>
        <w:numPr>
          <w:ilvl w:val="1"/>
          <w:numId w:val="27"/>
        </w:numPr>
        <w:tabs>
          <w:tab w:val="left" w:pos="1134"/>
        </w:tabs>
        <w:spacing w:before="88" w:after="0" w:line="240" w:lineRule="auto"/>
        <w:ind w:left="1134" w:right="0" w:hanging="420"/>
        <w:jc w:val="left"/>
        <w:rPr>
          <w:sz w:val="21"/>
        </w:rPr>
      </w:pPr>
      <w:r>
        <w:rPr>
          <w:spacing w:val="-1"/>
          <w:sz w:val="21"/>
        </w:rPr>
        <w:t>无论投标过程中的做法和结果如何，投标人应自行承担所有与参加投标有关的全部费用。</w:t>
      </w:r>
    </w:p>
    <w:p>
      <w:pPr>
        <w:pStyle w:val="ListParagraph"/>
        <w:numPr>
          <w:ilvl w:val="0"/>
          <w:numId w:val="27"/>
        </w:numPr>
        <w:tabs>
          <w:tab w:val="left" w:pos="611"/>
        </w:tabs>
        <w:spacing w:before="147" w:after="0" w:line="370" w:lineRule="exact"/>
        <w:ind w:left="610" w:right="0" w:hanging="317"/>
        <w:jc w:val="left"/>
        <w:rPr>
          <w:rFonts w:ascii="微软雅黑" w:eastAsia="微软雅黑"/>
          <w:b/>
          <w:sz w:val="19"/>
        </w:rPr>
      </w:pPr>
      <w:r>
        <w:rPr>
          <w:rFonts w:ascii="微软雅黑" w:eastAsia="微软雅黑"/>
          <w:b/>
          <w:spacing w:val="-1"/>
          <w:sz w:val="21"/>
        </w:rPr>
        <w:t>投标方代表、合格的投标人</w:t>
      </w:r>
    </w:p>
    <w:p>
      <w:pPr>
        <w:pStyle w:val="ListParagraph"/>
        <w:numPr>
          <w:ilvl w:val="1"/>
          <w:numId w:val="27"/>
        </w:numPr>
        <w:tabs>
          <w:tab w:val="left" w:pos="1116"/>
        </w:tabs>
        <w:spacing w:before="0" w:after="0" w:line="252" w:lineRule="exact"/>
        <w:ind w:left="1115" w:right="0" w:hanging="402"/>
        <w:jc w:val="left"/>
        <w:rPr>
          <w:sz w:val="21"/>
        </w:rPr>
      </w:pPr>
      <w:r>
        <w:rPr>
          <w:spacing w:val="-8"/>
          <w:sz w:val="21"/>
        </w:rPr>
        <w:t>指全权代表投标方参加投标活动并签署投标文件的人，如果投标方代表不是法人代表，须持有《法</w:t>
      </w:r>
    </w:p>
    <w:p>
      <w:pPr>
        <w:pStyle w:val="BodyText"/>
        <w:spacing w:before="140"/>
        <w:ind w:left="294"/>
      </w:pPr>
      <w:r>
        <w:rPr>
          <w:spacing w:val="-11"/>
        </w:rPr>
        <w:t>人代表授权书》，统一格式。</w:t>
      </w:r>
    </w:p>
    <w:p>
      <w:pPr>
        <w:pStyle w:val="ListParagraph"/>
        <w:numPr>
          <w:ilvl w:val="1"/>
          <w:numId w:val="27"/>
        </w:numPr>
        <w:tabs>
          <w:tab w:val="left" w:pos="1082"/>
        </w:tabs>
        <w:spacing w:before="139" w:after="0" w:line="240" w:lineRule="auto"/>
        <w:ind w:left="1081" w:right="0" w:hanging="368"/>
        <w:jc w:val="left"/>
        <w:rPr>
          <w:sz w:val="21"/>
        </w:rPr>
      </w:pPr>
      <w:r>
        <w:rPr>
          <w:spacing w:val="-2"/>
          <w:sz w:val="21"/>
        </w:rPr>
        <w:t>合格的投标人</w:t>
      </w:r>
    </w:p>
    <w:p>
      <w:pPr>
        <w:pStyle w:val="ListParagraph"/>
        <w:numPr>
          <w:ilvl w:val="2"/>
          <w:numId w:val="27"/>
        </w:numPr>
        <w:tabs>
          <w:tab w:val="left" w:pos="1292"/>
        </w:tabs>
        <w:spacing w:before="140" w:after="0" w:line="364" w:lineRule="auto"/>
        <w:ind w:left="294" w:right="572" w:firstLine="420"/>
        <w:jc w:val="both"/>
        <w:rPr>
          <w:sz w:val="21"/>
        </w:rPr>
      </w:pPr>
      <w:r>
        <w:rPr>
          <w:spacing w:val="-2"/>
          <w:sz w:val="21"/>
        </w:rPr>
        <w:t>一个投标人只能提交一个投标文件。但如果投标人之间存在下列互为关联关系的情形之一的，</w:t>
      </w:r>
      <w:r>
        <w:rPr>
          <w:spacing w:val="-2"/>
          <w:sz w:val="21"/>
        </w:rPr>
        <w:t>不得同时参加本项目投标：（1）法定代表人为同一人的两个及两个以上法人；（2）母公司，直接或间接</w:t>
      </w:r>
      <w:r>
        <w:rPr>
          <w:spacing w:val="-8"/>
          <w:sz w:val="21"/>
        </w:rPr>
        <w:t xml:space="preserve">持股 </w:t>
      </w:r>
      <w:r>
        <w:rPr>
          <w:sz w:val="21"/>
        </w:rPr>
        <w:t>50%及以上的被投资公司；（3）</w:t>
      </w:r>
      <w:r>
        <w:rPr>
          <w:spacing w:val="-2"/>
          <w:sz w:val="21"/>
        </w:rPr>
        <w:t xml:space="preserve">均为同一家母公司直接或间接持股 </w:t>
      </w:r>
      <w:r>
        <w:rPr>
          <w:sz w:val="21"/>
        </w:rPr>
        <w:t>50%及以上的被投资公司。</w:t>
      </w:r>
    </w:p>
    <w:p>
      <w:pPr>
        <w:pStyle w:val="ListParagraph"/>
        <w:numPr>
          <w:ilvl w:val="2"/>
          <w:numId w:val="27"/>
        </w:numPr>
        <w:tabs>
          <w:tab w:val="left" w:pos="1292"/>
        </w:tabs>
        <w:spacing w:before="73" w:after="0" w:line="240" w:lineRule="auto"/>
        <w:ind w:left="1291" w:right="0" w:hanging="578"/>
        <w:jc w:val="left"/>
        <w:rPr>
          <w:sz w:val="21"/>
        </w:rPr>
      </w:pPr>
      <w:r>
        <w:rPr>
          <w:spacing w:val="-1"/>
          <w:sz w:val="21"/>
        </w:rPr>
        <w:t>投标人不得与本次招标项目下设计、编制技术规格和其它文件的公司或提供咨询服务的公司包</w:t>
      </w:r>
    </w:p>
    <w:p>
      <w:pPr>
        <w:spacing w:after="0" w:line="240" w:lineRule="auto"/>
        <w:jc w:val="left"/>
        <w:rPr>
          <w:sz w:val="21"/>
        </w:rPr>
        <w:sectPr>
          <w:headerReference w:type="default" r:id="rId36"/>
          <w:footerReference w:type="default" r:id="rId37"/>
          <w:pgSz w:w="11910" w:h="16840"/>
          <w:pgMar w:top="1100" w:right="560" w:bottom="1160" w:left="840" w:header="879" w:footer="971"/>
          <w:pgNumType w:start="15"/>
          <w:cols w:space="708"/>
        </w:sectPr>
      </w:pPr>
    </w:p>
    <w:p>
      <w:pPr>
        <w:pStyle w:val="BodyText"/>
        <w:spacing w:before="78"/>
        <w:ind w:left="294"/>
      </w:pPr>
      <w:r>
        <w:rPr>
          <w:spacing w:val="-1"/>
        </w:rPr>
        <w:t>括其附属机构有任何关联。</w:t>
      </w:r>
    </w:p>
    <w:p>
      <w:pPr>
        <w:pStyle w:val="ListParagraph"/>
        <w:numPr>
          <w:ilvl w:val="1"/>
          <w:numId w:val="48"/>
        </w:numPr>
        <w:tabs>
          <w:tab w:val="left" w:pos="1082"/>
        </w:tabs>
        <w:spacing w:before="91" w:after="0" w:line="240" w:lineRule="auto"/>
        <w:ind w:left="1081" w:right="0" w:hanging="368"/>
        <w:jc w:val="left"/>
        <w:rPr>
          <w:sz w:val="21"/>
        </w:rPr>
      </w:pPr>
      <w:r>
        <w:rPr>
          <w:spacing w:val="-1"/>
          <w:sz w:val="21"/>
        </w:rPr>
        <w:t>两个或者两个以上投标人可以组成一个投标联合体，以一个投标人的身份投标。</w:t>
      </w:r>
    </w:p>
    <w:p>
      <w:pPr>
        <w:pStyle w:val="ListParagraph"/>
        <w:numPr>
          <w:ilvl w:val="2"/>
          <w:numId w:val="48"/>
        </w:numPr>
        <w:tabs>
          <w:tab w:val="left" w:pos="1292"/>
        </w:tabs>
        <w:spacing w:before="91" w:after="0" w:line="321" w:lineRule="auto"/>
        <w:ind w:left="294" w:right="572" w:firstLine="420"/>
        <w:jc w:val="left"/>
        <w:rPr>
          <w:sz w:val="21"/>
        </w:rPr>
      </w:pPr>
      <w:r>
        <w:rPr>
          <w:spacing w:val="-2"/>
          <w:sz w:val="21"/>
        </w:rPr>
        <w:t>以联合体形式参加投标的，联合体各方均应当符合政府采购法第二十二条第一款规定的条件。</w:t>
      </w:r>
      <w:r>
        <w:rPr>
          <w:spacing w:val="-2"/>
          <w:sz w:val="21"/>
        </w:rPr>
        <w:t>联合体各方中至少应当有一方符合采购人根据采购项目的要求规定的特定条件。</w:t>
      </w:r>
    </w:p>
    <w:p>
      <w:pPr>
        <w:pStyle w:val="ListParagraph"/>
        <w:numPr>
          <w:ilvl w:val="2"/>
          <w:numId w:val="48"/>
        </w:numPr>
        <w:tabs>
          <w:tab w:val="left" w:pos="1292"/>
        </w:tabs>
        <w:spacing w:before="0" w:after="0" w:line="321" w:lineRule="auto"/>
        <w:ind w:left="294" w:right="572" w:firstLine="420"/>
        <w:jc w:val="both"/>
        <w:rPr>
          <w:sz w:val="21"/>
        </w:rPr>
      </w:pPr>
      <w:r>
        <w:rPr>
          <w:spacing w:val="-2"/>
          <w:sz w:val="21"/>
        </w:rPr>
        <w:t>联合体各方之间应当签订共同投标协议，明确约定联合体各方承担的工作和相应的责任，并将</w:t>
      </w:r>
      <w:r>
        <w:rPr>
          <w:spacing w:val="-2"/>
          <w:sz w:val="21"/>
        </w:rPr>
        <w:t>共同投标协议连同投标文件一并提交。联合体各方签订共同投标协议后，不得再以自己名义单独在同一项</w:t>
      </w:r>
      <w:r>
        <w:rPr>
          <w:spacing w:val="-2"/>
          <w:sz w:val="21"/>
        </w:rPr>
        <w:t>目中投标，也不得组成新的联合体参加同一项目投标。</w:t>
      </w:r>
    </w:p>
    <w:p>
      <w:pPr>
        <w:pStyle w:val="ListParagraph"/>
        <w:numPr>
          <w:ilvl w:val="2"/>
          <w:numId w:val="48"/>
        </w:numPr>
        <w:tabs>
          <w:tab w:val="left" w:pos="1292"/>
        </w:tabs>
        <w:spacing w:before="0" w:after="0" w:line="321" w:lineRule="auto"/>
        <w:ind w:left="294" w:right="572" w:firstLine="420"/>
        <w:jc w:val="left"/>
        <w:rPr>
          <w:sz w:val="21"/>
        </w:rPr>
      </w:pPr>
      <w:r>
        <w:rPr>
          <w:spacing w:val="-2"/>
          <w:sz w:val="21"/>
        </w:rPr>
        <w:t>联合体投标时只能以其中一方具备的条件作为评标依据，投标人必须在投标文件中明确指出以</w:t>
      </w:r>
      <w:r>
        <w:rPr>
          <w:spacing w:val="-2"/>
          <w:sz w:val="21"/>
        </w:rPr>
        <w:t>哪一方的条件参与商务部分的评分。</w:t>
      </w:r>
    </w:p>
    <w:p>
      <w:pPr>
        <w:pStyle w:val="ListParagraph"/>
        <w:numPr>
          <w:ilvl w:val="1"/>
          <w:numId w:val="48"/>
        </w:numPr>
        <w:tabs>
          <w:tab w:val="left" w:pos="1085"/>
        </w:tabs>
        <w:spacing w:before="0" w:after="0" w:line="331" w:lineRule="exact"/>
        <w:ind w:left="1084" w:right="0" w:hanging="371"/>
        <w:jc w:val="left"/>
        <w:rPr>
          <w:rFonts w:ascii="微软雅黑" w:eastAsia="微软雅黑"/>
          <w:b/>
          <w:sz w:val="21"/>
        </w:rPr>
      </w:pPr>
      <w:r>
        <w:rPr>
          <w:rFonts w:ascii="微软雅黑" w:eastAsia="微软雅黑"/>
          <w:b/>
          <w:spacing w:val="-1"/>
          <w:sz w:val="21"/>
        </w:rPr>
        <w:t>关于同一品牌同一型号产品有效投标人个数的计算：</w:t>
      </w:r>
    </w:p>
    <w:p>
      <w:pPr>
        <w:spacing w:before="0" w:line="235" w:lineRule="auto"/>
        <w:ind w:left="294" w:right="408" w:firstLine="420"/>
        <w:jc w:val="left"/>
        <w:rPr>
          <w:rFonts w:ascii="微软雅黑" w:eastAsia="微软雅黑"/>
          <w:b/>
          <w:sz w:val="21"/>
        </w:rPr>
      </w:pPr>
      <w:r>
        <w:rPr>
          <w:rFonts w:ascii="微软雅黑" w:eastAsia="微软雅黑"/>
          <w:b/>
          <w:spacing w:val="-7"/>
          <w:sz w:val="21"/>
        </w:rPr>
        <w:t>同一品牌同一型号产品只能由一个投标人参加。如果有多家代理商参加同一品牌同一型号产品投标的，</w:t>
      </w:r>
      <w:r>
        <w:rPr>
          <w:rFonts w:ascii="微软雅黑" w:eastAsia="微软雅黑"/>
          <w:b/>
          <w:spacing w:val="-2"/>
          <w:sz w:val="21"/>
        </w:rPr>
        <w:t>作为一个投标人计算，并以报价最低的合格投标人作为有效投标人。</w:t>
      </w:r>
    </w:p>
    <w:p>
      <w:pPr>
        <w:pStyle w:val="ListParagraph"/>
        <w:numPr>
          <w:ilvl w:val="1"/>
          <w:numId w:val="48"/>
        </w:numPr>
        <w:tabs>
          <w:tab w:val="left" w:pos="1082"/>
        </w:tabs>
        <w:spacing w:before="46" w:after="0" w:line="240" w:lineRule="auto"/>
        <w:ind w:left="1081" w:right="0" w:hanging="368"/>
        <w:jc w:val="left"/>
        <w:rPr>
          <w:sz w:val="21"/>
        </w:rPr>
      </w:pPr>
      <w:r>
        <w:rPr>
          <w:spacing w:val="-1"/>
          <w:sz w:val="21"/>
        </w:rPr>
        <w:t>投标代理人在同一个项目中只能接受一个投标人的委托参加投标。</w:t>
      </w:r>
    </w:p>
    <w:p>
      <w:pPr>
        <w:pStyle w:val="BodyText"/>
        <w:spacing w:before="3"/>
        <w:rPr>
          <w:sz w:val="25"/>
        </w:rPr>
      </w:pPr>
    </w:p>
    <w:p>
      <w:pPr>
        <w:pStyle w:val="Heading3"/>
        <w:spacing w:before="1"/>
        <w:ind w:right="2271"/>
      </w:pPr>
      <w:bookmarkStart w:id="5" w:name="_TOC_250006"/>
      <w:bookmarkEnd w:id="5"/>
      <w:r>
        <w:rPr>
          <w:spacing w:val="-2"/>
        </w:rPr>
        <w:t>二、招标文件</w:t>
      </w:r>
    </w:p>
    <w:p>
      <w:pPr>
        <w:pStyle w:val="ListParagraph"/>
        <w:numPr>
          <w:ilvl w:val="0"/>
          <w:numId w:val="48"/>
        </w:numPr>
        <w:tabs>
          <w:tab w:val="left" w:pos="506"/>
        </w:tabs>
        <w:spacing w:before="66" w:after="0" w:line="240" w:lineRule="auto"/>
        <w:ind w:left="505" w:right="0" w:hanging="212"/>
        <w:jc w:val="left"/>
        <w:rPr>
          <w:rFonts w:ascii="微软雅黑" w:eastAsia="微软雅黑"/>
          <w:b/>
          <w:sz w:val="19"/>
        </w:rPr>
      </w:pPr>
      <w:r>
        <w:rPr>
          <w:rFonts w:ascii="微软雅黑" w:eastAsia="微软雅黑"/>
          <w:b/>
          <w:spacing w:val="-2"/>
          <w:sz w:val="21"/>
        </w:rPr>
        <w:t>招标文件的组成</w:t>
      </w:r>
    </w:p>
    <w:p>
      <w:pPr>
        <w:pStyle w:val="ListParagraph"/>
        <w:numPr>
          <w:ilvl w:val="1"/>
          <w:numId w:val="48"/>
        </w:numPr>
        <w:tabs>
          <w:tab w:val="left" w:pos="1134"/>
        </w:tabs>
        <w:spacing w:before="88" w:after="0" w:line="240" w:lineRule="auto"/>
        <w:ind w:left="1134" w:right="0" w:hanging="420"/>
        <w:jc w:val="left"/>
        <w:rPr>
          <w:sz w:val="21"/>
        </w:rPr>
      </w:pPr>
      <w:r>
        <w:rPr>
          <w:spacing w:val="-6"/>
          <w:sz w:val="21"/>
        </w:rPr>
        <w:t>招标文件是用以阐明所需货物及服务招标投标程序和合同条款的资料。招标文件由下述部分组成：</w:t>
      </w:r>
    </w:p>
    <w:p>
      <w:pPr>
        <w:pStyle w:val="ListParagraph"/>
        <w:numPr>
          <w:ilvl w:val="2"/>
          <w:numId w:val="48"/>
        </w:numPr>
        <w:tabs>
          <w:tab w:val="left" w:pos="1292"/>
        </w:tabs>
        <w:spacing w:before="140" w:after="0" w:line="240" w:lineRule="auto"/>
        <w:ind w:left="1291" w:right="0" w:hanging="578"/>
        <w:jc w:val="left"/>
        <w:rPr>
          <w:sz w:val="21"/>
        </w:rPr>
      </w:pPr>
      <w:r>
        <w:rPr>
          <w:spacing w:val="-2"/>
          <w:sz w:val="21"/>
        </w:rPr>
        <w:t>投标邀请书；</w:t>
      </w:r>
    </w:p>
    <w:p>
      <w:pPr>
        <w:pStyle w:val="ListParagraph"/>
        <w:numPr>
          <w:ilvl w:val="2"/>
          <w:numId w:val="48"/>
        </w:numPr>
        <w:tabs>
          <w:tab w:val="left" w:pos="1292"/>
        </w:tabs>
        <w:spacing w:before="139" w:after="0" w:line="240" w:lineRule="auto"/>
        <w:ind w:left="1291" w:right="0" w:hanging="578"/>
        <w:jc w:val="left"/>
        <w:rPr>
          <w:sz w:val="21"/>
        </w:rPr>
      </w:pPr>
      <w:r>
        <w:rPr>
          <w:spacing w:val="-2"/>
          <w:sz w:val="21"/>
        </w:rPr>
        <w:t>投标人须知；</w:t>
      </w:r>
    </w:p>
    <w:p>
      <w:pPr>
        <w:pStyle w:val="ListParagraph"/>
        <w:numPr>
          <w:ilvl w:val="2"/>
          <w:numId w:val="48"/>
        </w:numPr>
        <w:tabs>
          <w:tab w:val="left" w:pos="1292"/>
        </w:tabs>
        <w:spacing w:before="140" w:after="0" w:line="240" w:lineRule="auto"/>
        <w:ind w:left="1291" w:right="0" w:hanging="578"/>
        <w:jc w:val="left"/>
        <w:rPr>
          <w:sz w:val="21"/>
        </w:rPr>
      </w:pPr>
      <w:r>
        <w:rPr>
          <w:spacing w:val="-1"/>
          <w:sz w:val="21"/>
        </w:rPr>
        <w:t>泉州师范学院化生院教学设备采购及服务项目需求与技术商务应答内容；</w:t>
      </w:r>
    </w:p>
    <w:p>
      <w:pPr>
        <w:pStyle w:val="ListParagraph"/>
        <w:numPr>
          <w:ilvl w:val="2"/>
          <w:numId w:val="48"/>
        </w:numPr>
        <w:tabs>
          <w:tab w:val="left" w:pos="1292"/>
        </w:tabs>
        <w:spacing w:before="139" w:after="0" w:line="240" w:lineRule="auto"/>
        <w:ind w:left="1291" w:right="0" w:hanging="578"/>
        <w:jc w:val="left"/>
        <w:rPr>
          <w:sz w:val="21"/>
        </w:rPr>
      </w:pPr>
      <w:r>
        <w:rPr>
          <w:spacing w:val="-1"/>
          <w:sz w:val="21"/>
        </w:rPr>
        <w:t>泉州师范学院化生院教学设备采购及服务项目买卖合同主要内容；</w:t>
      </w:r>
    </w:p>
    <w:p>
      <w:pPr>
        <w:pStyle w:val="ListParagraph"/>
        <w:numPr>
          <w:ilvl w:val="2"/>
          <w:numId w:val="48"/>
        </w:numPr>
        <w:tabs>
          <w:tab w:val="left" w:pos="1292"/>
        </w:tabs>
        <w:spacing w:before="139" w:after="0" w:line="240" w:lineRule="auto"/>
        <w:ind w:left="1291" w:right="0" w:hanging="578"/>
        <w:jc w:val="left"/>
        <w:rPr>
          <w:sz w:val="21"/>
        </w:rPr>
      </w:pPr>
      <w:r>
        <w:rPr>
          <w:spacing w:val="-2"/>
          <w:sz w:val="21"/>
        </w:rPr>
        <w:t>投标文件格式。</w:t>
      </w:r>
    </w:p>
    <w:p>
      <w:pPr>
        <w:pStyle w:val="ListParagraph"/>
        <w:numPr>
          <w:ilvl w:val="1"/>
          <w:numId w:val="48"/>
        </w:numPr>
        <w:tabs>
          <w:tab w:val="left" w:pos="1134"/>
        </w:tabs>
        <w:spacing w:before="140" w:after="0" w:line="364" w:lineRule="auto"/>
        <w:ind w:left="294" w:right="467" w:firstLine="420"/>
        <w:jc w:val="both"/>
        <w:rPr>
          <w:sz w:val="21"/>
        </w:rPr>
      </w:pPr>
      <w:r>
        <w:rPr>
          <w:spacing w:val="-4"/>
          <w:sz w:val="21"/>
        </w:rPr>
        <w:t>除非有特殊要求，招标文件不单独提供招标货物使用地的自然环境、气候条件、公用设施等情况，</w:t>
      </w:r>
      <w:r>
        <w:rPr>
          <w:spacing w:val="-2"/>
          <w:sz w:val="21"/>
        </w:rPr>
        <w:t>投标人被视为熟悉上述与履行合同有关的一切情况。</w:t>
      </w:r>
    </w:p>
    <w:p>
      <w:pPr>
        <w:pStyle w:val="ListParagraph"/>
        <w:numPr>
          <w:ilvl w:val="1"/>
          <w:numId w:val="48"/>
        </w:numPr>
        <w:tabs>
          <w:tab w:val="left" w:pos="1134"/>
        </w:tabs>
        <w:spacing w:before="0" w:after="0" w:line="364" w:lineRule="auto"/>
        <w:ind w:left="294" w:right="551" w:firstLine="420"/>
        <w:jc w:val="both"/>
        <w:rPr>
          <w:sz w:val="21"/>
        </w:rPr>
      </w:pPr>
      <w:r>
        <w:rPr>
          <w:spacing w:val="-2"/>
          <w:sz w:val="21"/>
        </w:rPr>
        <w:t>知识产权声明：供应商所供货物必须是自身合法生产的或通过正当合法来源获得的全新的产品，</w:t>
      </w:r>
      <w:r>
        <w:rPr>
          <w:spacing w:val="-2"/>
          <w:sz w:val="21"/>
        </w:rPr>
        <w:t>并对之具有完全所有权；任何第三方均不得就货物的所有权、知识产权或担保物权可能提出的异议或有关</w:t>
      </w:r>
      <w:r>
        <w:rPr>
          <w:spacing w:val="-2"/>
          <w:sz w:val="21"/>
        </w:rPr>
        <w:t>索赔责任或费用，由供应商方承担，采购单位不承担任何责任。</w:t>
      </w:r>
    </w:p>
    <w:p>
      <w:pPr>
        <w:pStyle w:val="ListParagraph"/>
        <w:numPr>
          <w:ilvl w:val="0"/>
          <w:numId w:val="48"/>
        </w:numPr>
        <w:tabs>
          <w:tab w:val="left" w:pos="506"/>
        </w:tabs>
        <w:spacing w:before="0" w:after="0" w:line="318" w:lineRule="exact"/>
        <w:ind w:left="505" w:right="0" w:hanging="212"/>
        <w:jc w:val="left"/>
        <w:rPr>
          <w:rFonts w:ascii="微软雅黑" w:eastAsia="微软雅黑"/>
          <w:b/>
          <w:sz w:val="19"/>
        </w:rPr>
      </w:pPr>
      <w:r>
        <w:rPr>
          <w:rFonts w:ascii="微软雅黑" w:eastAsia="微软雅黑"/>
          <w:b/>
          <w:spacing w:val="-2"/>
          <w:sz w:val="21"/>
        </w:rPr>
        <w:t>招标文件的澄清</w:t>
      </w:r>
    </w:p>
    <w:p>
      <w:pPr>
        <w:pStyle w:val="ListParagraph"/>
        <w:numPr>
          <w:ilvl w:val="1"/>
          <w:numId w:val="48"/>
        </w:numPr>
        <w:tabs>
          <w:tab w:val="left" w:pos="1082"/>
        </w:tabs>
        <w:spacing w:before="88" w:after="0" w:line="364" w:lineRule="auto"/>
        <w:ind w:left="294" w:right="497" w:firstLine="420"/>
        <w:jc w:val="left"/>
        <w:rPr>
          <w:sz w:val="21"/>
        </w:rPr>
      </w:pPr>
      <w:r>
        <w:rPr>
          <w:spacing w:val="-1"/>
          <w:sz w:val="21"/>
        </w:rPr>
        <w:t>投标人对招标文件如有疑点，可要求澄清，应按投标邀请书中载明的地址以书面形式(包括信函、</w:t>
      </w:r>
      <w:r>
        <w:rPr>
          <w:sz w:val="21"/>
        </w:rPr>
        <w:t>或传真，下同)通知到招标人。招标人将视情况确定采用适当方式予以澄清或以书面形式予以答复，必要时将不标明查询来源的书面答复，分送已购买招标文件的每一投标人。</w:t>
      </w:r>
    </w:p>
    <w:p>
      <w:pPr>
        <w:pStyle w:val="ListParagraph"/>
        <w:numPr>
          <w:ilvl w:val="0"/>
          <w:numId w:val="48"/>
        </w:numPr>
        <w:tabs>
          <w:tab w:val="left" w:pos="506"/>
        </w:tabs>
        <w:spacing w:before="0" w:after="0" w:line="318" w:lineRule="exact"/>
        <w:ind w:left="505" w:right="0" w:hanging="212"/>
        <w:jc w:val="left"/>
        <w:rPr>
          <w:rFonts w:ascii="微软雅黑" w:eastAsia="微软雅黑"/>
          <w:b/>
          <w:sz w:val="19"/>
        </w:rPr>
      </w:pPr>
      <w:r>
        <w:rPr>
          <w:rFonts w:ascii="微软雅黑" w:eastAsia="微软雅黑"/>
          <w:b/>
          <w:spacing w:val="-1"/>
          <w:sz w:val="21"/>
        </w:rPr>
        <w:t>招标文件的修改、质疑</w:t>
      </w:r>
    </w:p>
    <w:p>
      <w:pPr>
        <w:pStyle w:val="ListParagraph"/>
        <w:numPr>
          <w:ilvl w:val="1"/>
          <w:numId w:val="48"/>
        </w:numPr>
        <w:tabs>
          <w:tab w:val="left" w:pos="1082"/>
        </w:tabs>
        <w:spacing w:before="88" w:after="0" w:line="364" w:lineRule="auto"/>
        <w:ind w:left="294" w:right="572" w:firstLine="420"/>
        <w:jc w:val="left"/>
        <w:rPr>
          <w:sz w:val="21"/>
        </w:rPr>
      </w:pPr>
      <w:r>
        <w:rPr>
          <w:spacing w:val="-2"/>
          <w:sz w:val="21"/>
        </w:rPr>
        <w:t>招标人可主动地或依据投标人要求澄清的问题而修改招标文件，并以公告（可同时以书面）形式</w:t>
      </w:r>
      <w:r>
        <w:rPr>
          <w:spacing w:val="-2"/>
          <w:sz w:val="21"/>
        </w:rPr>
        <w:t>通知所有购买招标文件的每一投标人。</w:t>
      </w:r>
    </w:p>
    <w:p>
      <w:pPr>
        <w:pStyle w:val="ListParagraph"/>
        <w:numPr>
          <w:ilvl w:val="1"/>
          <w:numId w:val="48"/>
        </w:numPr>
        <w:tabs>
          <w:tab w:val="left" w:pos="1082"/>
        </w:tabs>
        <w:spacing w:before="0" w:after="0" w:line="268" w:lineRule="exact"/>
        <w:ind w:left="1081" w:right="0" w:hanging="368"/>
        <w:jc w:val="left"/>
        <w:rPr>
          <w:sz w:val="21"/>
        </w:rPr>
      </w:pPr>
      <w:r>
        <w:rPr>
          <w:sz w:val="21"/>
        </w:rPr>
        <w:t>因为修改招标文件的缘故，招标人将根据规定延长投标截止时间和开标时间，并以公告（</w:t>
      </w:r>
      <w:r>
        <w:rPr>
          <w:spacing w:val="-4"/>
          <w:sz w:val="21"/>
        </w:rPr>
        <w:t>可同时</w:t>
      </w:r>
    </w:p>
    <w:p>
      <w:pPr>
        <w:spacing w:after="0" w:line="268" w:lineRule="exact"/>
        <w:jc w:val="left"/>
        <w:rPr>
          <w:sz w:val="21"/>
        </w:rPr>
        <w:sectPr>
          <w:headerReference w:type="default" r:id="rId38"/>
          <w:footerReference w:type="default" r:id="rId39"/>
          <w:pgSz w:w="11910" w:h="16840"/>
          <w:pgMar w:top="1100" w:right="560" w:bottom="1160" w:left="840" w:header="879" w:footer="971"/>
          <w:pgNumType w:start="16"/>
          <w:cols w:space="708"/>
        </w:sectPr>
      </w:pPr>
    </w:p>
    <w:p>
      <w:pPr>
        <w:pStyle w:val="BodyText"/>
        <w:spacing w:before="3"/>
        <w:ind w:left="294"/>
      </w:pPr>
      <w:r>
        <w:t>以书面）</w:t>
      </w:r>
      <w:r>
        <w:rPr>
          <w:spacing w:val="-1"/>
        </w:rPr>
        <w:t>形式通知已购买招标文件的每一投标人。</w:t>
      </w:r>
    </w:p>
    <w:p>
      <w:pPr>
        <w:pStyle w:val="ListParagraph"/>
        <w:numPr>
          <w:ilvl w:val="1"/>
          <w:numId w:val="49"/>
        </w:numPr>
        <w:tabs>
          <w:tab w:val="left" w:pos="1082"/>
        </w:tabs>
        <w:spacing w:before="139" w:after="0" w:line="240" w:lineRule="auto"/>
        <w:ind w:left="1081" w:right="0" w:hanging="368"/>
        <w:jc w:val="left"/>
        <w:rPr>
          <w:sz w:val="21"/>
        </w:rPr>
      </w:pPr>
      <w:r>
        <w:rPr>
          <w:spacing w:val="-1"/>
          <w:sz w:val="21"/>
        </w:rPr>
        <w:t>招标文件的修改内容将构成招标文件的一部分，对投标人有约束力。</w:t>
      </w:r>
    </w:p>
    <w:p>
      <w:pPr>
        <w:pStyle w:val="ListParagraph"/>
        <w:numPr>
          <w:ilvl w:val="1"/>
          <w:numId w:val="49"/>
        </w:numPr>
        <w:tabs>
          <w:tab w:val="left" w:pos="1082"/>
        </w:tabs>
        <w:spacing w:before="140" w:after="0" w:line="364" w:lineRule="auto"/>
        <w:ind w:left="294" w:right="572" w:firstLine="420"/>
        <w:jc w:val="both"/>
        <w:rPr>
          <w:sz w:val="21"/>
        </w:rPr>
      </w:pPr>
      <w:r>
        <w:rPr>
          <w:spacing w:val="-2"/>
          <w:sz w:val="21"/>
        </w:rPr>
        <w:t>供应商认为招标文件、采购过程和中标、成交结果使自己的权益受到损害的，可以在知道或者应</w:t>
      </w:r>
      <w:r>
        <w:rPr>
          <w:spacing w:val="-2"/>
          <w:sz w:val="21"/>
        </w:rPr>
        <w:t>知其权益受到损害之日起七个工作日内，以书面形式向采购人提出质疑。公告发布之日起七个工作日后提</w:t>
      </w:r>
      <w:r>
        <w:rPr>
          <w:spacing w:val="-2"/>
          <w:sz w:val="21"/>
        </w:rPr>
        <w:t>出的质疑将不予接收。质疑书必须为原件并由法定代表人或法定代表人的授权委托人（须提供法定代表人</w:t>
      </w:r>
      <w:r>
        <w:rPr>
          <w:spacing w:val="-2"/>
          <w:sz w:val="21"/>
        </w:rPr>
        <w:t>授权书）签字并加盖投标供应商公章和送达。逾期送达或不符合规定的质疑书则不予受理。</w:t>
      </w:r>
    </w:p>
    <w:p>
      <w:pPr>
        <w:pStyle w:val="BodyText"/>
        <w:spacing w:before="11"/>
        <w:rPr>
          <w:sz w:val="23"/>
        </w:rPr>
      </w:pPr>
    </w:p>
    <w:p>
      <w:pPr>
        <w:pStyle w:val="Heading3"/>
        <w:ind w:right="2271"/>
      </w:pPr>
      <w:bookmarkStart w:id="6" w:name="_TOC_250005"/>
      <w:bookmarkEnd w:id="6"/>
      <w:r>
        <w:rPr>
          <w:spacing w:val="4"/>
        </w:rPr>
        <w:t>三、 投标文件的编写</w:t>
      </w:r>
    </w:p>
    <w:p>
      <w:pPr>
        <w:pStyle w:val="ListParagraph"/>
        <w:numPr>
          <w:ilvl w:val="0"/>
          <w:numId w:val="49"/>
        </w:numPr>
        <w:tabs>
          <w:tab w:val="left" w:pos="506"/>
        </w:tabs>
        <w:spacing w:before="66" w:after="0" w:line="240" w:lineRule="auto"/>
        <w:ind w:left="505" w:right="0" w:hanging="212"/>
        <w:jc w:val="left"/>
        <w:rPr>
          <w:rFonts w:ascii="微软雅黑" w:eastAsia="微软雅黑"/>
          <w:b/>
          <w:sz w:val="19"/>
        </w:rPr>
      </w:pPr>
      <w:r>
        <w:rPr>
          <w:rFonts w:ascii="微软雅黑" w:eastAsia="微软雅黑"/>
          <w:b/>
          <w:spacing w:val="-5"/>
          <w:sz w:val="21"/>
        </w:rPr>
        <w:t>要求</w:t>
      </w:r>
    </w:p>
    <w:p>
      <w:pPr>
        <w:pStyle w:val="ListParagraph"/>
        <w:numPr>
          <w:ilvl w:val="1"/>
          <w:numId w:val="49"/>
        </w:numPr>
        <w:tabs>
          <w:tab w:val="left" w:pos="1082"/>
        </w:tabs>
        <w:spacing w:before="89" w:after="0" w:line="364" w:lineRule="auto"/>
        <w:ind w:left="294" w:right="572" w:firstLine="420"/>
        <w:jc w:val="left"/>
        <w:rPr>
          <w:sz w:val="21"/>
        </w:rPr>
      </w:pPr>
      <w:r>
        <w:rPr>
          <w:spacing w:val="-5"/>
          <w:sz w:val="21"/>
        </w:rPr>
        <w:t>投标人应仔细阅读招标文件的所有内容,按招标文件的要求提供书面的投标文件，并保证所提供全</w:t>
      </w:r>
      <w:r>
        <w:rPr>
          <w:spacing w:val="-2"/>
          <w:sz w:val="21"/>
        </w:rPr>
        <w:t>部资料的真实性，以使其投标对招标文件作出实质性响应，否则，其投标可能被拒绝。</w:t>
      </w:r>
    </w:p>
    <w:p>
      <w:pPr>
        <w:pStyle w:val="ListParagraph"/>
        <w:numPr>
          <w:ilvl w:val="1"/>
          <w:numId w:val="49"/>
        </w:numPr>
        <w:tabs>
          <w:tab w:val="left" w:pos="1082"/>
        </w:tabs>
        <w:spacing w:before="0" w:after="0" w:line="268" w:lineRule="exact"/>
        <w:ind w:left="1081" w:right="0" w:hanging="368"/>
        <w:jc w:val="left"/>
        <w:rPr>
          <w:sz w:val="21"/>
        </w:rPr>
      </w:pPr>
      <w:r>
        <w:rPr>
          <w:spacing w:val="-1"/>
          <w:sz w:val="21"/>
        </w:rPr>
        <w:t>以电报、电话、传真形式代替投标文件的投标概不接受。</w:t>
      </w:r>
    </w:p>
    <w:p>
      <w:pPr>
        <w:pStyle w:val="ListParagraph"/>
        <w:numPr>
          <w:ilvl w:val="0"/>
          <w:numId w:val="49"/>
        </w:numPr>
        <w:tabs>
          <w:tab w:val="left" w:pos="612"/>
        </w:tabs>
        <w:spacing w:before="72" w:after="0" w:line="240" w:lineRule="auto"/>
        <w:ind w:left="611" w:right="0" w:hanging="318"/>
        <w:jc w:val="left"/>
        <w:rPr>
          <w:rFonts w:ascii="微软雅黑" w:eastAsia="微软雅黑"/>
          <w:b/>
          <w:sz w:val="19"/>
        </w:rPr>
      </w:pPr>
      <w:r>
        <w:rPr>
          <w:rFonts w:ascii="微软雅黑" w:eastAsia="微软雅黑"/>
          <w:b/>
          <w:spacing w:val="-2"/>
          <w:sz w:val="21"/>
        </w:rPr>
        <w:t>投标语言及计量单位</w:t>
      </w:r>
    </w:p>
    <w:p>
      <w:pPr>
        <w:pStyle w:val="ListParagraph"/>
        <w:numPr>
          <w:ilvl w:val="1"/>
          <w:numId w:val="49"/>
        </w:numPr>
        <w:tabs>
          <w:tab w:val="left" w:pos="1187"/>
        </w:tabs>
        <w:spacing w:before="89" w:after="0" w:line="240" w:lineRule="auto"/>
        <w:ind w:left="1186" w:right="0" w:hanging="473"/>
        <w:jc w:val="left"/>
        <w:rPr>
          <w:sz w:val="21"/>
        </w:rPr>
      </w:pPr>
      <w:r>
        <w:rPr>
          <w:spacing w:val="-1"/>
          <w:sz w:val="21"/>
        </w:rPr>
        <w:t>投标文件及投标人和招标代理机构就投标交换的文件和来往信件，应以中文书写。</w:t>
      </w:r>
    </w:p>
    <w:p>
      <w:pPr>
        <w:pStyle w:val="ListParagraph"/>
        <w:numPr>
          <w:ilvl w:val="1"/>
          <w:numId w:val="49"/>
        </w:numPr>
        <w:tabs>
          <w:tab w:val="left" w:pos="1187"/>
        </w:tabs>
        <w:spacing w:before="139" w:after="0" w:line="240" w:lineRule="auto"/>
        <w:ind w:left="1186" w:right="0" w:hanging="473"/>
        <w:jc w:val="left"/>
        <w:rPr>
          <w:sz w:val="21"/>
        </w:rPr>
      </w:pPr>
      <w:r>
        <w:rPr>
          <w:spacing w:val="-1"/>
          <w:sz w:val="21"/>
        </w:rPr>
        <w:t>计量单位使用中华人民共和国法定计量单位或国际单位。</w:t>
      </w:r>
    </w:p>
    <w:p>
      <w:pPr>
        <w:pStyle w:val="ListParagraph"/>
        <w:numPr>
          <w:ilvl w:val="1"/>
          <w:numId w:val="49"/>
        </w:numPr>
        <w:tabs>
          <w:tab w:val="left" w:pos="1187"/>
        </w:tabs>
        <w:spacing w:before="140" w:after="0" w:line="240" w:lineRule="auto"/>
        <w:ind w:left="1186" w:right="0" w:hanging="473"/>
        <w:jc w:val="left"/>
        <w:rPr>
          <w:sz w:val="21"/>
        </w:rPr>
      </w:pPr>
      <w:r>
        <w:rPr>
          <w:spacing w:val="-1"/>
          <w:sz w:val="21"/>
        </w:rPr>
        <w:t>投标文件对日期的约定一律指日历日。</w:t>
      </w:r>
    </w:p>
    <w:p>
      <w:pPr>
        <w:pStyle w:val="ListParagraph"/>
        <w:numPr>
          <w:ilvl w:val="0"/>
          <w:numId w:val="49"/>
        </w:numPr>
        <w:tabs>
          <w:tab w:val="left" w:pos="612"/>
        </w:tabs>
        <w:spacing w:before="72" w:after="0" w:line="240" w:lineRule="auto"/>
        <w:ind w:left="611" w:right="0" w:hanging="318"/>
        <w:jc w:val="left"/>
        <w:rPr>
          <w:rFonts w:ascii="微软雅黑" w:eastAsia="微软雅黑"/>
          <w:b/>
          <w:sz w:val="19"/>
        </w:rPr>
      </w:pPr>
      <w:r>
        <w:rPr>
          <w:rFonts w:ascii="微软雅黑" w:eastAsia="微软雅黑"/>
          <w:b/>
          <w:spacing w:val="-2"/>
          <w:sz w:val="21"/>
        </w:rPr>
        <w:t>投标货币单位</w:t>
      </w:r>
    </w:p>
    <w:p>
      <w:pPr>
        <w:pStyle w:val="ListParagraph"/>
        <w:numPr>
          <w:ilvl w:val="1"/>
          <w:numId w:val="49"/>
        </w:numPr>
        <w:tabs>
          <w:tab w:val="left" w:pos="1187"/>
        </w:tabs>
        <w:spacing w:before="88" w:after="0" w:line="240" w:lineRule="auto"/>
        <w:ind w:left="1186" w:right="0" w:hanging="473"/>
        <w:jc w:val="left"/>
        <w:rPr>
          <w:sz w:val="21"/>
        </w:rPr>
      </w:pPr>
      <w:r>
        <w:rPr>
          <w:spacing w:val="-1"/>
          <w:sz w:val="21"/>
        </w:rPr>
        <w:t>投标文件涉及到的价格、金额一律使用人民币元为单位。</w:t>
      </w:r>
    </w:p>
    <w:p>
      <w:pPr>
        <w:pStyle w:val="ListParagraph"/>
        <w:numPr>
          <w:ilvl w:val="0"/>
          <w:numId w:val="49"/>
        </w:numPr>
        <w:tabs>
          <w:tab w:val="left" w:pos="612"/>
        </w:tabs>
        <w:spacing w:before="73" w:after="0" w:line="240" w:lineRule="auto"/>
        <w:ind w:left="611" w:right="0" w:hanging="318"/>
        <w:jc w:val="left"/>
        <w:rPr>
          <w:rFonts w:ascii="微软雅黑" w:eastAsia="微软雅黑"/>
          <w:b/>
          <w:sz w:val="19"/>
        </w:rPr>
      </w:pPr>
      <w:r>
        <w:rPr>
          <w:rFonts w:ascii="微软雅黑" w:eastAsia="微软雅黑"/>
          <w:b/>
          <w:spacing w:val="-2"/>
          <w:sz w:val="21"/>
        </w:rPr>
        <w:t>投标文件的组成</w:t>
      </w:r>
    </w:p>
    <w:p>
      <w:pPr>
        <w:pStyle w:val="ListParagraph"/>
        <w:numPr>
          <w:ilvl w:val="1"/>
          <w:numId w:val="49"/>
        </w:numPr>
        <w:tabs>
          <w:tab w:val="left" w:pos="1187"/>
        </w:tabs>
        <w:spacing w:before="21" w:after="0" w:line="240" w:lineRule="auto"/>
        <w:ind w:left="1186" w:right="0" w:hanging="473"/>
        <w:jc w:val="left"/>
        <w:rPr>
          <w:sz w:val="21"/>
        </w:rPr>
      </w:pPr>
      <w:r>
        <w:rPr>
          <w:sz w:val="21"/>
        </w:rPr>
        <w:t>投标文件应包括下列部分：</w:t>
      </w:r>
      <w:r>
        <w:rPr>
          <w:rFonts w:ascii="微软雅黑" w:eastAsia="微软雅黑"/>
          <w:b/>
          <w:spacing w:val="-2"/>
          <w:sz w:val="21"/>
        </w:rPr>
        <w:t>应有目录及页码</w:t>
      </w:r>
    </w:p>
    <w:p>
      <w:pPr>
        <w:pStyle w:val="BodyText"/>
        <w:spacing w:before="3"/>
        <w:rPr>
          <w:rFonts w:ascii="微软雅黑"/>
          <w:b/>
          <w:sz w:val="10"/>
        </w:rPr>
      </w:pPr>
    </w:p>
    <w:p>
      <w:pPr>
        <w:pStyle w:val="ListParagraph"/>
        <w:numPr>
          <w:ilvl w:val="2"/>
          <w:numId w:val="49"/>
        </w:numPr>
        <w:tabs>
          <w:tab w:val="left" w:pos="1397"/>
        </w:tabs>
        <w:spacing w:before="0" w:after="0" w:line="240" w:lineRule="auto"/>
        <w:ind w:left="1396" w:right="0" w:hanging="683"/>
        <w:jc w:val="left"/>
        <w:rPr>
          <w:sz w:val="21"/>
        </w:rPr>
      </w:pPr>
      <w:r>
        <w:rPr>
          <w:spacing w:val="-1"/>
          <w:sz w:val="21"/>
        </w:rPr>
        <w:t>投标书、开标一览表、投标报价表；</w:t>
      </w:r>
    </w:p>
    <w:p>
      <w:pPr>
        <w:pStyle w:val="ListParagraph"/>
        <w:numPr>
          <w:ilvl w:val="2"/>
          <w:numId w:val="49"/>
        </w:numPr>
        <w:tabs>
          <w:tab w:val="left" w:pos="1397"/>
        </w:tabs>
        <w:spacing w:before="121" w:after="0" w:line="240" w:lineRule="auto"/>
        <w:ind w:left="1396" w:right="0" w:hanging="683"/>
        <w:jc w:val="left"/>
        <w:rPr>
          <w:sz w:val="21"/>
        </w:rPr>
      </w:pPr>
      <w:r>
        <w:rPr>
          <w:spacing w:val="-2"/>
          <w:sz w:val="21"/>
        </w:rPr>
        <w:t>技术商务应答书；</w:t>
      </w:r>
    </w:p>
    <w:p>
      <w:pPr>
        <w:pStyle w:val="ListParagraph"/>
        <w:numPr>
          <w:ilvl w:val="2"/>
          <w:numId w:val="49"/>
        </w:numPr>
        <w:tabs>
          <w:tab w:val="left" w:pos="1397"/>
        </w:tabs>
        <w:spacing w:before="121" w:after="0" w:line="348" w:lineRule="auto"/>
        <w:ind w:left="294" w:right="572" w:firstLine="420"/>
        <w:jc w:val="left"/>
        <w:rPr>
          <w:sz w:val="21"/>
        </w:rPr>
      </w:pPr>
      <w:r>
        <w:rPr>
          <w:spacing w:val="-2"/>
          <w:sz w:val="21"/>
        </w:rPr>
        <w:t>投标货物符合招标文件规定的证明文件（如设备系统彩页及其他技术参数）及投标人认为需加</w:t>
      </w:r>
      <w:r>
        <w:rPr>
          <w:spacing w:val="-2"/>
          <w:sz w:val="21"/>
        </w:rPr>
        <w:t>以说明的其他资料；</w:t>
      </w:r>
    </w:p>
    <w:p>
      <w:pPr>
        <w:pStyle w:val="ListParagraph"/>
        <w:numPr>
          <w:ilvl w:val="2"/>
          <w:numId w:val="49"/>
        </w:numPr>
        <w:tabs>
          <w:tab w:val="left" w:pos="1397"/>
        </w:tabs>
        <w:spacing w:before="0" w:after="0" w:line="269" w:lineRule="exact"/>
        <w:ind w:left="1396" w:right="0" w:hanging="683"/>
        <w:jc w:val="left"/>
        <w:rPr>
          <w:sz w:val="21"/>
        </w:rPr>
      </w:pPr>
      <w:r>
        <w:rPr>
          <w:spacing w:val="-1"/>
          <w:sz w:val="21"/>
        </w:rPr>
        <w:t>设备系统技术参数偏离表、商务条款偏离表；</w:t>
      </w:r>
    </w:p>
    <w:p>
      <w:pPr>
        <w:pStyle w:val="ListParagraph"/>
        <w:numPr>
          <w:ilvl w:val="2"/>
          <w:numId w:val="49"/>
        </w:numPr>
        <w:tabs>
          <w:tab w:val="left" w:pos="1397"/>
        </w:tabs>
        <w:spacing w:before="121" w:after="0" w:line="240" w:lineRule="auto"/>
        <w:ind w:left="1396" w:right="0" w:hanging="683"/>
        <w:jc w:val="left"/>
        <w:rPr>
          <w:sz w:val="21"/>
        </w:rPr>
      </w:pPr>
      <w:r>
        <w:rPr>
          <w:spacing w:val="-1"/>
          <w:sz w:val="21"/>
        </w:rPr>
        <w:t>投标人资格的证明文件</w:t>
      </w:r>
    </w:p>
    <w:p>
      <w:pPr>
        <w:pStyle w:val="ListParagraph"/>
        <w:numPr>
          <w:ilvl w:val="2"/>
          <w:numId w:val="49"/>
        </w:numPr>
        <w:tabs>
          <w:tab w:val="left" w:pos="1397"/>
        </w:tabs>
        <w:spacing w:before="97" w:after="0" w:line="240" w:lineRule="auto"/>
        <w:ind w:left="1396" w:right="0" w:hanging="683"/>
        <w:jc w:val="left"/>
        <w:rPr>
          <w:sz w:val="21"/>
        </w:rPr>
      </w:pPr>
      <w:r>
        <w:rPr>
          <w:spacing w:val="-2"/>
          <w:sz w:val="21"/>
        </w:rPr>
        <w:t>投标保证金凭证。</w:t>
      </w:r>
    </w:p>
    <w:p>
      <w:pPr>
        <w:pStyle w:val="ListParagraph"/>
        <w:numPr>
          <w:ilvl w:val="1"/>
          <w:numId w:val="49"/>
        </w:numPr>
        <w:tabs>
          <w:tab w:val="left" w:pos="1187"/>
        </w:tabs>
        <w:spacing w:before="97" w:after="0" w:line="232" w:lineRule="auto"/>
        <w:ind w:left="294" w:right="572" w:firstLine="420"/>
        <w:jc w:val="both"/>
        <w:rPr>
          <w:sz w:val="21"/>
        </w:rPr>
      </w:pPr>
      <w:r>
        <w:rPr>
          <w:spacing w:val="-6"/>
          <w:sz w:val="21"/>
        </w:rPr>
        <w:t xml:space="preserve">上述投标文件按 </w:t>
      </w:r>
      <w:r>
        <w:rPr>
          <w:spacing w:val="-4"/>
          <w:sz w:val="21"/>
        </w:rPr>
        <w:t>12.1.2—12.1.5</w:t>
      </w:r>
      <w:r>
        <w:rPr>
          <w:spacing w:val="-9"/>
          <w:sz w:val="21"/>
        </w:rPr>
        <w:t xml:space="preserve"> 顺序和 </w:t>
      </w:r>
      <w:r>
        <w:rPr>
          <w:spacing w:val="-4"/>
          <w:sz w:val="21"/>
        </w:rPr>
        <w:t>12.1.6</w:t>
      </w:r>
      <w:r>
        <w:rPr>
          <w:spacing w:val="-14"/>
          <w:sz w:val="21"/>
        </w:rPr>
        <w:t xml:space="preserve"> 以电汇、银行汇票方式提交投标保证金的凭证复</w:t>
      </w:r>
      <w:r>
        <w:rPr>
          <w:spacing w:val="-6"/>
          <w:sz w:val="21"/>
        </w:rPr>
        <w:t>印件装订成册，并填制“投标文件资料清单”。</w:t>
      </w:r>
      <w:r>
        <w:rPr>
          <w:rFonts w:ascii="微软雅黑" w:eastAsia="微软雅黑" w:hAnsi="微软雅黑"/>
          <w:b/>
          <w:sz w:val="21"/>
          <w:u w:val="thick"/>
        </w:rPr>
        <w:t xml:space="preserve"> </w:t>
      </w:r>
      <w:r>
        <w:rPr>
          <w:rFonts w:ascii="微软雅黑" w:eastAsia="微软雅黑" w:hAnsi="微软雅黑"/>
          <w:b/>
          <w:w w:val="68"/>
          <w:sz w:val="21"/>
          <w:u w:val="thick"/>
        </w:rPr>
        <w:t>12</w:t>
      </w:r>
      <w:r>
        <w:rPr>
          <w:rFonts w:ascii="微软雅黑" w:eastAsia="微软雅黑" w:hAnsi="微软雅黑"/>
          <w:b/>
          <w:w w:val="162"/>
          <w:sz w:val="21"/>
          <w:u w:val="thick"/>
        </w:rPr>
        <w:t>.</w:t>
      </w:r>
      <w:r>
        <w:rPr>
          <w:rFonts w:ascii="微软雅黑" w:eastAsia="微软雅黑" w:hAnsi="微软雅黑"/>
          <w:b/>
          <w:w w:val="68"/>
          <w:sz w:val="21"/>
          <w:u w:val="thick"/>
        </w:rPr>
        <w:t>1</w:t>
      </w:r>
      <w:r>
        <w:rPr>
          <w:rFonts w:ascii="微软雅黑" w:eastAsia="微软雅黑" w:hAnsi="微软雅黑"/>
          <w:b/>
          <w:w w:val="162"/>
          <w:sz w:val="21"/>
          <w:u w:val="thick"/>
        </w:rPr>
        <w:t>.</w:t>
      </w:r>
      <w:r>
        <w:rPr>
          <w:rFonts w:ascii="微软雅黑" w:eastAsia="微软雅黑" w:hAnsi="微软雅黑"/>
          <w:b/>
          <w:w w:val="68"/>
          <w:sz w:val="21"/>
          <w:u w:val="thick"/>
        </w:rPr>
        <w:t>1</w:t>
      </w:r>
      <w:r>
        <w:rPr>
          <w:rFonts w:ascii="微软雅黑" w:eastAsia="微软雅黑" w:hAnsi="微软雅黑"/>
          <w:b/>
          <w:spacing w:val="-16"/>
          <w:w w:val="99"/>
          <w:sz w:val="21"/>
          <w:u w:val="thick"/>
        </w:rPr>
        <w:t xml:space="preserve"> </w:t>
      </w:r>
      <w:r>
        <w:rPr>
          <w:rFonts w:ascii="微软雅黑" w:eastAsia="微软雅黑" w:hAnsi="微软雅黑"/>
          <w:b/>
          <w:sz w:val="21"/>
          <w:u w:val="thick"/>
        </w:rPr>
        <w:t>投标书、开标一览表、投标报价表用小信封单独密</w:t>
      </w:r>
      <w:r>
        <w:rPr>
          <w:rFonts w:ascii="微软雅黑" w:eastAsia="微软雅黑" w:hAnsi="微软雅黑"/>
          <w:b/>
          <w:spacing w:val="40"/>
          <w:sz w:val="21"/>
          <w:u w:val="thick"/>
        </w:rPr>
        <w:t xml:space="preserve"> </w:t>
      </w:r>
      <w:r>
        <w:rPr>
          <w:rFonts w:ascii="微软雅黑" w:eastAsia="微软雅黑" w:hAnsi="微软雅黑"/>
          <w:b/>
          <w:spacing w:val="-2"/>
          <w:sz w:val="21"/>
          <w:u w:val="thick"/>
        </w:rPr>
        <w:t>封；该信封封口应由投标代表签字、盖章，并在信封上标明“投标报价部分”字样。除前述的单独密封的信封外，其他投标文件的正、副本中不应体现投标书、开标一览表等与投标报价有关的内容。</w:t>
      </w:r>
    </w:p>
    <w:p>
      <w:pPr>
        <w:pStyle w:val="ListParagraph"/>
        <w:numPr>
          <w:ilvl w:val="1"/>
          <w:numId w:val="49"/>
        </w:numPr>
        <w:tabs>
          <w:tab w:val="left" w:pos="1187"/>
        </w:tabs>
        <w:spacing w:before="0" w:after="0" w:line="241" w:lineRule="exact"/>
        <w:ind w:left="1186" w:right="0" w:hanging="473"/>
        <w:jc w:val="left"/>
        <w:rPr>
          <w:sz w:val="21"/>
        </w:rPr>
      </w:pPr>
      <w:r>
        <w:rPr>
          <w:spacing w:val="-3"/>
          <w:sz w:val="21"/>
        </w:rPr>
        <w:t>投标人不得提供虚假资料，否则将被不退还投标保证金，取消投标人资格及中标供应商资格。投</w:t>
      </w:r>
    </w:p>
    <w:p>
      <w:pPr>
        <w:pStyle w:val="BodyText"/>
        <w:spacing w:before="140" w:line="364" w:lineRule="auto"/>
        <w:ind w:left="294" w:right="572"/>
      </w:pPr>
      <w:r>
        <w:rPr>
          <w:spacing w:val="-2"/>
        </w:rPr>
        <w:t>标人提供的证明资料原件备查，必要时，招标人有权要求投标人在约定的时间内提交投标文件中的相关原</w:t>
      </w:r>
      <w:r>
        <w:rPr>
          <w:spacing w:val="-2"/>
        </w:rPr>
        <w:t>件，以便确认投标文件的真实性。投标人须按照约定时间内提交相关证明资料原件。</w:t>
      </w:r>
    </w:p>
    <w:p>
      <w:pPr>
        <w:spacing w:after="0" w:line="364" w:lineRule="auto"/>
        <w:sectPr>
          <w:headerReference w:type="default" r:id="rId40"/>
          <w:footerReference w:type="default" r:id="rId41"/>
          <w:pgSz w:w="11910" w:h="16840"/>
          <w:pgMar w:top="1100" w:right="560" w:bottom="1160" w:left="840" w:header="879" w:footer="971"/>
          <w:pgNumType w:start="17"/>
          <w:cols w:space="708"/>
        </w:sectPr>
      </w:pPr>
    </w:p>
    <w:p>
      <w:pPr>
        <w:pStyle w:val="ListParagraph"/>
        <w:numPr>
          <w:ilvl w:val="0"/>
          <w:numId w:val="27"/>
        </w:numPr>
        <w:tabs>
          <w:tab w:val="left" w:pos="612"/>
        </w:tabs>
        <w:spacing w:before="35" w:after="0" w:line="240" w:lineRule="auto"/>
        <w:ind w:left="611" w:right="0" w:hanging="318"/>
        <w:jc w:val="left"/>
        <w:rPr>
          <w:rFonts w:ascii="微软雅黑" w:eastAsia="微软雅黑"/>
          <w:b/>
          <w:sz w:val="19"/>
        </w:rPr>
      </w:pPr>
      <w:r>
        <w:rPr>
          <w:rFonts w:ascii="微软雅黑" w:eastAsia="微软雅黑"/>
          <w:b/>
          <w:spacing w:val="-2"/>
          <w:sz w:val="21"/>
        </w:rPr>
        <w:t>投标文件格式</w:t>
      </w:r>
    </w:p>
    <w:p>
      <w:pPr>
        <w:pStyle w:val="ListParagraph"/>
        <w:numPr>
          <w:ilvl w:val="1"/>
          <w:numId w:val="27"/>
        </w:numPr>
        <w:tabs>
          <w:tab w:val="left" w:pos="1247"/>
        </w:tabs>
        <w:spacing w:before="70" w:after="0" w:line="348" w:lineRule="auto"/>
        <w:ind w:left="294" w:right="572" w:firstLine="480"/>
        <w:jc w:val="left"/>
        <w:rPr>
          <w:sz w:val="21"/>
        </w:rPr>
      </w:pPr>
      <w:r>
        <w:rPr>
          <w:spacing w:val="-2"/>
          <w:sz w:val="21"/>
        </w:rPr>
        <w:t>投标人应按招标文件中提供的第五部分投标文件格式填写投标书、开标一览表、投标报价表等</w:t>
      </w:r>
      <w:r>
        <w:rPr>
          <w:spacing w:val="-4"/>
          <w:sz w:val="21"/>
        </w:rPr>
        <w:t>资料。</w:t>
      </w:r>
    </w:p>
    <w:p>
      <w:pPr>
        <w:pStyle w:val="ListParagraph"/>
        <w:numPr>
          <w:ilvl w:val="0"/>
          <w:numId w:val="27"/>
        </w:numPr>
        <w:tabs>
          <w:tab w:val="left" w:pos="612"/>
        </w:tabs>
        <w:spacing w:before="0" w:after="0" w:line="309" w:lineRule="exact"/>
        <w:ind w:left="611" w:right="0" w:hanging="318"/>
        <w:jc w:val="left"/>
        <w:rPr>
          <w:rFonts w:ascii="微软雅黑" w:eastAsia="微软雅黑"/>
          <w:b/>
          <w:sz w:val="19"/>
        </w:rPr>
      </w:pPr>
      <w:r>
        <w:rPr>
          <w:rFonts w:ascii="微软雅黑" w:eastAsia="微软雅黑"/>
          <w:b/>
          <w:spacing w:val="-3"/>
          <w:sz w:val="21"/>
        </w:rPr>
        <w:t>投标报价</w:t>
      </w:r>
    </w:p>
    <w:p>
      <w:pPr>
        <w:pStyle w:val="ListParagraph"/>
        <w:numPr>
          <w:ilvl w:val="1"/>
          <w:numId w:val="27"/>
        </w:numPr>
        <w:tabs>
          <w:tab w:val="left" w:pos="1187"/>
        </w:tabs>
        <w:spacing w:before="8" w:after="0" w:line="223" w:lineRule="auto"/>
        <w:ind w:left="294" w:right="573" w:firstLine="420"/>
        <w:jc w:val="left"/>
        <w:rPr>
          <w:sz w:val="21"/>
        </w:rPr>
      </w:pPr>
      <w:r>
        <w:rPr>
          <w:rFonts w:ascii="微软雅黑" w:eastAsia="微软雅黑"/>
          <w:b/>
          <w:spacing w:val="2"/>
          <w:sz w:val="21"/>
        </w:rPr>
        <w:t>投标报价为投标人在投标文件中提出的各分项价的总和，投标人不得采用总价优惠或以总价百分比优惠的方式进行投标报价，其优惠应直接体现在各项投标报价的单价中。否则视为无效标。</w:t>
      </w:r>
    </w:p>
    <w:p>
      <w:pPr>
        <w:pStyle w:val="ListParagraph"/>
        <w:numPr>
          <w:ilvl w:val="1"/>
          <w:numId w:val="27"/>
        </w:numPr>
        <w:tabs>
          <w:tab w:val="left" w:pos="1187"/>
        </w:tabs>
        <w:spacing w:before="72" w:after="0" w:line="348" w:lineRule="auto"/>
        <w:ind w:left="294" w:right="572" w:firstLine="420"/>
        <w:jc w:val="both"/>
        <w:rPr>
          <w:sz w:val="21"/>
        </w:rPr>
      </w:pPr>
      <w:r>
        <w:rPr>
          <w:spacing w:val="-6"/>
          <w:sz w:val="21"/>
        </w:rPr>
        <w:t>投标报价是指投标人根据招标文件第三部分“泉州市师范学院化生院中央财政教学设备采购及服</w:t>
      </w:r>
      <w:r>
        <w:rPr>
          <w:spacing w:val="-2"/>
          <w:sz w:val="21"/>
        </w:rPr>
        <w:t>务项目需求与技术商务应答内容”要求将货物送达交货地点，并提供货物安装、调试、人员培训、售后服</w:t>
      </w:r>
      <w:r>
        <w:rPr>
          <w:spacing w:val="-2"/>
          <w:sz w:val="21"/>
        </w:rPr>
        <w:t>务的价格，包括技术服务费、保险费、税金等以及一切不可预见的费用。</w:t>
      </w:r>
    </w:p>
    <w:p>
      <w:pPr>
        <w:pStyle w:val="ListParagraph"/>
        <w:numPr>
          <w:ilvl w:val="1"/>
          <w:numId w:val="27"/>
        </w:numPr>
        <w:tabs>
          <w:tab w:val="left" w:pos="1187"/>
        </w:tabs>
        <w:spacing w:before="0" w:after="0" w:line="348" w:lineRule="auto"/>
        <w:ind w:left="294" w:right="572" w:firstLine="420"/>
        <w:jc w:val="both"/>
        <w:rPr>
          <w:sz w:val="21"/>
        </w:rPr>
      </w:pPr>
      <w:r>
        <w:rPr>
          <w:spacing w:val="-2"/>
          <w:sz w:val="21"/>
        </w:rPr>
        <w:t>投标人对合同包只允许有一个报价，招标人不接受任何选择性的报价。投标文件的大写金额和小</w:t>
      </w:r>
      <w:r>
        <w:rPr>
          <w:spacing w:val="-2"/>
          <w:sz w:val="21"/>
        </w:rPr>
        <w:t>写金额不一致的，以大写金额为准；总价金额与按单价汇总金额不一致的，以单价金额计算结果为准；对</w:t>
      </w:r>
      <w:r>
        <w:rPr>
          <w:spacing w:val="-2"/>
          <w:sz w:val="21"/>
        </w:rPr>
        <w:t>不同文字文本投标文件的解释发生异议的，以中文文本为准。</w:t>
      </w:r>
    </w:p>
    <w:p>
      <w:pPr>
        <w:pStyle w:val="ListParagraph"/>
        <w:numPr>
          <w:ilvl w:val="0"/>
          <w:numId w:val="27"/>
        </w:numPr>
        <w:tabs>
          <w:tab w:val="left" w:pos="612"/>
        </w:tabs>
        <w:spacing w:before="0" w:after="0" w:line="320" w:lineRule="exact"/>
        <w:ind w:left="611" w:right="0" w:hanging="318"/>
        <w:jc w:val="left"/>
        <w:rPr>
          <w:rFonts w:ascii="微软雅黑" w:eastAsia="微软雅黑"/>
          <w:b/>
          <w:sz w:val="19"/>
        </w:rPr>
      </w:pPr>
      <w:r>
        <w:rPr>
          <w:rFonts w:ascii="微软雅黑" w:eastAsia="微软雅黑"/>
          <w:b/>
          <w:spacing w:val="-1"/>
          <w:sz w:val="21"/>
        </w:rPr>
        <w:t>投标货物符合招标文件规定的证明文件</w:t>
      </w:r>
    </w:p>
    <w:p>
      <w:pPr>
        <w:pStyle w:val="ListParagraph"/>
        <w:numPr>
          <w:ilvl w:val="1"/>
          <w:numId w:val="27"/>
        </w:numPr>
        <w:tabs>
          <w:tab w:val="left" w:pos="1187"/>
        </w:tabs>
        <w:spacing w:before="70" w:after="0" w:line="240" w:lineRule="auto"/>
        <w:ind w:left="1186" w:right="0" w:hanging="473"/>
        <w:jc w:val="left"/>
        <w:rPr>
          <w:sz w:val="21"/>
        </w:rPr>
      </w:pPr>
      <w:r>
        <w:rPr>
          <w:spacing w:val="-1"/>
          <w:sz w:val="21"/>
        </w:rPr>
        <w:t>投标人须提供证明其拟供货物和服务符合招标文件规定的技术响应文件。</w:t>
      </w:r>
    </w:p>
    <w:p>
      <w:pPr>
        <w:pStyle w:val="ListParagraph"/>
        <w:numPr>
          <w:ilvl w:val="1"/>
          <w:numId w:val="27"/>
        </w:numPr>
        <w:tabs>
          <w:tab w:val="left" w:pos="1187"/>
        </w:tabs>
        <w:spacing w:before="121" w:after="0" w:line="240" w:lineRule="auto"/>
        <w:ind w:left="1186" w:right="0" w:hanging="473"/>
        <w:jc w:val="left"/>
        <w:rPr>
          <w:sz w:val="21"/>
        </w:rPr>
      </w:pPr>
      <w:r>
        <w:rPr>
          <w:spacing w:val="-1"/>
          <w:sz w:val="21"/>
        </w:rPr>
        <w:t>上述文件可以是文字资料、图纸和数据。</w:t>
      </w:r>
    </w:p>
    <w:p>
      <w:pPr>
        <w:pStyle w:val="ListParagraph"/>
        <w:numPr>
          <w:ilvl w:val="0"/>
          <w:numId w:val="27"/>
        </w:numPr>
        <w:tabs>
          <w:tab w:val="left" w:pos="612"/>
        </w:tabs>
        <w:spacing w:before="54" w:after="0" w:line="240" w:lineRule="auto"/>
        <w:ind w:left="611" w:right="0" w:hanging="318"/>
        <w:jc w:val="left"/>
        <w:rPr>
          <w:rFonts w:ascii="微软雅黑" w:eastAsia="微软雅黑"/>
          <w:b/>
          <w:sz w:val="19"/>
        </w:rPr>
      </w:pPr>
      <w:r>
        <w:rPr>
          <w:rFonts w:ascii="微软雅黑" w:eastAsia="微软雅黑"/>
          <w:b/>
          <w:spacing w:val="-1"/>
          <w:sz w:val="21"/>
        </w:rPr>
        <w:t>投标人资格的证明文件</w:t>
      </w:r>
    </w:p>
    <w:p>
      <w:pPr>
        <w:pStyle w:val="ListParagraph"/>
        <w:numPr>
          <w:ilvl w:val="1"/>
          <w:numId w:val="27"/>
        </w:numPr>
        <w:tabs>
          <w:tab w:val="left" w:pos="1187"/>
        </w:tabs>
        <w:spacing w:before="46" w:after="0" w:line="240" w:lineRule="auto"/>
        <w:ind w:left="1186" w:right="0" w:hanging="473"/>
        <w:jc w:val="left"/>
        <w:rPr>
          <w:sz w:val="21"/>
        </w:rPr>
      </w:pPr>
      <w:r>
        <w:rPr>
          <w:spacing w:val="-1"/>
          <w:sz w:val="21"/>
        </w:rPr>
        <w:t>经年检有效的《企业法人营业执照》副本复印件。</w:t>
      </w:r>
    </w:p>
    <w:p>
      <w:pPr>
        <w:pStyle w:val="ListParagraph"/>
        <w:numPr>
          <w:ilvl w:val="1"/>
          <w:numId w:val="27"/>
        </w:numPr>
        <w:tabs>
          <w:tab w:val="left" w:pos="1187"/>
        </w:tabs>
        <w:spacing w:before="91" w:after="0" w:line="240" w:lineRule="auto"/>
        <w:ind w:left="1186" w:right="0" w:hanging="473"/>
        <w:jc w:val="left"/>
        <w:rPr>
          <w:sz w:val="21"/>
        </w:rPr>
      </w:pPr>
      <w:r>
        <w:rPr>
          <w:spacing w:val="-1"/>
          <w:sz w:val="21"/>
        </w:rPr>
        <w:t>投标人应提供合格有效的税务登记证副本复印件。</w:t>
      </w:r>
    </w:p>
    <w:p>
      <w:pPr>
        <w:pStyle w:val="ListParagraph"/>
        <w:numPr>
          <w:ilvl w:val="1"/>
          <w:numId w:val="27"/>
        </w:numPr>
        <w:tabs>
          <w:tab w:val="left" w:pos="1187"/>
        </w:tabs>
        <w:spacing w:before="91" w:after="0" w:line="321" w:lineRule="auto"/>
        <w:ind w:left="294" w:right="572" w:firstLine="420"/>
        <w:jc w:val="left"/>
        <w:rPr>
          <w:sz w:val="21"/>
        </w:rPr>
      </w:pPr>
      <w:r>
        <w:rPr>
          <w:spacing w:val="-2"/>
          <w:sz w:val="21"/>
        </w:rPr>
        <w:t>法定代表人资格证明书（法定代表人为投标人代表参加投标时）或法人委托授权书(非法定代表</w:t>
      </w:r>
      <w:r>
        <w:rPr>
          <w:spacing w:val="-2"/>
          <w:sz w:val="21"/>
        </w:rPr>
        <w:t>人为投标人代表参加投标时)。</w:t>
      </w:r>
    </w:p>
    <w:p>
      <w:pPr>
        <w:pStyle w:val="ListParagraph"/>
        <w:numPr>
          <w:ilvl w:val="1"/>
          <w:numId w:val="27"/>
        </w:numPr>
        <w:tabs>
          <w:tab w:val="left" w:pos="1187"/>
        </w:tabs>
        <w:spacing w:before="0" w:after="0" w:line="268" w:lineRule="exact"/>
        <w:ind w:left="1186" w:right="0" w:hanging="473"/>
        <w:jc w:val="left"/>
        <w:rPr>
          <w:sz w:val="21"/>
        </w:rPr>
      </w:pPr>
      <w:r>
        <w:rPr>
          <w:sz w:val="21"/>
        </w:rPr>
        <w:t>投标人代表身份证复印件（报名登记提供复印件核对</w:t>
      </w:r>
      <w:r>
        <w:rPr>
          <w:spacing w:val="-105"/>
          <w:sz w:val="21"/>
        </w:rPr>
        <w:t>）</w:t>
      </w:r>
      <w:r>
        <w:rPr>
          <w:spacing w:val="-10"/>
          <w:sz w:val="21"/>
        </w:rPr>
        <w:t>。</w:t>
      </w:r>
    </w:p>
    <w:p>
      <w:pPr>
        <w:pStyle w:val="ListParagraph"/>
        <w:numPr>
          <w:ilvl w:val="1"/>
          <w:numId w:val="27"/>
        </w:numPr>
        <w:tabs>
          <w:tab w:val="left" w:pos="1187"/>
        </w:tabs>
        <w:spacing w:before="91" w:after="0" w:line="240" w:lineRule="auto"/>
        <w:ind w:left="1186" w:right="0" w:hanging="473"/>
        <w:jc w:val="left"/>
        <w:rPr>
          <w:sz w:val="21"/>
        </w:rPr>
      </w:pPr>
      <w:r>
        <w:rPr>
          <w:spacing w:val="-1"/>
          <w:sz w:val="21"/>
        </w:rPr>
        <w:t>投标人应提供近三年检察机关行贿犯罪档案查询结果告知函复印件。</w:t>
      </w:r>
    </w:p>
    <w:p>
      <w:pPr>
        <w:spacing w:before="47"/>
        <w:ind w:left="714" w:right="0" w:firstLine="0"/>
        <w:jc w:val="left"/>
        <w:rPr>
          <w:sz w:val="21"/>
        </w:rPr>
      </w:pPr>
      <w:r>
        <w:rPr>
          <w:spacing w:val="-4"/>
          <w:sz w:val="21"/>
        </w:rPr>
        <w:t>*上述资料（除证件照片原件外）</w:t>
      </w:r>
      <w:r>
        <w:rPr>
          <w:spacing w:val="-11"/>
          <w:sz w:val="21"/>
        </w:rPr>
        <w:t xml:space="preserve">应按第 </w:t>
      </w:r>
      <w:r>
        <w:rPr>
          <w:spacing w:val="-4"/>
          <w:sz w:val="21"/>
        </w:rPr>
        <w:t>12.2</w:t>
      </w:r>
      <w:r>
        <w:rPr>
          <w:spacing w:val="-9"/>
          <w:sz w:val="21"/>
        </w:rPr>
        <w:t xml:space="preserve"> 条要求的内容装订成册。</w:t>
      </w:r>
      <w:r>
        <w:rPr>
          <w:rFonts w:ascii="微软雅黑" w:eastAsia="微软雅黑"/>
          <w:b/>
          <w:spacing w:val="-4"/>
          <w:sz w:val="21"/>
        </w:rPr>
        <w:t>原件备查复印件均应加盖公章</w:t>
      </w:r>
      <w:r>
        <w:rPr>
          <w:spacing w:val="-10"/>
          <w:sz w:val="21"/>
        </w:rPr>
        <w:t>。</w:t>
      </w:r>
    </w:p>
    <w:p>
      <w:pPr>
        <w:pStyle w:val="ListParagraph"/>
        <w:numPr>
          <w:ilvl w:val="0"/>
          <w:numId w:val="27"/>
        </w:numPr>
        <w:tabs>
          <w:tab w:val="left" w:pos="612"/>
        </w:tabs>
        <w:spacing w:before="11" w:after="0" w:line="240" w:lineRule="auto"/>
        <w:ind w:left="611" w:right="0" w:hanging="318"/>
        <w:jc w:val="left"/>
        <w:rPr>
          <w:rFonts w:ascii="微软雅黑" w:eastAsia="微软雅黑"/>
          <w:b/>
          <w:sz w:val="19"/>
        </w:rPr>
      </w:pPr>
      <w:r>
        <w:rPr>
          <w:rFonts w:ascii="微软雅黑" w:eastAsia="微软雅黑"/>
          <w:b/>
          <w:spacing w:val="-2"/>
          <w:sz w:val="21"/>
        </w:rPr>
        <w:t>投标保证金</w:t>
      </w:r>
    </w:p>
    <w:p>
      <w:pPr>
        <w:pStyle w:val="ListParagraph"/>
        <w:numPr>
          <w:ilvl w:val="1"/>
          <w:numId w:val="27"/>
        </w:numPr>
        <w:tabs>
          <w:tab w:val="left" w:pos="1158"/>
        </w:tabs>
        <w:spacing w:before="96" w:after="0" w:line="240" w:lineRule="auto"/>
        <w:ind w:left="1157" w:right="0" w:hanging="473"/>
        <w:jc w:val="left"/>
        <w:rPr>
          <w:sz w:val="21"/>
        </w:rPr>
      </w:pPr>
      <w:r>
        <w:rPr>
          <w:spacing w:val="-1"/>
          <w:sz w:val="21"/>
        </w:rPr>
        <w:t>投标人应向招标代理机构提交投标保证金人民币壹仟玖佰元整；</w:t>
      </w:r>
    </w:p>
    <w:p>
      <w:pPr>
        <w:pStyle w:val="ListParagraph"/>
        <w:numPr>
          <w:ilvl w:val="1"/>
          <w:numId w:val="27"/>
        </w:numPr>
        <w:tabs>
          <w:tab w:val="left" w:pos="1158"/>
        </w:tabs>
        <w:spacing w:before="151" w:after="0" w:line="240" w:lineRule="auto"/>
        <w:ind w:left="1157" w:right="0" w:hanging="473"/>
        <w:jc w:val="left"/>
        <w:rPr>
          <w:sz w:val="21"/>
        </w:rPr>
      </w:pPr>
      <w:r>
        <w:rPr>
          <w:spacing w:val="-1"/>
          <w:sz w:val="21"/>
        </w:rPr>
        <w:t>投标保证金为投标文件的组成部分之一。</w:t>
      </w:r>
    </w:p>
    <w:p>
      <w:pPr>
        <w:pStyle w:val="ListParagraph"/>
        <w:numPr>
          <w:ilvl w:val="1"/>
          <w:numId w:val="27"/>
        </w:numPr>
        <w:tabs>
          <w:tab w:val="left" w:pos="1187"/>
        </w:tabs>
        <w:spacing w:before="135" w:after="0" w:line="240" w:lineRule="auto"/>
        <w:ind w:left="1186" w:right="0" w:hanging="473"/>
        <w:jc w:val="left"/>
        <w:rPr>
          <w:sz w:val="21"/>
        </w:rPr>
      </w:pPr>
      <w:r>
        <w:rPr>
          <w:spacing w:val="-1"/>
          <w:sz w:val="21"/>
        </w:rPr>
        <w:t>投标保证金用于保护本次采购免受投标人的行为而引起的风险。</w:t>
      </w:r>
    </w:p>
    <w:p>
      <w:pPr>
        <w:pStyle w:val="ListParagraph"/>
        <w:numPr>
          <w:ilvl w:val="1"/>
          <w:numId w:val="27"/>
        </w:numPr>
        <w:tabs>
          <w:tab w:val="left" w:pos="1239"/>
        </w:tabs>
        <w:spacing w:before="131" w:after="0" w:line="240" w:lineRule="auto"/>
        <w:ind w:left="1239" w:right="0" w:hanging="525"/>
        <w:jc w:val="left"/>
        <w:rPr>
          <w:sz w:val="21"/>
        </w:rPr>
      </w:pPr>
      <w:r>
        <w:rPr>
          <w:spacing w:val="-1"/>
          <w:sz w:val="21"/>
        </w:rPr>
        <w:t>投标保证金的提交方式及提交时间：</w:t>
      </w:r>
    </w:p>
    <w:p>
      <w:pPr>
        <w:pStyle w:val="ListParagraph"/>
        <w:numPr>
          <w:ilvl w:val="2"/>
          <w:numId w:val="27"/>
        </w:numPr>
        <w:tabs>
          <w:tab w:val="left" w:pos="1397"/>
        </w:tabs>
        <w:spacing w:before="16" w:after="0" w:line="382" w:lineRule="exact"/>
        <w:ind w:left="1396" w:right="0" w:hanging="683"/>
        <w:jc w:val="left"/>
        <w:rPr>
          <w:sz w:val="21"/>
        </w:rPr>
      </w:pPr>
      <w:r>
        <w:rPr>
          <w:rFonts w:ascii="Microsoft JhengHei" w:eastAsia="Microsoft JhengHei"/>
          <w:b/>
          <w:spacing w:val="-20"/>
          <w:sz w:val="22"/>
          <w:u w:val="thick"/>
        </w:rPr>
        <w:t>提交方式：由投标人开户银行电汇或银行转帐至招标代理公司开户行。</w:t>
      </w:r>
    </w:p>
    <w:p>
      <w:pPr>
        <w:pStyle w:val="ListParagraph"/>
        <w:numPr>
          <w:ilvl w:val="2"/>
          <w:numId w:val="27"/>
        </w:numPr>
        <w:tabs>
          <w:tab w:val="left" w:pos="1397"/>
        </w:tabs>
        <w:spacing w:before="10" w:after="0" w:line="213" w:lineRule="auto"/>
        <w:ind w:left="294" w:right="565" w:firstLine="420"/>
        <w:jc w:val="left"/>
        <w:rPr>
          <w:sz w:val="21"/>
        </w:rPr>
      </w:pPr>
      <w:r>
        <w:rPr>
          <w:rFonts w:ascii="Microsoft JhengHei" w:eastAsia="Microsoft JhengHei"/>
          <w:b/>
          <w:spacing w:val="-18"/>
          <w:sz w:val="22"/>
          <w:u w:val="thick"/>
        </w:rPr>
        <w:t>提交时间：投标人必须在递交投标文件截止时间前，由投标人开户银行以电汇或转帐方式提交，</w:t>
      </w:r>
      <w:r>
        <w:rPr>
          <w:rFonts w:ascii="Microsoft JhengHei" w:eastAsia="Microsoft JhengHei"/>
          <w:b/>
          <w:spacing w:val="80"/>
          <w:w w:val="150"/>
          <w:sz w:val="22"/>
          <w:u w:val="thick"/>
        </w:rPr>
        <w:t xml:space="preserve">                                                                            </w:t>
      </w:r>
      <w:r>
        <w:rPr>
          <w:rFonts w:ascii="Microsoft JhengHei" w:eastAsia="Microsoft JhengHei"/>
          <w:b/>
          <w:spacing w:val="-4"/>
          <w:sz w:val="22"/>
          <w:u w:val="thick"/>
        </w:rPr>
        <w:t>不接受现金、现金缴款或汇票。</w:t>
      </w:r>
    </w:p>
    <w:p>
      <w:pPr>
        <w:pStyle w:val="BodyText"/>
        <w:tabs>
          <w:tab w:val="left" w:pos="1133"/>
        </w:tabs>
        <w:spacing w:before="83" w:line="357" w:lineRule="auto"/>
        <w:ind w:left="714" w:right="6221"/>
      </w:pPr>
      <w:r>
        <w:rPr>
          <w:spacing w:val="-2"/>
        </w:rPr>
        <w:t>开</w:t>
      </w:r>
      <w:r>
        <w:rPr>
          <w:spacing w:val="-2"/>
        </w:rPr>
        <w:t>户</w:t>
      </w:r>
      <w:r>
        <w:rPr>
          <w:spacing w:val="-2"/>
        </w:rPr>
        <w:t>行</w:t>
      </w:r>
      <w:r>
        <w:rPr>
          <w:spacing w:val="-2"/>
        </w:rPr>
        <w:t>：</w:t>
      </w:r>
      <w:r>
        <w:rPr>
          <w:spacing w:val="-2"/>
        </w:rPr>
        <w:t>中</w:t>
      </w:r>
      <w:r>
        <w:rPr>
          <w:spacing w:val="-2"/>
        </w:rPr>
        <w:t>国</w:t>
      </w:r>
      <w:r>
        <w:rPr>
          <w:spacing w:val="-2"/>
        </w:rPr>
        <w:t>民</w:t>
      </w:r>
      <w:r>
        <w:rPr>
          <w:spacing w:val="-2"/>
        </w:rPr>
        <w:t>生</w:t>
      </w:r>
      <w:r>
        <w:rPr>
          <w:spacing w:val="-2"/>
        </w:rPr>
        <w:t>银</w:t>
      </w:r>
      <w:r>
        <w:rPr>
          <w:spacing w:val="-2"/>
        </w:rPr>
        <w:t>行</w:t>
      </w:r>
      <w:r>
        <w:rPr>
          <w:spacing w:val="-2"/>
        </w:rPr>
        <w:t>泉</w:t>
      </w:r>
      <w:r>
        <w:rPr>
          <w:spacing w:val="-2"/>
        </w:rPr>
        <w:t>州</w:t>
      </w:r>
      <w:r>
        <w:rPr>
          <w:spacing w:val="-2"/>
        </w:rPr>
        <w:t>分</w:t>
      </w:r>
      <w:r>
        <w:rPr>
          <w:spacing w:val="-2"/>
        </w:rPr>
        <w:t>行</w:t>
      </w:r>
      <w:r>
        <w:rPr>
          <w:spacing w:val="-2"/>
        </w:rPr>
        <w:t>营</w:t>
      </w:r>
      <w:r>
        <w:rPr>
          <w:spacing w:val="-2"/>
        </w:rPr>
        <w:t>业</w:t>
      </w:r>
      <w:r>
        <w:rPr>
          <w:spacing w:val="-2"/>
        </w:rPr>
        <w:t>部</w:t>
      </w:r>
      <w:r>
        <w:rPr>
          <w:spacing w:val="-10"/>
        </w:rPr>
        <w:t>帐</w:t>
      </w:r>
      <w:r>
        <w:tab/>
      </w:r>
      <w:r>
        <w:rPr>
          <w:spacing w:val="-2"/>
        </w:rPr>
        <w:t>号</w:t>
      </w:r>
      <w:r>
        <w:rPr>
          <w:spacing w:val="-2"/>
        </w:rPr>
        <w:t>：2301012830009195</w:t>
      </w:r>
    </w:p>
    <w:p>
      <w:pPr>
        <w:pStyle w:val="BodyText"/>
        <w:spacing w:line="267" w:lineRule="exact"/>
        <w:ind w:left="714"/>
      </w:pPr>
      <w:r>
        <w:rPr>
          <w:spacing w:val="-1"/>
        </w:rPr>
        <w:t>收款人：泉州市嘉隆招标代理有限公司</w:t>
      </w:r>
    </w:p>
    <w:p>
      <w:pPr>
        <w:pStyle w:val="ListParagraph"/>
        <w:numPr>
          <w:ilvl w:val="1"/>
          <w:numId w:val="27"/>
        </w:numPr>
        <w:tabs>
          <w:tab w:val="left" w:pos="1187"/>
        </w:tabs>
        <w:spacing w:before="131" w:after="0" w:line="240" w:lineRule="auto"/>
        <w:ind w:left="1186" w:right="0" w:hanging="473"/>
        <w:jc w:val="left"/>
        <w:rPr>
          <w:sz w:val="21"/>
        </w:rPr>
      </w:pPr>
      <w:r>
        <w:rPr>
          <w:spacing w:val="-1"/>
          <w:sz w:val="21"/>
        </w:rPr>
        <w:t>未按规定提交投标保证金的投标，将被视为投标无效。</w:t>
      </w:r>
    </w:p>
    <w:p>
      <w:pPr>
        <w:pStyle w:val="ListParagraph"/>
        <w:numPr>
          <w:ilvl w:val="1"/>
          <w:numId w:val="27"/>
        </w:numPr>
        <w:tabs>
          <w:tab w:val="left" w:pos="1187"/>
        </w:tabs>
        <w:spacing w:before="131" w:after="0" w:line="240" w:lineRule="auto"/>
        <w:ind w:left="1186" w:right="0" w:hanging="473"/>
        <w:jc w:val="left"/>
        <w:rPr>
          <w:sz w:val="21"/>
        </w:rPr>
      </w:pPr>
      <w:r>
        <w:rPr>
          <w:spacing w:val="-1"/>
          <w:sz w:val="21"/>
        </w:rPr>
        <w:t>未中标的投标人保证金，将在发出《中标通知书》之日起五日内无息退还。</w:t>
      </w:r>
    </w:p>
    <w:p>
      <w:pPr>
        <w:spacing w:after="0" w:line="240" w:lineRule="auto"/>
        <w:jc w:val="left"/>
        <w:rPr>
          <w:sz w:val="21"/>
        </w:rPr>
        <w:sectPr>
          <w:headerReference w:type="default" r:id="rId42"/>
          <w:footerReference w:type="default" r:id="rId43"/>
          <w:pgSz w:w="11910" w:h="16840"/>
          <w:pgMar w:top="1100" w:right="560" w:bottom="1160" w:left="840" w:header="879" w:footer="971"/>
          <w:pgNumType w:start="18"/>
          <w:cols w:space="708"/>
        </w:sectPr>
      </w:pPr>
    </w:p>
    <w:p>
      <w:pPr>
        <w:pStyle w:val="ListParagraph"/>
        <w:numPr>
          <w:ilvl w:val="1"/>
          <w:numId w:val="27"/>
        </w:numPr>
        <w:tabs>
          <w:tab w:val="left" w:pos="1187"/>
        </w:tabs>
        <w:spacing w:before="110" w:after="0" w:line="357" w:lineRule="auto"/>
        <w:ind w:left="294" w:right="572" w:firstLine="420"/>
        <w:jc w:val="left"/>
        <w:rPr>
          <w:sz w:val="21"/>
        </w:rPr>
      </w:pPr>
      <w:r>
        <w:rPr>
          <w:spacing w:val="-2"/>
          <w:sz w:val="21"/>
        </w:rPr>
        <w:t>中标的投标人投标保证金，在中标供应商与采购人签订合同并交纳履约保证金后，予以无息退还</w:t>
      </w:r>
      <w:r>
        <w:rPr>
          <w:spacing w:val="-2"/>
          <w:sz w:val="21"/>
        </w:rPr>
        <w:t xml:space="preserve"> (因此与金融部门发生的相关费用由投标人承担)。</w:t>
      </w:r>
    </w:p>
    <w:p>
      <w:pPr>
        <w:pStyle w:val="ListParagraph"/>
        <w:numPr>
          <w:ilvl w:val="1"/>
          <w:numId w:val="27"/>
        </w:numPr>
        <w:tabs>
          <w:tab w:val="left" w:pos="1187"/>
        </w:tabs>
        <w:spacing w:before="0" w:after="0" w:line="267" w:lineRule="exact"/>
        <w:ind w:left="1186" w:right="0" w:hanging="473"/>
        <w:jc w:val="left"/>
        <w:rPr>
          <w:sz w:val="21"/>
        </w:rPr>
      </w:pPr>
      <w:r>
        <w:rPr>
          <w:spacing w:val="-1"/>
          <w:sz w:val="21"/>
        </w:rPr>
        <w:t>发生以下情况投标保证金将被没收：</w:t>
      </w:r>
    </w:p>
    <w:p>
      <w:pPr>
        <w:pStyle w:val="ListParagraph"/>
        <w:numPr>
          <w:ilvl w:val="2"/>
          <w:numId w:val="27"/>
        </w:numPr>
        <w:tabs>
          <w:tab w:val="left" w:pos="1397"/>
        </w:tabs>
        <w:spacing w:before="131" w:after="0" w:line="240" w:lineRule="auto"/>
        <w:ind w:left="1396" w:right="0" w:hanging="683"/>
        <w:jc w:val="left"/>
        <w:rPr>
          <w:sz w:val="21"/>
        </w:rPr>
      </w:pPr>
      <w:r>
        <w:rPr>
          <w:spacing w:val="-1"/>
          <w:sz w:val="21"/>
        </w:rPr>
        <w:t>投标人在投标有效期内撤回投标；</w:t>
      </w:r>
    </w:p>
    <w:p>
      <w:pPr>
        <w:pStyle w:val="ListParagraph"/>
        <w:numPr>
          <w:ilvl w:val="2"/>
          <w:numId w:val="27"/>
        </w:numPr>
        <w:tabs>
          <w:tab w:val="left" w:pos="1397"/>
        </w:tabs>
        <w:spacing w:before="131" w:after="0" w:line="240" w:lineRule="auto"/>
        <w:ind w:left="1396" w:right="0" w:hanging="683"/>
        <w:jc w:val="left"/>
        <w:rPr>
          <w:sz w:val="21"/>
        </w:rPr>
      </w:pPr>
      <w:r>
        <w:rPr>
          <w:spacing w:val="-1"/>
          <w:sz w:val="21"/>
        </w:rPr>
        <w:t>如果投标人或中标供应商未能做到；</w:t>
      </w:r>
    </w:p>
    <w:p>
      <w:pPr>
        <w:pStyle w:val="BodyText"/>
        <w:spacing w:before="131"/>
        <w:ind w:left="714"/>
      </w:pPr>
      <w:r>
        <w:rPr>
          <w:spacing w:val="-6"/>
        </w:rPr>
        <w:t xml:space="preserve">①. 按本须知第 </w:t>
      </w:r>
      <w:r>
        <w:t>31</w:t>
      </w:r>
      <w:r>
        <w:rPr>
          <w:spacing w:val="-9"/>
        </w:rPr>
        <w:t xml:space="preserve"> 条约定签订合同；</w:t>
      </w:r>
    </w:p>
    <w:p>
      <w:pPr>
        <w:pStyle w:val="BodyText"/>
        <w:spacing w:before="130"/>
        <w:ind w:left="714"/>
      </w:pPr>
      <w:r>
        <w:rPr>
          <w:spacing w:val="-6"/>
        </w:rPr>
        <w:t xml:space="preserve">②. 按本须知第 </w:t>
      </w:r>
      <w:r>
        <w:t>32</w:t>
      </w:r>
      <w:r>
        <w:rPr>
          <w:spacing w:val="-9"/>
        </w:rPr>
        <w:t xml:space="preserve"> 条约定提供履约保证金；</w:t>
      </w:r>
    </w:p>
    <w:p>
      <w:pPr>
        <w:pStyle w:val="BodyText"/>
        <w:spacing w:before="131"/>
        <w:ind w:left="714"/>
      </w:pPr>
      <w:r>
        <w:rPr>
          <w:spacing w:val="-6"/>
        </w:rPr>
        <w:t xml:space="preserve">③. 按本须知第 </w:t>
      </w:r>
      <w:r>
        <w:t>33</w:t>
      </w:r>
      <w:r>
        <w:rPr>
          <w:spacing w:val="-9"/>
        </w:rPr>
        <w:t xml:space="preserve"> 条约定支付代理服务费。</w:t>
      </w:r>
    </w:p>
    <w:p>
      <w:pPr>
        <w:pStyle w:val="ListParagraph"/>
        <w:numPr>
          <w:ilvl w:val="2"/>
          <w:numId w:val="27"/>
        </w:numPr>
        <w:tabs>
          <w:tab w:val="left" w:pos="1457"/>
        </w:tabs>
        <w:spacing w:before="131" w:after="0" w:line="240" w:lineRule="auto"/>
        <w:ind w:left="1456" w:right="0" w:hanging="683"/>
        <w:jc w:val="left"/>
        <w:rPr>
          <w:sz w:val="21"/>
        </w:rPr>
      </w:pPr>
      <w:r>
        <w:rPr>
          <w:spacing w:val="-1"/>
          <w:sz w:val="21"/>
        </w:rPr>
        <w:t>投标人提供虚假资料。</w:t>
      </w:r>
    </w:p>
    <w:p>
      <w:pPr>
        <w:pStyle w:val="ListParagraph"/>
        <w:numPr>
          <w:ilvl w:val="2"/>
          <w:numId w:val="27"/>
        </w:numPr>
        <w:tabs>
          <w:tab w:val="left" w:pos="1457"/>
        </w:tabs>
        <w:spacing w:before="131" w:after="0" w:line="240" w:lineRule="auto"/>
        <w:ind w:left="1456" w:right="0" w:hanging="683"/>
        <w:jc w:val="left"/>
        <w:rPr>
          <w:sz w:val="21"/>
        </w:rPr>
      </w:pPr>
      <w:r>
        <w:rPr>
          <w:spacing w:val="-1"/>
          <w:sz w:val="21"/>
        </w:rPr>
        <w:t>投标人违反政府采购相关法律、法规的情形。</w:t>
      </w:r>
    </w:p>
    <w:p>
      <w:pPr>
        <w:pStyle w:val="ListParagraph"/>
        <w:numPr>
          <w:ilvl w:val="0"/>
          <w:numId w:val="27"/>
        </w:numPr>
        <w:tabs>
          <w:tab w:val="left" w:pos="612"/>
        </w:tabs>
        <w:spacing w:before="64" w:after="0" w:line="240" w:lineRule="auto"/>
        <w:ind w:left="611" w:right="0" w:hanging="318"/>
        <w:jc w:val="left"/>
        <w:rPr>
          <w:rFonts w:ascii="微软雅黑" w:eastAsia="微软雅黑"/>
          <w:b/>
          <w:sz w:val="19"/>
        </w:rPr>
      </w:pPr>
      <w:r>
        <w:rPr>
          <w:rFonts w:ascii="微软雅黑" w:eastAsia="微软雅黑"/>
          <w:b/>
          <w:spacing w:val="-2"/>
          <w:sz w:val="21"/>
        </w:rPr>
        <w:t>投标有效期</w:t>
      </w:r>
    </w:p>
    <w:p>
      <w:pPr>
        <w:pStyle w:val="ListParagraph"/>
        <w:numPr>
          <w:ilvl w:val="1"/>
          <w:numId w:val="27"/>
        </w:numPr>
        <w:tabs>
          <w:tab w:val="left" w:pos="1187"/>
        </w:tabs>
        <w:spacing w:before="80" w:after="0" w:line="240" w:lineRule="auto"/>
        <w:ind w:left="1186" w:right="0" w:hanging="473"/>
        <w:jc w:val="left"/>
        <w:rPr>
          <w:sz w:val="21"/>
        </w:rPr>
      </w:pPr>
      <w:r>
        <w:rPr>
          <w:spacing w:val="-8"/>
          <w:sz w:val="21"/>
        </w:rPr>
        <w:t xml:space="preserve">投标有效期为 </w:t>
      </w:r>
      <w:r>
        <w:rPr>
          <w:sz w:val="21"/>
        </w:rPr>
        <w:t>90</w:t>
      </w:r>
      <w:r>
        <w:rPr>
          <w:spacing w:val="-9"/>
          <w:sz w:val="21"/>
        </w:rPr>
        <w:t xml:space="preserve"> 天，投标有效期从开标之日起计算。</w:t>
      </w:r>
    </w:p>
    <w:p>
      <w:pPr>
        <w:pStyle w:val="ListParagraph"/>
        <w:numPr>
          <w:ilvl w:val="1"/>
          <w:numId w:val="27"/>
        </w:numPr>
        <w:tabs>
          <w:tab w:val="left" w:pos="1187"/>
        </w:tabs>
        <w:spacing w:before="131" w:after="0" w:line="240" w:lineRule="auto"/>
        <w:ind w:left="1186" w:right="0" w:hanging="473"/>
        <w:jc w:val="left"/>
        <w:rPr>
          <w:sz w:val="21"/>
        </w:rPr>
      </w:pPr>
      <w:r>
        <w:rPr>
          <w:spacing w:val="-1"/>
          <w:sz w:val="21"/>
        </w:rPr>
        <w:t>特殊情况下，招标代理机构可于投标有效期满之前通知投标人延长有效期。</w:t>
      </w:r>
    </w:p>
    <w:p>
      <w:pPr>
        <w:pStyle w:val="ListParagraph"/>
        <w:numPr>
          <w:ilvl w:val="0"/>
          <w:numId w:val="27"/>
        </w:numPr>
        <w:tabs>
          <w:tab w:val="left" w:pos="612"/>
        </w:tabs>
        <w:spacing w:before="64" w:after="0" w:line="240" w:lineRule="auto"/>
        <w:ind w:left="611" w:right="0" w:hanging="318"/>
        <w:jc w:val="left"/>
        <w:rPr>
          <w:rFonts w:ascii="微软雅黑" w:eastAsia="微软雅黑"/>
          <w:b/>
          <w:sz w:val="19"/>
        </w:rPr>
      </w:pPr>
      <w:r>
        <w:rPr>
          <w:rFonts w:ascii="微软雅黑" w:eastAsia="微软雅黑"/>
          <w:b/>
          <w:spacing w:val="-1"/>
          <w:sz w:val="21"/>
        </w:rPr>
        <w:t>投标文件的签署及规定</w:t>
      </w:r>
    </w:p>
    <w:p>
      <w:pPr>
        <w:pStyle w:val="ListParagraph"/>
        <w:numPr>
          <w:ilvl w:val="1"/>
          <w:numId w:val="27"/>
        </w:numPr>
        <w:tabs>
          <w:tab w:val="left" w:pos="1082"/>
        </w:tabs>
        <w:spacing w:before="13" w:after="0" w:line="290" w:lineRule="auto"/>
        <w:ind w:left="294" w:right="572" w:firstLine="315"/>
        <w:jc w:val="left"/>
        <w:rPr>
          <w:sz w:val="21"/>
        </w:rPr>
      </w:pPr>
      <w:r>
        <w:rPr>
          <w:spacing w:val="-2"/>
          <w:sz w:val="21"/>
        </w:rPr>
        <w:t>投标人应准备投标文件</w:t>
      </w:r>
      <w:r>
        <w:rPr>
          <w:rFonts w:ascii="微软雅黑" w:eastAsia="微软雅黑" w:hAnsi="微软雅黑"/>
          <w:b/>
          <w:spacing w:val="-2"/>
          <w:sz w:val="21"/>
          <w:u w:val="thick"/>
        </w:rPr>
        <w:t>正本壹份和副本伍份，电子版壹份</w:t>
      </w:r>
      <w:r>
        <w:rPr>
          <w:spacing w:val="-2"/>
          <w:sz w:val="21"/>
        </w:rPr>
        <w:t>且在每一份投标文件封面上要注明“正</w:t>
      </w:r>
      <w:r>
        <w:rPr>
          <w:spacing w:val="-2"/>
          <w:sz w:val="21"/>
        </w:rPr>
        <w:t>本”或“副本”字样，一旦投标文件的正本和副本有差异时，以正本为准。</w:t>
      </w:r>
    </w:p>
    <w:p>
      <w:pPr>
        <w:pStyle w:val="ListParagraph"/>
        <w:numPr>
          <w:ilvl w:val="1"/>
          <w:numId w:val="27"/>
        </w:numPr>
        <w:tabs>
          <w:tab w:val="left" w:pos="1187"/>
        </w:tabs>
        <w:spacing w:before="73" w:after="0" w:line="240" w:lineRule="auto"/>
        <w:ind w:left="1186" w:right="0" w:hanging="473"/>
        <w:jc w:val="left"/>
        <w:rPr>
          <w:sz w:val="21"/>
        </w:rPr>
      </w:pPr>
      <w:r>
        <w:rPr>
          <w:spacing w:val="-1"/>
          <w:sz w:val="21"/>
          <w:u w:val="single"/>
        </w:rPr>
        <w:t>投标文件的文字除签名及与签名相关日期外建议采用电脑打印。</w:t>
      </w:r>
    </w:p>
    <w:p>
      <w:pPr>
        <w:pStyle w:val="ListParagraph"/>
        <w:numPr>
          <w:ilvl w:val="1"/>
          <w:numId w:val="27"/>
        </w:numPr>
        <w:tabs>
          <w:tab w:val="left" w:pos="1187"/>
        </w:tabs>
        <w:spacing w:before="131" w:after="0" w:line="240" w:lineRule="auto"/>
        <w:ind w:left="1186" w:right="0" w:hanging="473"/>
        <w:jc w:val="left"/>
        <w:rPr>
          <w:sz w:val="21"/>
        </w:rPr>
      </w:pPr>
      <w:r>
        <w:rPr>
          <w:spacing w:val="-1"/>
          <w:sz w:val="21"/>
          <w:u w:val="single"/>
        </w:rPr>
        <w:t>投标人代表应根据招标文件的要求，在投标文件中签名和加盖投标人公章。</w:t>
      </w:r>
    </w:p>
    <w:p>
      <w:pPr>
        <w:pStyle w:val="ListParagraph"/>
        <w:numPr>
          <w:ilvl w:val="1"/>
          <w:numId w:val="27"/>
        </w:numPr>
        <w:tabs>
          <w:tab w:val="left" w:pos="1187"/>
        </w:tabs>
        <w:spacing w:before="131" w:after="0" w:line="357" w:lineRule="auto"/>
        <w:ind w:left="294" w:right="572" w:firstLine="420"/>
        <w:jc w:val="left"/>
        <w:rPr>
          <w:sz w:val="21"/>
        </w:rPr>
      </w:pPr>
      <w:r>
        <w:rPr>
          <w:spacing w:val="-2"/>
          <w:sz w:val="21"/>
        </w:rPr>
        <w:t>除投标人对错处作必要修改外，投标文件中不许有加行、涂抹或改写。若有修改须由签署投标文</w:t>
      </w:r>
      <w:r>
        <w:rPr>
          <w:spacing w:val="-2"/>
          <w:sz w:val="21"/>
        </w:rPr>
        <w:t>件的投标人代表进行签名。</w:t>
      </w:r>
    </w:p>
    <w:p>
      <w:pPr>
        <w:pStyle w:val="ListParagraph"/>
        <w:numPr>
          <w:ilvl w:val="1"/>
          <w:numId w:val="27"/>
        </w:numPr>
        <w:tabs>
          <w:tab w:val="left" w:pos="1348"/>
          <w:tab w:val="left" w:pos="1349"/>
        </w:tabs>
        <w:spacing w:before="0" w:after="0" w:line="318" w:lineRule="exact"/>
        <w:ind w:left="1348" w:right="0" w:hanging="635"/>
        <w:jc w:val="left"/>
        <w:rPr>
          <w:rFonts w:ascii="微软雅黑" w:eastAsia="微软雅黑"/>
          <w:b/>
          <w:sz w:val="21"/>
        </w:rPr>
      </w:pPr>
      <w:r>
        <w:rPr>
          <w:rFonts w:ascii="微软雅黑" w:eastAsia="微软雅黑"/>
          <w:b/>
          <w:spacing w:val="-2"/>
          <w:sz w:val="21"/>
        </w:rPr>
        <w:t>投标文件电子版</w:t>
      </w:r>
    </w:p>
    <w:p>
      <w:pPr>
        <w:pStyle w:val="BodyText"/>
        <w:spacing w:before="80" w:line="357" w:lineRule="auto"/>
        <w:ind w:left="294" w:right="572" w:firstLine="420"/>
      </w:pPr>
      <w:r>
        <w:rPr>
          <w:spacing w:val="-2"/>
        </w:rPr>
        <w:t>投标人必须提供投标文件电子版一份（光盘或闪存介质，word</w:t>
      </w:r>
      <w:r>
        <w:rPr>
          <w:spacing w:val="-10"/>
        </w:rPr>
        <w:t xml:space="preserve"> 或文本格式，并标明投标人名称、项目</w:t>
      </w:r>
      <w:r>
        <w:rPr>
          <w:spacing w:val="-2"/>
        </w:rPr>
        <w:t>编号及项目名称</w:t>
      </w:r>
      <w:r>
        <w:rPr>
          <w:spacing w:val="-105"/>
        </w:rPr>
        <w:t>）</w:t>
      </w:r>
      <w:r>
        <w:rPr>
          <w:spacing w:val="-2"/>
        </w:rPr>
        <w:t>，电子版内容应与正本一致。</w:t>
      </w:r>
    </w:p>
    <w:p>
      <w:pPr>
        <w:pStyle w:val="ListParagraph"/>
        <w:numPr>
          <w:ilvl w:val="1"/>
          <w:numId w:val="27"/>
        </w:numPr>
        <w:tabs>
          <w:tab w:val="left" w:pos="1187"/>
        </w:tabs>
        <w:spacing w:before="0" w:after="0" w:line="350" w:lineRule="exact"/>
        <w:ind w:left="1186" w:right="0" w:hanging="473"/>
        <w:jc w:val="left"/>
        <w:rPr>
          <w:sz w:val="21"/>
        </w:rPr>
      </w:pPr>
      <w:r>
        <w:rPr>
          <w:rFonts w:ascii="微软雅黑" w:eastAsia="微软雅黑"/>
          <w:b/>
          <w:spacing w:val="-1"/>
          <w:sz w:val="21"/>
        </w:rPr>
        <w:t>投标文件由报价标和技术商务标两部分组成，投标人必须分别编制报价部分和技术商务部分，</w:t>
      </w:r>
    </w:p>
    <w:p>
      <w:pPr>
        <w:spacing w:before="53" w:line="273" w:lineRule="auto"/>
        <w:ind w:left="294" w:right="512" w:firstLine="0"/>
        <w:jc w:val="both"/>
        <w:rPr>
          <w:rFonts w:ascii="微软雅黑" w:eastAsia="微软雅黑" w:hAnsi="微软雅黑"/>
          <w:b/>
          <w:sz w:val="21"/>
        </w:rPr>
      </w:pPr>
      <w:r>
        <w:rPr>
          <w:rFonts w:ascii="微软雅黑" w:eastAsia="微软雅黑" w:hAnsi="微软雅黑"/>
          <w:b/>
          <w:spacing w:val="-2"/>
          <w:sz w:val="21"/>
        </w:rPr>
        <w:t>报价部分要求提供的证明材料必须在报价部分体现，技术商务部分不得出现任何报价及影响报价的材料，</w:t>
      </w:r>
      <w:r>
        <w:rPr>
          <w:rFonts w:ascii="微软雅黑" w:eastAsia="微软雅黑" w:hAnsi="微软雅黑"/>
          <w:b/>
          <w:spacing w:val="-2"/>
          <w:sz w:val="21"/>
        </w:rPr>
        <w:t>并分别单独装订，分册胶装密封，加盖骑缝章；在投标文件封面上和密封袋上分别标明“投标报价部分”</w:t>
      </w:r>
      <w:r>
        <w:rPr>
          <w:rFonts w:ascii="微软雅黑" w:eastAsia="微软雅黑" w:hAnsi="微软雅黑"/>
          <w:b/>
          <w:spacing w:val="-11"/>
          <w:sz w:val="21"/>
        </w:rPr>
        <w:t>和“投标技术商务部分”；</w:t>
      </w:r>
    </w:p>
    <w:p>
      <w:pPr>
        <w:spacing w:before="0" w:line="273" w:lineRule="auto"/>
        <w:ind w:left="294" w:right="467" w:firstLine="420"/>
        <w:jc w:val="left"/>
        <w:rPr>
          <w:rFonts w:ascii="微软雅黑" w:eastAsia="微软雅黑" w:hAnsi="微软雅黑"/>
          <w:b/>
          <w:sz w:val="21"/>
        </w:rPr>
      </w:pPr>
      <w:r>
        <w:rPr>
          <w:rFonts w:ascii="微软雅黑" w:eastAsia="微软雅黑" w:hAnsi="微软雅黑"/>
          <w:b/>
          <w:spacing w:val="-4"/>
          <w:sz w:val="21"/>
        </w:rPr>
        <w:t>正本必须用 A4 幅面纸张打印装订，应编制封面、目录、页码，必须装订成册，并在封面标明“正本”</w:t>
      </w:r>
      <w:r>
        <w:rPr>
          <w:rFonts w:ascii="微软雅黑" w:eastAsia="微软雅黑" w:hAnsi="微软雅黑"/>
          <w:b/>
          <w:spacing w:val="-4"/>
          <w:sz w:val="21"/>
        </w:rPr>
        <w:t>字样；</w:t>
      </w:r>
    </w:p>
    <w:p>
      <w:pPr>
        <w:spacing w:before="0" w:line="385" w:lineRule="exact"/>
        <w:ind w:left="714" w:right="0" w:firstLine="0"/>
        <w:jc w:val="left"/>
        <w:rPr>
          <w:rFonts w:ascii="微软雅黑" w:eastAsia="微软雅黑" w:hAnsi="微软雅黑"/>
          <w:b/>
          <w:sz w:val="21"/>
        </w:rPr>
      </w:pPr>
      <w:r>
        <w:rPr>
          <w:rFonts w:ascii="微软雅黑" w:eastAsia="微软雅黑" w:hAnsi="微软雅黑"/>
          <w:b/>
          <w:spacing w:val="-1"/>
          <w:sz w:val="21"/>
        </w:rPr>
        <w:t>副本应与正本一致，可以用正本的完整复印件，并在封面标明“副本”字样。</w:t>
      </w:r>
    </w:p>
    <w:p>
      <w:pPr>
        <w:spacing w:before="49"/>
        <w:ind w:left="714" w:right="0" w:firstLine="0"/>
        <w:jc w:val="left"/>
        <w:rPr>
          <w:rFonts w:ascii="微软雅黑" w:eastAsia="微软雅黑" w:hAnsi="微软雅黑"/>
          <w:b/>
          <w:sz w:val="21"/>
        </w:rPr>
      </w:pPr>
      <w:r>
        <w:rPr>
          <w:rFonts w:ascii="微软雅黑" w:eastAsia="微软雅黑" w:hAnsi="微软雅黑"/>
          <w:b/>
          <w:sz w:val="21"/>
        </w:rPr>
        <w:t>★</w:t>
      </w:r>
      <w:r>
        <w:rPr>
          <w:rFonts w:ascii="微软雅黑" w:eastAsia="微软雅黑" w:hAnsi="微软雅黑"/>
          <w:b/>
          <w:spacing w:val="-1"/>
          <w:sz w:val="21"/>
        </w:rPr>
        <w:t>未按上述规定要求做到的，其投标将被视为无效投标。</w:t>
      </w:r>
    </w:p>
    <w:p>
      <w:pPr>
        <w:pStyle w:val="ListParagraph"/>
        <w:numPr>
          <w:ilvl w:val="0"/>
          <w:numId w:val="27"/>
        </w:numPr>
        <w:tabs>
          <w:tab w:val="left" w:pos="612"/>
        </w:tabs>
        <w:spacing w:before="21" w:after="0" w:line="240" w:lineRule="auto"/>
        <w:ind w:left="611" w:right="0" w:hanging="318"/>
        <w:jc w:val="left"/>
        <w:rPr>
          <w:rFonts w:ascii="微软雅黑" w:eastAsia="微软雅黑"/>
          <w:b/>
          <w:sz w:val="19"/>
        </w:rPr>
      </w:pPr>
      <w:r>
        <w:rPr>
          <w:rFonts w:ascii="微软雅黑" w:eastAsia="微软雅黑"/>
          <w:b/>
          <w:spacing w:val="-1"/>
          <w:sz w:val="21"/>
        </w:rPr>
        <w:t>投标文件的密封和标记</w:t>
      </w:r>
    </w:p>
    <w:p>
      <w:pPr>
        <w:pStyle w:val="ListParagraph"/>
        <w:numPr>
          <w:ilvl w:val="1"/>
          <w:numId w:val="27"/>
        </w:numPr>
        <w:tabs>
          <w:tab w:val="left" w:pos="1187"/>
        </w:tabs>
        <w:spacing w:before="80" w:after="0" w:line="357" w:lineRule="auto"/>
        <w:ind w:left="294" w:right="497" w:firstLine="420"/>
        <w:jc w:val="left"/>
        <w:rPr>
          <w:sz w:val="21"/>
        </w:rPr>
      </w:pPr>
      <w:r>
        <w:rPr>
          <w:spacing w:val="-2"/>
          <w:sz w:val="21"/>
        </w:rPr>
        <w:t>投标人应将投标文件正本和副本分别用纸质档案袋密封(所有封口加贴封条，且盖投标人公章)，</w:t>
      </w:r>
      <w:r>
        <w:rPr>
          <w:spacing w:val="-2"/>
          <w:sz w:val="21"/>
        </w:rPr>
        <w:t>并标明采购编号、采购项目名称及正本或副本。</w:t>
      </w:r>
    </w:p>
    <w:p>
      <w:pPr>
        <w:spacing w:after="0" w:line="357" w:lineRule="auto"/>
        <w:jc w:val="left"/>
        <w:rPr>
          <w:sz w:val="21"/>
        </w:rPr>
        <w:sectPr>
          <w:headerReference w:type="default" r:id="rId44"/>
          <w:footerReference w:type="default" r:id="rId45"/>
          <w:pgSz w:w="11910" w:h="16840"/>
          <w:pgMar w:top="1100" w:right="560" w:bottom="1160" w:left="840" w:header="879" w:footer="971"/>
          <w:pgNumType w:start="19"/>
          <w:cols w:space="708"/>
        </w:sectPr>
      </w:pPr>
    </w:p>
    <w:p>
      <w:pPr>
        <w:pStyle w:val="ListParagraph"/>
        <w:numPr>
          <w:ilvl w:val="1"/>
          <w:numId w:val="27"/>
        </w:numPr>
        <w:tabs>
          <w:tab w:val="left" w:pos="1190"/>
        </w:tabs>
        <w:spacing w:before="43" w:after="0" w:line="240" w:lineRule="auto"/>
        <w:ind w:left="1189" w:right="0" w:hanging="476"/>
        <w:jc w:val="left"/>
        <w:rPr>
          <w:rFonts w:ascii="微软雅黑" w:eastAsia="微软雅黑"/>
          <w:b/>
          <w:sz w:val="21"/>
          <w:u w:val="thick"/>
        </w:rPr>
      </w:pPr>
      <w:r>
        <w:rPr>
          <w:rFonts w:ascii="微软雅黑" w:eastAsia="微软雅黑"/>
          <w:b/>
          <w:spacing w:val="-1"/>
          <w:sz w:val="21"/>
          <w:u w:val="thick"/>
        </w:rPr>
        <w:t>投标书、开标一览表、投标报价表用小信封单独密封后再与投标文件正本装在同一密封袋内。</w:t>
      </w:r>
    </w:p>
    <w:p>
      <w:pPr>
        <w:pStyle w:val="ListParagraph"/>
        <w:numPr>
          <w:ilvl w:val="1"/>
          <w:numId w:val="27"/>
        </w:numPr>
        <w:tabs>
          <w:tab w:val="left" w:pos="1187"/>
        </w:tabs>
        <w:spacing w:before="80" w:after="0" w:line="240" w:lineRule="auto"/>
        <w:ind w:left="1186" w:right="0" w:hanging="473"/>
        <w:jc w:val="left"/>
        <w:rPr>
          <w:sz w:val="21"/>
        </w:rPr>
      </w:pPr>
      <w:r>
        <w:rPr>
          <w:spacing w:val="-4"/>
          <w:sz w:val="21"/>
        </w:rPr>
        <w:t xml:space="preserve">每一密封件上应注明“于 </w:t>
      </w:r>
      <w:r>
        <w:rPr>
          <w:sz w:val="21"/>
        </w:rPr>
        <w:t>2014</w:t>
      </w:r>
      <w:r>
        <w:rPr>
          <w:spacing w:val="-25"/>
          <w:sz w:val="21"/>
        </w:rPr>
        <w:t xml:space="preserve"> 年 </w:t>
      </w:r>
      <w:r>
        <w:rPr>
          <w:sz w:val="21"/>
        </w:rPr>
        <w:t>8</w:t>
      </w:r>
      <w:r>
        <w:rPr>
          <w:spacing w:val="-25"/>
          <w:sz w:val="21"/>
        </w:rPr>
        <w:t xml:space="preserve"> 月 </w:t>
      </w:r>
      <w:r>
        <w:rPr>
          <w:sz w:val="21"/>
        </w:rPr>
        <w:t>4</w:t>
      </w:r>
      <w:r>
        <w:rPr>
          <w:spacing w:val="-16"/>
          <w:sz w:val="21"/>
        </w:rPr>
        <w:t xml:space="preserve"> 日上午 </w:t>
      </w:r>
      <w:r>
        <w:rPr>
          <w:sz w:val="21"/>
        </w:rPr>
        <w:t>9：30</w:t>
      </w:r>
      <w:r>
        <w:rPr>
          <w:spacing w:val="-19"/>
          <w:sz w:val="21"/>
        </w:rPr>
        <w:t xml:space="preserve"> 时</w:t>
      </w:r>
      <w:r>
        <w:rPr>
          <w:sz w:val="21"/>
        </w:rPr>
        <w:t>（北京时间）</w:t>
      </w:r>
      <w:r>
        <w:rPr>
          <w:spacing w:val="-1"/>
          <w:sz w:val="21"/>
        </w:rPr>
        <w:t>之前不准启封”的字样。</w:t>
      </w:r>
    </w:p>
    <w:p>
      <w:pPr>
        <w:pStyle w:val="BodyText"/>
        <w:spacing w:before="11"/>
        <w:rPr>
          <w:sz w:val="25"/>
        </w:rPr>
      </w:pPr>
    </w:p>
    <w:p>
      <w:pPr>
        <w:pStyle w:val="Heading3"/>
        <w:ind w:right="2271"/>
      </w:pPr>
      <w:bookmarkStart w:id="7" w:name="_TOC_250004"/>
      <w:bookmarkEnd w:id="7"/>
      <w:r>
        <w:rPr>
          <w:spacing w:val="4"/>
        </w:rPr>
        <w:t>四、 投标文件的递交</w:t>
      </w:r>
    </w:p>
    <w:p>
      <w:pPr>
        <w:pStyle w:val="BodyText"/>
        <w:spacing w:before="14"/>
        <w:rPr>
          <w:rFonts w:ascii="微软雅黑"/>
          <w:b/>
          <w:sz w:val="25"/>
        </w:rPr>
      </w:pPr>
    </w:p>
    <w:p>
      <w:pPr>
        <w:pStyle w:val="ListParagraph"/>
        <w:numPr>
          <w:ilvl w:val="0"/>
          <w:numId w:val="27"/>
        </w:numPr>
        <w:tabs>
          <w:tab w:val="left" w:pos="612"/>
        </w:tabs>
        <w:spacing w:before="0" w:after="0" w:line="240" w:lineRule="auto"/>
        <w:ind w:left="611" w:right="0" w:hanging="318"/>
        <w:jc w:val="left"/>
        <w:rPr>
          <w:rFonts w:ascii="微软雅黑" w:eastAsia="微软雅黑"/>
          <w:b/>
          <w:sz w:val="19"/>
        </w:rPr>
      </w:pPr>
      <w:r>
        <w:rPr>
          <w:rFonts w:ascii="微软雅黑" w:eastAsia="微软雅黑"/>
          <w:b/>
          <w:spacing w:val="-2"/>
          <w:sz w:val="21"/>
        </w:rPr>
        <w:t>递交投标文件</w:t>
      </w:r>
    </w:p>
    <w:p>
      <w:pPr>
        <w:pStyle w:val="ListParagraph"/>
        <w:numPr>
          <w:ilvl w:val="1"/>
          <w:numId w:val="27"/>
        </w:numPr>
        <w:tabs>
          <w:tab w:val="left" w:pos="1187"/>
        </w:tabs>
        <w:spacing w:before="89" w:after="0" w:line="364" w:lineRule="auto"/>
        <w:ind w:left="294" w:right="572" w:firstLine="420"/>
        <w:jc w:val="left"/>
        <w:rPr>
          <w:sz w:val="21"/>
        </w:rPr>
      </w:pPr>
      <w:r>
        <w:rPr>
          <w:spacing w:val="2"/>
          <w:sz w:val="21"/>
        </w:rPr>
        <w:t>所有投标文件必须按招标代理机构在投标邀请中规定的投标截止时间之前及开标地点由投标人代表送至泉州市嘉隆招标代理有限公司开标室。</w:t>
      </w:r>
    </w:p>
    <w:p>
      <w:pPr>
        <w:pStyle w:val="ListParagraph"/>
        <w:numPr>
          <w:ilvl w:val="1"/>
          <w:numId w:val="27"/>
        </w:numPr>
        <w:tabs>
          <w:tab w:val="left" w:pos="1187"/>
        </w:tabs>
        <w:spacing w:before="26" w:after="0" w:line="223" w:lineRule="auto"/>
        <w:ind w:left="294" w:right="573" w:firstLine="420"/>
        <w:jc w:val="left"/>
        <w:rPr>
          <w:sz w:val="21"/>
        </w:rPr>
      </w:pPr>
      <w:r>
        <w:rPr>
          <w:rFonts w:ascii="微软雅黑" w:eastAsia="微软雅黑"/>
          <w:b/>
          <w:spacing w:val="2"/>
          <w:sz w:val="21"/>
          <w:u w:val="thick"/>
        </w:rPr>
        <w:t>投标人代表递交投标文件时须凭投标人代表身份证原件及投标保证金银行单证办理投标登记手续。</w:t>
      </w:r>
    </w:p>
    <w:p>
      <w:pPr>
        <w:pStyle w:val="ListParagraph"/>
        <w:numPr>
          <w:ilvl w:val="1"/>
          <w:numId w:val="27"/>
        </w:numPr>
        <w:tabs>
          <w:tab w:val="left" w:pos="1187"/>
        </w:tabs>
        <w:spacing w:before="0" w:after="0" w:line="242" w:lineRule="exact"/>
        <w:ind w:left="1186" w:right="0" w:hanging="473"/>
        <w:jc w:val="left"/>
        <w:rPr>
          <w:sz w:val="21"/>
        </w:rPr>
      </w:pPr>
      <w:r>
        <w:rPr>
          <w:spacing w:val="-14"/>
          <w:sz w:val="21"/>
        </w:rPr>
        <w:t xml:space="preserve">出现第 </w:t>
      </w:r>
      <w:r>
        <w:rPr>
          <w:sz w:val="21"/>
        </w:rPr>
        <w:t>8.2</w:t>
      </w:r>
      <w:r>
        <w:rPr>
          <w:spacing w:val="-12"/>
          <w:sz w:val="21"/>
        </w:rPr>
        <w:t xml:space="preserve"> 款因招标文件的修改推迟投标截止日期时，则按招标代理机构修改通知规定的时间递</w:t>
      </w:r>
    </w:p>
    <w:p>
      <w:pPr>
        <w:pStyle w:val="BodyText"/>
        <w:spacing w:before="139"/>
        <w:ind w:left="294"/>
      </w:pPr>
      <w:r>
        <w:rPr>
          <w:spacing w:val="-5"/>
        </w:rPr>
        <w:t>交。</w:t>
      </w:r>
    </w:p>
    <w:p>
      <w:pPr>
        <w:pStyle w:val="ListParagraph"/>
        <w:numPr>
          <w:ilvl w:val="0"/>
          <w:numId w:val="27"/>
        </w:numPr>
        <w:tabs>
          <w:tab w:val="left" w:pos="612"/>
        </w:tabs>
        <w:spacing w:before="72" w:after="0" w:line="240" w:lineRule="auto"/>
        <w:ind w:left="611" w:right="0" w:hanging="318"/>
        <w:jc w:val="left"/>
        <w:rPr>
          <w:rFonts w:ascii="微软雅黑" w:eastAsia="微软雅黑"/>
          <w:b/>
          <w:sz w:val="19"/>
        </w:rPr>
      </w:pPr>
      <w:r>
        <w:rPr>
          <w:rFonts w:ascii="微软雅黑" w:eastAsia="微软雅黑"/>
          <w:b/>
          <w:spacing w:val="-2"/>
          <w:sz w:val="21"/>
        </w:rPr>
        <w:t>迟交的投标文件</w:t>
      </w:r>
    </w:p>
    <w:p>
      <w:pPr>
        <w:pStyle w:val="ListParagraph"/>
        <w:numPr>
          <w:ilvl w:val="1"/>
          <w:numId w:val="27"/>
        </w:numPr>
        <w:tabs>
          <w:tab w:val="left" w:pos="1187"/>
        </w:tabs>
        <w:spacing w:before="89" w:after="0" w:line="240" w:lineRule="auto"/>
        <w:ind w:left="1186" w:right="0" w:hanging="473"/>
        <w:jc w:val="left"/>
        <w:rPr>
          <w:sz w:val="21"/>
        </w:rPr>
      </w:pPr>
      <w:r>
        <w:rPr>
          <w:spacing w:val="-1"/>
          <w:sz w:val="21"/>
        </w:rPr>
        <w:t>招标代理机构将拒绝在投标截止时间后收到的投标文件。</w:t>
      </w:r>
    </w:p>
    <w:p>
      <w:pPr>
        <w:pStyle w:val="ListParagraph"/>
        <w:numPr>
          <w:ilvl w:val="0"/>
          <w:numId w:val="27"/>
        </w:numPr>
        <w:tabs>
          <w:tab w:val="left" w:pos="612"/>
        </w:tabs>
        <w:spacing w:before="72" w:after="0" w:line="240" w:lineRule="auto"/>
        <w:ind w:left="611" w:right="0" w:hanging="318"/>
        <w:jc w:val="left"/>
        <w:rPr>
          <w:rFonts w:ascii="微软雅黑" w:eastAsia="微软雅黑"/>
          <w:b/>
          <w:sz w:val="19"/>
        </w:rPr>
      </w:pPr>
      <w:r>
        <w:rPr>
          <w:rFonts w:ascii="微软雅黑" w:eastAsia="微软雅黑"/>
          <w:b/>
          <w:spacing w:val="-1"/>
          <w:sz w:val="21"/>
        </w:rPr>
        <w:t>投标文件的修改和撤销</w:t>
      </w:r>
    </w:p>
    <w:p>
      <w:pPr>
        <w:pStyle w:val="ListParagraph"/>
        <w:numPr>
          <w:ilvl w:val="1"/>
          <w:numId w:val="27"/>
        </w:numPr>
        <w:tabs>
          <w:tab w:val="left" w:pos="1187"/>
        </w:tabs>
        <w:spacing w:before="89" w:after="0" w:line="240" w:lineRule="auto"/>
        <w:ind w:left="1186" w:right="0" w:hanging="473"/>
        <w:jc w:val="left"/>
        <w:rPr>
          <w:sz w:val="21"/>
        </w:rPr>
      </w:pPr>
      <w:r>
        <w:rPr>
          <w:spacing w:val="-1"/>
          <w:sz w:val="21"/>
        </w:rPr>
        <w:t>投标截止时间以后未经招标代理机构允许不得修改投标文件。</w:t>
      </w:r>
    </w:p>
    <w:p>
      <w:pPr>
        <w:pStyle w:val="ListParagraph"/>
        <w:numPr>
          <w:ilvl w:val="1"/>
          <w:numId w:val="27"/>
        </w:numPr>
        <w:tabs>
          <w:tab w:val="left" w:pos="1187"/>
        </w:tabs>
        <w:spacing w:before="139" w:after="0" w:line="364" w:lineRule="auto"/>
        <w:ind w:left="294" w:right="572" w:firstLine="420"/>
        <w:jc w:val="left"/>
        <w:rPr>
          <w:sz w:val="21"/>
        </w:rPr>
      </w:pPr>
      <w:r>
        <w:rPr>
          <w:spacing w:val="-2"/>
          <w:sz w:val="21"/>
        </w:rPr>
        <w:t xml:space="preserve">投标人不得在投标文件有效期内撤销投标文件。否则招标代理机构将按 </w:t>
      </w:r>
      <w:r>
        <w:rPr>
          <w:sz w:val="21"/>
        </w:rPr>
        <w:t>17.8</w:t>
      </w:r>
      <w:r>
        <w:rPr>
          <w:spacing w:val="-8"/>
          <w:sz w:val="21"/>
        </w:rPr>
        <w:t xml:space="preserve"> 款的规定没收其投</w:t>
      </w:r>
      <w:r>
        <w:rPr>
          <w:spacing w:val="-2"/>
          <w:sz w:val="21"/>
        </w:rPr>
        <w:t>标保证金。</w:t>
      </w:r>
    </w:p>
    <w:p>
      <w:pPr>
        <w:pStyle w:val="BodyText"/>
        <w:rPr>
          <w:sz w:val="24"/>
        </w:rPr>
      </w:pPr>
    </w:p>
    <w:p>
      <w:pPr>
        <w:pStyle w:val="Heading3"/>
        <w:ind w:right="2271"/>
      </w:pPr>
      <w:bookmarkStart w:id="8" w:name="_TOC_250003"/>
      <w:bookmarkEnd w:id="8"/>
      <w:r>
        <w:rPr>
          <w:spacing w:val="3"/>
        </w:rPr>
        <w:t>五、 开标、评标和定标</w:t>
      </w:r>
    </w:p>
    <w:p>
      <w:pPr>
        <w:pStyle w:val="BodyText"/>
        <w:spacing w:before="13"/>
        <w:rPr>
          <w:rFonts w:ascii="微软雅黑"/>
          <w:b/>
          <w:sz w:val="25"/>
        </w:rPr>
      </w:pPr>
    </w:p>
    <w:p>
      <w:pPr>
        <w:pStyle w:val="ListParagraph"/>
        <w:numPr>
          <w:ilvl w:val="0"/>
          <w:numId w:val="27"/>
        </w:numPr>
        <w:tabs>
          <w:tab w:val="left" w:pos="612"/>
        </w:tabs>
        <w:spacing w:before="1" w:after="0" w:line="240" w:lineRule="auto"/>
        <w:ind w:left="611" w:right="0" w:hanging="318"/>
        <w:jc w:val="left"/>
        <w:rPr>
          <w:rFonts w:ascii="微软雅黑" w:eastAsia="微软雅黑"/>
          <w:b/>
          <w:sz w:val="19"/>
        </w:rPr>
      </w:pPr>
      <w:r>
        <w:rPr>
          <w:rFonts w:ascii="微软雅黑" w:eastAsia="微软雅黑"/>
          <w:b/>
          <w:spacing w:val="-5"/>
          <w:sz w:val="21"/>
        </w:rPr>
        <w:t>开标</w:t>
      </w:r>
    </w:p>
    <w:p>
      <w:pPr>
        <w:pStyle w:val="ListParagraph"/>
        <w:numPr>
          <w:ilvl w:val="1"/>
          <w:numId w:val="27"/>
        </w:numPr>
        <w:tabs>
          <w:tab w:val="left" w:pos="1187"/>
        </w:tabs>
        <w:spacing w:before="88" w:after="0" w:line="240" w:lineRule="auto"/>
        <w:ind w:left="1186" w:right="0" w:hanging="473"/>
        <w:jc w:val="left"/>
        <w:rPr>
          <w:sz w:val="21"/>
        </w:rPr>
      </w:pPr>
      <w:r>
        <w:rPr>
          <w:spacing w:val="-1"/>
          <w:sz w:val="21"/>
        </w:rPr>
        <w:t>招标代理机构在招标通告或投标邀请函中规定的时间和地点公开开标,投标人代表必须参加。</w:t>
      </w:r>
    </w:p>
    <w:p>
      <w:pPr>
        <w:pStyle w:val="ListParagraph"/>
        <w:numPr>
          <w:ilvl w:val="1"/>
          <w:numId w:val="27"/>
        </w:numPr>
        <w:tabs>
          <w:tab w:val="left" w:pos="1187"/>
        </w:tabs>
        <w:spacing w:before="140" w:after="0" w:line="240" w:lineRule="auto"/>
        <w:ind w:left="1186" w:right="0" w:hanging="473"/>
        <w:jc w:val="left"/>
        <w:rPr>
          <w:sz w:val="21"/>
        </w:rPr>
      </w:pPr>
      <w:r>
        <w:rPr>
          <w:spacing w:val="-1"/>
          <w:sz w:val="21"/>
        </w:rPr>
        <w:t>投标人代表到达开标现场，须凭身份证办理投标登记手续。</w:t>
      </w:r>
    </w:p>
    <w:p>
      <w:pPr>
        <w:pStyle w:val="ListParagraph"/>
        <w:numPr>
          <w:ilvl w:val="1"/>
          <w:numId w:val="27"/>
        </w:numPr>
        <w:tabs>
          <w:tab w:val="left" w:pos="1187"/>
        </w:tabs>
        <w:spacing w:before="139" w:after="0" w:line="364" w:lineRule="auto"/>
        <w:ind w:left="294" w:right="572" w:firstLine="420"/>
        <w:jc w:val="left"/>
        <w:rPr>
          <w:sz w:val="21"/>
        </w:rPr>
      </w:pPr>
      <w:r>
        <w:rPr>
          <w:spacing w:val="-2"/>
          <w:sz w:val="21"/>
        </w:rPr>
        <w:t>开标前，招标代理机构查验投标文件密封情况,投标人代表确认无误后进行拆封。投标文件拆封</w:t>
      </w:r>
      <w:r>
        <w:rPr>
          <w:spacing w:val="-2"/>
          <w:sz w:val="21"/>
        </w:rPr>
        <w:t>后则进行唱标。唱标是公布“开标一览表”以及招标代理机构认为合适的其他内容。</w:t>
      </w:r>
    </w:p>
    <w:p>
      <w:pPr>
        <w:pStyle w:val="ListParagraph"/>
        <w:numPr>
          <w:ilvl w:val="0"/>
          <w:numId w:val="27"/>
        </w:numPr>
        <w:tabs>
          <w:tab w:val="left" w:pos="612"/>
        </w:tabs>
        <w:spacing w:before="0" w:after="0" w:line="319" w:lineRule="exact"/>
        <w:ind w:left="611" w:right="0" w:hanging="318"/>
        <w:jc w:val="left"/>
        <w:rPr>
          <w:rFonts w:ascii="微软雅黑" w:eastAsia="微软雅黑"/>
          <w:b/>
          <w:sz w:val="19"/>
        </w:rPr>
      </w:pPr>
      <w:r>
        <w:rPr>
          <w:rFonts w:ascii="微软雅黑" w:eastAsia="微软雅黑"/>
          <w:b/>
          <w:spacing w:val="-1"/>
          <w:sz w:val="21"/>
        </w:rPr>
        <w:t>对投标文件的审查和响应性的确定。</w:t>
      </w:r>
    </w:p>
    <w:p>
      <w:pPr>
        <w:pStyle w:val="ListParagraph"/>
        <w:numPr>
          <w:ilvl w:val="1"/>
          <w:numId w:val="27"/>
        </w:numPr>
        <w:tabs>
          <w:tab w:val="left" w:pos="1187"/>
        </w:tabs>
        <w:spacing w:before="89" w:after="0" w:line="364" w:lineRule="auto"/>
        <w:ind w:left="294" w:right="572" w:firstLine="420"/>
        <w:jc w:val="left"/>
        <w:rPr>
          <w:sz w:val="21"/>
        </w:rPr>
      </w:pPr>
      <w:r>
        <w:rPr>
          <w:spacing w:val="-2"/>
          <w:sz w:val="21"/>
        </w:rPr>
        <w:t>开标后，评委将审查投标文件是否完整，是否有计算错误，要求的保证金是否已提供，文件是否</w:t>
      </w:r>
      <w:r>
        <w:rPr>
          <w:spacing w:val="-2"/>
          <w:sz w:val="21"/>
        </w:rPr>
        <w:t>恰当签署。</w:t>
      </w:r>
    </w:p>
    <w:p>
      <w:pPr>
        <w:pStyle w:val="ListParagraph"/>
        <w:numPr>
          <w:ilvl w:val="1"/>
          <w:numId w:val="27"/>
        </w:numPr>
        <w:tabs>
          <w:tab w:val="left" w:pos="1161"/>
        </w:tabs>
        <w:spacing w:before="0" w:after="0" w:line="364" w:lineRule="auto"/>
        <w:ind w:left="294" w:right="418" w:firstLine="420"/>
        <w:jc w:val="left"/>
        <w:rPr>
          <w:sz w:val="21"/>
        </w:rPr>
      </w:pPr>
      <w:r>
        <w:rPr>
          <w:spacing w:val="-9"/>
          <w:sz w:val="21"/>
        </w:rPr>
        <w:t>在对投标文件进行详细评估之前，评委将依据投标人提供的资格证明文件审查投标人的法人资格、</w:t>
      </w:r>
      <w:r>
        <w:rPr>
          <w:spacing w:val="-2"/>
          <w:sz w:val="21"/>
        </w:rPr>
        <w:t>营业范围、财务状况、技术实力和供货能力。如确定投标人无资格履行合同，其投标将被拒绝。</w:t>
      </w:r>
    </w:p>
    <w:p>
      <w:pPr>
        <w:pStyle w:val="ListParagraph"/>
        <w:numPr>
          <w:ilvl w:val="1"/>
          <w:numId w:val="27"/>
        </w:numPr>
        <w:tabs>
          <w:tab w:val="left" w:pos="1187"/>
        </w:tabs>
        <w:spacing w:before="0" w:after="0" w:line="364" w:lineRule="auto"/>
        <w:ind w:left="294" w:right="572" w:firstLine="420"/>
        <w:jc w:val="both"/>
        <w:rPr>
          <w:sz w:val="21"/>
        </w:rPr>
      </w:pPr>
      <w:r>
        <w:rPr>
          <w:spacing w:val="-2"/>
          <w:sz w:val="21"/>
        </w:rPr>
        <w:t>评委将确定每一投标是否对招标文件的要求作出了实质性响应，而没有重大偏离。实质性响应的</w:t>
      </w:r>
      <w:r>
        <w:rPr>
          <w:spacing w:val="-2"/>
          <w:sz w:val="21"/>
        </w:rPr>
        <w:t>投标是指投标符合招标文件的所有条款、条件和规定且没有重大偏离或保留。重大偏离或保留系指影响到</w:t>
      </w:r>
      <w:r>
        <w:rPr>
          <w:spacing w:val="-2"/>
          <w:sz w:val="21"/>
        </w:rPr>
        <w:t>招标文件规定的范围、质量和性能，或限制了买方的权力，或投标人的义务的规定，而纠正这些偏离将影</w:t>
      </w:r>
    </w:p>
    <w:p>
      <w:pPr>
        <w:spacing w:after="0" w:line="364" w:lineRule="auto"/>
        <w:jc w:val="both"/>
        <w:rPr>
          <w:sz w:val="21"/>
        </w:rPr>
        <w:sectPr>
          <w:headerReference w:type="default" r:id="rId46"/>
          <w:footerReference w:type="default" r:id="rId47"/>
          <w:pgSz w:w="11910" w:h="16840"/>
          <w:pgMar w:top="1100" w:right="560" w:bottom="1160" w:left="840" w:header="879" w:footer="971"/>
          <w:pgNumType w:start="20"/>
          <w:cols w:space="708"/>
        </w:sectPr>
      </w:pPr>
    </w:p>
    <w:p>
      <w:pPr>
        <w:pStyle w:val="BodyText"/>
        <w:spacing w:before="3"/>
        <w:ind w:left="294"/>
      </w:pPr>
      <w:r>
        <w:rPr>
          <w:spacing w:val="-1"/>
        </w:rPr>
        <w:t>响到其他提交实质性响应投标的投标人的公平竞争地位。</w:t>
      </w:r>
    </w:p>
    <w:p>
      <w:pPr>
        <w:pStyle w:val="BodyText"/>
        <w:spacing w:before="3"/>
        <w:rPr>
          <w:sz w:val="19"/>
        </w:rPr>
      </w:pPr>
    </w:p>
    <w:p>
      <w:pPr>
        <w:pStyle w:val="ListParagraph"/>
        <w:numPr>
          <w:ilvl w:val="1"/>
          <w:numId w:val="50"/>
        </w:numPr>
        <w:tabs>
          <w:tab w:val="left" w:pos="1187"/>
        </w:tabs>
        <w:spacing w:before="0" w:after="0" w:line="240" w:lineRule="auto"/>
        <w:ind w:left="1186" w:right="0" w:hanging="473"/>
        <w:jc w:val="left"/>
        <w:rPr>
          <w:sz w:val="21"/>
        </w:rPr>
      </w:pPr>
      <w:r>
        <w:rPr>
          <w:spacing w:val="-1"/>
          <w:sz w:val="21"/>
        </w:rPr>
        <w:t>评委判断投标文件的响应性仅基于投标文件本身而不靠外部证据。</w:t>
      </w:r>
    </w:p>
    <w:p>
      <w:pPr>
        <w:pStyle w:val="ListParagraph"/>
        <w:numPr>
          <w:ilvl w:val="1"/>
          <w:numId w:val="50"/>
        </w:numPr>
        <w:tabs>
          <w:tab w:val="left" w:pos="1187"/>
        </w:tabs>
        <w:spacing w:before="131" w:after="0" w:line="357" w:lineRule="auto"/>
        <w:ind w:left="294" w:right="572" w:firstLine="420"/>
        <w:jc w:val="left"/>
        <w:rPr>
          <w:sz w:val="21"/>
        </w:rPr>
      </w:pPr>
      <w:r>
        <w:rPr>
          <w:spacing w:val="-6"/>
          <w:sz w:val="21"/>
        </w:rPr>
        <w:t>评委将拒绝被确定为非实质性响应的投标，投标人不能通过修正或撤销不符之处而使其投标成为</w:t>
      </w:r>
      <w:r>
        <w:rPr>
          <w:spacing w:val="-2"/>
          <w:sz w:val="21"/>
        </w:rPr>
        <w:t>实质性响应的投标。</w:t>
      </w:r>
    </w:p>
    <w:p>
      <w:pPr>
        <w:pStyle w:val="ListParagraph"/>
        <w:numPr>
          <w:ilvl w:val="1"/>
          <w:numId w:val="50"/>
        </w:numPr>
        <w:tabs>
          <w:tab w:val="left" w:pos="1187"/>
        </w:tabs>
        <w:spacing w:before="0" w:after="0" w:line="357" w:lineRule="auto"/>
        <w:ind w:left="294" w:right="572" w:firstLine="420"/>
        <w:jc w:val="left"/>
        <w:rPr>
          <w:sz w:val="21"/>
        </w:rPr>
      </w:pPr>
      <w:r>
        <w:rPr>
          <w:spacing w:val="-2"/>
          <w:sz w:val="21"/>
        </w:rPr>
        <w:t>评委将允许修改投标中不构成重大偏离的微小的、非正规、不一致或有规则的地方，但这种允许</w:t>
      </w:r>
      <w:r>
        <w:rPr>
          <w:spacing w:val="-2"/>
          <w:sz w:val="21"/>
        </w:rPr>
        <w:t>是以不能损害或影响任何投标人为前提。</w:t>
      </w:r>
    </w:p>
    <w:p>
      <w:pPr>
        <w:pStyle w:val="ListParagraph"/>
        <w:numPr>
          <w:ilvl w:val="1"/>
          <w:numId w:val="50"/>
        </w:numPr>
        <w:tabs>
          <w:tab w:val="left" w:pos="1190"/>
        </w:tabs>
        <w:spacing w:before="0" w:after="0" w:line="273" w:lineRule="exact"/>
        <w:ind w:left="1189" w:right="0" w:hanging="476"/>
        <w:jc w:val="left"/>
        <w:rPr>
          <w:rFonts w:ascii="微软雅黑" w:eastAsia="微软雅黑"/>
          <w:b/>
          <w:color w:val="333333"/>
          <w:sz w:val="21"/>
          <w:u w:val="thick" w:color="333333"/>
        </w:rPr>
      </w:pPr>
      <w:r>
        <w:rPr>
          <w:rFonts w:ascii="微软雅黑" w:eastAsia="微软雅黑"/>
          <w:b/>
          <w:color w:val="333333"/>
          <w:spacing w:val="-1"/>
          <w:sz w:val="21"/>
          <w:u w:val="thick" w:color="333333"/>
        </w:rPr>
        <w:t>投标人制作文件出现以下情况时为无效标：</w:t>
      </w:r>
    </w:p>
    <w:p>
      <w:pPr>
        <w:pStyle w:val="ListParagraph"/>
        <w:numPr>
          <w:ilvl w:val="2"/>
          <w:numId w:val="50"/>
        </w:numPr>
        <w:tabs>
          <w:tab w:val="left" w:pos="1402"/>
        </w:tabs>
        <w:spacing w:before="0" w:after="0" w:line="360" w:lineRule="exact"/>
        <w:ind w:left="1401" w:right="0" w:hanging="688"/>
        <w:jc w:val="left"/>
        <w:rPr>
          <w:rFonts w:ascii="微软雅黑" w:eastAsia="微软雅黑"/>
          <w:b/>
          <w:sz w:val="21"/>
          <w:u w:val="thick"/>
        </w:rPr>
      </w:pPr>
      <w:r>
        <w:rPr>
          <w:rFonts w:ascii="微软雅黑" w:eastAsia="微软雅黑"/>
          <w:b/>
          <w:spacing w:val="-1"/>
          <w:sz w:val="21"/>
          <w:u w:val="thick"/>
        </w:rPr>
        <w:t>应交未交投标保证金的；</w:t>
      </w:r>
    </w:p>
    <w:p>
      <w:pPr>
        <w:pStyle w:val="ListParagraph"/>
        <w:numPr>
          <w:ilvl w:val="2"/>
          <w:numId w:val="50"/>
        </w:numPr>
        <w:tabs>
          <w:tab w:val="left" w:pos="1402"/>
        </w:tabs>
        <w:spacing w:before="0" w:after="0" w:line="360" w:lineRule="exact"/>
        <w:ind w:left="1401" w:right="0" w:hanging="688"/>
        <w:jc w:val="left"/>
        <w:rPr>
          <w:rFonts w:ascii="微软雅黑" w:eastAsia="微软雅黑"/>
          <w:b/>
          <w:sz w:val="21"/>
          <w:u w:val="thick"/>
        </w:rPr>
      </w:pPr>
      <w:r>
        <w:rPr>
          <w:rFonts w:ascii="微软雅黑" w:eastAsia="微软雅黑"/>
          <w:b/>
          <w:spacing w:val="-1"/>
          <w:sz w:val="21"/>
          <w:u w:val="thick"/>
        </w:rPr>
        <w:t>未按招标文件要求签署投标文件或加盖公章；</w:t>
      </w:r>
    </w:p>
    <w:p>
      <w:pPr>
        <w:pStyle w:val="ListParagraph"/>
        <w:numPr>
          <w:ilvl w:val="2"/>
          <w:numId w:val="50"/>
        </w:numPr>
        <w:tabs>
          <w:tab w:val="left" w:pos="1402"/>
        </w:tabs>
        <w:spacing w:before="0" w:after="0" w:line="360" w:lineRule="exact"/>
        <w:ind w:left="1401" w:right="0" w:hanging="688"/>
        <w:jc w:val="left"/>
        <w:rPr>
          <w:rFonts w:ascii="微软雅黑" w:eastAsia="微软雅黑"/>
          <w:b/>
          <w:sz w:val="21"/>
          <w:u w:val="thick"/>
        </w:rPr>
      </w:pPr>
      <w:r>
        <w:rPr>
          <w:rFonts w:ascii="微软雅黑" w:eastAsia="微软雅黑"/>
          <w:b/>
          <w:spacing w:val="-2"/>
          <w:sz w:val="21"/>
          <w:u w:val="thick"/>
        </w:rPr>
        <w:t>投标人没有提供第 16</w:t>
      </w:r>
      <w:r>
        <w:rPr>
          <w:rFonts w:ascii="微软雅黑" w:eastAsia="微软雅黑"/>
          <w:b/>
          <w:spacing w:val="-3"/>
          <w:sz w:val="21"/>
          <w:u w:val="thick"/>
        </w:rPr>
        <w:t xml:space="preserve"> 条要求的资格证明文件，不符合招标文件规定的投标人资格；</w:t>
      </w:r>
    </w:p>
    <w:p>
      <w:pPr>
        <w:pStyle w:val="ListParagraph"/>
        <w:numPr>
          <w:ilvl w:val="2"/>
          <w:numId w:val="50"/>
        </w:numPr>
        <w:tabs>
          <w:tab w:val="left" w:pos="1402"/>
        </w:tabs>
        <w:spacing w:before="0" w:after="0" w:line="360" w:lineRule="exact"/>
        <w:ind w:left="1401" w:right="0" w:hanging="688"/>
        <w:jc w:val="left"/>
        <w:rPr>
          <w:rFonts w:ascii="微软雅黑" w:eastAsia="微软雅黑"/>
          <w:b/>
          <w:sz w:val="21"/>
          <w:u w:val="thick"/>
        </w:rPr>
      </w:pPr>
      <w:r>
        <w:rPr>
          <w:rFonts w:ascii="微软雅黑" w:eastAsia="微软雅黑"/>
          <w:b/>
          <w:spacing w:val="-1"/>
          <w:sz w:val="21"/>
          <w:u w:val="thick"/>
        </w:rPr>
        <w:t>投标响应与招标文件产生重大偏离，投标货物不符合招标技术要求的；</w:t>
      </w:r>
    </w:p>
    <w:p>
      <w:pPr>
        <w:pStyle w:val="ListParagraph"/>
        <w:numPr>
          <w:ilvl w:val="2"/>
          <w:numId w:val="50"/>
        </w:numPr>
        <w:tabs>
          <w:tab w:val="left" w:pos="1402"/>
        </w:tabs>
        <w:spacing w:before="4" w:after="0" w:line="223" w:lineRule="auto"/>
        <w:ind w:left="294" w:right="572" w:firstLine="420"/>
        <w:jc w:val="left"/>
        <w:rPr>
          <w:rFonts w:ascii="微软雅黑" w:eastAsia="微软雅黑"/>
          <w:b/>
          <w:sz w:val="21"/>
          <w:u w:val="thick"/>
        </w:rPr>
      </w:pPr>
      <w:r>
        <w:rPr>
          <w:rFonts w:ascii="微软雅黑" w:eastAsia="微软雅黑"/>
          <w:b/>
          <w:spacing w:val="-2"/>
          <w:sz w:val="21"/>
          <w:u w:val="thick"/>
        </w:rPr>
        <w:t>投标报价为投标人在投标文件中提出的各分项价的总和，投标人不得采用总价优惠或以总价</w:t>
      </w:r>
      <w:r>
        <w:rPr>
          <w:rFonts w:ascii="微软雅黑" w:eastAsia="微软雅黑"/>
          <w:b/>
          <w:spacing w:val="80"/>
          <w:w w:val="150"/>
          <w:sz w:val="21"/>
          <w:u w:val="thick"/>
        </w:rPr>
        <w:t xml:space="preserve">                                                                       </w:t>
      </w:r>
      <w:r>
        <w:rPr>
          <w:rFonts w:ascii="微软雅黑" w:eastAsia="微软雅黑"/>
          <w:b/>
          <w:spacing w:val="-2"/>
          <w:sz w:val="21"/>
          <w:u w:val="thick"/>
        </w:rPr>
        <w:t>百分比优惠的方式进行投标报价，其优惠应直接体现在各项投标报价的单价中；</w:t>
      </w:r>
    </w:p>
    <w:p>
      <w:pPr>
        <w:pStyle w:val="ListParagraph"/>
        <w:numPr>
          <w:ilvl w:val="2"/>
          <w:numId w:val="50"/>
        </w:numPr>
        <w:tabs>
          <w:tab w:val="left" w:pos="1402"/>
        </w:tabs>
        <w:spacing w:before="0" w:after="0" w:line="354" w:lineRule="exact"/>
        <w:ind w:left="1401" w:right="0" w:hanging="688"/>
        <w:jc w:val="left"/>
        <w:rPr>
          <w:rFonts w:ascii="微软雅黑" w:eastAsia="微软雅黑"/>
          <w:b/>
          <w:sz w:val="21"/>
          <w:u w:val="thick"/>
        </w:rPr>
      </w:pPr>
      <w:r>
        <w:rPr>
          <w:rFonts w:ascii="微软雅黑" w:eastAsia="微软雅黑"/>
          <w:b/>
          <w:spacing w:val="-1"/>
          <w:sz w:val="21"/>
          <w:u w:val="thick"/>
        </w:rPr>
        <w:t>其他违反国家法律规定的情形。</w:t>
      </w:r>
    </w:p>
    <w:p>
      <w:pPr>
        <w:pStyle w:val="ListParagraph"/>
        <w:numPr>
          <w:ilvl w:val="1"/>
          <w:numId w:val="50"/>
        </w:numPr>
        <w:tabs>
          <w:tab w:val="left" w:pos="1190"/>
        </w:tabs>
        <w:spacing w:before="0" w:after="0" w:line="360" w:lineRule="exact"/>
        <w:ind w:left="1189" w:right="0" w:hanging="476"/>
        <w:jc w:val="left"/>
        <w:rPr>
          <w:rFonts w:ascii="微软雅黑" w:eastAsia="微软雅黑"/>
          <w:b/>
          <w:color w:val="333333"/>
          <w:sz w:val="21"/>
          <w:u w:val="thick" w:color="333333"/>
        </w:rPr>
      </w:pPr>
      <w:r>
        <w:rPr>
          <w:rFonts w:ascii="微软雅黑" w:eastAsia="微软雅黑"/>
          <w:b/>
          <w:color w:val="333333"/>
          <w:spacing w:val="-1"/>
          <w:sz w:val="21"/>
          <w:u w:val="thick" w:color="333333"/>
        </w:rPr>
        <w:t>采购中出现下列情形之一的，应予废标：</w:t>
      </w:r>
    </w:p>
    <w:p>
      <w:pPr>
        <w:pStyle w:val="ListParagraph"/>
        <w:numPr>
          <w:ilvl w:val="2"/>
          <w:numId w:val="50"/>
        </w:numPr>
        <w:tabs>
          <w:tab w:val="left" w:pos="1402"/>
        </w:tabs>
        <w:spacing w:before="0" w:after="0" w:line="360" w:lineRule="exact"/>
        <w:ind w:left="1401" w:right="0" w:hanging="688"/>
        <w:jc w:val="left"/>
        <w:rPr>
          <w:rFonts w:ascii="微软雅黑" w:eastAsia="微软雅黑"/>
          <w:b/>
          <w:sz w:val="21"/>
          <w:u w:val="thick"/>
        </w:rPr>
      </w:pPr>
      <w:r>
        <w:rPr>
          <w:rFonts w:ascii="微软雅黑" w:eastAsia="微软雅黑"/>
          <w:b/>
          <w:spacing w:val="-1"/>
          <w:sz w:val="21"/>
          <w:u w:val="thick"/>
        </w:rPr>
        <w:t>符合专业条件的投标人或者对招标文件作实质响应的投标人不足三家的；</w:t>
      </w:r>
    </w:p>
    <w:p>
      <w:pPr>
        <w:pStyle w:val="ListParagraph"/>
        <w:numPr>
          <w:ilvl w:val="2"/>
          <w:numId w:val="50"/>
        </w:numPr>
        <w:tabs>
          <w:tab w:val="left" w:pos="1402"/>
        </w:tabs>
        <w:spacing w:before="0" w:after="0" w:line="360" w:lineRule="exact"/>
        <w:ind w:left="1401" w:right="0" w:hanging="688"/>
        <w:jc w:val="left"/>
        <w:rPr>
          <w:rFonts w:ascii="微软雅黑" w:eastAsia="微软雅黑"/>
          <w:b/>
          <w:sz w:val="21"/>
          <w:u w:val="thick"/>
        </w:rPr>
      </w:pPr>
      <w:r>
        <w:rPr>
          <w:rFonts w:ascii="微软雅黑" w:eastAsia="微软雅黑"/>
          <w:b/>
          <w:spacing w:val="-1"/>
          <w:sz w:val="21"/>
          <w:u w:val="thick"/>
        </w:rPr>
        <w:t>出现影响采购公正的违法、违规行为的；</w:t>
      </w:r>
    </w:p>
    <w:p>
      <w:pPr>
        <w:pStyle w:val="ListParagraph"/>
        <w:numPr>
          <w:ilvl w:val="2"/>
          <w:numId w:val="50"/>
        </w:numPr>
        <w:tabs>
          <w:tab w:val="left" w:pos="1402"/>
        </w:tabs>
        <w:spacing w:before="0" w:after="0" w:line="360" w:lineRule="exact"/>
        <w:ind w:left="1401" w:right="0" w:hanging="688"/>
        <w:jc w:val="left"/>
        <w:rPr>
          <w:rFonts w:ascii="微软雅黑" w:eastAsia="微软雅黑"/>
          <w:b/>
          <w:sz w:val="21"/>
          <w:u w:val="thick"/>
        </w:rPr>
      </w:pPr>
      <w:r>
        <w:rPr>
          <w:rFonts w:ascii="微软雅黑" w:eastAsia="微软雅黑"/>
          <w:b/>
          <w:spacing w:val="-1"/>
          <w:sz w:val="21"/>
          <w:u w:val="thick"/>
        </w:rPr>
        <w:t>投标人的报价均超过了采购预算，采购人不能支付的；</w:t>
      </w:r>
    </w:p>
    <w:p>
      <w:pPr>
        <w:pStyle w:val="ListParagraph"/>
        <w:numPr>
          <w:ilvl w:val="2"/>
          <w:numId w:val="50"/>
        </w:numPr>
        <w:tabs>
          <w:tab w:val="left" w:pos="1402"/>
        </w:tabs>
        <w:spacing w:before="0" w:after="0" w:line="374" w:lineRule="exact"/>
        <w:ind w:left="1401" w:right="0" w:hanging="688"/>
        <w:jc w:val="left"/>
        <w:rPr>
          <w:rFonts w:ascii="微软雅黑" w:eastAsia="微软雅黑"/>
          <w:b/>
          <w:sz w:val="21"/>
          <w:u w:val="thick"/>
        </w:rPr>
      </w:pPr>
      <w:r>
        <w:rPr>
          <w:rFonts w:ascii="微软雅黑" w:eastAsia="微软雅黑"/>
          <w:b/>
          <w:spacing w:val="-1"/>
          <w:sz w:val="21"/>
          <w:u w:val="thick"/>
        </w:rPr>
        <w:t>因重大变故，采购任务取消的；</w:t>
      </w:r>
    </w:p>
    <w:p>
      <w:pPr>
        <w:pStyle w:val="ListParagraph"/>
        <w:numPr>
          <w:ilvl w:val="0"/>
          <w:numId w:val="50"/>
        </w:numPr>
        <w:tabs>
          <w:tab w:val="left" w:pos="612"/>
        </w:tabs>
        <w:spacing w:before="5" w:after="0" w:line="240" w:lineRule="auto"/>
        <w:ind w:left="611" w:right="0" w:hanging="318"/>
        <w:jc w:val="left"/>
        <w:rPr>
          <w:rFonts w:ascii="微软雅黑" w:eastAsia="微软雅黑"/>
          <w:b/>
          <w:sz w:val="19"/>
        </w:rPr>
      </w:pPr>
      <w:r>
        <w:rPr>
          <w:rFonts w:ascii="微软雅黑" w:eastAsia="微软雅黑"/>
          <w:b/>
          <w:spacing w:val="-2"/>
          <w:sz w:val="21"/>
        </w:rPr>
        <w:t>投标文件的澄清</w:t>
      </w:r>
    </w:p>
    <w:p>
      <w:pPr>
        <w:pStyle w:val="ListParagraph"/>
        <w:numPr>
          <w:ilvl w:val="1"/>
          <w:numId w:val="50"/>
        </w:numPr>
        <w:tabs>
          <w:tab w:val="left" w:pos="1187"/>
        </w:tabs>
        <w:spacing w:before="80" w:after="0" w:line="357" w:lineRule="auto"/>
        <w:ind w:left="294" w:right="572" w:firstLine="420"/>
        <w:jc w:val="left"/>
        <w:rPr>
          <w:sz w:val="21"/>
        </w:rPr>
      </w:pPr>
      <w:r>
        <w:rPr>
          <w:spacing w:val="-2"/>
          <w:sz w:val="21"/>
        </w:rPr>
        <w:t>为了有助于对投标文件进行审查、评估和比较，评委有权向投标人质疑，请投标人澄清其投标内</w:t>
      </w:r>
      <w:r>
        <w:rPr>
          <w:spacing w:val="-2"/>
          <w:sz w:val="21"/>
        </w:rPr>
        <w:t>容。投标人代表有责任按照招标代理机构通知的时间、地点进行答疑和澄清。</w:t>
      </w:r>
    </w:p>
    <w:p>
      <w:pPr>
        <w:pStyle w:val="ListParagraph"/>
        <w:numPr>
          <w:ilvl w:val="1"/>
          <w:numId w:val="50"/>
        </w:numPr>
        <w:tabs>
          <w:tab w:val="left" w:pos="1187"/>
        </w:tabs>
        <w:spacing w:before="0" w:after="0" w:line="267" w:lineRule="exact"/>
        <w:ind w:left="1186" w:right="0" w:hanging="473"/>
        <w:jc w:val="left"/>
        <w:rPr>
          <w:sz w:val="21"/>
        </w:rPr>
      </w:pPr>
      <w:r>
        <w:rPr>
          <w:spacing w:val="-1"/>
          <w:sz w:val="21"/>
        </w:rPr>
        <w:t>重要澄清的答复应是书面的，但不得对投标内容进行实质性修改。</w:t>
      </w:r>
    </w:p>
    <w:p>
      <w:pPr>
        <w:pStyle w:val="ListParagraph"/>
        <w:numPr>
          <w:ilvl w:val="0"/>
          <w:numId w:val="50"/>
        </w:numPr>
        <w:tabs>
          <w:tab w:val="left" w:pos="612"/>
        </w:tabs>
        <w:spacing w:before="63" w:after="0" w:line="240" w:lineRule="auto"/>
        <w:ind w:left="611" w:right="0" w:hanging="318"/>
        <w:jc w:val="left"/>
        <w:rPr>
          <w:rFonts w:ascii="微软雅黑" w:eastAsia="微软雅黑"/>
          <w:b/>
          <w:sz w:val="19"/>
        </w:rPr>
      </w:pPr>
      <w:r>
        <w:rPr>
          <w:rFonts w:ascii="微软雅黑" w:eastAsia="微软雅黑"/>
          <w:b/>
          <w:spacing w:val="-2"/>
          <w:sz w:val="21"/>
        </w:rPr>
        <w:t>定标原则：</w:t>
      </w:r>
    </w:p>
    <w:p>
      <w:pPr>
        <w:pStyle w:val="ListParagraph"/>
        <w:numPr>
          <w:ilvl w:val="1"/>
          <w:numId w:val="50"/>
        </w:numPr>
        <w:tabs>
          <w:tab w:val="left" w:pos="1187"/>
        </w:tabs>
        <w:spacing w:before="81" w:after="0" w:line="357" w:lineRule="auto"/>
        <w:ind w:left="294" w:right="466" w:firstLine="420"/>
        <w:jc w:val="left"/>
        <w:rPr>
          <w:sz w:val="21"/>
        </w:rPr>
      </w:pPr>
      <w:r>
        <w:rPr>
          <w:spacing w:val="-6"/>
          <w:sz w:val="21"/>
        </w:rPr>
        <w:t>坚持公开、公平、公正,效益和维护公共利益原则,通过市场竞争，选择企业实力强，货物质量好、</w:t>
      </w:r>
      <w:r>
        <w:rPr>
          <w:spacing w:val="-2"/>
          <w:sz w:val="21"/>
        </w:rPr>
        <w:t>价格合理的投标人为中标供应商候选人。</w:t>
      </w:r>
    </w:p>
    <w:p>
      <w:pPr>
        <w:pStyle w:val="ListParagraph"/>
        <w:numPr>
          <w:ilvl w:val="0"/>
          <w:numId w:val="50"/>
        </w:numPr>
        <w:tabs>
          <w:tab w:val="left" w:pos="612"/>
        </w:tabs>
        <w:spacing w:before="0" w:after="0" w:line="318" w:lineRule="exact"/>
        <w:ind w:left="611" w:right="0" w:hanging="318"/>
        <w:jc w:val="left"/>
        <w:rPr>
          <w:rFonts w:ascii="微软雅黑" w:eastAsia="微软雅黑"/>
          <w:b/>
          <w:sz w:val="19"/>
        </w:rPr>
      </w:pPr>
      <w:r>
        <w:rPr>
          <w:rFonts w:ascii="微软雅黑" w:eastAsia="微软雅黑"/>
          <w:b/>
          <w:spacing w:val="-3"/>
          <w:sz w:val="21"/>
        </w:rPr>
        <w:t>定标方法</w:t>
      </w:r>
    </w:p>
    <w:p>
      <w:pPr>
        <w:pStyle w:val="ListParagraph"/>
        <w:numPr>
          <w:ilvl w:val="1"/>
          <w:numId w:val="50"/>
        </w:numPr>
        <w:tabs>
          <w:tab w:val="left" w:pos="1187"/>
        </w:tabs>
        <w:spacing w:before="80" w:after="0" w:line="357" w:lineRule="auto"/>
        <w:ind w:left="294" w:right="572" w:firstLine="420"/>
        <w:jc w:val="left"/>
        <w:rPr>
          <w:sz w:val="21"/>
        </w:rPr>
      </w:pPr>
      <w:r>
        <w:rPr>
          <w:spacing w:val="-2"/>
          <w:sz w:val="21"/>
        </w:rPr>
        <w:t>评标委员会由采购人代表和有关技术方面专家组成，成员人数应当为五人及以上单数。其中，技</w:t>
      </w:r>
      <w:r>
        <w:rPr>
          <w:spacing w:val="-2"/>
          <w:sz w:val="21"/>
        </w:rPr>
        <w:t>术方面的专家不得少于成员总数的三分之二。</w:t>
      </w:r>
    </w:p>
    <w:p>
      <w:pPr>
        <w:pStyle w:val="ListParagraph"/>
        <w:numPr>
          <w:ilvl w:val="1"/>
          <w:numId w:val="50"/>
        </w:numPr>
        <w:tabs>
          <w:tab w:val="left" w:pos="1187"/>
        </w:tabs>
        <w:spacing w:before="0" w:after="0" w:line="267" w:lineRule="exact"/>
        <w:ind w:left="1186" w:right="0" w:hanging="473"/>
        <w:jc w:val="left"/>
        <w:rPr>
          <w:sz w:val="21"/>
        </w:rPr>
      </w:pPr>
      <w:r>
        <w:rPr>
          <w:spacing w:val="-1"/>
          <w:sz w:val="21"/>
        </w:rPr>
        <w:t>投标文件初审。初审分为资格性检查和符合性检查。</w:t>
      </w:r>
    </w:p>
    <w:p>
      <w:pPr>
        <w:pStyle w:val="ListParagraph"/>
        <w:numPr>
          <w:ilvl w:val="2"/>
          <w:numId w:val="50"/>
        </w:numPr>
        <w:tabs>
          <w:tab w:val="left" w:pos="1397"/>
        </w:tabs>
        <w:spacing w:before="131" w:after="0" w:line="357" w:lineRule="auto"/>
        <w:ind w:left="294" w:right="572" w:firstLine="420"/>
        <w:jc w:val="left"/>
        <w:rPr>
          <w:sz w:val="21"/>
        </w:rPr>
      </w:pPr>
      <w:r>
        <w:rPr>
          <w:spacing w:val="-2"/>
          <w:sz w:val="21"/>
        </w:rPr>
        <w:t>资格性检查。依据法律法规和招标文件的规定，对投标文件中的资格证明、投标保证金等进行</w:t>
      </w:r>
      <w:r>
        <w:rPr>
          <w:spacing w:val="-2"/>
          <w:sz w:val="21"/>
        </w:rPr>
        <w:t>审查，以确定投标人是否具备投标资格。</w:t>
      </w:r>
    </w:p>
    <w:p>
      <w:pPr>
        <w:pStyle w:val="ListParagraph"/>
        <w:numPr>
          <w:ilvl w:val="2"/>
          <w:numId w:val="50"/>
        </w:numPr>
        <w:tabs>
          <w:tab w:val="left" w:pos="1397"/>
        </w:tabs>
        <w:spacing w:before="0" w:after="0" w:line="357" w:lineRule="auto"/>
        <w:ind w:left="294" w:right="572" w:firstLine="420"/>
        <w:jc w:val="left"/>
        <w:rPr>
          <w:sz w:val="21"/>
        </w:rPr>
      </w:pPr>
      <w:r>
        <w:rPr>
          <w:spacing w:val="-2"/>
          <w:sz w:val="21"/>
        </w:rPr>
        <w:t>符合性检查。依据招标文件的规定，从投标文件的有效性、完整性和对招标文件的响应程度进</w:t>
      </w:r>
      <w:r>
        <w:rPr>
          <w:spacing w:val="-2"/>
          <w:sz w:val="21"/>
        </w:rPr>
        <w:t>行审查，以确定是否对招标文件的实质性要求作出响应。</w:t>
      </w:r>
    </w:p>
    <w:p>
      <w:pPr>
        <w:pStyle w:val="ListParagraph"/>
        <w:numPr>
          <w:ilvl w:val="1"/>
          <w:numId w:val="50"/>
        </w:numPr>
        <w:tabs>
          <w:tab w:val="left" w:pos="1187"/>
        </w:tabs>
        <w:spacing w:before="0" w:after="0" w:line="357" w:lineRule="auto"/>
        <w:ind w:left="294" w:right="572" w:firstLine="420"/>
        <w:jc w:val="left"/>
        <w:rPr>
          <w:sz w:val="21"/>
        </w:rPr>
      </w:pPr>
      <w:r>
        <w:rPr>
          <w:spacing w:val="-2"/>
          <w:sz w:val="21"/>
        </w:rPr>
        <w:t>澄清有关问题。对投标文件中含义不明确、同类问题表述不一致或者有明显文字和计算错误的内</w:t>
      </w:r>
      <w:r>
        <w:rPr>
          <w:spacing w:val="-2"/>
          <w:sz w:val="21"/>
        </w:rPr>
        <w:t>容，评标委员会可以要求投标人作出必要的澄清、说明或者纠正。投标人的澄清、说明或者补正应当采用</w:t>
      </w:r>
    </w:p>
    <w:p>
      <w:pPr>
        <w:spacing w:after="0" w:line="357" w:lineRule="auto"/>
        <w:jc w:val="left"/>
        <w:rPr>
          <w:sz w:val="21"/>
        </w:rPr>
        <w:sectPr>
          <w:headerReference w:type="default" r:id="rId48"/>
          <w:footerReference w:type="default" r:id="rId49"/>
          <w:pgSz w:w="11910" w:h="16840"/>
          <w:pgMar w:top="1100" w:right="560" w:bottom="1160" w:left="840" w:header="879" w:footer="971"/>
          <w:pgNumType w:start="21"/>
          <w:cols w:space="708"/>
        </w:sectPr>
      </w:pPr>
    </w:p>
    <w:p>
      <w:pPr>
        <w:pStyle w:val="BodyText"/>
        <w:spacing w:before="110"/>
        <w:ind w:left="294"/>
      </w:pPr>
      <w:r>
        <w:pict>
          <v:shape id="_x0000_s1025" style="width:509.9pt;height:657pt;margin-top:96.22pt;margin-left:51.05pt;mso-position-horizontal-relative:page;mso-position-vertical-relative:page;position:absolute;z-index:-251658240" coordorigin="1021,1924" coordsize="10198,13140" path="m1026,1929l1026,15059m11214,1929l11214,15059m1021,1924l11219,1924m1021,15064l11219,15064e" filled="f" stroked="t" strokecolor="black" strokeweight="0.5pt">
            <v:stroke dashstyle="solid"/>
            <v:path arrowok="t"/>
          </v:shape>
        </w:pict>
      </w:r>
      <w:r>
        <w:rPr>
          <w:spacing w:val="-1"/>
        </w:rPr>
        <w:t>书面形式，由其授权的代表签字，并不得超出投标文件的范围或者改变投标文件的实质性内容。</w:t>
      </w:r>
    </w:p>
    <w:p>
      <w:pPr>
        <w:pStyle w:val="ListParagraph"/>
        <w:numPr>
          <w:ilvl w:val="1"/>
          <w:numId w:val="51"/>
        </w:numPr>
        <w:tabs>
          <w:tab w:val="left" w:pos="1187"/>
        </w:tabs>
        <w:spacing w:before="61" w:after="0" w:line="240" w:lineRule="auto"/>
        <w:ind w:left="1186" w:right="0" w:hanging="473"/>
        <w:jc w:val="left"/>
        <w:rPr>
          <w:sz w:val="21"/>
        </w:rPr>
      </w:pPr>
      <w:r>
        <w:rPr>
          <w:rFonts w:ascii="Microsoft JhengHei" w:eastAsia="Microsoft JhengHei"/>
          <w:b/>
          <w:sz w:val="21"/>
          <w:u w:val="thick"/>
        </w:rPr>
        <w:t>定标方法</w:t>
      </w:r>
      <w:r>
        <w:rPr>
          <w:spacing w:val="-10"/>
          <w:sz w:val="21"/>
        </w:rPr>
        <w:t>：</w:t>
      </w:r>
    </w:p>
    <w:p>
      <w:pPr>
        <w:spacing w:before="24"/>
        <w:ind w:left="294" w:right="0" w:firstLine="0"/>
        <w:jc w:val="left"/>
        <w:rPr>
          <w:rFonts w:ascii="Microsoft JhengHei" w:eastAsia="Microsoft JhengHei"/>
          <w:b/>
          <w:sz w:val="21"/>
        </w:rPr>
      </w:pPr>
      <w:r>
        <w:rPr>
          <w:rFonts w:ascii="Microsoft JhengHei" w:eastAsia="Microsoft JhengHei"/>
          <w:b/>
          <w:spacing w:val="-1"/>
          <w:sz w:val="21"/>
        </w:rPr>
        <w:t>评标标准和方法：综合评分法</w:t>
      </w:r>
    </w:p>
    <w:p>
      <w:pPr>
        <w:spacing w:before="14"/>
        <w:ind w:left="714" w:right="0" w:firstLine="0"/>
        <w:jc w:val="left"/>
        <w:rPr>
          <w:rFonts w:ascii="Microsoft JhengHei" w:eastAsia="Microsoft JhengHei" w:hAnsi="Microsoft JhengHei"/>
          <w:b/>
          <w:sz w:val="21"/>
        </w:rPr>
      </w:pPr>
      <w:r>
        <w:rPr>
          <w:rFonts w:ascii="Microsoft JhengHei" w:eastAsia="Microsoft JhengHei" w:hAnsi="Microsoft JhengHei"/>
          <w:b/>
          <w:spacing w:val="-1"/>
          <w:sz w:val="21"/>
        </w:rPr>
        <w:t>⑴评标采用综合评标法，并实行两阶段评标。</w:t>
      </w:r>
    </w:p>
    <w:p>
      <w:pPr>
        <w:pStyle w:val="BodyText"/>
        <w:spacing w:before="83" w:line="357" w:lineRule="auto"/>
        <w:ind w:left="294" w:right="238" w:firstLine="420"/>
        <w:jc w:val="both"/>
      </w:pPr>
      <w:r>
        <w:rPr>
          <w:spacing w:val="-2"/>
        </w:rPr>
        <w:t>①第一阶段进行技术、商务部分的评标。评标委员会按照政府采购法律法规及相关规定、招标文件规定</w:t>
      </w:r>
      <w:r>
        <w:rPr>
          <w:spacing w:val="-2"/>
        </w:rPr>
        <w:t>的评标方法和标准，对通过资格及符合性审查的技术、商务标进行评审，评出实质性响应招标文件技术、商</w:t>
      </w:r>
      <w:r>
        <w:rPr>
          <w:spacing w:val="-2"/>
        </w:rPr>
        <w:t>务要求的投标人，并计算出各投标人技术、商务部分的得分。</w:t>
      </w:r>
    </w:p>
    <w:p>
      <w:pPr>
        <w:pStyle w:val="BodyText"/>
        <w:spacing w:line="357" w:lineRule="auto"/>
        <w:ind w:left="294" w:right="132" w:firstLine="420"/>
      </w:pPr>
      <w:r>
        <w:rPr>
          <w:spacing w:val="1"/>
        </w:rPr>
        <w:t>②第二阶段进行价格部分评标。经第一阶段评选出的实质性响应招标文件技术、商务要求的投标人进入</w:t>
      </w:r>
      <w:r>
        <w:rPr>
          <w:spacing w:val="-2"/>
        </w:rPr>
        <w:t>第二阶段评标。评标委员会按招标文件规定的评标方法和标准，对通过报价标符合性审查的报价标进行评标，</w:t>
      </w:r>
      <w:r>
        <w:t>评出实质性响应招标文件报价要求的投标人，并计算出各投标人价格部分的得分和额外加分（如有</w:t>
      </w:r>
      <w:r>
        <w:rPr>
          <w:spacing w:val="-105"/>
        </w:rPr>
        <w:t>）</w:t>
      </w:r>
      <w:r>
        <w:t>。</w:t>
      </w:r>
    </w:p>
    <w:p>
      <w:pPr>
        <w:pStyle w:val="BodyText"/>
        <w:spacing w:line="357" w:lineRule="auto"/>
        <w:ind w:left="294" w:right="237" w:firstLine="420"/>
        <w:jc w:val="both"/>
      </w:pPr>
      <w:r>
        <w:rPr>
          <w:spacing w:val="-2"/>
        </w:rPr>
        <w:t>③汇总各合格投标人的综合得分，评标委员会推荐评标总得分最高的投标方作为中标候选人。当评标得</w:t>
      </w:r>
      <w:r>
        <w:rPr>
          <w:spacing w:val="-5"/>
        </w:rPr>
        <w:t>分相同时，投标报价低的为中标候选人；当评标得分和报价均相同时，技术评标得分高的为中标候选人。</w:t>
      </w:r>
      <w:r>
        <w:rPr>
          <w:spacing w:val="-2"/>
        </w:rPr>
        <w:t>（</w:t>
      </w:r>
      <w:r>
        <w:rPr>
          <w:spacing w:val="-2"/>
        </w:rPr>
        <w:t>若</w:t>
      </w:r>
      <w:r>
        <w:rPr>
          <w:spacing w:val="-2"/>
        </w:rPr>
        <w:t>同一合同包中同时获得节能、减排、环境标志认证的，在总分值或价格相同的情况下拥有认证数量最多的产</w:t>
      </w:r>
      <w:r>
        <w:rPr>
          <w:spacing w:val="-15"/>
        </w:rPr>
        <w:t>品将被排序在前。</w:t>
      </w:r>
      <w:r>
        <w:rPr>
          <w:spacing w:val="-2"/>
        </w:rPr>
        <w:t>）</w:t>
      </w:r>
    </w:p>
    <w:p>
      <w:pPr>
        <w:spacing w:before="0" w:line="313" w:lineRule="exact"/>
        <w:ind w:left="714" w:right="0" w:firstLine="0"/>
        <w:jc w:val="both"/>
        <w:rPr>
          <w:sz w:val="21"/>
        </w:rPr>
      </w:pPr>
      <w:r>
        <w:rPr>
          <w:rFonts w:ascii="Microsoft JhengHei" w:eastAsia="Microsoft JhengHei" w:hAnsi="Microsoft JhengHei"/>
          <w:b/>
          <w:sz w:val="21"/>
        </w:rPr>
        <w:t>⑵各部分评分分值分布及评分标准如下</w:t>
      </w:r>
      <w:r>
        <w:rPr>
          <w:rFonts w:ascii="Microsoft JhengHei" w:eastAsia="Microsoft JhengHei" w:hAnsi="Microsoft JhengHei"/>
          <w:b/>
          <w:spacing w:val="8"/>
          <w:w w:val="175"/>
          <w:sz w:val="21"/>
        </w:rPr>
        <w:t xml:space="preserve">: </w:t>
      </w:r>
      <w:r>
        <w:rPr>
          <w:spacing w:val="-4"/>
          <w:sz w:val="21"/>
        </w:rPr>
        <w:t xml:space="preserve">以下各项分数均保留至小数点后 </w:t>
      </w:r>
      <w:r>
        <w:rPr>
          <w:sz w:val="21"/>
        </w:rPr>
        <w:t>2</w:t>
      </w:r>
      <w:r>
        <w:rPr>
          <w:spacing w:val="-18"/>
          <w:sz w:val="21"/>
        </w:rPr>
        <w:t xml:space="preserve"> 位数</w:t>
      </w:r>
      <w:r>
        <w:rPr>
          <w:sz w:val="21"/>
        </w:rPr>
        <w:t>（</w:t>
      </w:r>
      <w:r>
        <w:rPr>
          <w:spacing w:val="-26"/>
          <w:sz w:val="21"/>
        </w:rPr>
        <w:t xml:space="preserve">第 </w:t>
      </w:r>
      <w:r>
        <w:rPr>
          <w:sz w:val="21"/>
        </w:rPr>
        <w:t>3</w:t>
      </w:r>
      <w:r>
        <w:rPr>
          <w:spacing w:val="-10"/>
          <w:sz w:val="21"/>
        </w:rPr>
        <w:t xml:space="preserve"> 位四舍五入</w:t>
      </w:r>
      <w:r>
        <w:rPr>
          <w:spacing w:val="-105"/>
          <w:sz w:val="21"/>
        </w:rPr>
        <w:t>）</w:t>
      </w:r>
      <w:r>
        <w:rPr>
          <w:spacing w:val="-10"/>
          <w:sz w:val="21"/>
        </w:rPr>
        <w:t>。</w:t>
      </w:r>
    </w:p>
    <w:p>
      <w:pPr>
        <w:tabs>
          <w:tab w:val="left" w:pos="3450"/>
        </w:tabs>
        <w:spacing w:before="9"/>
        <w:ind w:left="714" w:right="0" w:firstLine="0"/>
        <w:jc w:val="left"/>
        <w:rPr>
          <w:rFonts w:ascii="Microsoft JhengHei" w:eastAsia="Microsoft JhengHei"/>
          <w:b/>
          <w:sz w:val="21"/>
        </w:rPr>
      </w:pPr>
      <w:r>
        <w:rPr>
          <w:rFonts w:ascii="Microsoft JhengHei" w:eastAsia="Microsoft JhengHei"/>
          <w:b/>
          <w:spacing w:val="-8"/>
          <w:sz w:val="21"/>
        </w:rPr>
        <w:t>A：</w:t>
      </w:r>
      <w:r>
        <w:rPr>
          <w:rFonts w:ascii="Microsoft JhengHei" w:eastAsia="Microsoft JhengHei"/>
          <w:b/>
          <w:spacing w:val="-8"/>
          <w:sz w:val="21"/>
        </w:rPr>
        <w:t>报</w:t>
      </w:r>
      <w:r>
        <w:rPr>
          <w:rFonts w:ascii="Microsoft JhengHei" w:eastAsia="Microsoft JhengHei"/>
          <w:b/>
          <w:spacing w:val="-8"/>
          <w:sz w:val="21"/>
        </w:rPr>
        <w:t>价</w:t>
      </w:r>
      <w:r>
        <w:rPr>
          <w:rFonts w:ascii="Microsoft JhengHei" w:eastAsia="Microsoft JhengHei"/>
          <w:b/>
          <w:spacing w:val="-8"/>
          <w:sz w:val="21"/>
        </w:rPr>
        <w:t>部</w:t>
      </w:r>
      <w:r>
        <w:rPr>
          <w:rFonts w:ascii="Microsoft JhengHei" w:eastAsia="Microsoft JhengHei"/>
          <w:b/>
          <w:spacing w:val="-8"/>
          <w:sz w:val="21"/>
        </w:rPr>
        <w:t>分</w:t>
      </w:r>
      <w:r>
        <w:rPr>
          <w:rFonts w:ascii="Microsoft JhengHei" w:eastAsia="Microsoft JhengHei"/>
          <w:b/>
          <w:spacing w:val="-8"/>
          <w:sz w:val="21"/>
        </w:rPr>
        <w:t>评</w:t>
      </w:r>
      <w:r>
        <w:rPr>
          <w:rFonts w:ascii="Microsoft JhengHei" w:eastAsia="Microsoft JhengHei"/>
          <w:b/>
          <w:spacing w:val="-10"/>
          <w:sz w:val="21"/>
        </w:rPr>
        <w:t>分</w:t>
      </w:r>
      <w:r>
        <w:rPr>
          <w:rFonts w:ascii="Microsoft JhengHei" w:eastAsia="Microsoft JhengHei"/>
          <w:b/>
          <w:sz w:val="21"/>
        </w:rPr>
        <w:tab/>
      </w:r>
      <w:r>
        <w:rPr>
          <w:rFonts w:ascii="Microsoft JhengHei" w:eastAsia="Microsoft JhengHei"/>
          <w:b/>
          <w:spacing w:val="-10"/>
          <w:sz w:val="21"/>
        </w:rPr>
        <w:t>满</w:t>
      </w:r>
      <w:r>
        <w:rPr>
          <w:rFonts w:ascii="Microsoft JhengHei" w:eastAsia="Microsoft JhengHei"/>
          <w:b/>
          <w:spacing w:val="-10"/>
          <w:sz w:val="21"/>
        </w:rPr>
        <w:t>分</w:t>
      </w:r>
      <w:r>
        <w:rPr>
          <w:rFonts w:ascii="Microsoft JhengHei" w:eastAsia="Microsoft JhengHei"/>
          <w:b/>
          <w:spacing w:val="-2"/>
          <w:sz w:val="21"/>
        </w:rPr>
        <w:t xml:space="preserve"> </w:t>
      </w:r>
      <w:r>
        <w:rPr>
          <w:rFonts w:ascii="Microsoft JhengHei" w:eastAsia="Microsoft JhengHei"/>
          <w:b/>
          <w:spacing w:val="-10"/>
          <w:sz w:val="21"/>
        </w:rPr>
        <w:t>40</w:t>
      </w:r>
      <w:r>
        <w:rPr>
          <w:rFonts w:ascii="Microsoft JhengHei" w:eastAsia="Microsoft JhengHei"/>
          <w:b/>
          <w:spacing w:val="-1"/>
          <w:sz w:val="21"/>
        </w:rPr>
        <w:t xml:space="preserve"> </w:t>
      </w:r>
      <w:r>
        <w:rPr>
          <w:rFonts w:ascii="Microsoft JhengHei" w:eastAsia="Microsoft JhengHei"/>
          <w:b/>
          <w:spacing w:val="-10"/>
          <w:sz w:val="21"/>
        </w:rPr>
        <w:t>分</w:t>
      </w:r>
    </w:p>
    <w:p>
      <w:pPr>
        <w:tabs>
          <w:tab w:val="left" w:pos="3450"/>
        </w:tabs>
        <w:spacing w:before="13"/>
        <w:ind w:left="714" w:right="0" w:firstLine="0"/>
        <w:jc w:val="left"/>
        <w:rPr>
          <w:rFonts w:ascii="Microsoft JhengHei" w:eastAsia="Microsoft JhengHei"/>
          <w:b/>
          <w:sz w:val="21"/>
        </w:rPr>
      </w:pPr>
      <w:r>
        <w:rPr>
          <w:rFonts w:ascii="Microsoft JhengHei" w:eastAsia="Microsoft JhengHei"/>
          <w:b/>
          <w:spacing w:val="-6"/>
          <w:sz w:val="21"/>
        </w:rPr>
        <w:t>B：</w:t>
      </w:r>
      <w:r>
        <w:rPr>
          <w:rFonts w:ascii="Microsoft JhengHei" w:eastAsia="Microsoft JhengHei"/>
          <w:b/>
          <w:spacing w:val="-6"/>
          <w:sz w:val="21"/>
        </w:rPr>
        <w:t>商</w:t>
      </w:r>
      <w:r>
        <w:rPr>
          <w:rFonts w:ascii="Microsoft JhengHei" w:eastAsia="Microsoft JhengHei"/>
          <w:b/>
          <w:spacing w:val="-6"/>
          <w:sz w:val="21"/>
        </w:rPr>
        <w:t>务</w:t>
      </w:r>
      <w:r>
        <w:rPr>
          <w:rFonts w:ascii="Microsoft JhengHei" w:eastAsia="Microsoft JhengHei"/>
          <w:b/>
          <w:spacing w:val="-6"/>
          <w:sz w:val="21"/>
        </w:rPr>
        <w:t>部</w:t>
      </w:r>
      <w:r>
        <w:rPr>
          <w:rFonts w:ascii="Microsoft JhengHei" w:eastAsia="Microsoft JhengHei"/>
          <w:b/>
          <w:spacing w:val="-6"/>
          <w:sz w:val="21"/>
        </w:rPr>
        <w:t>分</w:t>
      </w:r>
      <w:r>
        <w:rPr>
          <w:rFonts w:ascii="Microsoft JhengHei" w:eastAsia="Microsoft JhengHei"/>
          <w:b/>
          <w:spacing w:val="-6"/>
          <w:sz w:val="21"/>
        </w:rPr>
        <w:t>评</w:t>
      </w:r>
      <w:r>
        <w:rPr>
          <w:rFonts w:ascii="Microsoft JhengHei" w:eastAsia="Microsoft JhengHei"/>
          <w:b/>
          <w:spacing w:val="-10"/>
          <w:sz w:val="21"/>
        </w:rPr>
        <w:t>分</w:t>
      </w:r>
      <w:r>
        <w:rPr>
          <w:rFonts w:ascii="Microsoft JhengHei" w:eastAsia="Microsoft JhengHei"/>
          <w:b/>
          <w:sz w:val="21"/>
        </w:rPr>
        <w:tab/>
      </w:r>
      <w:r>
        <w:rPr>
          <w:rFonts w:ascii="Microsoft JhengHei" w:eastAsia="Microsoft JhengHei"/>
          <w:b/>
          <w:spacing w:val="-10"/>
          <w:sz w:val="21"/>
        </w:rPr>
        <w:t>满</w:t>
      </w:r>
      <w:r>
        <w:rPr>
          <w:rFonts w:ascii="Microsoft JhengHei" w:eastAsia="Microsoft JhengHei"/>
          <w:b/>
          <w:spacing w:val="-10"/>
          <w:sz w:val="21"/>
        </w:rPr>
        <w:t>分</w:t>
      </w:r>
      <w:r>
        <w:rPr>
          <w:rFonts w:ascii="Microsoft JhengHei" w:eastAsia="Microsoft JhengHei"/>
          <w:b/>
          <w:spacing w:val="-2"/>
          <w:sz w:val="21"/>
        </w:rPr>
        <w:t xml:space="preserve"> </w:t>
      </w:r>
      <w:r>
        <w:rPr>
          <w:rFonts w:ascii="Microsoft JhengHei" w:eastAsia="Microsoft JhengHei"/>
          <w:b/>
          <w:spacing w:val="-10"/>
          <w:sz w:val="21"/>
        </w:rPr>
        <w:t>12</w:t>
      </w:r>
      <w:r>
        <w:rPr>
          <w:rFonts w:ascii="Microsoft JhengHei" w:eastAsia="Microsoft JhengHei"/>
          <w:b/>
          <w:spacing w:val="-1"/>
          <w:sz w:val="21"/>
        </w:rPr>
        <w:t xml:space="preserve"> </w:t>
      </w:r>
      <w:r>
        <w:rPr>
          <w:rFonts w:ascii="Microsoft JhengHei" w:eastAsia="Microsoft JhengHei"/>
          <w:b/>
          <w:spacing w:val="-10"/>
          <w:sz w:val="21"/>
        </w:rPr>
        <w:t>分</w:t>
      </w:r>
    </w:p>
    <w:p>
      <w:pPr>
        <w:tabs>
          <w:tab w:val="left" w:pos="3450"/>
        </w:tabs>
        <w:spacing w:before="14"/>
        <w:ind w:left="714" w:right="0" w:firstLine="0"/>
        <w:jc w:val="left"/>
        <w:rPr>
          <w:rFonts w:ascii="Microsoft JhengHei" w:eastAsia="Microsoft JhengHei"/>
          <w:b/>
          <w:sz w:val="21"/>
        </w:rPr>
      </w:pPr>
      <w:r>
        <w:rPr>
          <w:rFonts w:ascii="Microsoft JhengHei" w:eastAsia="Microsoft JhengHei"/>
          <w:b/>
          <w:spacing w:val="-6"/>
          <w:sz w:val="21"/>
        </w:rPr>
        <w:t>C：</w:t>
      </w:r>
      <w:r>
        <w:rPr>
          <w:rFonts w:ascii="Microsoft JhengHei" w:eastAsia="Microsoft JhengHei"/>
          <w:b/>
          <w:spacing w:val="-6"/>
          <w:sz w:val="21"/>
        </w:rPr>
        <w:t>技</w:t>
      </w:r>
      <w:r>
        <w:rPr>
          <w:rFonts w:ascii="Microsoft JhengHei" w:eastAsia="Microsoft JhengHei"/>
          <w:b/>
          <w:spacing w:val="-6"/>
          <w:sz w:val="21"/>
        </w:rPr>
        <w:t>术</w:t>
      </w:r>
      <w:r>
        <w:rPr>
          <w:rFonts w:ascii="Microsoft JhengHei" w:eastAsia="Microsoft JhengHei"/>
          <w:b/>
          <w:spacing w:val="-6"/>
          <w:sz w:val="21"/>
        </w:rPr>
        <w:t>部</w:t>
      </w:r>
      <w:r>
        <w:rPr>
          <w:rFonts w:ascii="Microsoft JhengHei" w:eastAsia="Microsoft JhengHei"/>
          <w:b/>
          <w:spacing w:val="-6"/>
          <w:sz w:val="21"/>
        </w:rPr>
        <w:t>分</w:t>
      </w:r>
      <w:r>
        <w:rPr>
          <w:rFonts w:ascii="Microsoft JhengHei" w:eastAsia="Microsoft JhengHei"/>
          <w:b/>
          <w:spacing w:val="-6"/>
          <w:sz w:val="21"/>
        </w:rPr>
        <w:t>评</w:t>
      </w:r>
      <w:r>
        <w:rPr>
          <w:rFonts w:ascii="Microsoft JhengHei" w:eastAsia="Microsoft JhengHei"/>
          <w:b/>
          <w:spacing w:val="-10"/>
          <w:sz w:val="21"/>
        </w:rPr>
        <w:t>分</w:t>
      </w:r>
      <w:r>
        <w:rPr>
          <w:rFonts w:ascii="Microsoft JhengHei" w:eastAsia="Microsoft JhengHei"/>
          <w:b/>
          <w:sz w:val="21"/>
        </w:rPr>
        <w:tab/>
      </w:r>
      <w:r>
        <w:rPr>
          <w:rFonts w:ascii="Microsoft JhengHei" w:eastAsia="Microsoft JhengHei"/>
          <w:b/>
          <w:spacing w:val="-10"/>
          <w:sz w:val="21"/>
        </w:rPr>
        <w:t>满</w:t>
      </w:r>
      <w:r>
        <w:rPr>
          <w:rFonts w:ascii="Microsoft JhengHei" w:eastAsia="Microsoft JhengHei"/>
          <w:b/>
          <w:spacing w:val="-10"/>
          <w:sz w:val="21"/>
        </w:rPr>
        <w:t>分</w:t>
      </w:r>
      <w:r>
        <w:rPr>
          <w:rFonts w:ascii="Microsoft JhengHei" w:eastAsia="Microsoft JhengHei"/>
          <w:b/>
          <w:spacing w:val="-2"/>
          <w:sz w:val="21"/>
        </w:rPr>
        <w:t xml:space="preserve"> </w:t>
      </w:r>
      <w:r>
        <w:rPr>
          <w:rFonts w:ascii="Microsoft JhengHei" w:eastAsia="Microsoft JhengHei"/>
          <w:b/>
          <w:spacing w:val="-10"/>
          <w:sz w:val="21"/>
        </w:rPr>
        <w:t>48</w:t>
      </w:r>
      <w:r>
        <w:rPr>
          <w:rFonts w:ascii="Microsoft JhengHei" w:eastAsia="Microsoft JhengHei"/>
          <w:b/>
          <w:spacing w:val="-1"/>
          <w:sz w:val="21"/>
        </w:rPr>
        <w:t xml:space="preserve"> </w:t>
      </w:r>
      <w:r>
        <w:rPr>
          <w:rFonts w:ascii="Microsoft JhengHei" w:eastAsia="Microsoft JhengHei"/>
          <w:b/>
          <w:spacing w:val="-10"/>
          <w:sz w:val="21"/>
        </w:rPr>
        <w:t>分</w:t>
      </w:r>
    </w:p>
    <w:p>
      <w:pPr>
        <w:spacing w:before="14"/>
        <w:ind w:left="714" w:right="0" w:firstLine="0"/>
        <w:jc w:val="left"/>
        <w:rPr>
          <w:rFonts w:ascii="Microsoft JhengHei" w:eastAsia="Microsoft JhengHei"/>
          <w:b/>
          <w:sz w:val="21"/>
        </w:rPr>
      </w:pPr>
      <w:r>
        <w:rPr>
          <w:rFonts w:ascii="Microsoft JhengHei" w:eastAsia="Microsoft JhengHei"/>
          <w:b/>
          <w:w w:val="90"/>
          <w:sz w:val="21"/>
        </w:rPr>
        <w:t>D：</w:t>
      </w:r>
      <w:r>
        <w:rPr>
          <w:rFonts w:ascii="Microsoft JhengHei" w:eastAsia="Microsoft JhengHei"/>
          <w:b/>
          <w:w w:val="90"/>
          <w:sz w:val="21"/>
        </w:rPr>
        <w:t>附</w:t>
      </w:r>
      <w:r>
        <w:rPr>
          <w:rFonts w:ascii="Microsoft JhengHei" w:eastAsia="Microsoft JhengHei"/>
          <w:b/>
          <w:w w:val="90"/>
          <w:sz w:val="21"/>
        </w:rPr>
        <w:t>加</w:t>
      </w:r>
      <w:r>
        <w:rPr>
          <w:rFonts w:ascii="Microsoft JhengHei" w:eastAsia="Microsoft JhengHei"/>
          <w:b/>
          <w:spacing w:val="-10"/>
          <w:w w:val="90"/>
          <w:sz w:val="21"/>
        </w:rPr>
        <w:t>分</w:t>
      </w:r>
    </w:p>
    <w:p>
      <w:pPr>
        <w:spacing w:before="14"/>
        <w:ind w:left="714" w:right="0" w:firstLine="0"/>
        <w:jc w:val="left"/>
        <w:rPr>
          <w:rFonts w:ascii="Microsoft JhengHei" w:eastAsia="Microsoft JhengHei"/>
          <w:b/>
          <w:sz w:val="21"/>
        </w:rPr>
      </w:pPr>
      <w:r>
        <w:rPr>
          <w:rFonts w:ascii="Microsoft JhengHei" w:eastAsia="Microsoft JhengHei"/>
          <w:b/>
          <w:sz w:val="21"/>
        </w:rPr>
        <w:t>综合得分</w:t>
      </w:r>
      <w:r>
        <w:rPr>
          <w:rFonts w:ascii="Microsoft JhengHei" w:eastAsia="Microsoft JhengHei"/>
          <w:b/>
          <w:spacing w:val="-2"/>
          <w:w w:val="90"/>
          <w:sz w:val="21"/>
        </w:rPr>
        <w:t>＝A+B+C+D</w:t>
      </w:r>
    </w:p>
    <w:p>
      <w:pPr>
        <w:spacing w:before="14"/>
        <w:ind w:left="714" w:right="0" w:firstLine="0"/>
        <w:jc w:val="left"/>
        <w:rPr>
          <w:rFonts w:ascii="Microsoft JhengHei" w:eastAsia="Microsoft JhengHei"/>
          <w:b/>
          <w:sz w:val="21"/>
        </w:rPr>
      </w:pPr>
      <w:r>
        <w:rPr>
          <w:rFonts w:ascii="Microsoft JhengHei" w:eastAsia="Microsoft JhengHei"/>
          <w:b/>
          <w:spacing w:val="-8"/>
          <w:sz w:val="21"/>
        </w:rPr>
        <w:t>A</w:t>
      </w:r>
      <w:r>
        <w:rPr>
          <w:rFonts w:ascii="Microsoft JhengHei" w:eastAsia="Microsoft JhengHei"/>
          <w:b/>
          <w:spacing w:val="-8"/>
          <w:sz w:val="21"/>
        </w:rPr>
        <w:t>、价格部分（</w:t>
      </w:r>
      <w:r>
        <w:rPr>
          <w:rFonts w:ascii="Microsoft JhengHei" w:eastAsia="Microsoft JhengHei"/>
          <w:b/>
          <w:spacing w:val="-5"/>
          <w:sz w:val="21"/>
        </w:rPr>
        <w:t xml:space="preserve">满分 </w:t>
      </w:r>
      <w:r>
        <w:rPr>
          <w:rFonts w:ascii="Microsoft JhengHei" w:eastAsia="Microsoft JhengHei"/>
          <w:b/>
          <w:spacing w:val="-8"/>
          <w:sz w:val="21"/>
        </w:rPr>
        <w:t>40</w:t>
      </w:r>
      <w:r>
        <w:rPr>
          <w:rFonts w:ascii="Microsoft JhengHei" w:eastAsia="Microsoft JhengHei"/>
          <w:b/>
          <w:spacing w:val="-3"/>
          <w:sz w:val="21"/>
        </w:rPr>
        <w:t xml:space="preserve"> 分</w:t>
      </w:r>
      <w:r>
        <w:rPr>
          <w:rFonts w:ascii="Microsoft JhengHei" w:eastAsia="Microsoft JhengHei"/>
          <w:b/>
          <w:spacing w:val="-10"/>
          <w:sz w:val="21"/>
        </w:rPr>
        <w:t>）</w:t>
      </w:r>
    </w:p>
    <w:p>
      <w:pPr>
        <w:pStyle w:val="BodyText"/>
        <w:spacing w:before="83" w:line="357" w:lineRule="auto"/>
        <w:ind w:left="714" w:right="4961"/>
      </w:pPr>
      <w:r>
        <w:rPr>
          <w:spacing w:val="-2"/>
        </w:rPr>
        <w:t>首先分别对各投标方的报价进行校调，确认评标价。</w:t>
      </w:r>
      <w:r>
        <w:rPr>
          <w:spacing w:val="-2"/>
        </w:rPr>
        <w:t>各投标方的价格得分按以下方式得出： A＝（Bn/B0）×0.40×100</w:t>
      </w:r>
    </w:p>
    <w:p>
      <w:pPr>
        <w:pStyle w:val="BodyText"/>
        <w:spacing w:line="266" w:lineRule="exact"/>
        <w:ind w:left="714"/>
      </w:pPr>
      <w:r>
        <w:t>式中：A</w:t>
      </w:r>
      <w:r>
        <w:rPr>
          <w:spacing w:val="-9"/>
        </w:rPr>
        <w:t xml:space="preserve"> 为投标报价得分；</w:t>
      </w:r>
    </w:p>
    <w:p>
      <w:pPr>
        <w:pStyle w:val="BodyText"/>
        <w:spacing w:before="131"/>
        <w:ind w:left="714"/>
      </w:pPr>
      <w:r>
        <w:rPr>
          <w:spacing w:val="-4"/>
        </w:rPr>
        <w:t>Bn</w:t>
      </w:r>
      <w:r>
        <w:rPr>
          <w:spacing w:val="-13"/>
        </w:rPr>
        <w:t xml:space="preserve"> 为评标基准价</w:t>
      </w:r>
      <w:r>
        <w:rPr>
          <w:spacing w:val="-4"/>
        </w:rPr>
        <w:t>（有效投标方最低报价</w:t>
      </w:r>
      <w:r>
        <w:rPr>
          <w:spacing w:val="-83"/>
        </w:rPr>
        <w:t>）</w:t>
      </w:r>
      <w:r>
        <w:rPr>
          <w:spacing w:val="22"/>
        </w:rPr>
        <w:t>；B0</w:t>
      </w:r>
      <w:r>
        <w:rPr>
          <w:spacing w:val="-13"/>
        </w:rPr>
        <w:t xml:space="preserve"> 为投标报价；</w:t>
      </w:r>
    </w:p>
    <w:p>
      <w:pPr>
        <w:pStyle w:val="BodyText"/>
        <w:spacing w:before="131"/>
        <w:ind w:left="714"/>
      </w:pPr>
      <w:r>
        <w:t>0.40</w:t>
      </w:r>
      <w:r>
        <w:rPr>
          <w:spacing w:val="-10"/>
        </w:rPr>
        <w:t xml:space="preserve"> 为价格权值</w:t>
      </w:r>
      <w:r>
        <w:rPr>
          <w:spacing w:val="15"/>
        </w:rPr>
        <w:t>（40%</w:t>
      </w:r>
      <w:r>
        <w:rPr>
          <w:spacing w:val="-90"/>
        </w:rPr>
        <w:t>）</w:t>
      </w:r>
      <w:r>
        <w:rPr>
          <w:spacing w:val="15"/>
        </w:rPr>
        <w:t>；</w:t>
      </w:r>
    </w:p>
    <w:p>
      <w:pPr>
        <w:spacing w:before="61"/>
        <w:ind w:left="294" w:right="0" w:firstLine="0"/>
        <w:jc w:val="left"/>
        <w:rPr>
          <w:rFonts w:ascii="Microsoft JhengHei" w:eastAsia="Microsoft JhengHei"/>
          <w:b/>
          <w:sz w:val="21"/>
        </w:rPr>
      </w:pPr>
      <w:r>
        <w:rPr>
          <w:rFonts w:ascii="Microsoft JhengHei" w:eastAsia="Microsoft JhengHei"/>
          <w:b/>
          <w:spacing w:val="-2"/>
          <w:sz w:val="21"/>
        </w:rPr>
        <w:t>价格扣除计算方法：</w:t>
      </w:r>
    </w:p>
    <w:p>
      <w:pPr>
        <w:spacing w:before="6"/>
        <w:ind w:left="294" w:right="0" w:firstLine="0"/>
        <w:jc w:val="left"/>
        <w:rPr>
          <w:rFonts w:ascii="Microsoft JhengHei" w:eastAsia="Microsoft JhengHei"/>
          <w:b/>
          <w:sz w:val="21"/>
        </w:rPr>
      </w:pPr>
      <w:r>
        <w:rPr>
          <w:rFonts w:ascii="Microsoft JhengHei" w:eastAsia="Microsoft JhengHei"/>
          <w:b/>
          <w:spacing w:val="-2"/>
          <w:sz w:val="21"/>
        </w:rPr>
        <w:t>1</w:t>
      </w:r>
      <w:r>
        <w:rPr>
          <w:rFonts w:ascii="Microsoft JhengHei" w:eastAsia="Microsoft JhengHei"/>
          <w:b/>
          <w:spacing w:val="-3"/>
          <w:sz w:val="21"/>
        </w:rPr>
        <w:t>、节能、减排、环境标志部分价格扣除标准：</w:t>
      </w:r>
    </w:p>
    <w:p>
      <w:pPr>
        <w:pStyle w:val="BodyText"/>
        <w:spacing w:before="73" w:line="348" w:lineRule="auto"/>
        <w:ind w:left="294" w:right="237" w:firstLine="420"/>
        <w:jc w:val="right"/>
      </w:pPr>
      <w:r>
        <w:rPr>
          <w:spacing w:val="-2"/>
        </w:rPr>
        <w:t>投标人在投标文件中对所选用的产品为节能、减排、环境标志清单中的产品（注：若节能、减排、环境</w:t>
      </w:r>
      <w:r>
        <w:rPr>
          <w:spacing w:val="-2"/>
        </w:rPr>
        <w:t>标志清单内的产品仅是构成选用产品的部件、组件或零件的，则该产品不享受鼓励优惠政策</w:t>
      </w:r>
      <w:r>
        <w:rPr>
          <w:spacing w:val="-105"/>
        </w:rPr>
        <w:t>）</w:t>
      </w:r>
      <w:r>
        <w:rPr>
          <w:spacing w:val="-4"/>
        </w:rPr>
        <w:t>，在报价时必须</w:t>
      </w:r>
    </w:p>
    <w:p>
      <w:pPr>
        <w:spacing w:before="0" w:line="317" w:lineRule="exact"/>
        <w:ind w:left="0" w:right="219" w:firstLine="0"/>
        <w:jc w:val="right"/>
        <w:rPr>
          <w:sz w:val="21"/>
        </w:rPr>
      </w:pPr>
      <w:r>
        <w:rPr>
          <w:sz w:val="21"/>
        </w:rPr>
        <w:t>对此类产品单独分项报价</w:t>
      </w:r>
      <w:r>
        <w:rPr>
          <w:rFonts w:ascii="Microsoft JhengHei" w:eastAsia="Microsoft JhengHei"/>
          <w:b/>
          <w:sz w:val="21"/>
        </w:rPr>
        <w:t>（分项报价表应与开标一览表一起密封</w:t>
      </w:r>
      <w:r>
        <w:rPr>
          <w:rFonts w:ascii="Microsoft JhengHei" w:eastAsia="Microsoft JhengHei"/>
          <w:b/>
          <w:spacing w:val="-105"/>
          <w:sz w:val="21"/>
        </w:rPr>
        <w:t>）</w:t>
      </w:r>
      <w:r>
        <w:rPr>
          <w:spacing w:val="-1"/>
          <w:sz w:val="21"/>
        </w:rPr>
        <w:t>，计算出小计及占合同号总金额的百分比，</w:t>
      </w:r>
    </w:p>
    <w:p>
      <w:pPr>
        <w:spacing w:before="4" w:line="264" w:lineRule="auto"/>
        <w:ind w:left="294" w:right="237" w:firstLine="0"/>
        <w:jc w:val="both"/>
        <w:rPr>
          <w:sz w:val="21"/>
        </w:rPr>
      </w:pPr>
      <w:r>
        <w:rPr>
          <w:spacing w:val="-2"/>
          <w:sz w:val="21"/>
        </w:rPr>
        <w:t>并提供属于清单内产品的证明资料（指从发布以上清单目录的权威媒体网站上下载的网页公告及清单</w:t>
      </w:r>
      <w:r>
        <w:rPr>
          <w:spacing w:val="-105"/>
          <w:sz w:val="21"/>
        </w:rPr>
        <w:t>）</w:t>
      </w:r>
      <w:r>
        <w:rPr>
          <w:spacing w:val="-2"/>
          <w:sz w:val="21"/>
        </w:rPr>
        <w:t>。</w:t>
      </w:r>
      <w:r>
        <w:rPr>
          <w:rFonts w:ascii="Microsoft JhengHei" w:eastAsia="Microsoft JhengHei"/>
          <w:b/>
          <w:spacing w:val="-2"/>
          <w:sz w:val="21"/>
        </w:rPr>
        <w:t>未提</w:t>
      </w:r>
      <w:r>
        <w:rPr>
          <w:rFonts w:ascii="Microsoft JhengHei" w:eastAsia="Microsoft JhengHei"/>
          <w:b/>
          <w:spacing w:val="-5"/>
          <w:sz w:val="21"/>
        </w:rPr>
        <w:t>供节能、减排、环境标志产品明细表及属于清单内产品的证明资料的不给予价格扣除。</w:t>
      </w:r>
      <w:r>
        <w:rPr>
          <w:spacing w:val="-2"/>
          <w:sz w:val="21"/>
        </w:rPr>
        <w:t>（节能、环境标志产品</w:t>
      </w:r>
      <w:r>
        <w:rPr>
          <w:spacing w:val="-7"/>
          <w:sz w:val="21"/>
        </w:rPr>
        <w:t>是指财政部、国家发展和改革委员会最新公布的《节能产品政府采购清单》、国家环保总局和财政部联合最新</w:t>
      </w:r>
    </w:p>
    <w:p>
      <w:pPr>
        <w:spacing w:after="0" w:line="264" w:lineRule="auto"/>
        <w:jc w:val="both"/>
        <w:rPr>
          <w:sz w:val="21"/>
        </w:rPr>
        <w:sectPr>
          <w:headerReference w:type="default" r:id="rId50"/>
          <w:footerReference w:type="default" r:id="rId51"/>
          <w:pgSz w:w="11910" w:h="16840"/>
          <w:pgMar w:top="1100" w:right="560" w:bottom="1160" w:left="840" w:header="879" w:footer="971"/>
          <w:pgNumType w:start="22"/>
          <w:cols w:space="708"/>
        </w:sectPr>
      </w:pPr>
    </w:p>
    <w:p>
      <w:pPr>
        <w:pStyle w:val="BodyText"/>
        <w:spacing w:before="12"/>
        <w:rPr>
          <w:sz w:val="7"/>
        </w:rPr>
      </w:pPr>
      <w:r>
        <w:pict>
          <v:group id="_x0000_s1026" style="width:509.9pt;height:683.9pt;margin-top:55.22pt;margin-left:51.05pt;mso-position-horizontal-relative:page;mso-position-vertical-relative:page;position:absolute;z-index:-251657216" coordorigin="1021,1104" coordsize="10198,13678">
            <v:line id="_x0000_s1027" style="position:absolute" from="1105,1112" to="10801,1112" stroked="t" strokecolor="black" strokeweight="0.75pt">
              <v:stroke dashstyle="solid"/>
            </v:line>
            <v:shape id="_x0000_s1028" style="width:10198;height:13653;left:1021;position:absolute;top:1124" coordorigin="1021,1124" coordsize="10198,13653" path="m1026,1129l1026,14772m11214,1129l11214,14772m1021,1124l11219,1124m1021,14777l11219,14777e" filled="f" stroked="t" strokecolor="black" strokeweight="0.5pt">
              <v:stroke dashstyle="solid"/>
              <v:path arrowok="t"/>
            </v:shape>
          </v:group>
        </w:pict>
      </w:r>
    </w:p>
    <w:p>
      <w:pPr>
        <w:pStyle w:val="BodyText"/>
        <w:spacing w:before="70" w:line="348" w:lineRule="auto"/>
        <w:ind w:left="294" w:right="238"/>
      </w:pPr>
      <w:r>
        <w:rPr>
          <w:spacing w:val="-2"/>
        </w:rPr>
        <w:t>发布的《环境标志产品政府采购清单》内的产品。强制性《节能产品政府采购清单》内产品不予价格扣除。</w:t>
      </w:r>
      <w:r>
        <w:rPr>
          <w:spacing w:val="-2"/>
        </w:rPr>
        <w:t>价格扣除方法如下：</w:t>
      </w:r>
    </w:p>
    <w:p>
      <w:pPr>
        <w:pStyle w:val="BodyText"/>
        <w:spacing w:line="348" w:lineRule="auto"/>
        <w:ind w:left="294" w:right="132" w:firstLine="420"/>
      </w:pPr>
      <w:r>
        <w:t>根据闽财购〔2008〕31</w:t>
      </w:r>
      <w:r>
        <w:rPr>
          <w:spacing w:val="-7"/>
        </w:rPr>
        <w:t xml:space="preserve"> 号文要求，若同一合同包内节能、减排、环境标志产品报价总金额低于本合同包</w:t>
      </w:r>
      <w:r>
        <w:rPr>
          <w:spacing w:val="-8"/>
        </w:rPr>
        <w:t xml:space="preserve">报价总金额 </w:t>
      </w:r>
      <w:r>
        <w:t>10%（</w:t>
      </w:r>
      <w:r>
        <w:rPr>
          <w:spacing w:val="-24"/>
        </w:rPr>
        <w:t xml:space="preserve">含 </w:t>
      </w:r>
      <w:r>
        <w:t>10%）</w:t>
      </w:r>
      <w:r>
        <w:rPr>
          <w:spacing w:val="-2"/>
        </w:rPr>
        <w:t xml:space="preserve">以下的，将给予节能、减排、环境标志产品每个单项报价 </w:t>
      </w:r>
      <w:r>
        <w:t>3%的价格扣除；若同一合</w:t>
      </w:r>
      <w:r>
        <w:rPr>
          <w:spacing w:val="-1"/>
        </w:rPr>
        <w:t xml:space="preserve">同包内节能、减排、环境标志产品报价总金额占本合同包报价总金额 </w:t>
      </w:r>
      <w:r>
        <w:t>10%-30%（</w:t>
      </w:r>
      <w:r>
        <w:rPr>
          <w:spacing w:val="-11"/>
        </w:rPr>
        <w:t xml:space="preserve">含 </w:t>
      </w:r>
      <w:r>
        <w:t>30%）的，将给予节能、减</w:t>
      </w:r>
      <w:r>
        <w:rPr>
          <w:spacing w:val="-3"/>
        </w:rPr>
        <w:t xml:space="preserve">排、环境标志产品每个单项报价 </w:t>
      </w:r>
      <w:r>
        <w:t>6%的价格扣除；若同一合同包内节能、减排、环境标志产品报价总金额占本</w:t>
      </w:r>
      <w:r>
        <w:rPr>
          <w:spacing w:val="-6"/>
        </w:rPr>
        <w:t xml:space="preserve">合同包报价总金额 </w:t>
      </w:r>
      <w:r>
        <w:t>30%-50%（</w:t>
      </w:r>
      <w:r>
        <w:rPr>
          <w:spacing w:val="-24"/>
        </w:rPr>
        <w:t xml:space="preserve">含 </w:t>
      </w:r>
      <w:r>
        <w:t>50%）</w:t>
      </w:r>
      <w:r>
        <w:rPr>
          <w:spacing w:val="-2"/>
        </w:rPr>
        <w:t xml:space="preserve">的，将给予节能、减排、环境标志产品每个单项报价 </w:t>
      </w:r>
      <w:r>
        <w:t>8%的价格扣除；若</w:t>
      </w:r>
      <w:r>
        <w:rPr>
          <w:spacing w:val="-4"/>
        </w:rPr>
        <w:t xml:space="preserve">同一合同包内节能、减排、环境标志产品报价总金额超过本合同包报价总金额 </w:t>
      </w:r>
      <w:r>
        <w:rPr>
          <w:spacing w:val="-2"/>
        </w:rPr>
        <w:t>50%以上的,将给予节能、减排、</w:t>
      </w:r>
      <w:r>
        <w:rPr>
          <w:spacing w:val="-4"/>
        </w:rPr>
        <w:t xml:space="preserve">环境标志产品每个单项报价 </w:t>
      </w:r>
      <w:r>
        <w:t>10%的价格扣除。</w:t>
      </w:r>
    </w:p>
    <w:p>
      <w:pPr>
        <w:spacing w:before="0" w:line="316" w:lineRule="exact"/>
        <w:ind w:left="294" w:right="0" w:firstLine="0"/>
        <w:jc w:val="left"/>
        <w:rPr>
          <w:rFonts w:ascii="Microsoft JhengHei" w:eastAsia="Microsoft JhengHei"/>
          <w:b/>
          <w:sz w:val="21"/>
        </w:rPr>
      </w:pPr>
      <w:r>
        <w:rPr>
          <w:rFonts w:ascii="Microsoft JhengHei" w:eastAsia="Microsoft JhengHei"/>
          <w:b/>
          <w:spacing w:val="-2"/>
          <w:sz w:val="21"/>
        </w:rPr>
        <w:t>2</w:t>
      </w:r>
      <w:r>
        <w:rPr>
          <w:rFonts w:ascii="Microsoft JhengHei" w:eastAsia="Microsoft JhengHei"/>
          <w:b/>
          <w:spacing w:val="-3"/>
          <w:sz w:val="21"/>
        </w:rPr>
        <w:t>、中小企业参与投标价格扣除：</w:t>
      </w:r>
    </w:p>
    <w:p>
      <w:pPr>
        <w:pStyle w:val="BodyText"/>
        <w:spacing w:before="73" w:line="348" w:lineRule="auto"/>
        <w:ind w:left="294" w:right="237" w:firstLine="420"/>
        <w:jc w:val="both"/>
      </w:pPr>
      <w:r>
        <w:rPr>
          <w:spacing w:val="-2"/>
          <w:u w:val="single"/>
        </w:rPr>
        <w:t>根据财政部、工业和信息化部制定的《政府采购促进中小企业发展暂行办法》财库[2011]181</w:t>
      </w:r>
      <w:r>
        <w:rPr>
          <w:spacing w:val="-7"/>
          <w:u w:val="single"/>
        </w:rPr>
        <w:t xml:space="preserve"> 号及省财政</w:t>
      </w:r>
      <w:r>
        <w:rPr>
          <w:spacing w:val="40"/>
          <w:u w:val="single"/>
        </w:rPr>
        <w:t xml:space="preserve"> </w:t>
      </w:r>
      <w:r>
        <w:rPr>
          <w:u w:val="single"/>
        </w:rPr>
        <w:t>厅闽财购[2012]34</w:t>
      </w:r>
      <w:r>
        <w:rPr>
          <w:spacing w:val="-6"/>
          <w:u w:val="single"/>
        </w:rPr>
        <w:t xml:space="preserve"> 号文件规定，对符合中小企业划分标准，提供本企业制造的货物、承担的工程或者服务，</w:t>
      </w:r>
      <w:r>
        <w:rPr>
          <w:spacing w:val="-2"/>
          <w:u w:val="single"/>
        </w:rPr>
        <w:t>或者提供其他小微企业制造的货物的小微企业给予价格扣除，用扣除后的价格参与评审。本项所称货物不包</w:t>
      </w:r>
      <w:r>
        <w:rPr>
          <w:spacing w:val="-2"/>
          <w:u w:val="single"/>
        </w:rPr>
        <w:t>括使用大型企业注册商标的货物。小型、微型企业产品仅是构成投标产品的部件、组件或零件的，则该投标</w:t>
      </w:r>
      <w:r>
        <w:rPr>
          <w:spacing w:val="-2"/>
          <w:u w:val="single"/>
        </w:rPr>
        <w:t>产品不享受价格扣除优惠。</w:t>
      </w:r>
    </w:p>
    <w:p>
      <w:pPr>
        <w:pStyle w:val="BodyText"/>
        <w:spacing w:line="268" w:lineRule="exact"/>
        <w:ind w:left="714"/>
      </w:pPr>
      <w:r>
        <w:rPr>
          <w:spacing w:val="-1"/>
        </w:rPr>
        <w:t>中小企业价格扣除标准：</w:t>
      </w:r>
    </w:p>
    <w:p>
      <w:pPr>
        <w:pStyle w:val="BodyText"/>
        <w:spacing w:before="121" w:line="348" w:lineRule="auto"/>
        <w:ind w:left="294" w:right="237" w:firstLine="420"/>
        <w:jc w:val="both"/>
      </w:pPr>
      <w:r>
        <w:rPr>
          <w:spacing w:val="-2"/>
        </w:rPr>
        <w:t xml:space="preserve">①对小型和微型企业产品的价格给予 </w:t>
      </w:r>
      <w:r>
        <w:t>6%的扣除；投标人必须另行提供小型和微型企业产品的《价格扣除</w:t>
      </w:r>
      <w:r>
        <w:rPr>
          <w:spacing w:val="-37"/>
        </w:rPr>
        <w:t>清单》</w:t>
      </w:r>
      <w:r>
        <w:rPr>
          <w:spacing w:val="-2"/>
        </w:rPr>
        <w:t>（该清单格式自拟，清单要能体现小型和微型企业产品的厂家名称及价格并自行计算出经价格扣除后的</w:t>
      </w:r>
      <w:r>
        <w:rPr>
          <w:spacing w:val="-2"/>
        </w:rPr>
        <w:t>评审价格，且必须与投标书、开标一览表装订在一起）和本投标人及该价格扣除产品企业经会计师事务所审</w:t>
      </w:r>
      <w:r>
        <w:rPr>
          <w:spacing w:val="-8"/>
        </w:rPr>
        <w:t xml:space="preserve">计的 </w:t>
      </w:r>
      <w:r>
        <w:t>2013</w:t>
      </w:r>
      <w:r>
        <w:rPr>
          <w:spacing w:val="-5"/>
        </w:rPr>
        <w:t xml:space="preserve"> 年度财务审计报告</w:t>
      </w:r>
      <w:r>
        <w:t>（原件备查</w:t>
      </w:r>
      <w:r>
        <w:rPr>
          <w:spacing w:val="-105"/>
        </w:rPr>
        <w:t>）</w:t>
      </w:r>
      <w:r>
        <w:t>，否则不予扣除。</w:t>
      </w:r>
    </w:p>
    <w:p>
      <w:pPr>
        <w:pStyle w:val="BodyText"/>
        <w:spacing w:line="268" w:lineRule="exact"/>
        <w:ind w:left="714"/>
        <w:jc w:val="both"/>
      </w:pPr>
      <w:r>
        <w:rPr>
          <w:spacing w:val="-16"/>
        </w:rPr>
        <w:t xml:space="preserve">②联合协议中约定，小型、微型企业的协议合同金额占到联合体协议合同总金额 </w:t>
      </w:r>
      <w:r>
        <w:t>30%</w:t>
      </w:r>
      <w:r>
        <w:rPr>
          <w:spacing w:val="-17"/>
        </w:rPr>
        <w:t xml:space="preserve">以上的，给予联合体 </w:t>
      </w:r>
      <w:r>
        <w:rPr>
          <w:spacing w:val="-5"/>
        </w:rPr>
        <w:t>2%</w:t>
      </w:r>
    </w:p>
    <w:p>
      <w:pPr>
        <w:pStyle w:val="BodyText"/>
        <w:spacing w:before="121"/>
        <w:ind w:left="294"/>
      </w:pPr>
      <w:r>
        <w:rPr>
          <w:spacing w:val="-2"/>
        </w:rPr>
        <w:t>的价格扣除。</w:t>
      </w:r>
    </w:p>
    <w:p>
      <w:pPr>
        <w:pStyle w:val="BodyText"/>
        <w:spacing w:before="121"/>
        <w:ind w:left="714"/>
      </w:pPr>
      <w:r>
        <w:rPr>
          <w:spacing w:val="-1"/>
        </w:rPr>
        <w:t>联合体各方均为小型、微型企业的，联合体视同为小型、微型企业。</w:t>
      </w:r>
    </w:p>
    <w:p>
      <w:pPr>
        <w:pStyle w:val="BodyText"/>
        <w:spacing w:before="121"/>
        <w:ind w:left="714"/>
      </w:pPr>
      <w:r>
        <w:rPr>
          <w:spacing w:val="-3"/>
        </w:rPr>
        <w:t>组成联合体的大中型企业和其他自然人、法人或者其他组织，与小型、微型企业之间不得存在投资关系。</w:t>
      </w:r>
    </w:p>
    <w:p>
      <w:pPr>
        <w:spacing w:before="52" w:line="264" w:lineRule="auto"/>
        <w:ind w:left="294" w:right="237" w:firstLine="420"/>
        <w:jc w:val="both"/>
        <w:rPr>
          <w:sz w:val="21"/>
        </w:rPr>
      </w:pPr>
      <w:r>
        <w:rPr>
          <w:rFonts w:ascii="Microsoft JhengHei" w:eastAsia="Microsoft JhengHei" w:hAnsi="Microsoft JhengHei"/>
          <w:b/>
          <w:spacing w:val="-4"/>
          <w:sz w:val="21"/>
          <w:u w:val="thick"/>
        </w:rPr>
        <w:t>③参加本次政府采购活动的中小企业须提供《中小企业声明函》</w:t>
      </w:r>
      <w:r>
        <w:rPr>
          <w:rFonts w:ascii="Microsoft JhengHei" w:eastAsia="Microsoft JhengHei" w:hAnsi="Microsoft JhengHei"/>
          <w:b/>
          <w:sz w:val="21"/>
          <w:u w:val="thick"/>
        </w:rPr>
        <w:t>（</w:t>
      </w:r>
      <w:r>
        <w:rPr>
          <w:rFonts w:ascii="Microsoft JhengHei" w:eastAsia="Microsoft JhengHei" w:hAnsi="Microsoft JhengHei"/>
          <w:b/>
          <w:spacing w:val="-2"/>
          <w:sz w:val="21"/>
          <w:u w:val="thick"/>
        </w:rPr>
        <w:t xml:space="preserve">见格式 </w:t>
      </w:r>
      <w:r>
        <w:rPr>
          <w:rFonts w:ascii="Microsoft JhengHei" w:eastAsia="Microsoft JhengHei" w:hAnsi="Microsoft JhengHei"/>
          <w:b/>
          <w:sz w:val="21"/>
          <w:u w:val="thick"/>
        </w:rPr>
        <w:t>5）及《价格扣除清单》和本投</w:t>
      </w:r>
      <w:r>
        <w:rPr>
          <w:rFonts w:ascii="Microsoft JhengHei" w:eastAsia="Microsoft JhengHei" w:hAnsi="Microsoft JhengHei"/>
          <w:b/>
          <w:spacing w:val="40"/>
          <w:sz w:val="21"/>
          <w:u w:val="thick"/>
        </w:rPr>
        <w:t xml:space="preserve"> </w:t>
      </w:r>
      <w:r>
        <w:rPr>
          <w:rFonts w:ascii="Microsoft JhengHei" w:eastAsia="Microsoft JhengHei" w:hAnsi="Microsoft JhengHei"/>
          <w:b/>
          <w:spacing w:val="-3"/>
          <w:sz w:val="21"/>
          <w:u w:val="thick"/>
        </w:rPr>
        <w:t xml:space="preserve">标人及该价格扣除产品企业经会计师事务所审计的 </w:t>
      </w:r>
      <w:r>
        <w:rPr>
          <w:rFonts w:ascii="Microsoft JhengHei" w:eastAsia="Microsoft JhengHei" w:hAnsi="Microsoft JhengHei"/>
          <w:b/>
          <w:spacing w:val="-2"/>
          <w:sz w:val="21"/>
          <w:u w:val="thick"/>
        </w:rPr>
        <w:t>2013</w:t>
      </w:r>
      <w:r>
        <w:rPr>
          <w:rFonts w:ascii="Microsoft JhengHei" w:eastAsia="Microsoft JhengHei" w:hAnsi="Microsoft JhengHei"/>
          <w:b/>
          <w:spacing w:val="-5"/>
          <w:sz w:val="21"/>
          <w:u w:val="thick"/>
        </w:rPr>
        <w:t xml:space="preserve"> 年度财务审计报告才能给予价格扣除。</w:t>
      </w:r>
      <w:r>
        <w:rPr>
          <w:spacing w:val="-2"/>
          <w:sz w:val="21"/>
        </w:rPr>
        <w:t>小型、微型企</w:t>
      </w:r>
      <w:r>
        <w:rPr>
          <w:spacing w:val="-2"/>
          <w:sz w:val="21"/>
        </w:rPr>
        <w:t>业产品仅是构成投标产品的部件、组件或零件的，则该产品不享受价格扣除优惠。</w:t>
      </w:r>
    </w:p>
    <w:p>
      <w:pPr>
        <w:spacing w:before="24"/>
        <w:ind w:left="294" w:right="0" w:firstLine="0"/>
        <w:jc w:val="left"/>
        <w:rPr>
          <w:rFonts w:ascii="Microsoft JhengHei" w:eastAsia="Microsoft JhengHei"/>
          <w:b/>
          <w:sz w:val="21"/>
        </w:rPr>
      </w:pPr>
      <w:r>
        <w:rPr>
          <w:rFonts w:ascii="Microsoft JhengHei" w:eastAsia="Microsoft JhengHei"/>
          <w:b/>
          <w:spacing w:val="-2"/>
          <w:sz w:val="21"/>
        </w:rPr>
        <w:t>3</w:t>
      </w:r>
      <w:r>
        <w:rPr>
          <w:rFonts w:ascii="Microsoft JhengHei" w:eastAsia="Microsoft JhengHei"/>
          <w:b/>
          <w:spacing w:val="-3"/>
          <w:sz w:val="21"/>
        </w:rPr>
        <w:t>、泉州企业价格扣除标准：</w:t>
      </w:r>
    </w:p>
    <w:p>
      <w:pPr>
        <w:pStyle w:val="BodyText"/>
        <w:spacing w:before="73" w:line="348" w:lineRule="auto"/>
        <w:ind w:left="294" w:right="237" w:firstLine="420"/>
        <w:jc w:val="both"/>
      </w:pPr>
      <w:r>
        <w:rPr>
          <w:spacing w:val="-2"/>
        </w:rPr>
        <w:t>根据泉财采[2013]533</w:t>
      </w:r>
      <w:r>
        <w:rPr>
          <w:spacing w:val="-5"/>
        </w:rPr>
        <w:t xml:space="preserve"> 号文，对泉经贸运行</w:t>
      </w:r>
      <w:r>
        <w:rPr>
          <w:spacing w:val="-2"/>
        </w:rPr>
        <w:t>[2012]834</w:t>
      </w:r>
      <w:r>
        <w:rPr>
          <w:spacing w:val="-5"/>
        </w:rPr>
        <w:t xml:space="preserve"> 号文及泉科</w:t>
      </w:r>
      <w:r>
        <w:rPr>
          <w:spacing w:val="-2"/>
        </w:rPr>
        <w:t>[2013]198</w:t>
      </w:r>
      <w:r>
        <w:rPr>
          <w:spacing w:val="-5"/>
        </w:rPr>
        <w:t xml:space="preserve"> 号公布的供应商名录的产品</w:t>
      </w:r>
      <w:r>
        <w:rPr>
          <w:spacing w:val="-6"/>
        </w:rPr>
        <w:t xml:space="preserve">的价格给予 </w:t>
      </w:r>
      <w:r>
        <w:rPr>
          <w:spacing w:val="-2"/>
        </w:rPr>
        <w:t>2%</w:t>
      </w:r>
      <w:r>
        <w:rPr>
          <w:spacing w:val="-7"/>
        </w:rPr>
        <w:t>的扣除；投标人必须另行提供产品的《价格扣除清单》</w:t>
      </w:r>
      <w:r>
        <w:rPr>
          <w:spacing w:val="-2"/>
        </w:rPr>
        <w:t>（该清单格式自拟，清单要能体现产品的</w:t>
      </w:r>
      <w:r>
        <w:rPr>
          <w:spacing w:val="-2"/>
        </w:rPr>
        <w:t>厂家名称及价格，并自行计算出经价格扣除后的评审价格，且必须与投标书、开标一览表装订在一起</w:t>
      </w:r>
      <w:r>
        <w:rPr>
          <w:spacing w:val="-105"/>
        </w:rPr>
        <w:t>）</w:t>
      </w:r>
      <w:r>
        <w:rPr>
          <w:spacing w:val="-2"/>
        </w:rPr>
        <w:t>，否则</w:t>
      </w:r>
      <w:r>
        <w:rPr>
          <w:spacing w:val="-2"/>
        </w:rPr>
        <w:t>不予扣除。</w:t>
      </w:r>
    </w:p>
    <w:p>
      <w:pPr>
        <w:spacing w:before="0" w:line="313" w:lineRule="exact"/>
        <w:ind w:left="714" w:right="0" w:firstLine="0"/>
        <w:jc w:val="both"/>
        <w:rPr>
          <w:rFonts w:ascii="Microsoft JhengHei" w:eastAsia="Microsoft JhengHei"/>
          <w:b/>
          <w:sz w:val="21"/>
        </w:rPr>
      </w:pPr>
      <w:r>
        <w:rPr>
          <w:rFonts w:ascii="Microsoft JhengHei" w:eastAsia="Microsoft JhengHei"/>
          <w:b/>
          <w:spacing w:val="-6"/>
          <w:sz w:val="21"/>
        </w:rPr>
        <w:t>B</w:t>
      </w:r>
      <w:r>
        <w:rPr>
          <w:rFonts w:ascii="Microsoft JhengHei" w:eastAsia="Microsoft JhengHei"/>
          <w:b/>
          <w:spacing w:val="-6"/>
          <w:sz w:val="21"/>
        </w:rPr>
        <w:t>、商务部分（</w:t>
      </w:r>
      <w:r>
        <w:rPr>
          <w:rFonts w:ascii="Microsoft JhengHei" w:eastAsia="Microsoft JhengHei"/>
          <w:b/>
          <w:spacing w:val="-5"/>
          <w:sz w:val="21"/>
        </w:rPr>
        <w:t xml:space="preserve">满分 </w:t>
      </w:r>
      <w:r>
        <w:rPr>
          <w:rFonts w:ascii="Microsoft JhengHei" w:eastAsia="Microsoft JhengHei"/>
          <w:b/>
          <w:spacing w:val="-6"/>
          <w:sz w:val="21"/>
        </w:rPr>
        <w:t>12</w:t>
      </w:r>
      <w:r>
        <w:rPr>
          <w:rFonts w:ascii="Microsoft JhengHei" w:eastAsia="Microsoft JhengHei"/>
          <w:b/>
          <w:spacing w:val="-4"/>
          <w:sz w:val="21"/>
        </w:rPr>
        <w:t xml:space="preserve"> 分</w:t>
      </w:r>
      <w:r>
        <w:rPr>
          <w:rFonts w:ascii="Microsoft JhengHei" w:eastAsia="Microsoft JhengHei"/>
          <w:b/>
          <w:spacing w:val="-10"/>
          <w:sz w:val="21"/>
        </w:rPr>
        <w:t>）</w:t>
      </w:r>
    </w:p>
    <w:p>
      <w:pPr>
        <w:pStyle w:val="BodyText"/>
        <w:spacing w:line="257" w:lineRule="exact"/>
        <w:ind w:left="714"/>
      </w:pPr>
      <w:r>
        <w:t>1、对照招标文件的要求，投标文件制作的完整性由评委酌情给（0-2）</w:t>
      </w:r>
      <w:r>
        <w:rPr>
          <w:spacing w:val="-5"/>
        </w:rPr>
        <w:t>分。</w:t>
      </w:r>
    </w:p>
    <w:p>
      <w:pPr>
        <w:pStyle w:val="BodyText"/>
        <w:spacing w:before="112"/>
        <w:ind w:left="714"/>
      </w:pPr>
      <w:r>
        <w:rPr>
          <w:spacing w:val="-2"/>
        </w:rPr>
        <w:t>2、企业综合实力、企业信誉、企业资质、履约能力及财务状况等（</w:t>
      </w:r>
      <w:r>
        <w:rPr>
          <w:spacing w:val="-12"/>
        </w:rPr>
        <w:t xml:space="preserve">满分 </w:t>
      </w:r>
      <w:r>
        <w:rPr>
          <w:spacing w:val="-2"/>
        </w:rPr>
        <w:t>4</w:t>
      </w:r>
      <w:r>
        <w:rPr>
          <w:spacing w:val="-20"/>
        </w:rPr>
        <w:t xml:space="preserve"> 分</w:t>
      </w:r>
      <w:r>
        <w:rPr>
          <w:spacing w:val="-5"/>
        </w:rPr>
        <w:t>）：</w:t>
      </w:r>
    </w:p>
    <w:p>
      <w:pPr>
        <w:spacing w:after="0"/>
        <w:sectPr>
          <w:headerReference w:type="default" r:id="rId52"/>
          <w:footerReference w:type="default" r:id="rId53"/>
          <w:pgSz w:w="11910" w:h="16840"/>
          <w:pgMar w:top="1040" w:right="560" w:bottom="1160" w:left="840" w:header="859" w:footer="971"/>
          <w:pgNumType w:start="23"/>
          <w:cols w:space="708"/>
        </w:sectPr>
      </w:pPr>
    </w:p>
    <w:p>
      <w:pPr>
        <w:pStyle w:val="BodyText"/>
        <w:spacing w:before="6"/>
        <w:rPr>
          <w:sz w:val="3"/>
        </w:rPr>
      </w:pPr>
    </w:p>
    <w:tbl>
      <w:tblPr>
        <w:tblStyle w:val="TableNormal4"/>
        <w:tblW w:w="0" w:type="auto"/>
        <w:jc w:val="left"/>
        <w:tblInd w:w="1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3"/>
        <w:gridCol w:w="915"/>
        <w:gridCol w:w="1260"/>
        <w:gridCol w:w="4120"/>
        <w:gridCol w:w="2880"/>
        <w:gridCol w:w="900"/>
      </w:tblGrid>
      <w:tr>
        <w:tblPrEx>
          <w:tblW w:w="0" w:type="auto"/>
          <w:jc w:val="left"/>
          <w:tblInd w:w="1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6997"/>
          <w:jc w:val="left"/>
        </w:trPr>
        <w:tc>
          <w:tcPr>
            <w:tcW w:w="10188" w:type="dxa"/>
            <w:gridSpan w:val="6"/>
            <w:tcBorders>
              <w:left w:val="single" w:sz="4" w:space="0" w:color="000000"/>
              <w:bottom w:val="single" w:sz="4" w:space="0" w:color="000000"/>
              <w:right w:val="single" w:sz="4" w:space="0" w:color="000000"/>
            </w:tcBorders>
          </w:tcPr>
          <w:p>
            <w:pPr>
              <w:pStyle w:val="TableParagraph"/>
              <w:spacing w:before="155" w:line="410" w:lineRule="auto"/>
              <w:ind w:left="108" w:right="95" w:firstLine="420"/>
              <w:jc w:val="both"/>
              <w:rPr>
                <w:sz w:val="21"/>
              </w:rPr>
            </w:pPr>
            <w:r>
              <w:rPr>
                <w:spacing w:val="-4"/>
                <w:sz w:val="21"/>
              </w:rPr>
              <w:t>①企业综合实力及企业信誉（0-2</w:t>
            </w:r>
            <w:r>
              <w:rPr>
                <w:spacing w:val="-14"/>
                <w:sz w:val="21"/>
              </w:rPr>
              <w:t xml:space="preserve"> 分</w:t>
            </w:r>
            <w:r>
              <w:rPr>
                <w:spacing w:val="-120"/>
                <w:sz w:val="21"/>
              </w:rPr>
              <w:t>）</w:t>
            </w:r>
            <w:r>
              <w:rPr>
                <w:spacing w:val="-4"/>
                <w:sz w:val="21"/>
              </w:rPr>
              <w:t>。根据投标人及投标货物制造商的综合实力、获得的荣誉和评价等情</w:t>
            </w:r>
            <w:r>
              <w:rPr>
                <w:spacing w:val="-2"/>
                <w:sz w:val="21"/>
              </w:rPr>
              <w:t>况酌情给（0-2</w:t>
            </w:r>
            <w:r>
              <w:rPr>
                <w:spacing w:val="-13"/>
                <w:sz w:val="21"/>
              </w:rPr>
              <w:t xml:space="preserve"> 分</w:t>
            </w:r>
            <w:r>
              <w:rPr>
                <w:spacing w:val="-2"/>
                <w:sz w:val="21"/>
              </w:rPr>
              <w:t>）分。②根据投标人及投标货物制造商履约能力及财务状况（0-2</w:t>
            </w:r>
            <w:r>
              <w:rPr>
                <w:spacing w:val="-13"/>
                <w:sz w:val="21"/>
              </w:rPr>
              <w:t xml:space="preserve"> 分</w:t>
            </w:r>
            <w:r>
              <w:rPr>
                <w:spacing w:val="-2"/>
                <w:sz w:val="21"/>
              </w:rPr>
              <w:t>）：根据投标人及投标</w:t>
            </w:r>
            <w:r>
              <w:rPr>
                <w:sz w:val="21"/>
              </w:rPr>
              <w:t>货物制造商提供的银行资信证明、财务情况（</w:t>
            </w:r>
            <w:r>
              <w:rPr>
                <w:spacing w:val="-10"/>
                <w:sz w:val="21"/>
              </w:rPr>
              <w:t xml:space="preserve">依据 </w:t>
            </w:r>
            <w:r>
              <w:rPr>
                <w:sz w:val="21"/>
              </w:rPr>
              <w:t>2011</w:t>
            </w:r>
            <w:r>
              <w:rPr>
                <w:spacing w:val="-8"/>
                <w:sz w:val="21"/>
              </w:rPr>
              <w:t xml:space="preserve"> 年度的财务报表及有资质的审计机构提供的 </w:t>
            </w:r>
            <w:r>
              <w:rPr>
                <w:sz w:val="21"/>
              </w:rPr>
              <w:t>2011</w:t>
            </w:r>
            <w:r>
              <w:rPr>
                <w:spacing w:val="-22"/>
                <w:sz w:val="21"/>
              </w:rPr>
              <w:t xml:space="preserve"> 年</w:t>
            </w:r>
          </w:p>
          <w:p>
            <w:pPr>
              <w:pStyle w:val="TableParagraph"/>
              <w:spacing w:line="338" w:lineRule="auto"/>
              <w:ind w:left="528" w:right="2560" w:hanging="420"/>
              <w:jc w:val="both"/>
              <w:rPr>
                <w:sz w:val="21"/>
              </w:rPr>
            </w:pPr>
            <w:r>
              <w:rPr>
                <w:spacing w:val="-4"/>
                <w:sz w:val="21"/>
              </w:rPr>
              <w:t>审计报告</w:t>
            </w:r>
            <w:r>
              <w:rPr>
                <w:spacing w:val="-105"/>
                <w:sz w:val="21"/>
              </w:rPr>
              <w:t>）</w:t>
            </w:r>
            <w:r>
              <w:rPr>
                <w:spacing w:val="-4"/>
                <w:sz w:val="21"/>
              </w:rPr>
              <w:t>、经营等情况酌情给（0-2</w:t>
            </w:r>
            <w:r>
              <w:rPr>
                <w:spacing w:val="-10"/>
                <w:sz w:val="21"/>
              </w:rPr>
              <w:t xml:space="preserve"> 分</w:t>
            </w:r>
            <w:r>
              <w:rPr>
                <w:spacing w:val="-105"/>
                <w:sz w:val="21"/>
              </w:rPr>
              <w:t>）</w:t>
            </w:r>
            <w:r>
              <w:rPr>
                <w:spacing w:val="-13"/>
                <w:sz w:val="21"/>
              </w:rPr>
              <w:t>。未提供相关材料不得分。</w:t>
            </w:r>
            <w:r>
              <w:rPr>
                <w:spacing w:val="-4"/>
                <w:sz w:val="21"/>
              </w:rPr>
              <w:t>（</w:t>
            </w:r>
            <w:r>
              <w:rPr>
                <w:spacing w:val="-8"/>
                <w:sz w:val="21"/>
              </w:rPr>
              <w:t xml:space="preserve">满分 </w:t>
            </w:r>
            <w:r>
              <w:rPr>
                <w:spacing w:val="-4"/>
                <w:sz w:val="21"/>
              </w:rPr>
              <w:t>4</w:t>
            </w:r>
            <w:r>
              <w:rPr>
                <w:spacing w:val="-10"/>
                <w:sz w:val="21"/>
              </w:rPr>
              <w:t xml:space="preserve"> 分</w:t>
            </w:r>
            <w:r>
              <w:rPr>
                <w:spacing w:val="-113"/>
                <w:sz w:val="21"/>
              </w:rPr>
              <w:t>）</w:t>
            </w:r>
            <w:r>
              <w:rPr>
                <w:spacing w:val="-8"/>
                <w:sz w:val="21"/>
              </w:rPr>
              <w:t>；</w:t>
            </w:r>
            <w:r>
              <w:rPr>
                <w:spacing w:val="-61"/>
                <w:sz w:val="21"/>
              </w:rPr>
              <w:t xml:space="preserve"> </w:t>
            </w:r>
            <w:r>
              <w:rPr>
                <w:sz w:val="21"/>
              </w:rPr>
              <w:t>3、售后服务水平（3</w:t>
            </w:r>
            <w:r>
              <w:rPr>
                <w:spacing w:val="-21"/>
                <w:sz w:val="21"/>
              </w:rPr>
              <w:t xml:space="preserve"> 分</w:t>
            </w:r>
            <w:r>
              <w:rPr>
                <w:sz w:val="21"/>
              </w:rPr>
              <w:t>）：</w:t>
            </w:r>
          </w:p>
          <w:p>
            <w:pPr>
              <w:pStyle w:val="TableParagraph"/>
              <w:numPr>
                <w:ilvl w:val="0"/>
                <w:numId w:val="52"/>
              </w:numPr>
              <w:tabs>
                <w:tab w:val="left" w:pos="1056"/>
              </w:tabs>
              <w:spacing w:before="0" w:after="0" w:line="250" w:lineRule="exact"/>
              <w:ind w:left="1055" w:right="0" w:hanging="528"/>
              <w:jc w:val="both"/>
              <w:rPr>
                <w:sz w:val="21"/>
              </w:rPr>
            </w:pPr>
            <w:r>
              <w:rPr>
                <w:sz w:val="21"/>
              </w:rPr>
              <w:t>售后服务承诺（1</w:t>
            </w:r>
            <w:r>
              <w:rPr>
                <w:spacing w:val="-17"/>
                <w:sz w:val="21"/>
              </w:rPr>
              <w:t xml:space="preserve"> 分</w:t>
            </w:r>
            <w:r>
              <w:rPr>
                <w:sz w:val="21"/>
              </w:rPr>
              <w:t>）</w:t>
            </w:r>
            <w:r>
              <w:rPr>
                <w:spacing w:val="-1"/>
                <w:sz w:val="21"/>
              </w:rPr>
              <w:t xml:space="preserve">：根据投标货物的质保期、售后服务承诺和技术服务水平进行评分；良好 </w:t>
            </w:r>
            <w:r>
              <w:rPr>
                <w:spacing w:val="-10"/>
                <w:sz w:val="21"/>
              </w:rPr>
              <w:t>1</w:t>
            </w:r>
          </w:p>
          <w:p>
            <w:pPr>
              <w:pStyle w:val="TableParagraph"/>
              <w:spacing w:before="91"/>
              <w:ind w:left="108"/>
              <w:jc w:val="both"/>
              <w:rPr>
                <w:sz w:val="21"/>
              </w:rPr>
            </w:pPr>
            <w:r>
              <w:rPr>
                <w:spacing w:val="-9"/>
                <w:sz w:val="21"/>
              </w:rPr>
              <w:t xml:space="preserve">分，一般得 </w:t>
            </w:r>
            <w:r>
              <w:rPr>
                <w:sz w:val="21"/>
              </w:rPr>
              <w:t>0.5</w:t>
            </w:r>
            <w:r>
              <w:rPr>
                <w:spacing w:val="-22"/>
                <w:sz w:val="21"/>
              </w:rPr>
              <w:t xml:space="preserve"> 分，差 </w:t>
            </w:r>
            <w:r>
              <w:rPr>
                <w:sz w:val="21"/>
              </w:rPr>
              <w:t>0</w:t>
            </w:r>
            <w:r>
              <w:rPr>
                <w:spacing w:val="-22"/>
                <w:sz w:val="21"/>
              </w:rPr>
              <w:t xml:space="preserve"> 分。</w:t>
            </w:r>
          </w:p>
          <w:p>
            <w:pPr>
              <w:pStyle w:val="TableParagraph"/>
              <w:numPr>
                <w:ilvl w:val="0"/>
                <w:numId w:val="52"/>
              </w:numPr>
              <w:tabs>
                <w:tab w:val="left" w:pos="949"/>
              </w:tabs>
              <w:spacing w:before="75" w:after="0" w:line="302" w:lineRule="auto"/>
              <w:ind w:left="108" w:right="40" w:firstLine="315"/>
              <w:jc w:val="both"/>
              <w:rPr>
                <w:sz w:val="21"/>
              </w:rPr>
            </w:pPr>
            <w:r>
              <w:rPr>
                <w:spacing w:val="-4"/>
                <w:sz w:val="21"/>
              </w:rPr>
              <w:t>售后服务机构（2</w:t>
            </w:r>
            <w:r>
              <w:rPr>
                <w:spacing w:val="-6"/>
                <w:sz w:val="21"/>
              </w:rPr>
              <w:t xml:space="preserve"> 分</w:t>
            </w:r>
            <w:r>
              <w:rPr>
                <w:spacing w:val="-4"/>
                <w:sz w:val="21"/>
              </w:rPr>
              <w:t>）：</w:t>
            </w:r>
            <w:r>
              <w:rPr>
                <w:spacing w:val="-5"/>
                <w:sz w:val="21"/>
              </w:rPr>
              <w:t xml:space="preserve">投标人在泉州地区设有售后服务网点或协议维修点或直属分支构的得 </w:t>
            </w:r>
            <w:r>
              <w:rPr>
                <w:spacing w:val="-4"/>
                <w:sz w:val="21"/>
              </w:rPr>
              <w:t>2</w:t>
            </w:r>
            <w:r>
              <w:rPr>
                <w:spacing w:val="-6"/>
                <w:sz w:val="21"/>
              </w:rPr>
              <w:t xml:space="preserve"> 分；</w:t>
            </w:r>
            <w:r>
              <w:rPr>
                <w:spacing w:val="-2"/>
                <w:sz w:val="21"/>
              </w:rPr>
              <w:t>福建省内（泉州地区以外）设有售后服务网点或协议维修点或直属分支构的得 1 分；没有不得分</w:t>
            </w:r>
            <w:r>
              <w:rPr>
                <w:rFonts w:ascii="新宋体" w:eastAsia="新宋体" w:hint="eastAsia"/>
                <w:spacing w:val="-105"/>
                <w:sz w:val="21"/>
              </w:rPr>
              <w:t>。</w:t>
            </w:r>
            <w:r>
              <w:rPr>
                <w:spacing w:val="-2"/>
                <w:sz w:val="21"/>
              </w:rPr>
              <w:t>（投标人提</w:t>
            </w:r>
            <w:r>
              <w:rPr>
                <w:spacing w:val="-2"/>
                <w:sz w:val="21"/>
              </w:rPr>
              <w:t>供委托售后服务协议书及协议维修点具有采购货物经营权的营业执照复印件等证明文件，没有不得分</w:t>
            </w:r>
            <w:r>
              <w:rPr>
                <w:spacing w:val="-105"/>
                <w:sz w:val="21"/>
              </w:rPr>
              <w:t>）</w:t>
            </w:r>
            <w:r>
              <w:rPr>
                <w:spacing w:val="-2"/>
                <w:sz w:val="21"/>
              </w:rPr>
              <w:t>。</w:t>
            </w:r>
          </w:p>
          <w:p>
            <w:pPr>
              <w:pStyle w:val="TableParagraph"/>
              <w:spacing w:before="19"/>
              <w:ind w:left="528"/>
              <w:rPr>
                <w:sz w:val="21"/>
              </w:rPr>
            </w:pPr>
            <w:r>
              <w:rPr>
                <w:sz w:val="21"/>
              </w:rPr>
              <w:t>4、经营业绩（3</w:t>
            </w:r>
            <w:r>
              <w:rPr>
                <w:spacing w:val="-27"/>
                <w:sz w:val="21"/>
              </w:rPr>
              <w:t xml:space="preserve"> 分</w:t>
            </w:r>
            <w:r>
              <w:rPr>
                <w:spacing w:val="-5"/>
                <w:sz w:val="21"/>
              </w:rPr>
              <w:t>）：</w:t>
            </w:r>
          </w:p>
          <w:p>
            <w:pPr>
              <w:pStyle w:val="TableParagraph"/>
              <w:spacing w:before="114" w:line="417" w:lineRule="auto"/>
              <w:ind w:left="108" w:right="95" w:firstLine="420"/>
              <w:jc w:val="both"/>
              <w:rPr>
                <w:sz w:val="21"/>
              </w:rPr>
            </w:pPr>
            <w:r>
              <w:rPr>
                <w:spacing w:val="-10"/>
                <w:sz w:val="21"/>
              </w:rPr>
              <w:t xml:space="preserve">投标人 </w:t>
            </w:r>
            <w:r>
              <w:rPr>
                <w:spacing w:val="-6"/>
                <w:sz w:val="21"/>
              </w:rPr>
              <w:t>2010</w:t>
            </w:r>
            <w:r>
              <w:rPr>
                <w:spacing w:val="-11"/>
                <w:sz w:val="21"/>
              </w:rPr>
              <w:t xml:space="preserve"> 年以来有合同金额为人民币 </w:t>
            </w:r>
            <w:r>
              <w:rPr>
                <w:spacing w:val="-6"/>
                <w:sz w:val="21"/>
              </w:rPr>
              <w:t>30</w:t>
            </w:r>
            <w:r>
              <w:rPr>
                <w:spacing w:val="-19"/>
                <w:sz w:val="21"/>
              </w:rPr>
              <w:t xml:space="preserve"> 万元以上</w:t>
            </w:r>
            <w:r>
              <w:rPr>
                <w:spacing w:val="-6"/>
                <w:sz w:val="21"/>
              </w:rPr>
              <w:t>（</w:t>
            </w:r>
            <w:r>
              <w:rPr>
                <w:spacing w:val="-14"/>
                <w:sz w:val="21"/>
              </w:rPr>
              <w:t xml:space="preserve">含 </w:t>
            </w:r>
            <w:r>
              <w:rPr>
                <w:spacing w:val="-6"/>
                <w:sz w:val="21"/>
              </w:rPr>
              <w:t>30</w:t>
            </w:r>
            <w:r>
              <w:rPr>
                <w:spacing w:val="-11"/>
                <w:sz w:val="21"/>
              </w:rPr>
              <w:t xml:space="preserve"> 万元</w:t>
            </w:r>
            <w:r>
              <w:rPr>
                <w:spacing w:val="-54"/>
                <w:sz w:val="21"/>
              </w:rPr>
              <w:t>）</w:t>
            </w:r>
            <w:r>
              <w:rPr>
                <w:spacing w:val="-14"/>
                <w:sz w:val="21"/>
              </w:rPr>
              <w:t xml:space="preserve">的类似案例，每提供 </w:t>
            </w:r>
            <w:r>
              <w:rPr>
                <w:spacing w:val="-6"/>
                <w:sz w:val="21"/>
              </w:rPr>
              <w:t>1</w:t>
            </w:r>
            <w:r>
              <w:rPr>
                <w:spacing w:val="-18"/>
                <w:sz w:val="21"/>
              </w:rPr>
              <w:t xml:space="preserve"> 份业绩报告</w:t>
            </w:r>
            <w:r>
              <w:rPr>
                <w:spacing w:val="-6"/>
                <w:sz w:val="21"/>
              </w:rPr>
              <w:t>（</w:t>
            </w:r>
            <w:r>
              <w:rPr>
                <w:spacing w:val="-6"/>
                <w:sz w:val="21"/>
              </w:rPr>
              <w:t>投</w:t>
            </w:r>
            <w:r>
              <w:rPr>
                <w:spacing w:val="-2"/>
                <w:sz w:val="21"/>
              </w:rPr>
              <w:t>标人须提供该业绩项目的中标公告（提供相关网站中标公告的下载网页并注明网址</w:t>
            </w:r>
            <w:r>
              <w:rPr>
                <w:spacing w:val="-105"/>
                <w:sz w:val="21"/>
              </w:rPr>
              <w:t>）</w:t>
            </w:r>
            <w:r>
              <w:rPr>
                <w:spacing w:val="-2"/>
                <w:sz w:val="21"/>
              </w:rPr>
              <w:t>、中标通知书复印件、采</w:t>
            </w:r>
            <w:r>
              <w:rPr>
                <w:spacing w:val="-2"/>
                <w:sz w:val="21"/>
              </w:rPr>
              <w:t>购合同文本复印件，以及能够证明该业绩项目已经采购人验收合格的相关证明文件复印件（原件备查</w:t>
            </w:r>
            <w:r>
              <w:rPr>
                <w:spacing w:val="-105"/>
                <w:sz w:val="21"/>
              </w:rPr>
              <w:t>）。</w:t>
            </w:r>
            <w:r>
              <w:rPr>
                <w:spacing w:val="-2"/>
                <w:sz w:val="21"/>
              </w:rPr>
              <w:t>）</w:t>
            </w:r>
            <w:r>
              <w:rPr>
                <w:spacing w:val="-14"/>
                <w:sz w:val="21"/>
              </w:rPr>
              <w:t xml:space="preserve">得 </w:t>
            </w:r>
            <w:r>
              <w:rPr>
                <w:spacing w:val="-2"/>
                <w:sz w:val="21"/>
              </w:rPr>
              <w:t>1</w:t>
            </w:r>
            <w:r>
              <w:rPr>
                <w:spacing w:val="-1"/>
                <w:sz w:val="21"/>
              </w:rPr>
              <w:t xml:space="preserve">分，未提供不得分，累计最高得分为 </w:t>
            </w:r>
            <w:r>
              <w:rPr>
                <w:sz w:val="21"/>
              </w:rPr>
              <w:t>3</w:t>
            </w:r>
            <w:r>
              <w:rPr>
                <w:spacing w:val="-40"/>
                <w:sz w:val="21"/>
              </w:rPr>
              <w:t xml:space="preserve"> 分。</w:t>
            </w:r>
            <w:r>
              <w:rPr>
                <w:sz w:val="21"/>
              </w:rPr>
              <w:t>（</w:t>
            </w:r>
            <w:r>
              <w:rPr>
                <w:spacing w:val="-5"/>
                <w:sz w:val="21"/>
              </w:rPr>
              <w:t xml:space="preserve">满分 </w:t>
            </w:r>
            <w:r>
              <w:rPr>
                <w:sz w:val="21"/>
              </w:rPr>
              <w:t>3</w:t>
            </w:r>
            <w:r>
              <w:rPr>
                <w:spacing w:val="-7"/>
                <w:sz w:val="21"/>
              </w:rPr>
              <w:t xml:space="preserve"> 分</w:t>
            </w:r>
            <w:r>
              <w:rPr>
                <w:sz w:val="21"/>
              </w:rPr>
              <w:t>）</w:t>
            </w:r>
          </w:p>
          <w:p>
            <w:pPr>
              <w:pStyle w:val="TableParagraph"/>
              <w:spacing w:line="292" w:lineRule="exact"/>
              <w:ind w:left="108"/>
              <w:jc w:val="both"/>
              <w:rPr>
                <w:rFonts w:ascii="Microsoft JhengHei" w:eastAsia="Microsoft JhengHei"/>
                <w:b/>
                <w:sz w:val="21"/>
              </w:rPr>
            </w:pPr>
            <w:r>
              <w:rPr>
                <w:rFonts w:ascii="Microsoft JhengHei" w:eastAsia="Microsoft JhengHei"/>
                <w:b/>
                <w:spacing w:val="-6"/>
                <w:sz w:val="21"/>
              </w:rPr>
              <w:t>C</w:t>
            </w:r>
            <w:r>
              <w:rPr>
                <w:rFonts w:ascii="Microsoft JhengHei" w:eastAsia="Microsoft JhengHei"/>
                <w:b/>
                <w:spacing w:val="-6"/>
                <w:sz w:val="21"/>
              </w:rPr>
              <w:t>、技术部分（满分 48</w:t>
            </w:r>
            <w:r>
              <w:rPr>
                <w:rFonts w:ascii="Microsoft JhengHei" w:eastAsia="Microsoft JhengHei"/>
                <w:b/>
                <w:spacing w:val="-5"/>
                <w:sz w:val="21"/>
              </w:rPr>
              <w:t xml:space="preserve"> 分</w:t>
            </w:r>
            <w:r>
              <w:rPr>
                <w:rFonts w:ascii="Microsoft JhengHei" w:eastAsia="Microsoft JhengHei"/>
                <w:b/>
                <w:spacing w:val="-10"/>
                <w:sz w:val="21"/>
              </w:rPr>
              <w:t>）</w:t>
            </w:r>
          </w:p>
          <w:p>
            <w:pPr>
              <w:pStyle w:val="TableParagraph"/>
              <w:spacing w:line="385" w:lineRule="exact"/>
              <w:ind w:left="108"/>
              <w:rPr>
                <w:rFonts w:ascii="Microsoft JhengHei" w:eastAsia="Microsoft JhengHei"/>
                <w:b/>
                <w:sz w:val="21"/>
              </w:rPr>
            </w:pPr>
            <w:r>
              <w:rPr>
                <w:rFonts w:ascii="Microsoft JhengHei" w:eastAsia="Microsoft JhengHei"/>
                <w:b/>
                <w:spacing w:val="-2"/>
                <w:sz w:val="21"/>
              </w:rPr>
              <w:t>一、技术部份（</w:t>
            </w:r>
            <w:r>
              <w:rPr>
                <w:rFonts w:ascii="Microsoft JhengHei" w:eastAsia="Microsoft JhengHei"/>
                <w:b/>
                <w:spacing w:val="-5"/>
                <w:sz w:val="21"/>
              </w:rPr>
              <w:t xml:space="preserve">满分 </w:t>
            </w:r>
            <w:r>
              <w:rPr>
                <w:rFonts w:ascii="Microsoft JhengHei" w:eastAsia="Microsoft JhengHei"/>
                <w:b/>
                <w:spacing w:val="-2"/>
                <w:sz w:val="21"/>
              </w:rPr>
              <w:t>48</w:t>
            </w:r>
            <w:r>
              <w:rPr>
                <w:rFonts w:ascii="Microsoft JhengHei" w:eastAsia="Microsoft JhengHei"/>
                <w:b/>
                <w:spacing w:val="-6"/>
                <w:sz w:val="21"/>
              </w:rPr>
              <w:t xml:space="preserve"> 分</w:t>
            </w:r>
            <w:r>
              <w:rPr>
                <w:rFonts w:ascii="Microsoft JhengHei" w:eastAsia="Microsoft JhengHei"/>
                <w:b/>
                <w:spacing w:val="-5"/>
                <w:sz w:val="21"/>
              </w:rPr>
              <w:t>）：</w:t>
            </w:r>
          </w:p>
        </w:tc>
      </w:tr>
      <w:tr>
        <w:tblPrEx>
          <w:tblW w:w="0" w:type="auto"/>
          <w:jc w:val="left"/>
          <w:tblInd w:w="190" w:type="dxa"/>
          <w:tblLayout w:type="fixed"/>
          <w:tblCellMar>
            <w:top w:w="0" w:type="dxa"/>
            <w:left w:w="0" w:type="dxa"/>
            <w:bottom w:w="0" w:type="dxa"/>
            <w:right w:w="0" w:type="dxa"/>
          </w:tblCellMar>
          <w:tblLook w:val="01E0"/>
        </w:tblPrEx>
        <w:trPr>
          <w:trHeight w:val="312"/>
          <w:jc w:val="left"/>
        </w:trPr>
        <w:tc>
          <w:tcPr>
            <w:tcW w:w="113" w:type="dxa"/>
            <w:tcBorders>
              <w:top w:val="nil"/>
              <w:left w:val="single" w:sz="4" w:space="0" w:color="000000"/>
              <w:bottom w:val="nil"/>
              <w:right w:val="single" w:sz="4" w:space="0" w:color="000000"/>
            </w:tcBorders>
          </w:tcPr>
          <w:p>
            <w:pPr>
              <w:pStyle w:val="TableParagraph"/>
              <w:rPr>
                <w:rFonts w:ascii="Times New Roman"/>
                <w:sz w:val="20"/>
              </w:rPr>
            </w:pPr>
          </w:p>
        </w:tc>
        <w:tc>
          <w:tcPr>
            <w:tcW w:w="915" w:type="dxa"/>
            <w:tcBorders>
              <w:top w:val="single" w:sz="4" w:space="0" w:color="000000"/>
              <w:left w:val="single" w:sz="4" w:space="0" w:color="000000"/>
              <w:bottom w:val="single" w:sz="4" w:space="0" w:color="000000"/>
              <w:right w:val="single" w:sz="4" w:space="0" w:color="000000"/>
            </w:tcBorders>
          </w:tcPr>
          <w:p>
            <w:pPr>
              <w:pStyle w:val="TableParagraph"/>
              <w:spacing w:before="23"/>
              <w:ind w:left="128" w:right="118"/>
              <w:jc w:val="center"/>
              <w:rPr>
                <w:sz w:val="21"/>
              </w:rPr>
            </w:pPr>
            <w:r>
              <w:rPr>
                <w:spacing w:val="-4"/>
                <w:sz w:val="21"/>
              </w:rPr>
              <w:t>品目号</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spacing w:before="23"/>
              <w:ind w:left="65" w:right="55"/>
              <w:jc w:val="center"/>
              <w:rPr>
                <w:sz w:val="21"/>
              </w:rPr>
            </w:pPr>
            <w:r>
              <w:rPr>
                <w:spacing w:val="-3"/>
                <w:sz w:val="21"/>
              </w:rPr>
              <w:t>物资名称</w:t>
            </w:r>
          </w:p>
        </w:tc>
        <w:tc>
          <w:tcPr>
            <w:tcW w:w="4120" w:type="dxa"/>
            <w:tcBorders>
              <w:top w:val="single" w:sz="4" w:space="0" w:color="000000"/>
              <w:left w:val="single" w:sz="4" w:space="0" w:color="000000"/>
              <w:bottom w:val="single" w:sz="4" w:space="0" w:color="000000"/>
              <w:right w:val="single" w:sz="4" w:space="0" w:color="000000"/>
            </w:tcBorders>
          </w:tcPr>
          <w:p>
            <w:pPr>
              <w:pStyle w:val="TableParagraph"/>
              <w:spacing w:before="23"/>
              <w:ind w:left="1628" w:right="1613"/>
              <w:jc w:val="center"/>
              <w:rPr>
                <w:sz w:val="21"/>
              </w:rPr>
            </w:pPr>
            <w:r>
              <w:rPr>
                <w:spacing w:val="-3"/>
                <w:sz w:val="21"/>
              </w:rPr>
              <w:t>考评项目</w:t>
            </w:r>
          </w:p>
        </w:tc>
        <w:tc>
          <w:tcPr>
            <w:tcW w:w="2880" w:type="dxa"/>
            <w:tcBorders>
              <w:top w:val="single" w:sz="4" w:space="0" w:color="000000"/>
              <w:left w:val="single" w:sz="4" w:space="0" w:color="000000"/>
              <w:bottom w:val="single" w:sz="4" w:space="0" w:color="000000"/>
              <w:right w:val="single" w:sz="4" w:space="0" w:color="000000"/>
            </w:tcBorders>
          </w:tcPr>
          <w:p>
            <w:pPr>
              <w:pStyle w:val="TableParagraph"/>
              <w:spacing w:before="16" w:line="275" w:lineRule="exact"/>
              <w:ind w:left="986" w:right="976"/>
              <w:jc w:val="center"/>
              <w:rPr>
                <w:sz w:val="22"/>
              </w:rPr>
            </w:pPr>
            <w:r>
              <w:rPr>
                <w:spacing w:val="-3"/>
                <w:sz w:val="22"/>
              </w:rPr>
              <w:t>考评得分</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spacing w:before="23"/>
              <w:ind w:left="16" w:right="6"/>
              <w:jc w:val="center"/>
              <w:rPr>
                <w:sz w:val="21"/>
              </w:rPr>
            </w:pPr>
            <w:r>
              <w:rPr>
                <w:spacing w:val="-3"/>
                <w:sz w:val="21"/>
              </w:rPr>
              <w:t>最高得分</w:t>
            </w:r>
          </w:p>
        </w:tc>
      </w:tr>
      <w:tr>
        <w:tblPrEx>
          <w:tblW w:w="0" w:type="auto"/>
          <w:jc w:val="left"/>
          <w:tblInd w:w="190" w:type="dxa"/>
          <w:tblLayout w:type="fixed"/>
          <w:tblCellMar>
            <w:top w:w="0" w:type="dxa"/>
            <w:left w:w="0" w:type="dxa"/>
            <w:bottom w:w="0" w:type="dxa"/>
            <w:right w:w="0" w:type="dxa"/>
          </w:tblCellMar>
          <w:tblLook w:val="01E0"/>
        </w:tblPrEx>
        <w:trPr>
          <w:trHeight w:val="2246"/>
          <w:jc w:val="left"/>
        </w:trPr>
        <w:tc>
          <w:tcPr>
            <w:tcW w:w="113" w:type="dxa"/>
            <w:tcBorders>
              <w:top w:val="nil"/>
              <w:left w:val="single" w:sz="4" w:space="0" w:color="000000"/>
              <w:bottom w:val="nil"/>
              <w:right w:val="single" w:sz="4" w:space="0" w:color="000000"/>
            </w:tcBorders>
          </w:tcPr>
          <w:p>
            <w:pPr>
              <w:pStyle w:val="TableParagraph"/>
              <w:rPr>
                <w:rFonts w:ascii="Times New Roman"/>
                <w:sz w:val="20"/>
              </w:rPr>
            </w:pPr>
          </w:p>
        </w:tc>
        <w:tc>
          <w:tcPr>
            <w:tcW w:w="915"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4"/>
              <w:rPr>
                <w:sz w:val="17"/>
              </w:rPr>
            </w:pPr>
          </w:p>
          <w:p>
            <w:pPr>
              <w:pStyle w:val="TableParagraph"/>
              <w:ind w:left="10"/>
              <w:jc w:val="center"/>
              <w:rPr>
                <w:sz w:val="21"/>
              </w:rPr>
            </w:pPr>
            <w:r>
              <w:rPr>
                <w:sz w:val="21"/>
              </w:rPr>
              <w:t>1</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0"/>
              <w:rPr>
                <w:sz w:val="32"/>
              </w:rPr>
            </w:pPr>
          </w:p>
          <w:p>
            <w:pPr>
              <w:pStyle w:val="TableParagraph"/>
              <w:ind w:left="65" w:right="55"/>
              <w:jc w:val="center"/>
              <w:rPr>
                <w:sz w:val="22"/>
              </w:rPr>
            </w:pPr>
            <w:r>
              <w:rPr>
                <w:spacing w:val="-2"/>
                <w:sz w:val="22"/>
              </w:rPr>
              <w:t>真空干燥箱</w:t>
            </w:r>
          </w:p>
        </w:tc>
        <w:tc>
          <w:tcPr>
            <w:tcW w:w="4120" w:type="dxa"/>
            <w:tcBorders>
              <w:top w:val="single" w:sz="4" w:space="0" w:color="000000"/>
              <w:left w:val="single" w:sz="4" w:space="0" w:color="000000"/>
              <w:bottom w:val="single" w:sz="4" w:space="0" w:color="000000"/>
              <w:right w:val="single" w:sz="4" w:space="0" w:color="000000"/>
            </w:tcBorders>
          </w:tcPr>
          <w:p>
            <w:pPr>
              <w:pStyle w:val="TableParagraph"/>
              <w:spacing w:before="5"/>
              <w:rPr>
                <w:sz w:val="16"/>
              </w:rPr>
            </w:pPr>
          </w:p>
          <w:p>
            <w:pPr>
              <w:pStyle w:val="TableParagraph"/>
              <w:ind w:left="5" w:right="-15"/>
              <w:rPr>
                <w:sz w:val="21"/>
              </w:rPr>
            </w:pPr>
            <w:r>
              <w:rPr>
                <w:spacing w:val="-2"/>
                <w:sz w:val="21"/>
              </w:rPr>
              <w:t>DZF-6050</w:t>
            </w:r>
            <w:r>
              <w:rPr>
                <w:spacing w:val="-32"/>
                <w:sz w:val="21"/>
              </w:rPr>
              <w:t xml:space="preserve"> 型 </w:t>
            </w:r>
            <w:r>
              <w:rPr>
                <w:spacing w:val="-2"/>
                <w:sz w:val="21"/>
              </w:rPr>
              <w:t>220V</w:t>
            </w:r>
            <w:r>
              <w:rPr>
                <w:spacing w:val="-24"/>
                <w:sz w:val="21"/>
              </w:rPr>
              <w:t xml:space="preserve"> ；</w:t>
            </w:r>
            <w:r>
              <w:rPr>
                <w:spacing w:val="-2"/>
                <w:sz w:val="21"/>
              </w:rPr>
              <w:t>1400W；10℃～250</w:t>
            </w:r>
            <w:r>
              <w:rPr>
                <w:spacing w:val="-5"/>
                <w:sz w:val="21"/>
              </w:rPr>
              <w:t>℃；工</w:t>
            </w:r>
          </w:p>
          <w:p>
            <w:pPr>
              <w:pStyle w:val="TableParagraph"/>
              <w:spacing w:before="43"/>
              <w:ind w:left="5"/>
              <w:rPr>
                <w:sz w:val="21"/>
              </w:rPr>
            </w:pPr>
            <w:r>
              <w:rPr>
                <w:spacing w:val="-11"/>
                <w:sz w:val="21"/>
              </w:rPr>
              <w:t xml:space="preserve">作室尺寸 </w:t>
            </w:r>
            <w:r>
              <w:rPr>
                <w:spacing w:val="-2"/>
                <w:sz w:val="21"/>
              </w:rPr>
              <w:t>415×370×345mm；</w:t>
            </w:r>
          </w:p>
          <w:p>
            <w:pPr>
              <w:pStyle w:val="TableParagraph"/>
              <w:spacing w:before="43" w:line="278" w:lineRule="auto"/>
              <w:ind w:left="5" w:right="-15"/>
              <w:rPr>
                <w:sz w:val="21"/>
              </w:rPr>
            </w:pPr>
            <w:r>
              <w:rPr>
                <w:spacing w:val="-6"/>
                <w:sz w:val="21"/>
              </w:rPr>
              <w:t xml:space="preserve">工作室材料 </w:t>
            </w:r>
            <w:r>
              <w:rPr>
                <w:sz w:val="21"/>
              </w:rPr>
              <w:t>1Grl8Ni9Ti；带钢化、防弹双层</w:t>
            </w:r>
            <w:r>
              <w:rPr>
                <w:spacing w:val="-4"/>
                <w:sz w:val="21"/>
              </w:rPr>
              <w:t>玻璃门；</w:t>
            </w:r>
          </w:p>
          <w:p>
            <w:pPr>
              <w:pStyle w:val="TableParagraph"/>
              <w:spacing w:line="278" w:lineRule="auto"/>
              <w:ind w:left="5" w:right="-15"/>
              <w:rPr>
                <w:sz w:val="21"/>
              </w:rPr>
            </w:pPr>
            <w:r>
              <w:rPr>
                <w:spacing w:val="-2"/>
                <w:sz w:val="21"/>
              </w:rPr>
              <w:t>*微电脑智能控温仪，具有设定，测定温度双</w:t>
            </w:r>
            <w:r>
              <w:rPr>
                <w:spacing w:val="-4"/>
                <w:sz w:val="21"/>
              </w:rPr>
              <w:t xml:space="preserve">数字显示和 </w:t>
            </w:r>
            <w:r>
              <w:rPr>
                <w:sz w:val="21"/>
              </w:rPr>
              <w:t>PID</w:t>
            </w:r>
            <w:r>
              <w:rPr>
                <w:spacing w:val="-5"/>
                <w:sz w:val="21"/>
              </w:rPr>
              <w:t xml:space="preserve"> 自整定功能</w:t>
            </w:r>
          </w:p>
        </w:tc>
        <w:tc>
          <w:tcPr>
            <w:tcW w:w="288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66" w:line="278" w:lineRule="auto"/>
              <w:ind w:left="5" w:right="-15"/>
              <w:jc w:val="both"/>
              <w:rPr>
                <w:sz w:val="21"/>
              </w:rPr>
            </w:pPr>
            <w:r>
              <w:rPr>
                <w:spacing w:val="8"/>
                <w:sz w:val="21"/>
              </w:rPr>
              <w:t xml:space="preserve">技术指标完全满足的得 </w:t>
            </w:r>
            <w:r>
              <w:rPr>
                <w:sz w:val="21"/>
              </w:rPr>
              <w:t>1.5-2</w:t>
            </w:r>
            <w:r>
              <w:rPr>
                <w:spacing w:val="-6"/>
                <w:sz w:val="21"/>
              </w:rPr>
              <w:t>分，正偏离加分，负偏离酌情扣</w:t>
            </w:r>
            <w:r>
              <w:rPr>
                <w:spacing w:val="-4"/>
                <w:sz w:val="21"/>
              </w:rPr>
              <w:t xml:space="preserve">分，最低得 </w:t>
            </w:r>
            <w:r>
              <w:rPr>
                <w:sz w:val="21"/>
              </w:rPr>
              <w:t>0</w:t>
            </w:r>
            <w:r>
              <w:rPr>
                <w:spacing w:val="-11"/>
                <w:sz w:val="21"/>
              </w:rPr>
              <w:t xml:space="preserve"> 分</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4"/>
              <w:rPr>
                <w:sz w:val="17"/>
              </w:rPr>
            </w:pPr>
          </w:p>
          <w:p>
            <w:pPr>
              <w:pStyle w:val="TableParagraph"/>
              <w:ind w:left="10"/>
              <w:jc w:val="center"/>
              <w:rPr>
                <w:sz w:val="21"/>
              </w:rPr>
            </w:pPr>
            <w:r>
              <w:rPr>
                <w:sz w:val="21"/>
              </w:rPr>
              <w:t>3</w:t>
            </w:r>
          </w:p>
        </w:tc>
      </w:tr>
      <w:tr>
        <w:tblPrEx>
          <w:tblW w:w="0" w:type="auto"/>
          <w:jc w:val="left"/>
          <w:tblInd w:w="190" w:type="dxa"/>
          <w:tblLayout w:type="fixed"/>
          <w:tblCellMar>
            <w:top w:w="0" w:type="dxa"/>
            <w:left w:w="0" w:type="dxa"/>
            <w:bottom w:w="0" w:type="dxa"/>
            <w:right w:w="0" w:type="dxa"/>
          </w:tblCellMar>
          <w:tblLook w:val="01E0"/>
        </w:tblPrEx>
        <w:trPr>
          <w:trHeight w:val="2398"/>
          <w:jc w:val="left"/>
        </w:trPr>
        <w:tc>
          <w:tcPr>
            <w:tcW w:w="113" w:type="dxa"/>
            <w:vMerge w:val="restart"/>
            <w:tcBorders>
              <w:top w:val="nil"/>
              <w:left w:val="single" w:sz="4" w:space="0" w:color="000000"/>
              <w:bottom w:val="single" w:sz="4" w:space="0" w:color="000000"/>
              <w:right w:val="single" w:sz="4" w:space="0" w:color="000000"/>
            </w:tcBorders>
          </w:tcPr>
          <w:p>
            <w:pPr>
              <w:pStyle w:val="TableParagraph"/>
              <w:rPr>
                <w:rFonts w:ascii="Times New Roman"/>
                <w:sz w:val="20"/>
              </w:rPr>
            </w:pPr>
          </w:p>
        </w:tc>
        <w:tc>
          <w:tcPr>
            <w:tcW w:w="915" w:type="dxa"/>
            <w:tcBorders>
              <w:top w:val="single" w:sz="4" w:space="0" w:color="000000"/>
              <w:left w:val="single" w:sz="4" w:space="0" w:color="000000"/>
              <w:bottom w:val="nil"/>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ind w:left="10"/>
              <w:jc w:val="center"/>
              <w:rPr>
                <w:sz w:val="21"/>
              </w:rPr>
            </w:pPr>
            <w:r>
              <w:rPr>
                <w:sz w:val="21"/>
              </w:rPr>
              <w:t>2</w:t>
            </w:r>
          </w:p>
        </w:tc>
        <w:tc>
          <w:tcPr>
            <w:tcW w:w="1260" w:type="dxa"/>
            <w:tcBorders>
              <w:top w:val="single" w:sz="4" w:space="0" w:color="000000"/>
              <w:left w:val="single" w:sz="4" w:space="0" w:color="000000"/>
              <w:bottom w:val="nil"/>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7"/>
              <w:ind w:left="65" w:right="55"/>
              <w:jc w:val="center"/>
              <w:rPr>
                <w:sz w:val="21"/>
              </w:rPr>
            </w:pPr>
            <w:r>
              <w:rPr>
                <w:spacing w:val="-4"/>
                <w:sz w:val="21"/>
              </w:rPr>
              <w:t>熔点仪</w:t>
            </w:r>
          </w:p>
        </w:tc>
        <w:tc>
          <w:tcPr>
            <w:tcW w:w="41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2"/>
              </w:numPr>
              <w:tabs>
                <w:tab w:val="left" w:pos="216"/>
              </w:tabs>
              <w:spacing w:before="113" w:after="0" w:line="240" w:lineRule="auto"/>
              <w:ind w:left="216" w:right="0" w:hanging="211"/>
              <w:jc w:val="left"/>
              <w:rPr>
                <w:sz w:val="21"/>
              </w:rPr>
            </w:pPr>
            <w:r>
              <w:rPr>
                <w:spacing w:val="-5"/>
                <w:sz w:val="21"/>
              </w:rPr>
              <w:t xml:space="preserve">熔点测量范围：室温至 </w:t>
            </w:r>
            <w:r>
              <w:rPr>
                <w:spacing w:val="-4"/>
                <w:sz w:val="21"/>
              </w:rPr>
              <w:t>300℃；</w:t>
            </w:r>
          </w:p>
          <w:p>
            <w:pPr>
              <w:pStyle w:val="TableParagraph"/>
              <w:numPr>
                <w:ilvl w:val="0"/>
                <w:numId w:val="22"/>
              </w:numPr>
              <w:tabs>
                <w:tab w:val="left" w:pos="216"/>
              </w:tabs>
              <w:spacing w:before="3" w:after="0" w:line="240" w:lineRule="auto"/>
              <w:ind w:left="216" w:right="0" w:hanging="211"/>
              <w:jc w:val="left"/>
              <w:rPr>
                <w:sz w:val="21"/>
              </w:rPr>
            </w:pPr>
            <w:r>
              <w:rPr>
                <w:sz w:val="21"/>
              </w:rPr>
              <w:t>温度显示最小示值</w:t>
            </w:r>
            <w:r>
              <w:rPr>
                <w:spacing w:val="-2"/>
                <w:sz w:val="21"/>
              </w:rPr>
              <w:t>：0.1℃；</w:t>
            </w:r>
          </w:p>
          <w:p>
            <w:pPr>
              <w:pStyle w:val="TableParagraph"/>
              <w:numPr>
                <w:ilvl w:val="0"/>
                <w:numId w:val="22"/>
              </w:numPr>
              <w:tabs>
                <w:tab w:val="left" w:pos="216"/>
              </w:tabs>
              <w:spacing w:before="3" w:after="0" w:line="240" w:lineRule="auto"/>
              <w:ind w:left="216" w:right="-15" w:hanging="211"/>
              <w:jc w:val="left"/>
              <w:rPr>
                <w:sz w:val="21"/>
              </w:rPr>
            </w:pPr>
            <w:r>
              <w:rPr>
                <w:spacing w:val="-11"/>
                <w:sz w:val="21"/>
              </w:rPr>
              <w:t xml:space="preserve">线 性 升 温 速 率 ： </w:t>
            </w:r>
            <w:r>
              <w:rPr>
                <w:spacing w:val="-2"/>
                <w:sz w:val="21"/>
              </w:rPr>
              <w:t>0.2,0.5,1.0,1.5，</w:t>
            </w:r>
          </w:p>
          <w:p>
            <w:pPr>
              <w:pStyle w:val="TableParagraph"/>
              <w:spacing w:before="3"/>
              <w:ind w:left="5"/>
              <w:rPr>
                <w:sz w:val="21"/>
              </w:rPr>
            </w:pPr>
            <w:r>
              <w:rPr>
                <w:spacing w:val="-2"/>
                <w:sz w:val="21"/>
              </w:rPr>
              <w:t>2.0,3.0,4.0,5.0(℃/min)；</w:t>
            </w:r>
          </w:p>
          <w:p>
            <w:pPr>
              <w:pStyle w:val="TableParagraph"/>
              <w:numPr>
                <w:ilvl w:val="0"/>
                <w:numId w:val="22"/>
              </w:numPr>
              <w:tabs>
                <w:tab w:val="left" w:pos="216"/>
                <w:tab w:val="left" w:pos="2324"/>
              </w:tabs>
              <w:spacing w:before="4" w:after="0" w:line="240" w:lineRule="auto"/>
              <w:ind w:left="216" w:right="-15" w:hanging="211"/>
              <w:jc w:val="left"/>
              <w:rPr>
                <w:sz w:val="21"/>
              </w:rPr>
            </w:pPr>
            <w:r>
              <w:rPr>
                <w:spacing w:val="-10"/>
                <w:sz w:val="21"/>
              </w:rPr>
              <w:t>测</w:t>
            </w:r>
            <w:r>
              <w:rPr>
                <w:spacing w:val="-10"/>
                <w:sz w:val="21"/>
              </w:rPr>
              <w:t>量</w:t>
            </w:r>
            <w:r>
              <w:rPr>
                <w:spacing w:val="-10"/>
                <w:sz w:val="21"/>
              </w:rPr>
              <w:t>准</w:t>
            </w:r>
            <w:r>
              <w:rPr>
                <w:spacing w:val="-10"/>
                <w:sz w:val="21"/>
              </w:rPr>
              <w:t>确</w:t>
            </w:r>
            <w:r>
              <w:rPr>
                <w:spacing w:val="-10"/>
                <w:sz w:val="21"/>
              </w:rPr>
              <w:t>率</w:t>
            </w:r>
            <w:r>
              <w:rPr>
                <w:spacing w:val="-10"/>
                <w:sz w:val="21"/>
              </w:rPr>
              <w:t>：＜200℃</w:t>
            </w:r>
            <w:r>
              <w:rPr>
                <w:sz w:val="21"/>
              </w:rPr>
              <w:tab/>
            </w:r>
            <w:r>
              <w:rPr>
                <w:spacing w:val="-10"/>
                <w:sz w:val="21"/>
              </w:rPr>
              <w:t>：±0.5℃；200℃～</w:t>
            </w:r>
          </w:p>
          <w:p>
            <w:pPr>
              <w:pStyle w:val="TableParagraph"/>
              <w:spacing w:before="3" w:line="236" w:lineRule="exact"/>
              <w:ind w:left="5"/>
              <w:rPr>
                <w:sz w:val="21"/>
              </w:rPr>
            </w:pPr>
            <w:r>
              <w:rPr>
                <w:spacing w:val="-2"/>
                <w:sz w:val="21"/>
              </w:rPr>
              <w:t>300℃：±0.8℃；</w:t>
            </w:r>
          </w:p>
          <w:p>
            <w:pPr>
              <w:pStyle w:val="TableParagraph"/>
              <w:spacing w:before="6" w:line="206" w:lineRule="auto"/>
              <w:ind w:left="5" w:right="-15"/>
              <w:rPr>
                <w:sz w:val="21"/>
              </w:rPr>
            </w:pPr>
            <w:r>
              <w:rPr>
                <w:rFonts w:ascii="Microsoft JhengHei" w:eastAsia="Microsoft JhengHei"/>
                <w:b/>
                <w:spacing w:val="-2"/>
                <w:sz w:val="21"/>
              </w:rPr>
              <w:t>*</w:t>
            </w:r>
            <w:r>
              <w:rPr>
                <w:spacing w:val="-2"/>
                <w:sz w:val="21"/>
              </w:rPr>
              <w:t>5.液晶显示，自动检测熔点，可显示初熔和</w:t>
            </w:r>
            <w:r>
              <w:rPr>
                <w:spacing w:val="-2"/>
                <w:sz w:val="21"/>
              </w:rPr>
              <w:t>终熔的数字；</w:t>
            </w:r>
          </w:p>
        </w:tc>
        <w:tc>
          <w:tcPr>
            <w:tcW w:w="288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8"/>
              <w:rPr>
                <w:sz w:val="26"/>
              </w:rPr>
            </w:pPr>
          </w:p>
          <w:p>
            <w:pPr>
              <w:pStyle w:val="TableParagraph"/>
              <w:spacing w:line="278" w:lineRule="auto"/>
              <w:ind w:left="5" w:right="-15"/>
              <w:jc w:val="both"/>
              <w:rPr>
                <w:sz w:val="21"/>
              </w:rPr>
            </w:pPr>
            <w:r>
              <w:rPr>
                <w:spacing w:val="8"/>
                <w:sz w:val="21"/>
              </w:rPr>
              <w:t xml:space="preserve">技术指标完全满足的得 </w:t>
            </w:r>
            <w:r>
              <w:rPr>
                <w:sz w:val="21"/>
              </w:rPr>
              <w:t>1.5-2分，正偏离加分，带</w:t>
            </w:r>
            <w:r>
              <w:rPr>
                <w:rFonts w:ascii="Times New Roman" w:eastAsia="Times New Roman" w:hAnsi="Times New Roman"/>
                <w:sz w:val="21"/>
              </w:rPr>
              <w:t>“</w:t>
            </w:r>
            <w:r>
              <w:rPr>
                <w:sz w:val="21"/>
              </w:rPr>
              <w:t>*</w:t>
            </w:r>
            <w:r>
              <w:rPr>
                <w:rFonts w:ascii="Times New Roman" w:eastAsia="Times New Roman" w:hAnsi="Times New Roman"/>
                <w:spacing w:val="-7"/>
                <w:sz w:val="21"/>
              </w:rPr>
              <w:t xml:space="preserve">” </w:t>
            </w:r>
            <w:r>
              <w:rPr>
                <w:sz w:val="21"/>
              </w:rPr>
              <w:t>负偏离</w:t>
            </w:r>
            <w:r>
              <w:rPr>
                <w:spacing w:val="-5"/>
                <w:sz w:val="21"/>
              </w:rPr>
              <w:t xml:space="preserve">或不满足扣 </w:t>
            </w:r>
            <w:r>
              <w:rPr>
                <w:sz w:val="21"/>
              </w:rPr>
              <w:t>0.</w:t>
            </w:r>
            <w:r>
              <w:rPr>
                <w:spacing w:val="-26"/>
                <w:sz w:val="21"/>
              </w:rPr>
              <w:t xml:space="preserve"> </w:t>
            </w:r>
            <w:r>
              <w:rPr>
                <w:sz w:val="21"/>
              </w:rPr>
              <w:t>5</w:t>
            </w:r>
            <w:r>
              <w:rPr>
                <w:spacing w:val="-5"/>
                <w:sz w:val="21"/>
              </w:rPr>
              <w:t xml:space="preserve"> 分，其他负偏</w:t>
            </w:r>
            <w:r>
              <w:rPr>
                <w:spacing w:val="-3"/>
                <w:sz w:val="21"/>
              </w:rPr>
              <w:t xml:space="preserve">离酌情扣分，最低得 </w:t>
            </w:r>
            <w:r>
              <w:rPr>
                <w:sz w:val="21"/>
              </w:rPr>
              <w:t>0</w:t>
            </w:r>
            <w:r>
              <w:rPr>
                <w:spacing w:val="-11"/>
                <w:sz w:val="21"/>
              </w:rPr>
              <w:t xml:space="preserve"> 分</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2"/>
              <w:rPr>
                <w:sz w:val="23"/>
              </w:rPr>
            </w:pPr>
          </w:p>
          <w:p>
            <w:pPr>
              <w:pStyle w:val="TableParagraph"/>
              <w:ind w:left="10"/>
              <w:jc w:val="center"/>
              <w:rPr>
                <w:sz w:val="21"/>
              </w:rPr>
            </w:pPr>
            <w:r>
              <w:rPr>
                <w:sz w:val="21"/>
              </w:rPr>
              <w:t>3</w:t>
            </w:r>
          </w:p>
        </w:tc>
      </w:tr>
      <w:tr>
        <w:tblPrEx>
          <w:tblW w:w="0" w:type="auto"/>
          <w:jc w:val="left"/>
          <w:tblInd w:w="190" w:type="dxa"/>
          <w:tblLayout w:type="fixed"/>
          <w:tblCellMar>
            <w:top w:w="0" w:type="dxa"/>
            <w:left w:w="0" w:type="dxa"/>
            <w:bottom w:w="0" w:type="dxa"/>
            <w:right w:w="0" w:type="dxa"/>
          </w:tblCellMar>
          <w:tblLook w:val="01E0"/>
        </w:tblPrEx>
        <w:trPr>
          <w:trHeight w:val="305"/>
          <w:jc w:val="left"/>
        </w:trPr>
        <w:tc>
          <w:tcPr>
            <w:tcW w:w="113" w:type="dxa"/>
            <w:vMerge/>
            <w:tcBorders>
              <w:top w:val="nil"/>
              <w:left w:val="single" w:sz="4" w:space="0" w:color="000000"/>
              <w:bottom w:val="single" w:sz="4" w:space="0" w:color="000000"/>
              <w:right w:val="single" w:sz="4" w:space="0" w:color="000000"/>
            </w:tcBorders>
          </w:tcPr>
          <w:p>
            <w:pPr>
              <w:rPr>
                <w:sz w:val="2"/>
                <w:szCs w:val="2"/>
              </w:rPr>
            </w:pPr>
          </w:p>
        </w:tc>
        <w:tc>
          <w:tcPr>
            <w:tcW w:w="915" w:type="dxa"/>
            <w:tcBorders>
              <w:top w:val="nil"/>
              <w:left w:val="single" w:sz="4" w:space="0" w:color="000000"/>
              <w:bottom w:val="nil"/>
              <w:right w:val="single" w:sz="4" w:space="0" w:color="000000"/>
            </w:tcBorders>
          </w:tcPr>
          <w:p>
            <w:pPr>
              <w:pStyle w:val="TableParagraph"/>
              <w:rPr>
                <w:rFonts w:ascii="Times New Roman"/>
                <w:sz w:val="20"/>
              </w:rPr>
            </w:pPr>
          </w:p>
        </w:tc>
        <w:tc>
          <w:tcPr>
            <w:tcW w:w="1260" w:type="dxa"/>
            <w:tcBorders>
              <w:top w:val="nil"/>
              <w:left w:val="single" w:sz="4" w:space="0" w:color="000000"/>
              <w:bottom w:val="nil"/>
              <w:right w:val="single" w:sz="4" w:space="0" w:color="000000"/>
            </w:tcBorders>
          </w:tcPr>
          <w:p>
            <w:pPr>
              <w:pStyle w:val="TableParagraph"/>
              <w:rPr>
                <w:rFonts w:ascii="Times New Roman"/>
                <w:sz w:val="20"/>
              </w:rPr>
            </w:pPr>
          </w:p>
        </w:tc>
        <w:tc>
          <w:tcPr>
            <w:tcW w:w="4120" w:type="dxa"/>
            <w:tcBorders>
              <w:top w:val="single" w:sz="4" w:space="0" w:color="000000"/>
              <w:left w:val="single" w:sz="4" w:space="0" w:color="000000"/>
              <w:bottom w:val="nil"/>
              <w:right w:val="single" w:sz="4" w:space="0" w:color="000000"/>
            </w:tcBorders>
          </w:tcPr>
          <w:p>
            <w:pPr>
              <w:pStyle w:val="TableParagraph"/>
              <w:rPr>
                <w:rFonts w:ascii="Times New Roman"/>
                <w:sz w:val="20"/>
              </w:rPr>
            </w:pPr>
          </w:p>
        </w:tc>
        <w:tc>
          <w:tcPr>
            <w:tcW w:w="2880" w:type="dxa"/>
            <w:tcBorders>
              <w:top w:val="single" w:sz="4" w:space="0" w:color="000000"/>
              <w:left w:val="single" w:sz="4" w:space="0" w:color="000000"/>
              <w:bottom w:val="nil"/>
              <w:right w:val="single" w:sz="4" w:space="0" w:color="000000"/>
            </w:tcBorders>
          </w:tcPr>
          <w:p>
            <w:pPr>
              <w:pStyle w:val="TableParagraph"/>
              <w:spacing w:before="23" w:line="262" w:lineRule="exact"/>
              <w:ind w:left="5"/>
              <w:rPr>
                <w:sz w:val="21"/>
              </w:rPr>
            </w:pPr>
            <w:r>
              <w:rPr>
                <w:color w:val="333333"/>
                <w:spacing w:val="6"/>
                <w:sz w:val="21"/>
              </w:rPr>
              <w:t xml:space="preserve">技术指标完全满足的得 </w:t>
            </w:r>
            <w:r>
              <w:rPr>
                <w:color w:val="333333"/>
                <w:sz w:val="21"/>
              </w:rPr>
              <w:t>1.5-</w:t>
            </w:r>
            <w:r>
              <w:rPr>
                <w:color w:val="333333"/>
                <w:spacing w:val="-10"/>
                <w:sz w:val="21"/>
              </w:rPr>
              <w:t>2</w:t>
            </w:r>
          </w:p>
        </w:tc>
        <w:tc>
          <w:tcPr>
            <w:tcW w:w="900" w:type="dxa"/>
            <w:tcBorders>
              <w:top w:val="single" w:sz="4" w:space="0" w:color="000000"/>
              <w:left w:val="single" w:sz="4" w:space="0" w:color="000000"/>
              <w:bottom w:val="nil"/>
              <w:right w:val="single" w:sz="4" w:space="0" w:color="000000"/>
            </w:tcBorders>
          </w:tcPr>
          <w:p>
            <w:pPr>
              <w:pStyle w:val="TableParagraph"/>
              <w:rPr>
                <w:rFonts w:ascii="Times New Roman"/>
                <w:sz w:val="20"/>
              </w:rPr>
            </w:pPr>
          </w:p>
        </w:tc>
      </w:tr>
      <w:tr>
        <w:tblPrEx>
          <w:tblW w:w="0" w:type="auto"/>
          <w:jc w:val="left"/>
          <w:tblInd w:w="190" w:type="dxa"/>
          <w:tblLayout w:type="fixed"/>
          <w:tblCellMar>
            <w:top w:w="0" w:type="dxa"/>
            <w:left w:w="0" w:type="dxa"/>
            <w:bottom w:w="0" w:type="dxa"/>
            <w:right w:w="0" w:type="dxa"/>
          </w:tblCellMar>
          <w:tblLook w:val="01E0"/>
        </w:tblPrEx>
        <w:trPr>
          <w:trHeight w:val="617"/>
          <w:jc w:val="left"/>
        </w:trPr>
        <w:tc>
          <w:tcPr>
            <w:tcW w:w="113" w:type="dxa"/>
            <w:vMerge/>
            <w:tcBorders>
              <w:top w:val="nil"/>
              <w:left w:val="single" w:sz="4" w:space="0" w:color="000000"/>
              <w:bottom w:val="single" w:sz="4" w:space="0" w:color="000000"/>
              <w:right w:val="single" w:sz="4" w:space="0" w:color="000000"/>
            </w:tcBorders>
          </w:tcPr>
          <w:p>
            <w:pPr>
              <w:rPr>
                <w:sz w:val="2"/>
                <w:szCs w:val="2"/>
              </w:rPr>
            </w:pPr>
          </w:p>
        </w:tc>
        <w:tc>
          <w:tcPr>
            <w:tcW w:w="915" w:type="dxa"/>
            <w:tcBorders>
              <w:top w:val="nil"/>
              <w:left w:val="single" w:sz="4" w:space="0" w:color="000000"/>
              <w:bottom w:val="nil"/>
              <w:right w:val="single" w:sz="4" w:space="0" w:color="000000"/>
            </w:tcBorders>
          </w:tcPr>
          <w:p>
            <w:pPr>
              <w:pStyle w:val="TableParagraph"/>
              <w:rPr>
                <w:rFonts w:ascii="Times New Roman"/>
                <w:sz w:val="20"/>
              </w:rPr>
            </w:pPr>
          </w:p>
        </w:tc>
        <w:tc>
          <w:tcPr>
            <w:tcW w:w="1260" w:type="dxa"/>
            <w:tcBorders>
              <w:top w:val="nil"/>
              <w:left w:val="single" w:sz="4" w:space="0" w:color="000000"/>
              <w:bottom w:val="nil"/>
              <w:right w:val="single" w:sz="4" w:space="0" w:color="000000"/>
            </w:tcBorders>
          </w:tcPr>
          <w:p>
            <w:pPr>
              <w:pStyle w:val="TableParagraph"/>
              <w:rPr>
                <w:rFonts w:ascii="Times New Roman"/>
                <w:sz w:val="20"/>
              </w:rPr>
            </w:pPr>
          </w:p>
        </w:tc>
        <w:tc>
          <w:tcPr>
            <w:tcW w:w="4120" w:type="dxa"/>
            <w:tcBorders>
              <w:top w:val="nil"/>
              <w:left w:val="single" w:sz="4" w:space="0" w:color="000000"/>
              <w:bottom w:val="nil"/>
              <w:right w:val="single" w:sz="4" w:space="0" w:color="000000"/>
            </w:tcBorders>
          </w:tcPr>
          <w:p>
            <w:pPr>
              <w:pStyle w:val="TableParagraph"/>
              <w:spacing w:before="39" w:line="236" w:lineRule="exact"/>
              <w:ind w:left="5"/>
              <w:rPr>
                <w:sz w:val="21"/>
              </w:rPr>
            </w:pPr>
            <w:r>
              <w:rPr>
                <w:sz w:val="21"/>
              </w:rPr>
              <w:t>6.RS232</w:t>
            </w:r>
            <w:r>
              <w:rPr>
                <w:spacing w:val="-9"/>
                <w:sz w:val="21"/>
              </w:rPr>
              <w:t xml:space="preserve"> 接口可连接电脑；</w:t>
            </w:r>
          </w:p>
          <w:p>
            <w:pPr>
              <w:pStyle w:val="TableParagraph"/>
              <w:spacing w:line="322" w:lineRule="exact"/>
              <w:ind w:left="5"/>
              <w:rPr>
                <w:sz w:val="21"/>
              </w:rPr>
            </w:pPr>
            <w:r>
              <w:rPr>
                <w:rFonts w:ascii="Microsoft JhengHei" w:eastAsia="Microsoft JhengHei"/>
                <w:b/>
                <w:w w:val="88"/>
                <w:sz w:val="21"/>
              </w:rPr>
              <w:t>*</w:t>
            </w:r>
            <w:r>
              <w:rPr>
                <w:rFonts w:ascii="Microsoft JhengHei" w:eastAsia="Microsoft JhengHei"/>
                <w:b/>
                <w:w w:val="64"/>
                <w:sz w:val="21"/>
              </w:rPr>
              <w:t>7</w:t>
            </w:r>
            <w:r>
              <w:rPr>
                <w:rFonts w:ascii="Microsoft JhengHei" w:eastAsia="Microsoft JhengHei"/>
                <w:b/>
                <w:w w:val="177"/>
                <w:sz w:val="21"/>
              </w:rPr>
              <w:t>.</w:t>
            </w:r>
            <w:r>
              <w:rPr>
                <w:spacing w:val="-4"/>
                <w:sz w:val="21"/>
              </w:rPr>
              <w:t xml:space="preserve">光源采用英国进口 </w:t>
            </w:r>
            <w:r>
              <w:rPr>
                <w:sz w:val="21"/>
              </w:rPr>
              <w:t>CML</w:t>
            </w:r>
            <w:r>
              <w:rPr>
                <w:spacing w:val="-10"/>
                <w:sz w:val="21"/>
              </w:rPr>
              <w:t xml:space="preserve"> 灯泡。</w:t>
            </w:r>
          </w:p>
        </w:tc>
        <w:tc>
          <w:tcPr>
            <w:tcW w:w="2880" w:type="dxa"/>
            <w:tcBorders>
              <w:top w:val="nil"/>
              <w:left w:val="single" w:sz="4" w:space="0" w:color="000000"/>
              <w:bottom w:val="nil"/>
              <w:right w:val="single" w:sz="4" w:space="0" w:color="000000"/>
            </w:tcBorders>
          </w:tcPr>
          <w:p>
            <w:pPr>
              <w:pStyle w:val="TableParagraph"/>
              <w:spacing w:before="20"/>
              <w:ind w:left="5" w:right="-15"/>
              <w:rPr>
                <w:sz w:val="21"/>
              </w:rPr>
            </w:pPr>
            <w:r>
              <w:rPr>
                <w:color w:val="333333"/>
                <w:sz w:val="21"/>
              </w:rPr>
              <w:t>分，正偏离加分，带</w:t>
            </w:r>
            <w:r>
              <w:rPr>
                <w:rFonts w:ascii="Times New Roman" w:eastAsia="Times New Roman" w:hAnsi="Times New Roman"/>
                <w:color w:val="333333"/>
                <w:sz w:val="21"/>
              </w:rPr>
              <w:t>“</w:t>
            </w:r>
            <w:r>
              <w:rPr>
                <w:color w:val="333333"/>
                <w:sz w:val="21"/>
              </w:rPr>
              <w:t>*</w:t>
            </w:r>
            <w:r>
              <w:rPr>
                <w:rFonts w:ascii="Times New Roman" w:eastAsia="Times New Roman" w:hAnsi="Times New Roman"/>
                <w:color w:val="333333"/>
                <w:spacing w:val="3"/>
                <w:sz w:val="21"/>
              </w:rPr>
              <w:t xml:space="preserve">” </w:t>
            </w:r>
            <w:r>
              <w:rPr>
                <w:color w:val="333333"/>
                <w:spacing w:val="-4"/>
                <w:sz w:val="21"/>
              </w:rPr>
              <w:t>负偏离</w:t>
            </w:r>
          </w:p>
          <w:p>
            <w:pPr>
              <w:pStyle w:val="TableParagraph"/>
              <w:spacing w:before="42" w:line="266" w:lineRule="exact"/>
              <w:ind w:left="5" w:right="-15"/>
              <w:rPr>
                <w:sz w:val="21"/>
              </w:rPr>
            </w:pPr>
            <w:r>
              <w:rPr>
                <w:color w:val="333333"/>
                <w:spacing w:val="-9"/>
                <w:sz w:val="21"/>
              </w:rPr>
              <w:t xml:space="preserve">或不满足扣 </w:t>
            </w:r>
            <w:r>
              <w:rPr>
                <w:color w:val="333333"/>
                <w:sz w:val="21"/>
              </w:rPr>
              <w:t>1</w:t>
            </w:r>
            <w:r>
              <w:rPr>
                <w:color w:val="333333"/>
                <w:spacing w:val="-17"/>
                <w:sz w:val="21"/>
              </w:rPr>
              <w:t xml:space="preserve"> 分，其他负偏离酌</w:t>
            </w:r>
          </w:p>
        </w:tc>
        <w:tc>
          <w:tcPr>
            <w:tcW w:w="900" w:type="dxa"/>
            <w:tcBorders>
              <w:top w:val="nil"/>
              <w:left w:val="single" w:sz="4" w:space="0" w:color="000000"/>
              <w:bottom w:val="nil"/>
              <w:right w:val="single" w:sz="4" w:space="0" w:color="000000"/>
            </w:tcBorders>
          </w:tcPr>
          <w:p>
            <w:pPr>
              <w:pStyle w:val="TableParagraph"/>
              <w:spacing w:before="176"/>
              <w:ind w:left="10"/>
              <w:jc w:val="center"/>
              <w:rPr>
                <w:sz w:val="21"/>
              </w:rPr>
            </w:pPr>
            <w:r>
              <w:rPr>
                <w:sz w:val="21"/>
              </w:rPr>
              <w:t>3</w:t>
            </w:r>
          </w:p>
        </w:tc>
      </w:tr>
      <w:tr>
        <w:tblPrEx>
          <w:tblW w:w="0" w:type="auto"/>
          <w:jc w:val="left"/>
          <w:tblInd w:w="190" w:type="dxa"/>
          <w:tblLayout w:type="fixed"/>
          <w:tblCellMar>
            <w:top w:w="0" w:type="dxa"/>
            <w:left w:w="0" w:type="dxa"/>
            <w:bottom w:w="0" w:type="dxa"/>
            <w:right w:w="0" w:type="dxa"/>
          </w:tblCellMar>
          <w:tblLook w:val="01E0"/>
        </w:tblPrEx>
        <w:trPr>
          <w:trHeight w:val="310"/>
          <w:jc w:val="left"/>
        </w:trPr>
        <w:tc>
          <w:tcPr>
            <w:tcW w:w="113" w:type="dxa"/>
            <w:vMerge/>
            <w:tcBorders>
              <w:top w:val="nil"/>
              <w:left w:val="single" w:sz="4" w:space="0" w:color="000000"/>
              <w:bottom w:val="single" w:sz="4" w:space="0" w:color="000000"/>
              <w:right w:val="single" w:sz="4" w:space="0" w:color="000000"/>
            </w:tcBorders>
          </w:tcPr>
          <w:p>
            <w:pPr>
              <w:rPr>
                <w:sz w:val="2"/>
                <w:szCs w:val="2"/>
              </w:rPr>
            </w:pPr>
          </w:p>
        </w:tc>
        <w:tc>
          <w:tcPr>
            <w:tcW w:w="915" w:type="dxa"/>
            <w:tcBorders>
              <w:top w:val="nil"/>
              <w:left w:val="single" w:sz="4" w:space="0" w:color="000000"/>
              <w:bottom w:val="single" w:sz="8" w:space="0" w:color="000000"/>
              <w:right w:val="single" w:sz="4" w:space="0" w:color="000000"/>
            </w:tcBorders>
          </w:tcPr>
          <w:p>
            <w:pPr>
              <w:pStyle w:val="TableParagraph"/>
              <w:rPr>
                <w:rFonts w:ascii="Times New Roman"/>
                <w:sz w:val="20"/>
              </w:rPr>
            </w:pPr>
          </w:p>
        </w:tc>
        <w:tc>
          <w:tcPr>
            <w:tcW w:w="1260" w:type="dxa"/>
            <w:tcBorders>
              <w:top w:val="nil"/>
              <w:left w:val="single" w:sz="4" w:space="0" w:color="000000"/>
              <w:bottom w:val="single" w:sz="4" w:space="0" w:color="000000"/>
              <w:right w:val="single" w:sz="4" w:space="0" w:color="000000"/>
            </w:tcBorders>
          </w:tcPr>
          <w:p>
            <w:pPr>
              <w:pStyle w:val="TableParagraph"/>
              <w:rPr>
                <w:rFonts w:ascii="Times New Roman"/>
                <w:sz w:val="20"/>
              </w:rPr>
            </w:pPr>
          </w:p>
        </w:tc>
        <w:tc>
          <w:tcPr>
            <w:tcW w:w="4120" w:type="dxa"/>
            <w:tcBorders>
              <w:top w:val="nil"/>
              <w:left w:val="single" w:sz="4" w:space="0" w:color="000000"/>
              <w:bottom w:val="single" w:sz="4" w:space="0" w:color="000000"/>
              <w:right w:val="single" w:sz="4" w:space="0" w:color="000000"/>
            </w:tcBorders>
          </w:tcPr>
          <w:p>
            <w:pPr>
              <w:pStyle w:val="TableParagraph"/>
              <w:rPr>
                <w:rFonts w:ascii="Times New Roman"/>
                <w:sz w:val="20"/>
              </w:rPr>
            </w:pPr>
          </w:p>
        </w:tc>
        <w:tc>
          <w:tcPr>
            <w:tcW w:w="2880" w:type="dxa"/>
            <w:tcBorders>
              <w:top w:val="nil"/>
              <w:left w:val="single" w:sz="4" w:space="0" w:color="000000"/>
              <w:bottom w:val="single" w:sz="8" w:space="0" w:color="000000"/>
              <w:right w:val="single" w:sz="4" w:space="0" w:color="000000"/>
            </w:tcBorders>
          </w:tcPr>
          <w:p>
            <w:pPr>
              <w:pStyle w:val="TableParagraph"/>
              <w:spacing w:before="16"/>
              <w:ind w:left="5"/>
              <w:rPr>
                <w:sz w:val="21"/>
              </w:rPr>
            </w:pPr>
            <w:r>
              <w:rPr>
                <w:color w:val="333333"/>
                <w:spacing w:val="-7"/>
                <w:sz w:val="21"/>
              </w:rPr>
              <w:t xml:space="preserve">情扣分，最低得 </w:t>
            </w:r>
            <w:r>
              <w:rPr>
                <w:color w:val="333333"/>
                <w:sz w:val="21"/>
              </w:rPr>
              <w:t>0</w:t>
            </w:r>
            <w:r>
              <w:rPr>
                <w:color w:val="333333"/>
                <w:spacing w:val="-32"/>
                <w:sz w:val="21"/>
              </w:rPr>
              <w:t xml:space="preserve"> 分</w:t>
            </w:r>
          </w:p>
        </w:tc>
        <w:tc>
          <w:tcPr>
            <w:tcW w:w="900" w:type="dxa"/>
            <w:tcBorders>
              <w:top w:val="nil"/>
              <w:left w:val="single" w:sz="4" w:space="0" w:color="000000"/>
              <w:bottom w:val="single" w:sz="8" w:space="0" w:color="000000"/>
              <w:right w:val="single" w:sz="4" w:space="0" w:color="000000"/>
            </w:tcBorders>
          </w:tcPr>
          <w:p>
            <w:pPr>
              <w:pStyle w:val="TableParagraph"/>
              <w:rPr>
                <w:rFonts w:ascii="Times New Roman"/>
                <w:sz w:val="20"/>
              </w:rPr>
            </w:pPr>
          </w:p>
        </w:tc>
      </w:tr>
    </w:tbl>
    <w:p>
      <w:pPr>
        <w:spacing w:after="0"/>
        <w:rPr>
          <w:rFonts w:ascii="Times New Roman"/>
          <w:sz w:val="20"/>
        </w:rPr>
        <w:sectPr>
          <w:headerReference w:type="default" r:id="rId54"/>
          <w:footerReference w:type="default" r:id="rId55"/>
          <w:pgSz w:w="11910" w:h="16840"/>
          <w:pgMar w:top="1040" w:right="560" w:bottom="1160" w:left="840" w:header="859" w:footer="971"/>
          <w:pgNumType w:start="24"/>
          <w:cols w:space="708"/>
        </w:sectPr>
      </w:pPr>
    </w:p>
    <w:p>
      <w:pPr>
        <w:pStyle w:val="BodyText"/>
        <w:rPr>
          <w:sz w:val="20"/>
        </w:rPr>
      </w:pPr>
      <w:r>
        <w:pict>
          <v:shapetype id="_x0000_t202" coordsize="21600,21600" o:spt="202" path="m,l,21600r21600,l21600,xe">
            <v:stroke joinstyle="miter"/>
            <v:path gradientshapeok="t" o:connecttype="rect"/>
          </v:shapetype>
          <v:shape id="_x0000_s1029" type="#_x0000_t202" style="width:509.9pt;height:669.75pt;margin-top:55.22pt;margin-left:51.05pt;mso-position-horizontal-relative:page;mso-position-vertical-relative:page;position:absolute;z-index:251660288" filled="f" stroked="f">
            <v:textbox inset="0,0,0,0">
              <w:txbxContent>
                <w:tbl>
                  <w:tblPr>
                    <w:tblStyle w:val="TableNormal5"/>
                    <w:tblW w:w="0" w:type="auto"/>
                    <w:jc w:val="left"/>
                    <w:tblInd w:w="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3"/>
                    <w:gridCol w:w="915"/>
                    <w:gridCol w:w="1260"/>
                    <w:gridCol w:w="123"/>
                    <w:gridCol w:w="906"/>
                    <w:gridCol w:w="382"/>
                    <w:gridCol w:w="524"/>
                    <w:gridCol w:w="765"/>
                    <w:gridCol w:w="370"/>
                    <w:gridCol w:w="1044"/>
                    <w:gridCol w:w="92"/>
                    <w:gridCol w:w="2786"/>
                    <w:gridCol w:w="899"/>
                  </w:tblGrid>
                  <w:tr>
                    <w:tblPrEx>
                      <w:tblW w:w="0" w:type="auto"/>
                      <w:jc w:val="left"/>
                      <w:tblInd w:w="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629"/>
                      <w:jc w:val="left"/>
                    </w:trPr>
                    <w:tc>
                      <w:tcPr>
                        <w:tcW w:w="113" w:type="dxa"/>
                        <w:tcBorders>
                          <w:left w:val="single" w:sz="4" w:space="0" w:color="000000"/>
                          <w:bottom w:val="nil"/>
                          <w:right w:val="single" w:sz="4" w:space="0" w:color="000000"/>
                        </w:tcBorders>
                      </w:tcPr>
                      <w:p>
                        <w:pPr>
                          <w:pStyle w:val="TableParagraph"/>
                          <w:rPr>
                            <w:rFonts w:ascii="Times New Roman"/>
                            <w:sz w:val="20"/>
                          </w:rPr>
                        </w:pPr>
                      </w:p>
                    </w:tc>
                    <w:tc>
                      <w:tcPr>
                        <w:tcW w:w="915" w:type="dxa"/>
                        <w:tcBorders>
                          <w:top w:val="single" w:sz="18"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66"/>
                          <w:ind w:left="10"/>
                          <w:jc w:val="center"/>
                          <w:rPr>
                            <w:sz w:val="21"/>
                          </w:rPr>
                        </w:pPr>
                        <w:r>
                          <w:rPr>
                            <w:sz w:val="21"/>
                          </w:rPr>
                          <w:t>3</w:t>
                        </w:r>
                      </w:p>
                    </w:tc>
                    <w:tc>
                      <w:tcPr>
                        <w:tcW w:w="1260" w:type="dxa"/>
                        <w:tcBorders>
                          <w:top w:val="single" w:sz="18"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66"/>
                          <w:ind w:left="65" w:right="55"/>
                          <w:jc w:val="center"/>
                          <w:rPr>
                            <w:sz w:val="21"/>
                          </w:rPr>
                        </w:pPr>
                        <w:r>
                          <w:rPr>
                            <w:spacing w:val="-2"/>
                            <w:sz w:val="21"/>
                          </w:rPr>
                          <w:t>阿贝折光仪</w:t>
                        </w:r>
                      </w:p>
                    </w:tc>
                    <w:tc>
                      <w:tcPr>
                        <w:tcW w:w="4114" w:type="dxa"/>
                        <w:gridSpan w:val="7"/>
                        <w:tcBorders>
                          <w:top w:val="single" w:sz="18" w:space="0" w:color="000000"/>
                          <w:left w:val="single" w:sz="4" w:space="0" w:color="000000"/>
                          <w:bottom w:val="single" w:sz="4" w:space="0" w:color="000000"/>
                          <w:right w:val="single" w:sz="4" w:space="0" w:color="000000"/>
                        </w:tcBorders>
                      </w:tcPr>
                      <w:p>
                        <w:pPr>
                          <w:pStyle w:val="TableParagraph"/>
                          <w:numPr>
                            <w:ilvl w:val="0"/>
                            <w:numId w:val="21"/>
                          </w:numPr>
                          <w:tabs>
                            <w:tab w:val="left" w:pos="216"/>
                          </w:tabs>
                          <w:spacing w:before="0" w:after="0" w:line="267" w:lineRule="exact"/>
                          <w:ind w:left="216" w:right="0" w:hanging="211"/>
                          <w:jc w:val="left"/>
                          <w:rPr>
                            <w:sz w:val="21"/>
                          </w:rPr>
                        </w:pPr>
                        <w:r>
                          <w:rPr>
                            <w:sz w:val="21"/>
                          </w:rPr>
                          <w:t>测量范围：n D 1.3000-</w:t>
                        </w:r>
                        <w:r>
                          <w:rPr>
                            <w:spacing w:val="-2"/>
                            <w:sz w:val="21"/>
                          </w:rPr>
                          <w:t>1.7000；</w:t>
                        </w:r>
                      </w:p>
                      <w:p>
                        <w:pPr>
                          <w:pStyle w:val="TableParagraph"/>
                          <w:numPr>
                            <w:ilvl w:val="0"/>
                            <w:numId w:val="21"/>
                          </w:numPr>
                          <w:tabs>
                            <w:tab w:val="left" w:pos="216"/>
                          </w:tabs>
                          <w:spacing w:before="3" w:after="0" w:line="240" w:lineRule="auto"/>
                          <w:ind w:left="216" w:right="0" w:hanging="211"/>
                          <w:jc w:val="left"/>
                          <w:rPr>
                            <w:sz w:val="21"/>
                          </w:rPr>
                        </w:pPr>
                        <w:r>
                          <w:rPr>
                            <w:sz w:val="21"/>
                          </w:rPr>
                          <w:t xml:space="preserve">Brix ( % ) 0.0 至 </w:t>
                        </w:r>
                        <w:r>
                          <w:rPr>
                            <w:spacing w:val="-2"/>
                            <w:sz w:val="21"/>
                          </w:rPr>
                          <w:t>95.0%；</w:t>
                        </w:r>
                      </w:p>
                      <w:p>
                        <w:pPr>
                          <w:pStyle w:val="TableParagraph"/>
                          <w:numPr>
                            <w:ilvl w:val="0"/>
                            <w:numId w:val="21"/>
                          </w:numPr>
                          <w:tabs>
                            <w:tab w:val="left" w:pos="216"/>
                          </w:tabs>
                          <w:spacing w:before="3" w:after="0" w:line="240" w:lineRule="auto"/>
                          <w:ind w:left="216" w:right="0" w:hanging="211"/>
                          <w:jc w:val="left"/>
                          <w:rPr>
                            <w:sz w:val="21"/>
                          </w:rPr>
                        </w:pPr>
                        <w:r>
                          <w:rPr>
                            <w:sz w:val="21"/>
                          </w:rPr>
                          <w:t>准确度：n D ±0.0002</w:t>
                        </w:r>
                        <w:r>
                          <w:rPr>
                            <w:spacing w:val="-14"/>
                            <w:sz w:val="21"/>
                          </w:rPr>
                          <w:t xml:space="preserve"> 糖度 ；</w:t>
                        </w:r>
                      </w:p>
                      <w:p>
                        <w:pPr>
                          <w:pStyle w:val="TableParagraph"/>
                          <w:numPr>
                            <w:ilvl w:val="0"/>
                            <w:numId w:val="21"/>
                          </w:numPr>
                          <w:tabs>
                            <w:tab w:val="left" w:pos="216"/>
                          </w:tabs>
                          <w:spacing w:before="4" w:after="0" w:line="240" w:lineRule="auto"/>
                          <w:ind w:left="216" w:right="0" w:hanging="211"/>
                          <w:jc w:val="left"/>
                          <w:rPr>
                            <w:sz w:val="21"/>
                          </w:rPr>
                        </w:pPr>
                        <w:r>
                          <w:rPr>
                            <w:sz w:val="21"/>
                          </w:rPr>
                          <w:t xml:space="preserve">Brix ( % ) </w:t>
                        </w:r>
                        <w:r>
                          <w:rPr>
                            <w:spacing w:val="-2"/>
                            <w:sz w:val="21"/>
                          </w:rPr>
                          <w:t>±0.1%；</w:t>
                        </w:r>
                      </w:p>
                      <w:p>
                        <w:pPr>
                          <w:pStyle w:val="TableParagraph"/>
                          <w:numPr>
                            <w:ilvl w:val="0"/>
                            <w:numId w:val="21"/>
                          </w:numPr>
                          <w:tabs>
                            <w:tab w:val="left" w:pos="216"/>
                          </w:tabs>
                          <w:spacing w:before="3" w:after="0" w:line="240" w:lineRule="auto"/>
                          <w:ind w:left="216" w:right="0" w:hanging="211"/>
                          <w:jc w:val="left"/>
                          <w:rPr>
                            <w:sz w:val="21"/>
                          </w:rPr>
                        </w:pPr>
                        <w:r>
                          <w:rPr>
                            <w:spacing w:val="-1"/>
                            <w:sz w:val="21"/>
                          </w:rPr>
                          <w:t>液晶显示，自动读数；</w:t>
                        </w:r>
                      </w:p>
                      <w:p>
                        <w:pPr>
                          <w:pStyle w:val="TableParagraph"/>
                          <w:numPr>
                            <w:ilvl w:val="0"/>
                            <w:numId w:val="21"/>
                          </w:numPr>
                          <w:tabs>
                            <w:tab w:val="left" w:pos="216"/>
                          </w:tabs>
                          <w:spacing w:before="3" w:after="0" w:line="249" w:lineRule="exact"/>
                          <w:ind w:left="216" w:right="-58" w:hanging="211"/>
                          <w:jc w:val="left"/>
                          <w:rPr>
                            <w:sz w:val="21"/>
                          </w:rPr>
                        </w:pPr>
                        <w:r>
                          <w:rPr>
                            <w:spacing w:val="-4"/>
                            <w:sz w:val="21"/>
                          </w:rPr>
                          <w:t xml:space="preserve">温度显示范围(最小示值 </w:t>
                        </w:r>
                        <w:r>
                          <w:rPr>
                            <w:spacing w:val="-2"/>
                            <w:sz w:val="21"/>
                          </w:rPr>
                          <w:t>0.1℃)：0-</w:t>
                        </w:r>
                        <w:r>
                          <w:rPr>
                            <w:spacing w:val="-4"/>
                            <w:sz w:val="21"/>
                          </w:rPr>
                          <w:t>50℃；</w:t>
                        </w:r>
                      </w:p>
                    </w:tc>
                    <w:tc>
                      <w:tcPr>
                        <w:tcW w:w="2878" w:type="dxa"/>
                        <w:gridSpan w:val="2"/>
                        <w:tcBorders>
                          <w:top w:val="single" w:sz="18" w:space="0" w:color="000000"/>
                          <w:left w:val="single" w:sz="4" w:space="0" w:color="000000"/>
                          <w:bottom w:val="single" w:sz="4" w:space="0" w:color="000000"/>
                          <w:right w:val="single" w:sz="4" w:space="0" w:color="000000"/>
                        </w:tcBorders>
                      </w:tcPr>
                      <w:p>
                        <w:pPr>
                          <w:pStyle w:val="TableParagraph"/>
                          <w:spacing w:before="8"/>
                          <w:rPr>
                            <w:sz w:val="28"/>
                          </w:rPr>
                        </w:pPr>
                      </w:p>
                      <w:p>
                        <w:pPr>
                          <w:pStyle w:val="TableParagraph"/>
                          <w:spacing w:line="278" w:lineRule="auto"/>
                          <w:ind w:left="11" w:right="-15"/>
                          <w:jc w:val="both"/>
                          <w:rPr>
                            <w:sz w:val="21"/>
                          </w:rPr>
                        </w:pPr>
                        <w:r>
                          <w:rPr>
                            <w:color w:val="333333"/>
                            <w:spacing w:val="8"/>
                            <w:sz w:val="21"/>
                          </w:rPr>
                          <w:t xml:space="preserve">技术指标完全满足的得 </w:t>
                        </w:r>
                        <w:r>
                          <w:rPr>
                            <w:color w:val="333333"/>
                            <w:sz w:val="21"/>
                          </w:rPr>
                          <w:t>2-2.5</w:t>
                        </w:r>
                        <w:r>
                          <w:rPr>
                            <w:color w:val="333333"/>
                            <w:spacing w:val="-6"/>
                            <w:sz w:val="21"/>
                          </w:rPr>
                          <w:t>分，正偏离加分，负偏离酌情扣</w:t>
                        </w:r>
                        <w:r>
                          <w:rPr>
                            <w:color w:val="333333"/>
                            <w:spacing w:val="-4"/>
                            <w:sz w:val="21"/>
                          </w:rPr>
                          <w:t xml:space="preserve">分，最低得 </w:t>
                        </w:r>
                        <w:r>
                          <w:rPr>
                            <w:color w:val="333333"/>
                            <w:sz w:val="21"/>
                          </w:rPr>
                          <w:t>0</w:t>
                        </w:r>
                        <w:r>
                          <w:rPr>
                            <w:color w:val="333333"/>
                            <w:spacing w:val="-11"/>
                            <w:sz w:val="21"/>
                          </w:rPr>
                          <w:t xml:space="preserve"> 分</w:t>
                        </w:r>
                      </w:p>
                    </w:tc>
                    <w:tc>
                      <w:tcPr>
                        <w:tcW w:w="899" w:type="dxa"/>
                        <w:tcBorders>
                          <w:top w:val="single" w:sz="18"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66"/>
                          <w:ind w:left="27"/>
                          <w:jc w:val="center"/>
                          <w:rPr>
                            <w:sz w:val="21"/>
                          </w:rPr>
                        </w:pPr>
                        <w:r>
                          <w:rPr>
                            <w:sz w:val="21"/>
                          </w:rPr>
                          <w:t>3</w:t>
                        </w:r>
                      </w:p>
                    </w:tc>
                  </w:tr>
                  <w:tr>
                    <w:tblPrEx>
                      <w:tblW w:w="0" w:type="auto"/>
                      <w:jc w:val="left"/>
                      <w:tblInd w:w="5" w:type="dxa"/>
                      <w:tblLayout w:type="fixed"/>
                      <w:tblCellMar>
                        <w:top w:w="0" w:type="dxa"/>
                        <w:left w:w="0" w:type="dxa"/>
                        <w:bottom w:w="0" w:type="dxa"/>
                        <w:right w:w="0" w:type="dxa"/>
                      </w:tblCellMar>
                      <w:tblLook w:val="01E0"/>
                    </w:tblPrEx>
                    <w:trPr>
                      <w:trHeight w:val="1248"/>
                      <w:jc w:val="left"/>
                    </w:trPr>
                    <w:tc>
                      <w:tcPr>
                        <w:tcW w:w="113" w:type="dxa"/>
                        <w:vMerge w:val="restart"/>
                        <w:tcBorders>
                          <w:top w:val="nil"/>
                          <w:left w:val="single" w:sz="4" w:space="0" w:color="000000"/>
                          <w:bottom w:val="nil"/>
                          <w:right w:val="single" w:sz="4" w:space="0" w:color="000000"/>
                        </w:tcBorders>
                      </w:tcPr>
                      <w:p>
                        <w:pPr>
                          <w:pStyle w:val="TableParagraph"/>
                          <w:rPr>
                            <w:rFonts w:ascii="Times New Roman"/>
                            <w:sz w:val="20"/>
                          </w:rPr>
                        </w:pPr>
                      </w:p>
                    </w:tc>
                    <w:tc>
                      <w:tcPr>
                        <w:tcW w:w="915"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1"/>
                          <w:rPr>
                            <w:sz w:val="24"/>
                          </w:rPr>
                        </w:pPr>
                      </w:p>
                      <w:p>
                        <w:pPr>
                          <w:pStyle w:val="TableParagraph"/>
                          <w:ind w:left="10"/>
                          <w:jc w:val="center"/>
                          <w:rPr>
                            <w:sz w:val="21"/>
                          </w:rPr>
                        </w:pPr>
                        <w:r>
                          <w:rPr>
                            <w:sz w:val="21"/>
                          </w:rPr>
                          <w:t>4</w:t>
                        </w:r>
                      </w:p>
                    </w:tc>
                    <w:tc>
                      <w:tcPr>
                        <w:tcW w:w="1260"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4"/>
                          <w:rPr>
                            <w:sz w:val="28"/>
                          </w:rPr>
                        </w:pPr>
                      </w:p>
                      <w:p>
                        <w:pPr>
                          <w:pStyle w:val="TableParagraph"/>
                          <w:ind w:left="65" w:right="55"/>
                          <w:jc w:val="center"/>
                          <w:rPr>
                            <w:sz w:val="21"/>
                          </w:rPr>
                        </w:pPr>
                        <w:r>
                          <w:rPr>
                            <w:spacing w:val="-2"/>
                            <w:sz w:val="21"/>
                          </w:rPr>
                          <w:t>真空干燥箱</w:t>
                        </w:r>
                      </w:p>
                      <w:p>
                        <w:pPr>
                          <w:pStyle w:val="TableParagraph"/>
                          <w:spacing w:before="43" w:line="278" w:lineRule="auto"/>
                          <w:ind w:left="5" w:right="-15"/>
                          <w:jc w:val="center"/>
                          <w:rPr>
                            <w:sz w:val="21"/>
                          </w:rPr>
                        </w:pPr>
                        <w:r>
                          <w:rPr>
                            <w:spacing w:val="-2"/>
                            <w:sz w:val="21"/>
                          </w:rPr>
                          <w:t>（微电脑控</w:t>
                        </w:r>
                        <w:r>
                          <w:rPr>
                            <w:spacing w:val="-2"/>
                            <w:sz w:val="21"/>
                          </w:rPr>
                          <w:t xml:space="preserve"> 制）程序液晶</w:t>
                        </w:r>
                        <w:r>
                          <w:rPr>
                            <w:spacing w:val="-6"/>
                            <w:sz w:val="21"/>
                          </w:rPr>
                          <w:t>控制</w:t>
                        </w:r>
                      </w:p>
                    </w:tc>
                    <w:tc>
                      <w:tcPr>
                        <w:tcW w:w="4114" w:type="dxa"/>
                        <w:gridSpan w:val="7"/>
                        <w:tcBorders>
                          <w:top w:val="single" w:sz="4" w:space="0" w:color="000000"/>
                          <w:left w:val="single" w:sz="4" w:space="0" w:color="000000"/>
                          <w:bottom w:val="single" w:sz="4" w:space="0" w:color="000000"/>
                          <w:right w:val="single" w:sz="4" w:space="0" w:color="000000"/>
                        </w:tcBorders>
                      </w:tcPr>
                      <w:p>
                        <w:pPr>
                          <w:pStyle w:val="TableParagraph"/>
                          <w:spacing w:before="9"/>
                          <w:rPr>
                            <w:sz w:val="27"/>
                          </w:rPr>
                        </w:pPr>
                      </w:p>
                      <w:p>
                        <w:pPr>
                          <w:pStyle w:val="TableParagraph"/>
                          <w:numPr>
                            <w:ilvl w:val="0"/>
                            <w:numId w:val="20"/>
                          </w:numPr>
                          <w:tabs>
                            <w:tab w:val="left" w:pos="216"/>
                            <w:tab w:val="left" w:pos="2367"/>
                          </w:tabs>
                          <w:spacing w:before="0" w:after="0" w:line="236" w:lineRule="exact"/>
                          <w:ind w:left="216" w:right="0" w:hanging="211"/>
                          <w:jc w:val="left"/>
                          <w:rPr>
                            <w:sz w:val="21"/>
                          </w:rPr>
                        </w:pPr>
                        <w:r>
                          <w:rPr>
                            <w:color w:val="333333"/>
                            <w:sz w:val="21"/>
                          </w:rPr>
                          <w:t>电源</w:t>
                        </w:r>
                        <w:r>
                          <w:rPr>
                            <w:color w:val="333333"/>
                            <w:spacing w:val="-53"/>
                            <w:sz w:val="21"/>
                          </w:rPr>
                          <w:t xml:space="preserve"> </w:t>
                        </w:r>
                        <w:r>
                          <w:rPr>
                            <w:color w:val="333333"/>
                            <w:sz w:val="21"/>
                          </w:rPr>
                          <w:t>AC220</w:t>
                        </w:r>
                        <w:r>
                          <w:rPr>
                            <w:color w:val="333333"/>
                            <w:spacing w:val="-53"/>
                            <w:sz w:val="21"/>
                          </w:rPr>
                          <w:t xml:space="preserve"> </w:t>
                        </w:r>
                        <w:r>
                          <w:rPr>
                            <w:color w:val="333333"/>
                            <w:sz w:val="21"/>
                          </w:rPr>
                          <w:t>电压</w:t>
                        </w:r>
                        <w:r>
                          <w:rPr>
                            <w:color w:val="333333"/>
                            <w:spacing w:val="-53"/>
                            <w:sz w:val="21"/>
                          </w:rPr>
                          <w:t xml:space="preserve"> </w:t>
                        </w:r>
                        <w:r>
                          <w:rPr>
                            <w:color w:val="333333"/>
                            <w:spacing w:val="-4"/>
                            <w:sz w:val="21"/>
                          </w:rPr>
                          <w:t>50HZ</w:t>
                        </w:r>
                        <w:r>
                          <w:rPr>
                            <w:color w:val="333333"/>
                            <w:sz w:val="21"/>
                          </w:rPr>
                          <w:tab/>
                          <w:t xml:space="preserve">输入功率 </w:t>
                        </w:r>
                        <w:r>
                          <w:rPr>
                            <w:color w:val="333333"/>
                            <w:spacing w:val="-2"/>
                            <w:sz w:val="21"/>
                          </w:rPr>
                          <w:t>1020W</w:t>
                        </w:r>
                      </w:p>
                      <w:p>
                        <w:pPr>
                          <w:pStyle w:val="TableParagraph"/>
                          <w:spacing w:line="353" w:lineRule="exact"/>
                          <w:ind w:left="5"/>
                          <w:rPr>
                            <w:sz w:val="21"/>
                          </w:rPr>
                        </w:pPr>
                        <w:r>
                          <w:rPr>
                            <w:rFonts w:ascii="Microsoft JhengHei" w:eastAsia="Microsoft JhengHei"/>
                            <w:b/>
                            <w:color w:val="333333"/>
                            <w:sz w:val="21"/>
                          </w:rPr>
                          <w:t>*</w:t>
                        </w:r>
                        <w:r>
                          <w:rPr>
                            <w:color w:val="333333"/>
                            <w:sz w:val="21"/>
                          </w:rPr>
                          <w:t>2.控温范围 RT+10-200</w:t>
                        </w:r>
                        <w:r>
                          <w:rPr>
                            <w:color w:val="333333"/>
                            <w:spacing w:val="-32"/>
                            <w:sz w:val="21"/>
                          </w:rPr>
                          <w:t xml:space="preserve"> 度</w:t>
                        </w:r>
                      </w:p>
                    </w:tc>
                    <w:tc>
                      <w:tcPr>
                        <w:tcW w:w="287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3" w:line="278" w:lineRule="auto"/>
                          <w:ind w:left="11" w:right="-15"/>
                          <w:jc w:val="both"/>
                          <w:rPr>
                            <w:sz w:val="21"/>
                          </w:rPr>
                        </w:pPr>
                        <w:r>
                          <w:rPr>
                            <w:color w:val="333333"/>
                            <w:spacing w:val="8"/>
                            <w:sz w:val="21"/>
                          </w:rPr>
                          <w:t xml:space="preserve">技术指标完全满足的得 </w:t>
                        </w:r>
                        <w:r>
                          <w:rPr>
                            <w:color w:val="333333"/>
                            <w:sz w:val="21"/>
                          </w:rPr>
                          <w:t>2.5-3分，正偏离加分，带</w:t>
                        </w:r>
                        <w:r>
                          <w:rPr>
                            <w:rFonts w:ascii="Times New Roman" w:eastAsia="Times New Roman" w:hAnsi="Times New Roman"/>
                            <w:color w:val="333333"/>
                            <w:sz w:val="21"/>
                          </w:rPr>
                          <w:t>“</w:t>
                        </w:r>
                        <w:r>
                          <w:rPr>
                            <w:color w:val="333333"/>
                            <w:sz w:val="21"/>
                          </w:rPr>
                          <w:t>*</w:t>
                        </w:r>
                        <w:r>
                          <w:rPr>
                            <w:rFonts w:ascii="Times New Roman" w:eastAsia="Times New Roman" w:hAnsi="Times New Roman"/>
                            <w:color w:val="333333"/>
                            <w:spacing w:val="-7"/>
                            <w:sz w:val="21"/>
                          </w:rPr>
                          <w:t xml:space="preserve">” </w:t>
                        </w:r>
                        <w:r>
                          <w:rPr>
                            <w:color w:val="333333"/>
                            <w:sz w:val="21"/>
                          </w:rPr>
                          <w:t>负偏离</w:t>
                        </w:r>
                        <w:r>
                          <w:rPr>
                            <w:color w:val="333333"/>
                            <w:spacing w:val="-9"/>
                            <w:sz w:val="21"/>
                          </w:rPr>
                          <w:t xml:space="preserve">或不满足扣 </w:t>
                        </w:r>
                        <w:r>
                          <w:rPr>
                            <w:color w:val="333333"/>
                            <w:sz w:val="21"/>
                          </w:rPr>
                          <w:t>2</w:t>
                        </w:r>
                        <w:r>
                          <w:rPr>
                            <w:color w:val="333333"/>
                            <w:spacing w:val="-17"/>
                            <w:sz w:val="21"/>
                          </w:rPr>
                          <w:t xml:space="preserve"> 分，其他负偏离酌</w:t>
                        </w:r>
                      </w:p>
                      <w:p>
                        <w:pPr>
                          <w:pStyle w:val="TableParagraph"/>
                          <w:spacing w:line="269" w:lineRule="exact"/>
                          <w:ind w:left="11"/>
                          <w:jc w:val="both"/>
                          <w:rPr>
                            <w:sz w:val="21"/>
                          </w:rPr>
                        </w:pPr>
                        <w:r>
                          <w:rPr>
                            <w:color w:val="333333"/>
                            <w:spacing w:val="-7"/>
                            <w:sz w:val="21"/>
                          </w:rPr>
                          <w:t xml:space="preserve">情扣分，最低得 </w:t>
                        </w:r>
                        <w:r>
                          <w:rPr>
                            <w:color w:val="333333"/>
                            <w:sz w:val="21"/>
                          </w:rPr>
                          <w:t>0</w:t>
                        </w:r>
                        <w:r>
                          <w:rPr>
                            <w:color w:val="333333"/>
                            <w:spacing w:val="-32"/>
                            <w:sz w:val="21"/>
                          </w:rPr>
                          <w:t xml:space="preserve"> 分</w:t>
                        </w:r>
                      </w:p>
                    </w:tc>
                    <w:tc>
                      <w:tcPr>
                        <w:tcW w:w="899"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4"/>
                          <w:rPr>
                            <w:sz w:val="18"/>
                          </w:rPr>
                        </w:pPr>
                      </w:p>
                      <w:p>
                        <w:pPr>
                          <w:pStyle w:val="TableParagraph"/>
                          <w:ind w:left="27"/>
                          <w:jc w:val="center"/>
                          <w:rPr>
                            <w:sz w:val="21"/>
                          </w:rPr>
                        </w:pPr>
                        <w:r>
                          <w:rPr>
                            <w:sz w:val="21"/>
                          </w:rPr>
                          <w:t>4</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4114" w:type="dxa"/>
                        <w:gridSpan w:val="7"/>
                        <w:tcBorders>
                          <w:top w:val="single" w:sz="4" w:space="0" w:color="000000"/>
                          <w:left w:val="single" w:sz="4" w:space="0" w:color="000000"/>
                          <w:bottom w:val="single" w:sz="4" w:space="0" w:color="000000"/>
                          <w:right w:val="single" w:sz="4" w:space="0" w:color="000000"/>
                        </w:tcBorders>
                      </w:tcPr>
                      <w:p>
                        <w:pPr>
                          <w:pStyle w:val="TableParagraph"/>
                          <w:spacing w:line="252" w:lineRule="exact"/>
                          <w:ind w:left="5"/>
                          <w:rPr>
                            <w:rFonts w:ascii="Microsoft JhengHei" w:eastAsia="Microsoft JhengHei"/>
                            <w:b/>
                            <w:sz w:val="21"/>
                          </w:rPr>
                        </w:pPr>
                        <w:r>
                          <w:rPr>
                            <w:rFonts w:ascii="Microsoft JhengHei" w:eastAsia="Microsoft JhengHei"/>
                            <w:b/>
                            <w:color w:val="333333"/>
                            <w:sz w:val="21"/>
                          </w:rPr>
                          <w:t>**</w:t>
                        </w:r>
                        <w:r>
                          <w:rPr>
                            <w:rFonts w:ascii="Microsoft JhengHei" w:eastAsia="Microsoft JhengHei"/>
                            <w:b/>
                            <w:color w:val="333333"/>
                            <w:spacing w:val="7"/>
                            <w:sz w:val="21"/>
                            <w:u w:val="thick" w:color="333333"/>
                          </w:rPr>
                          <w:t xml:space="preserve">温度分辨 </w:t>
                        </w:r>
                        <w:r>
                          <w:rPr>
                            <w:rFonts w:ascii="Microsoft JhengHei" w:eastAsia="Microsoft JhengHei"/>
                            <w:b/>
                            <w:color w:val="333333"/>
                            <w:w w:val="62"/>
                            <w:sz w:val="21"/>
                            <w:u w:val="thick" w:color="333333"/>
                          </w:rPr>
                          <w:t>0</w:t>
                        </w:r>
                        <w:r>
                          <w:rPr>
                            <w:rFonts w:ascii="Microsoft JhengHei" w:eastAsia="Microsoft JhengHei"/>
                            <w:b/>
                            <w:color w:val="333333"/>
                            <w:w w:val="175"/>
                            <w:sz w:val="21"/>
                            <w:u w:val="thick" w:color="333333"/>
                          </w:rPr>
                          <w:t>.</w:t>
                        </w:r>
                        <w:r>
                          <w:rPr>
                            <w:rFonts w:ascii="Microsoft JhengHei" w:eastAsia="Microsoft JhengHei"/>
                            <w:b/>
                            <w:color w:val="333333"/>
                            <w:w w:val="62"/>
                            <w:sz w:val="21"/>
                            <w:u w:val="thick" w:color="333333"/>
                          </w:rPr>
                          <w:t>1</w:t>
                        </w:r>
                        <w:r>
                          <w:rPr>
                            <w:rFonts w:ascii="Microsoft JhengHei" w:eastAsia="Microsoft JhengHei"/>
                            <w:b/>
                            <w:color w:val="333333"/>
                            <w:spacing w:val="1"/>
                            <w:sz w:val="21"/>
                            <w:u w:val="thick" w:color="333333"/>
                          </w:rPr>
                          <w:t xml:space="preserve"> 度，率波动度+/-</w:t>
                        </w:r>
                        <w:r>
                          <w:rPr>
                            <w:rFonts w:ascii="Microsoft JhengHei" w:eastAsia="Microsoft JhengHei"/>
                            <w:b/>
                            <w:color w:val="333333"/>
                            <w:w w:val="62"/>
                            <w:sz w:val="21"/>
                            <w:u w:val="thick" w:color="333333"/>
                          </w:rPr>
                          <w:t>0</w:t>
                        </w:r>
                        <w:r>
                          <w:rPr>
                            <w:rFonts w:ascii="Microsoft JhengHei" w:eastAsia="Microsoft JhengHei"/>
                            <w:b/>
                            <w:color w:val="333333"/>
                            <w:w w:val="175"/>
                            <w:sz w:val="21"/>
                            <w:u w:val="thick" w:color="333333"/>
                          </w:rPr>
                          <w:t>.</w:t>
                        </w:r>
                        <w:r>
                          <w:rPr>
                            <w:rFonts w:ascii="Microsoft JhengHei" w:eastAsia="Microsoft JhengHei"/>
                            <w:b/>
                            <w:color w:val="333333"/>
                            <w:w w:val="62"/>
                            <w:sz w:val="21"/>
                            <w:u w:val="thick" w:color="333333"/>
                          </w:rPr>
                          <w:t>1</w:t>
                        </w:r>
                        <w:r>
                          <w:rPr>
                            <w:rFonts w:ascii="Microsoft JhengHei" w:eastAsia="Microsoft JhengHei"/>
                            <w:b/>
                            <w:color w:val="333333"/>
                            <w:spacing w:val="9"/>
                            <w:sz w:val="21"/>
                            <w:u w:val="thick" w:color="333333"/>
                          </w:rPr>
                          <w:t xml:space="preserve"> 度；</w:t>
                        </w:r>
                      </w:p>
                    </w:tc>
                    <w:tc>
                      <w:tcPr>
                        <w:tcW w:w="2878"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spacing w:before="7"/>
                          <w:rPr>
                            <w:sz w:val="29"/>
                          </w:rPr>
                        </w:pPr>
                      </w:p>
                      <w:p>
                        <w:pPr>
                          <w:pStyle w:val="TableParagraph"/>
                          <w:ind w:left="120"/>
                          <w:rPr>
                            <w:rFonts w:ascii="Microsoft JhengHei" w:eastAsia="Microsoft JhengHei"/>
                            <w:b/>
                            <w:sz w:val="22"/>
                          </w:rPr>
                        </w:pPr>
                        <w:r>
                          <w:rPr>
                            <w:rFonts w:ascii="Microsoft JhengHei" w:eastAsia="Microsoft JhengHei"/>
                            <w:b/>
                            <w:spacing w:val="-1"/>
                            <w:sz w:val="22"/>
                          </w:rPr>
                          <w:t>本项不满足，投标为无效标</w:t>
                        </w:r>
                      </w:p>
                    </w:tc>
                    <w:tc>
                      <w:tcPr>
                        <w:tcW w:w="89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9"/>
                          <w:rPr>
                            <w:sz w:val="15"/>
                          </w:rPr>
                        </w:pPr>
                      </w:p>
                      <w:p>
                        <w:pPr>
                          <w:pStyle w:val="TableParagraph"/>
                          <w:spacing w:before="1"/>
                          <w:ind w:left="27"/>
                          <w:jc w:val="center"/>
                          <w:rPr>
                            <w:sz w:val="21"/>
                          </w:rPr>
                        </w:pPr>
                        <w:r>
                          <w:rPr>
                            <w:sz w:val="21"/>
                          </w:rPr>
                          <w:t>0</w:t>
                        </w:r>
                      </w:p>
                    </w:tc>
                  </w:tr>
                  <w:tr>
                    <w:tblPrEx>
                      <w:tblW w:w="0" w:type="auto"/>
                      <w:jc w:val="left"/>
                      <w:tblInd w:w="5" w:type="dxa"/>
                      <w:tblLayout w:type="fixed"/>
                      <w:tblCellMar>
                        <w:top w:w="0" w:type="dxa"/>
                        <w:left w:w="0" w:type="dxa"/>
                        <w:bottom w:w="0" w:type="dxa"/>
                        <w:right w:w="0" w:type="dxa"/>
                      </w:tblCellMar>
                      <w:tblLook w:val="01E0"/>
                    </w:tblPrEx>
                    <w:trPr>
                      <w:trHeight w:val="900"/>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4114" w:type="dxa"/>
                        <w:gridSpan w:val="7"/>
                        <w:tcBorders>
                          <w:top w:val="single" w:sz="4" w:space="0" w:color="000000"/>
                          <w:left w:val="single" w:sz="4" w:space="0" w:color="000000"/>
                          <w:bottom w:val="single" w:sz="4" w:space="0" w:color="000000"/>
                          <w:right w:val="single" w:sz="4" w:space="0" w:color="000000"/>
                        </w:tcBorders>
                      </w:tcPr>
                      <w:p>
                        <w:pPr>
                          <w:pStyle w:val="TableParagraph"/>
                          <w:rPr>
                            <w:sz w:val="15"/>
                          </w:rPr>
                        </w:pPr>
                      </w:p>
                      <w:p>
                        <w:pPr>
                          <w:pStyle w:val="TableParagraph"/>
                          <w:tabs>
                            <w:tab w:val="left" w:pos="2219"/>
                          </w:tabs>
                          <w:spacing w:line="170" w:lineRule="auto"/>
                          <w:ind w:left="5" w:right="-29"/>
                          <w:rPr>
                            <w:rFonts w:ascii="Microsoft JhengHei" w:eastAsia="Microsoft JhengHei"/>
                            <w:b/>
                            <w:sz w:val="21"/>
                          </w:rPr>
                        </w:pPr>
                        <w:r>
                          <w:rPr>
                            <w:rFonts w:ascii="Microsoft JhengHei" w:eastAsia="Microsoft JhengHei"/>
                            <w:b/>
                            <w:color w:val="333333"/>
                            <w:sz w:val="21"/>
                          </w:rPr>
                          <w:t>**</w:t>
                        </w:r>
                        <w:r>
                          <w:rPr>
                            <w:rFonts w:ascii="Microsoft JhengHei" w:eastAsia="Microsoft JhengHei"/>
                            <w:b/>
                            <w:color w:val="333333"/>
                            <w:sz w:val="21"/>
                            <w:u w:val="thick" w:color="333333"/>
                          </w:rPr>
                          <w:t>达到真空度</w:t>
                        </w:r>
                        <w:r>
                          <w:rPr>
                            <w:rFonts w:ascii="Microsoft JhengHei" w:eastAsia="Microsoft JhengHei"/>
                            <w:b/>
                            <w:color w:val="333333"/>
                            <w:spacing w:val="40"/>
                            <w:sz w:val="21"/>
                            <w:u w:val="thick" w:color="333333"/>
                          </w:rPr>
                          <w:t xml:space="preserve"> </w:t>
                        </w:r>
                        <w:r>
                          <w:rPr>
                            <w:rFonts w:ascii="Microsoft JhengHei" w:eastAsia="Microsoft JhengHei"/>
                            <w:b/>
                            <w:color w:val="333333"/>
                            <w:sz w:val="21"/>
                            <w:u w:val="thick" w:color="333333"/>
                          </w:rPr>
                          <w:t>133Pa</w:t>
                          <w:tab/>
                        </w:r>
                        <w:r>
                          <w:rPr>
                            <w:rFonts w:ascii="Microsoft JhengHei" w:eastAsia="Microsoft JhengHei"/>
                            <w:b/>
                            <w:color w:val="333333"/>
                            <w:spacing w:val="-6"/>
                            <w:sz w:val="21"/>
                            <w:u w:val="thick" w:color="333333"/>
                          </w:rPr>
                          <w:t>工</w:t>
                        </w:r>
                        <w:r>
                          <w:rPr>
                            <w:rFonts w:ascii="Microsoft JhengHei" w:eastAsia="Microsoft JhengHei"/>
                            <w:b/>
                            <w:color w:val="333333"/>
                            <w:spacing w:val="-6"/>
                            <w:sz w:val="21"/>
                            <w:u w:val="thick" w:color="333333"/>
                          </w:rPr>
                          <w:t>作</w:t>
                        </w:r>
                        <w:r>
                          <w:rPr>
                            <w:rFonts w:ascii="Microsoft JhengHei" w:eastAsia="Microsoft JhengHei"/>
                            <w:b/>
                            <w:color w:val="333333"/>
                            <w:spacing w:val="-6"/>
                            <w:sz w:val="21"/>
                            <w:u w:val="thick" w:color="333333"/>
                          </w:rPr>
                          <w:t>环</w:t>
                        </w:r>
                        <w:r>
                          <w:rPr>
                            <w:rFonts w:ascii="Microsoft JhengHei" w:eastAsia="Microsoft JhengHei"/>
                            <w:b/>
                            <w:color w:val="333333"/>
                            <w:spacing w:val="-6"/>
                            <w:sz w:val="21"/>
                            <w:u w:val="thick" w:color="333333"/>
                          </w:rPr>
                          <w:t>境</w:t>
                        </w:r>
                        <w:r>
                          <w:rPr>
                            <w:rFonts w:ascii="Microsoft JhengHei" w:eastAsia="Microsoft JhengHei"/>
                            <w:b/>
                            <w:color w:val="333333"/>
                            <w:spacing w:val="-6"/>
                            <w:sz w:val="21"/>
                            <w:u w:val="thick" w:color="333333"/>
                          </w:rPr>
                          <w:t>温</w:t>
                        </w:r>
                        <w:r>
                          <w:rPr>
                            <w:rFonts w:ascii="Microsoft JhengHei" w:eastAsia="Microsoft JhengHei"/>
                            <w:b/>
                            <w:color w:val="333333"/>
                            <w:spacing w:val="-6"/>
                            <w:sz w:val="21"/>
                            <w:u w:val="thick" w:color="333333"/>
                          </w:rPr>
                          <w:t>度</w:t>
                        </w:r>
                        <w:r>
                          <w:rPr>
                            <w:rFonts w:ascii="Microsoft JhengHei" w:eastAsia="Microsoft JhengHei"/>
                            <w:b/>
                            <w:color w:val="333333"/>
                            <w:spacing w:val="15"/>
                            <w:sz w:val="21"/>
                            <w:u w:val="thick" w:color="333333"/>
                          </w:rPr>
                          <w:t xml:space="preserve"> </w:t>
                        </w:r>
                        <w:r>
                          <w:rPr>
                            <w:rFonts w:ascii="Microsoft JhengHei" w:eastAsia="Microsoft JhengHei"/>
                            <w:b/>
                            <w:color w:val="333333"/>
                            <w:spacing w:val="-6"/>
                            <w:sz w:val="21"/>
                            <w:u w:val="thick" w:color="333333"/>
                          </w:rPr>
                          <w:t>+5-40</w:t>
                        </w:r>
                        <w:r>
                          <w:rPr>
                            <w:rFonts w:ascii="Microsoft JhengHei" w:eastAsia="Microsoft JhengHei"/>
                            <w:b/>
                            <w:color w:val="333333"/>
                            <w:spacing w:val="80"/>
                            <w:w w:val="150"/>
                            <w:sz w:val="21"/>
                            <w:u w:val="thick" w:color="333333"/>
                          </w:rPr>
                          <w:t xml:space="preserve">                                 </w:t>
                        </w:r>
                        <w:r>
                          <w:rPr>
                            <w:rFonts w:ascii="Microsoft JhengHei" w:eastAsia="Microsoft JhengHei"/>
                            <w:b/>
                            <w:color w:val="333333"/>
                            <w:sz w:val="21"/>
                            <w:u w:val="thick" w:color="333333"/>
                          </w:rPr>
                          <w:t>度</w:t>
                        </w:r>
                        <w:r>
                          <w:rPr>
                            <w:rFonts w:ascii="Microsoft JhengHei" w:eastAsia="Microsoft JhengHei"/>
                            <w:b/>
                            <w:color w:val="333333"/>
                            <w:spacing w:val="40"/>
                            <w:sz w:val="21"/>
                            <w:u w:val="thick" w:color="333333"/>
                          </w:rPr>
                          <w:t xml:space="preserve"> </w:t>
                        </w:r>
                        <w:r>
                          <w:rPr>
                            <w:rFonts w:ascii="Microsoft JhengHei" w:eastAsia="Microsoft JhengHei"/>
                            <w:b/>
                            <w:color w:val="333333"/>
                            <w:sz w:val="21"/>
                            <w:u w:val="thick" w:color="333333"/>
                          </w:rPr>
                          <w:t>。</w:t>
                        </w:r>
                      </w:p>
                    </w:tc>
                    <w:tc>
                      <w:tcPr>
                        <w:tcW w:w="2878" w:type="dxa"/>
                        <w:gridSpan w:val="2"/>
                        <w:vMerge/>
                        <w:tcBorders>
                          <w:top w:val="nil"/>
                          <w:left w:val="single" w:sz="4" w:space="0" w:color="000000"/>
                          <w:bottom w:val="single" w:sz="4" w:space="0" w:color="000000"/>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2183"/>
                      <w:jc w:val="left"/>
                    </w:trPr>
                    <w:tc>
                      <w:tcPr>
                        <w:tcW w:w="113" w:type="dxa"/>
                        <w:tcBorders>
                          <w:top w:val="nil"/>
                          <w:left w:val="single" w:sz="4" w:space="0" w:color="000000"/>
                          <w:bottom w:val="nil"/>
                          <w:right w:val="single" w:sz="4" w:space="0" w:color="000000"/>
                        </w:tcBorders>
                      </w:tcPr>
                      <w:p>
                        <w:pPr>
                          <w:pStyle w:val="TableParagraph"/>
                          <w:rPr>
                            <w:rFonts w:ascii="Times New Roman"/>
                            <w:sz w:val="20"/>
                          </w:rPr>
                        </w:pPr>
                      </w:p>
                    </w:tc>
                    <w:tc>
                      <w:tcPr>
                        <w:tcW w:w="915"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0"/>
                          <w:rPr>
                            <w:sz w:val="14"/>
                          </w:rPr>
                        </w:pPr>
                      </w:p>
                      <w:p>
                        <w:pPr>
                          <w:pStyle w:val="TableParagraph"/>
                          <w:spacing w:before="1"/>
                          <w:ind w:left="10"/>
                          <w:jc w:val="center"/>
                          <w:rPr>
                            <w:sz w:val="21"/>
                          </w:rPr>
                        </w:pPr>
                        <w:r>
                          <w:rPr>
                            <w:sz w:val="21"/>
                          </w:rPr>
                          <w:t>5</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0"/>
                          <w:rPr>
                            <w:sz w:val="14"/>
                          </w:rPr>
                        </w:pPr>
                      </w:p>
                      <w:p>
                        <w:pPr>
                          <w:pStyle w:val="TableParagraph"/>
                          <w:spacing w:before="1"/>
                          <w:ind w:left="65" w:right="55"/>
                          <w:jc w:val="center"/>
                          <w:rPr>
                            <w:sz w:val="21"/>
                          </w:rPr>
                        </w:pPr>
                        <w:r>
                          <w:rPr>
                            <w:spacing w:val="-2"/>
                            <w:sz w:val="21"/>
                          </w:rPr>
                          <w:t>旋转粘度计</w:t>
                        </w:r>
                      </w:p>
                    </w:tc>
                    <w:tc>
                      <w:tcPr>
                        <w:tcW w:w="4114" w:type="dxa"/>
                        <w:gridSpan w:val="7"/>
                        <w:tcBorders>
                          <w:top w:val="single" w:sz="4" w:space="0" w:color="000000"/>
                          <w:left w:val="single" w:sz="4" w:space="0" w:color="000000"/>
                          <w:bottom w:val="single" w:sz="4" w:space="0" w:color="000000"/>
                          <w:right w:val="single" w:sz="4" w:space="0" w:color="000000"/>
                        </w:tcBorders>
                      </w:tcPr>
                      <w:p>
                        <w:pPr>
                          <w:pStyle w:val="TableParagraph"/>
                          <w:spacing w:line="338" w:lineRule="exact"/>
                          <w:ind w:left="5" w:right="-29"/>
                          <w:rPr>
                            <w:sz w:val="21"/>
                          </w:rPr>
                        </w:pPr>
                        <w:r>
                          <w:rPr>
                            <w:rFonts w:ascii="Microsoft JhengHei" w:eastAsia="Microsoft JhengHei" w:hAnsi="Microsoft JhengHei"/>
                            <w:b/>
                            <w:w w:val="78"/>
                            <w:sz w:val="21"/>
                          </w:rPr>
                          <w:t>*</w:t>
                        </w:r>
                        <w:r>
                          <w:rPr>
                            <w:rFonts w:ascii="Microsoft JhengHei" w:eastAsia="Microsoft JhengHei" w:hAnsi="Microsoft JhengHei"/>
                            <w:b/>
                            <w:w w:val="54"/>
                            <w:sz w:val="21"/>
                          </w:rPr>
                          <w:t>1</w:t>
                        </w:r>
                        <w:r>
                          <w:rPr>
                            <w:rFonts w:ascii="Microsoft JhengHei" w:eastAsia="Microsoft JhengHei" w:hAnsi="Microsoft JhengHei"/>
                            <w:b/>
                            <w:w w:val="167"/>
                            <w:sz w:val="21"/>
                          </w:rPr>
                          <w:t>.</w:t>
                        </w:r>
                        <w:r>
                          <w:rPr>
                            <w:spacing w:val="14"/>
                            <w:sz w:val="21"/>
                          </w:rPr>
                          <w:t xml:space="preserve">粘度测量范围 </w:t>
                        </w:r>
                        <w:r>
                          <w:rPr>
                            <w:sz w:val="21"/>
                          </w:rPr>
                          <w:t>cp（</w:t>
                        </w:r>
                        <w:r>
                          <w:rPr>
                            <w:spacing w:val="-74"/>
                            <w:sz w:val="21"/>
                          </w:rPr>
                          <w:t xml:space="preserve"> </w:t>
                        </w:r>
                        <w:r>
                          <w:rPr>
                            <w:sz w:val="21"/>
                          </w:rPr>
                          <w:t>mPa·</w:t>
                        </w:r>
                        <w:r>
                          <w:rPr>
                            <w:spacing w:val="-74"/>
                            <w:sz w:val="21"/>
                          </w:rPr>
                          <w:t xml:space="preserve"> </w:t>
                        </w:r>
                        <w:r>
                          <w:rPr>
                            <w:sz w:val="21"/>
                          </w:rPr>
                          <w:t>s）</w:t>
                        </w:r>
                        <w:r>
                          <w:rPr>
                            <w:spacing w:val="-74"/>
                            <w:sz w:val="21"/>
                          </w:rPr>
                          <w:t xml:space="preserve"> </w:t>
                        </w:r>
                        <w:r>
                          <w:rPr>
                            <w:sz w:val="21"/>
                          </w:rPr>
                          <w:t>1—</w:t>
                        </w:r>
                        <w:r>
                          <w:rPr>
                            <w:spacing w:val="-2"/>
                            <w:sz w:val="21"/>
                          </w:rPr>
                          <w:t>2000000</w:t>
                        </w:r>
                      </w:p>
                      <w:p>
                        <w:pPr>
                          <w:pStyle w:val="TableParagraph"/>
                          <w:spacing w:line="267" w:lineRule="exact"/>
                          <w:ind w:left="5"/>
                          <w:rPr>
                            <w:sz w:val="21"/>
                          </w:rPr>
                        </w:pPr>
                        <w:r>
                          <w:rPr>
                            <w:sz w:val="21"/>
                          </w:rPr>
                          <w:t>（200</w:t>
                        </w:r>
                        <w:r>
                          <w:rPr>
                            <w:spacing w:val="-36"/>
                            <w:sz w:val="21"/>
                          </w:rPr>
                          <w:t xml:space="preserve"> 万 </w:t>
                        </w:r>
                        <w:r>
                          <w:rPr>
                            <w:spacing w:val="13"/>
                            <w:sz w:val="21"/>
                          </w:rPr>
                          <w:t>mPa·s</w:t>
                        </w:r>
                        <w:r>
                          <w:rPr>
                            <w:spacing w:val="-92"/>
                            <w:sz w:val="21"/>
                          </w:rPr>
                          <w:t>）</w:t>
                        </w:r>
                        <w:r>
                          <w:rPr>
                            <w:spacing w:val="13"/>
                            <w:sz w:val="21"/>
                          </w:rPr>
                          <w:t>；</w:t>
                        </w:r>
                      </w:p>
                      <w:p>
                        <w:pPr>
                          <w:pStyle w:val="TableParagraph"/>
                          <w:spacing w:before="43" w:line="278" w:lineRule="auto"/>
                          <w:ind w:left="5" w:right="-126"/>
                          <w:rPr>
                            <w:sz w:val="21"/>
                          </w:rPr>
                        </w:pPr>
                        <w:r>
                          <w:rPr>
                            <w:spacing w:val="-4"/>
                            <w:sz w:val="21"/>
                          </w:rPr>
                          <w:t>2.速度(RPM)（无齿轮带动）0.3rpm，0.6rpm， 1.5rpm，3rpm，6rpm，12rpm，30rpm，60rpm；</w:t>
                        </w:r>
                      </w:p>
                      <w:p>
                        <w:pPr>
                          <w:pStyle w:val="TableParagraph"/>
                          <w:spacing w:line="256" w:lineRule="exact"/>
                          <w:ind w:left="5"/>
                          <w:rPr>
                            <w:sz w:val="21"/>
                          </w:rPr>
                        </w:pPr>
                        <w:r>
                          <w:rPr>
                            <w:sz w:val="21"/>
                          </w:rPr>
                          <w:t>3.</w:t>
                        </w:r>
                        <w:r>
                          <w:rPr>
                            <w:spacing w:val="-11"/>
                            <w:sz w:val="21"/>
                          </w:rPr>
                          <w:t xml:space="preserve">转子数量 </w:t>
                        </w:r>
                        <w:r>
                          <w:rPr>
                            <w:sz w:val="21"/>
                          </w:rPr>
                          <w:t>4</w:t>
                        </w:r>
                        <w:r>
                          <w:rPr>
                            <w:spacing w:val="-18"/>
                            <w:sz w:val="21"/>
                          </w:rPr>
                          <w:t xml:space="preserve"> 种 </w:t>
                        </w:r>
                        <w:r>
                          <w:rPr>
                            <w:sz w:val="21"/>
                          </w:rPr>
                          <w:t>(0</w:t>
                        </w:r>
                        <w:r>
                          <w:rPr>
                            <w:spacing w:val="-8"/>
                            <w:sz w:val="21"/>
                          </w:rPr>
                          <w:t xml:space="preserve"> 号转子为选配件)；</w:t>
                        </w:r>
                      </w:p>
                      <w:p>
                        <w:pPr>
                          <w:pStyle w:val="TableParagraph"/>
                          <w:spacing w:line="371" w:lineRule="exact"/>
                          <w:ind w:left="5"/>
                          <w:rPr>
                            <w:sz w:val="21"/>
                          </w:rPr>
                        </w:pPr>
                        <w:r>
                          <w:rPr>
                            <w:rFonts w:ascii="Microsoft JhengHei" w:eastAsia="Microsoft JhengHei" w:hAnsi="Microsoft JhengHei"/>
                            <w:b/>
                            <w:spacing w:val="-4"/>
                            <w:sz w:val="21"/>
                          </w:rPr>
                          <w:t>*4</w:t>
                        </w:r>
                        <w:r>
                          <w:rPr>
                            <w:spacing w:val="-4"/>
                            <w:sz w:val="21"/>
                          </w:rPr>
                          <w:t>.测量精度±2.0%；</w:t>
                        </w:r>
                      </w:p>
                      <w:p>
                        <w:pPr>
                          <w:pStyle w:val="TableParagraph"/>
                          <w:spacing w:line="266" w:lineRule="exact"/>
                          <w:ind w:left="5"/>
                          <w:rPr>
                            <w:sz w:val="21"/>
                          </w:rPr>
                        </w:pPr>
                        <w:r>
                          <w:rPr>
                            <w:sz w:val="21"/>
                          </w:rPr>
                          <w:t>5</w:t>
                        </w:r>
                        <w:r>
                          <w:rPr>
                            <w:spacing w:val="-11"/>
                            <w:sz w:val="21"/>
                          </w:rPr>
                          <w:t xml:space="preserve">、重现性 </w:t>
                        </w:r>
                        <w:r>
                          <w:rPr>
                            <w:sz w:val="21"/>
                          </w:rPr>
                          <w:t>0.5%</w:t>
                        </w:r>
                        <w:r>
                          <w:rPr>
                            <w:spacing w:val="-10"/>
                            <w:sz w:val="21"/>
                          </w:rPr>
                          <w:t>。</w:t>
                        </w:r>
                      </w:p>
                    </w:tc>
                    <w:tc>
                      <w:tcPr>
                        <w:tcW w:w="2878" w:type="dxa"/>
                        <w:gridSpan w:val="2"/>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4"/>
                          <w:rPr>
                            <w:sz w:val="18"/>
                          </w:rPr>
                        </w:pPr>
                      </w:p>
                      <w:p>
                        <w:pPr>
                          <w:pStyle w:val="TableParagraph"/>
                          <w:spacing w:line="278" w:lineRule="auto"/>
                          <w:ind w:left="11" w:right="-15"/>
                          <w:jc w:val="both"/>
                          <w:rPr>
                            <w:sz w:val="21"/>
                          </w:rPr>
                        </w:pPr>
                        <w:r>
                          <w:rPr>
                            <w:color w:val="333333"/>
                            <w:spacing w:val="8"/>
                            <w:sz w:val="21"/>
                          </w:rPr>
                          <w:t xml:space="preserve">技术指标完全满足的得 </w:t>
                        </w:r>
                        <w:r>
                          <w:rPr>
                            <w:color w:val="333333"/>
                            <w:sz w:val="21"/>
                          </w:rPr>
                          <w:t>2.5-3分，正偏离加分，带</w:t>
                        </w:r>
                        <w:r>
                          <w:rPr>
                            <w:rFonts w:ascii="Times New Roman" w:eastAsia="Times New Roman" w:hAnsi="Times New Roman"/>
                            <w:color w:val="333333"/>
                            <w:sz w:val="21"/>
                          </w:rPr>
                          <w:t>“</w:t>
                        </w:r>
                        <w:r>
                          <w:rPr>
                            <w:color w:val="333333"/>
                            <w:sz w:val="21"/>
                          </w:rPr>
                          <w:t>*</w:t>
                        </w:r>
                        <w:r>
                          <w:rPr>
                            <w:rFonts w:ascii="Times New Roman" w:eastAsia="Times New Roman" w:hAnsi="Times New Roman"/>
                            <w:color w:val="333333"/>
                            <w:spacing w:val="-7"/>
                            <w:sz w:val="21"/>
                          </w:rPr>
                          <w:t xml:space="preserve">” </w:t>
                        </w:r>
                        <w:r>
                          <w:rPr>
                            <w:color w:val="333333"/>
                            <w:sz w:val="21"/>
                          </w:rPr>
                          <w:t>负偏离</w:t>
                        </w:r>
                        <w:r>
                          <w:rPr>
                            <w:color w:val="333333"/>
                            <w:spacing w:val="-9"/>
                            <w:sz w:val="21"/>
                          </w:rPr>
                          <w:t xml:space="preserve">或不满足扣 </w:t>
                        </w:r>
                        <w:r>
                          <w:rPr>
                            <w:color w:val="333333"/>
                            <w:spacing w:val="-6"/>
                            <w:sz w:val="21"/>
                          </w:rPr>
                          <w:t>2</w:t>
                        </w:r>
                        <w:r>
                          <w:rPr>
                            <w:color w:val="333333"/>
                            <w:spacing w:val="-16"/>
                            <w:sz w:val="21"/>
                          </w:rPr>
                          <w:t xml:space="preserve"> 分，其他负偏离酌</w:t>
                        </w:r>
                        <w:r>
                          <w:rPr>
                            <w:color w:val="333333"/>
                            <w:spacing w:val="-3"/>
                            <w:sz w:val="21"/>
                          </w:rPr>
                          <w:t xml:space="preserve">情扣分，最低得 </w:t>
                        </w:r>
                        <w:r>
                          <w:rPr>
                            <w:color w:val="333333"/>
                            <w:sz w:val="21"/>
                          </w:rPr>
                          <w:t>0</w:t>
                        </w:r>
                        <w:r>
                          <w:rPr>
                            <w:color w:val="333333"/>
                            <w:spacing w:val="-11"/>
                            <w:sz w:val="21"/>
                          </w:rPr>
                          <w:t xml:space="preserve"> 分</w:t>
                        </w:r>
                      </w:p>
                    </w:tc>
                    <w:tc>
                      <w:tcPr>
                        <w:tcW w:w="899"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10"/>
                          <w:rPr>
                            <w:sz w:val="14"/>
                          </w:rPr>
                        </w:pPr>
                      </w:p>
                      <w:p>
                        <w:pPr>
                          <w:pStyle w:val="TableParagraph"/>
                          <w:spacing w:before="1"/>
                          <w:ind w:left="27"/>
                          <w:jc w:val="center"/>
                          <w:rPr>
                            <w:sz w:val="21"/>
                          </w:rPr>
                        </w:pPr>
                        <w:r>
                          <w:rPr>
                            <w:sz w:val="21"/>
                          </w:rPr>
                          <w:t>4</w:t>
                        </w:r>
                      </w:p>
                    </w:tc>
                  </w:tr>
                  <w:tr>
                    <w:tblPrEx>
                      <w:tblW w:w="0" w:type="auto"/>
                      <w:jc w:val="left"/>
                      <w:tblInd w:w="5" w:type="dxa"/>
                      <w:tblLayout w:type="fixed"/>
                      <w:tblCellMar>
                        <w:top w:w="0" w:type="dxa"/>
                        <w:left w:w="0" w:type="dxa"/>
                        <w:bottom w:w="0" w:type="dxa"/>
                        <w:right w:w="0" w:type="dxa"/>
                      </w:tblCellMar>
                      <w:tblLook w:val="01E0"/>
                    </w:tblPrEx>
                    <w:trPr>
                      <w:trHeight w:val="312"/>
                      <w:jc w:val="left"/>
                    </w:trPr>
                    <w:tc>
                      <w:tcPr>
                        <w:tcW w:w="113" w:type="dxa"/>
                        <w:vMerge w:val="restart"/>
                        <w:tcBorders>
                          <w:top w:val="nil"/>
                          <w:left w:val="single" w:sz="4" w:space="0" w:color="000000"/>
                          <w:bottom w:val="nil"/>
                          <w:right w:val="single" w:sz="4" w:space="0" w:color="000000"/>
                        </w:tcBorders>
                      </w:tcPr>
                      <w:p>
                        <w:pPr>
                          <w:pStyle w:val="TableParagraph"/>
                          <w:rPr>
                            <w:rFonts w:ascii="Times New Roman"/>
                            <w:sz w:val="20"/>
                          </w:rPr>
                        </w:pPr>
                      </w:p>
                    </w:tc>
                    <w:tc>
                      <w:tcPr>
                        <w:tcW w:w="915"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8"/>
                          </w:rPr>
                        </w:pPr>
                      </w:p>
                      <w:p>
                        <w:pPr>
                          <w:pStyle w:val="TableParagraph"/>
                          <w:ind w:left="10"/>
                          <w:jc w:val="center"/>
                          <w:rPr>
                            <w:sz w:val="21"/>
                          </w:rPr>
                        </w:pPr>
                        <w:r>
                          <w:rPr>
                            <w:sz w:val="21"/>
                          </w:rPr>
                          <w:t>6</w:t>
                        </w:r>
                      </w:p>
                    </w:tc>
                    <w:tc>
                      <w:tcPr>
                        <w:tcW w:w="1260"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8"/>
                          </w:rPr>
                        </w:pPr>
                      </w:p>
                      <w:p>
                        <w:pPr>
                          <w:pStyle w:val="TableParagraph"/>
                          <w:ind w:left="105"/>
                          <w:rPr>
                            <w:sz w:val="21"/>
                          </w:rPr>
                        </w:pPr>
                        <w:r>
                          <w:rPr>
                            <w:spacing w:val="-2"/>
                            <w:sz w:val="21"/>
                          </w:rPr>
                          <w:t>偏光显微镜</w:t>
                        </w:r>
                      </w:p>
                    </w:tc>
                    <w:tc>
                      <w:tcPr>
                        <w:tcW w:w="4114" w:type="dxa"/>
                        <w:gridSpan w:val="7"/>
                        <w:tcBorders>
                          <w:top w:val="single" w:sz="4" w:space="0" w:color="000000"/>
                          <w:left w:val="single" w:sz="4" w:space="0" w:color="000000"/>
                          <w:bottom w:val="single" w:sz="8" w:space="0" w:color="000000"/>
                          <w:right w:val="single" w:sz="4" w:space="0" w:color="000000"/>
                        </w:tcBorders>
                      </w:tcPr>
                      <w:p>
                        <w:pPr>
                          <w:pStyle w:val="TableParagraph"/>
                          <w:spacing w:before="23"/>
                          <w:ind w:left="5"/>
                          <w:rPr>
                            <w:sz w:val="21"/>
                          </w:rPr>
                        </w:pPr>
                        <w:r>
                          <w:rPr>
                            <w:sz w:val="21"/>
                          </w:rPr>
                          <w:t>1.</w:t>
                        </w:r>
                        <w:r>
                          <w:rPr>
                            <w:spacing w:val="-4"/>
                            <w:sz w:val="21"/>
                          </w:rPr>
                          <w:t xml:space="preserve"> 目镜</w:t>
                        </w:r>
                      </w:p>
                    </w:tc>
                    <w:tc>
                      <w:tcPr>
                        <w:tcW w:w="2878" w:type="dxa"/>
                        <w:gridSpan w:val="2"/>
                        <w:tcBorders>
                          <w:top w:val="single" w:sz="4" w:space="0" w:color="000000"/>
                          <w:left w:val="single" w:sz="4" w:space="0" w:color="000000"/>
                          <w:bottom w:val="nil"/>
                          <w:right w:val="single" w:sz="4" w:space="0" w:color="000000"/>
                        </w:tcBorders>
                      </w:tcPr>
                      <w:p>
                        <w:pPr>
                          <w:pStyle w:val="TableParagraph"/>
                          <w:rPr>
                            <w:rFonts w:ascii="Times New Roman"/>
                            <w:sz w:val="20"/>
                          </w:rPr>
                        </w:pPr>
                      </w:p>
                    </w:tc>
                    <w:tc>
                      <w:tcPr>
                        <w:tcW w:w="899"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8"/>
                          </w:rPr>
                        </w:pPr>
                      </w:p>
                      <w:p>
                        <w:pPr>
                          <w:pStyle w:val="TableParagraph"/>
                          <w:ind w:left="27"/>
                          <w:jc w:val="center"/>
                          <w:rPr>
                            <w:sz w:val="21"/>
                          </w:rPr>
                        </w:pPr>
                        <w:r>
                          <w:rPr>
                            <w:sz w:val="21"/>
                          </w:rPr>
                          <w:t>5</w:t>
                        </w:r>
                      </w:p>
                    </w:tc>
                  </w:tr>
                  <w:tr>
                    <w:tblPrEx>
                      <w:tblW w:w="0" w:type="auto"/>
                      <w:jc w:val="left"/>
                      <w:tblInd w:w="5" w:type="dxa"/>
                      <w:tblLayout w:type="fixed"/>
                      <w:tblCellMar>
                        <w:top w:w="0" w:type="dxa"/>
                        <w:left w:w="0" w:type="dxa"/>
                        <w:bottom w:w="0" w:type="dxa"/>
                        <w:right w:w="0" w:type="dxa"/>
                      </w:tblCellMar>
                      <w:tblLook w:val="01E0"/>
                    </w:tblPrEx>
                    <w:trPr>
                      <w:trHeight w:val="307"/>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val="restart"/>
                        <w:tcBorders>
                          <w:top w:val="nil"/>
                          <w:left w:val="single" w:sz="4" w:space="0" w:color="000000"/>
                          <w:bottom w:val="nil"/>
                          <w:right w:val="single" w:sz="8" w:space="0" w:color="000000"/>
                        </w:tcBorders>
                      </w:tcPr>
                      <w:p>
                        <w:pPr>
                          <w:pStyle w:val="TableParagraph"/>
                          <w:rPr>
                            <w:rFonts w:ascii="Times New Roman"/>
                            <w:sz w:val="20"/>
                          </w:rPr>
                        </w:pPr>
                      </w:p>
                    </w:tc>
                    <w:tc>
                      <w:tcPr>
                        <w:tcW w:w="1288" w:type="dxa"/>
                        <w:gridSpan w:val="2"/>
                        <w:tcBorders>
                          <w:top w:val="single" w:sz="8" w:space="0" w:color="000000"/>
                          <w:left w:val="single" w:sz="8" w:space="0" w:color="000000"/>
                          <w:bottom w:val="single" w:sz="8" w:space="0" w:color="ECE9D8"/>
                          <w:right w:val="single" w:sz="8" w:space="0" w:color="ECE9D8"/>
                        </w:tcBorders>
                      </w:tcPr>
                      <w:p>
                        <w:pPr>
                          <w:pStyle w:val="TableParagraph"/>
                          <w:tabs>
                            <w:tab w:val="left" w:pos="798"/>
                          </w:tabs>
                          <w:spacing w:before="23" w:line="264" w:lineRule="exact"/>
                          <w:ind w:left="273"/>
                          <w:rPr>
                            <w:sz w:val="21"/>
                          </w:rPr>
                        </w:pPr>
                        <w:r>
                          <w:rPr>
                            <w:spacing w:val="-10"/>
                            <w:sz w:val="21"/>
                          </w:rPr>
                          <w:t>类</w:t>
                        </w:r>
                        <w:r>
                          <w:rPr>
                            <w:sz w:val="21"/>
                          </w:rPr>
                          <w:tab/>
                        </w:r>
                        <w:r>
                          <w:rPr>
                            <w:spacing w:val="-10"/>
                            <w:sz w:val="21"/>
                          </w:rPr>
                          <w:t>别</w:t>
                        </w:r>
                      </w:p>
                    </w:tc>
                    <w:tc>
                      <w:tcPr>
                        <w:tcW w:w="1289" w:type="dxa"/>
                        <w:gridSpan w:val="2"/>
                        <w:tcBorders>
                          <w:top w:val="single" w:sz="8" w:space="0" w:color="000000"/>
                          <w:left w:val="single" w:sz="8" w:space="0" w:color="ECE9D8"/>
                          <w:bottom w:val="single" w:sz="8" w:space="0" w:color="ECE9D8"/>
                          <w:right w:val="single" w:sz="8" w:space="0" w:color="ECE9D8"/>
                        </w:tcBorders>
                      </w:tcPr>
                      <w:p>
                        <w:pPr>
                          <w:pStyle w:val="TableParagraph"/>
                          <w:spacing w:before="23" w:line="264" w:lineRule="exact"/>
                          <w:ind w:left="224"/>
                          <w:rPr>
                            <w:sz w:val="21"/>
                          </w:rPr>
                        </w:pPr>
                        <w:r>
                          <w:rPr>
                            <w:spacing w:val="-3"/>
                            <w:sz w:val="21"/>
                          </w:rPr>
                          <w:t>放大倍数</w:t>
                        </w:r>
                      </w:p>
                    </w:tc>
                    <w:tc>
                      <w:tcPr>
                        <w:tcW w:w="1414" w:type="dxa"/>
                        <w:gridSpan w:val="2"/>
                        <w:tcBorders>
                          <w:top w:val="single" w:sz="8" w:space="0" w:color="000000"/>
                          <w:left w:val="single" w:sz="8" w:space="0" w:color="ECE9D8"/>
                          <w:bottom w:val="single" w:sz="8" w:space="0" w:color="ECE9D8"/>
                          <w:right w:val="single" w:sz="4" w:space="0" w:color="000000"/>
                        </w:tcBorders>
                      </w:tcPr>
                      <w:p>
                        <w:pPr>
                          <w:pStyle w:val="TableParagraph"/>
                          <w:spacing w:before="23" w:line="264" w:lineRule="exact"/>
                          <w:ind w:left="229"/>
                          <w:rPr>
                            <w:sz w:val="21"/>
                          </w:rPr>
                        </w:pPr>
                        <w:r>
                          <w:rPr>
                            <w:sz w:val="21"/>
                          </w:rPr>
                          <w:t>视场</w:t>
                        </w:r>
                        <w:r>
                          <w:rPr>
                            <w:spacing w:val="-4"/>
                            <w:sz w:val="21"/>
                          </w:rPr>
                          <w:t>（mm）</w:t>
                        </w:r>
                      </w:p>
                    </w:tc>
                    <w:tc>
                      <w:tcPr>
                        <w:tcW w:w="92" w:type="dxa"/>
                        <w:tcBorders>
                          <w:top w:val="single" w:sz="8" w:space="0" w:color="000000"/>
                          <w:left w:val="single" w:sz="4" w:space="0" w:color="000000"/>
                          <w:bottom w:val="single" w:sz="8" w:space="0" w:color="ECE9D8"/>
                          <w:right w:val="single" w:sz="8" w:space="0" w:color="000000"/>
                        </w:tcBorders>
                      </w:tcPr>
                      <w:p>
                        <w:pPr>
                          <w:pStyle w:val="TableParagraph"/>
                          <w:rPr>
                            <w:rFonts w:ascii="Times New Roman"/>
                            <w:sz w:val="20"/>
                          </w:rPr>
                        </w:pPr>
                      </w:p>
                    </w:tc>
                    <w:tc>
                      <w:tcPr>
                        <w:tcW w:w="2786" w:type="dxa"/>
                        <w:vMerge w:val="restart"/>
                        <w:tcBorders>
                          <w:top w:val="nil"/>
                          <w:left w:val="single" w:sz="8" w:space="0" w:color="000000"/>
                          <w:bottom w:val="nil"/>
                          <w:right w:val="single" w:sz="4" w:space="0" w:color="000000"/>
                        </w:tcBorders>
                      </w:tcPr>
                      <w:p>
                        <w:pPr>
                          <w:pStyle w:val="TableParagraph"/>
                          <w:rPr>
                            <w:rFonts w:ascii="Times New Roman"/>
                            <w:sz w:val="20"/>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12"/>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288" w:type="dxa"/>
                        <w:gridSpan w:val="2"/>
                        <w:tcBorders>
                          <w:top w:val="single" w:sz="8" w:space="0" w:color="ECE9D8"/>
                          <w:left w:val="single" w:sz="8" w:space="0" w:color="000000"/>
                          <w:bottom w:val="single" w:sz="8" w:space="0" w:color="ECE9D8"/>
                          <w:right w:val="single" w:sz="8" w:space="0" w:color="ECE9D8"/>
                        </w:tcBorders>
                      </w:tcPr>
                      <w:p>
                        <w:pPr>
                          <w:pStyle w:val="TableParagraph"/>
                          <w:spacing w:before="28" w:line="264" w:lineRule="exact"/>
                          <w:ind w:left="221"/>
                          <w:rPr>
                            <w:sz w:val="21"/>
                          </w:rPr>
                        </w:pPr>
                        <w:r>
                          <w:rPr>
                            <w:spacing w:val="-3"/>
                            <w:sz w:val="21"/>
                          </w:rPr>
                          <w:t>十字目镜</w:t>
                        </w:r>
                      </w:p>
                    </w:tc>
                    <w:tc>
                      <w:tcPr>
                        <w:tcW w:w="1289"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474" w:right="454"/>
                          <w:jc w:val="center"/>
                          <w:rPr>
                            <w:sz w:val="21"/>
                          </w:rPr>
                        </w:pPr>
                        <w:r>
                          <w:rPr>
                            <w:spacing w:val="-5"/>
                            <w:sz w:val="21"/>
                          </w:rPr>
                          <w:t>10X</w:t>
                        </w:r>
                      </w:p>
                    </w:tc>
                    <w:tc>
                      <w:tcPr>
                        <w:tcW w:w="1414" w:type="dxa"/>
                        <w:gridSpan w:val="2"/>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544"/>
                          <w:rPr>
                            <w:sz w:val="21"/>
                          </w:rPr>
                        </w:pPr>
                        <w:r>
                          <w:rPr>
                            <w:spacing w:val="-5"/>
                            <w:sz w:val="21"/>
                          </w:rPr>
                          <w:t>φ18</w:t>
                        </w:r>
                      </w:p>
                    </w:tc>
                    <w:tc>
                      <w:tcPr>
                        <w:tcW w:w="92"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2786" w:type="dxa"/>
                        <w:vMerge/>
                        <w:tcBorders>
                          <w:top w:val="nil"/>
                          <w:left w:val="single" w:sz="8" w:space="0" w:color="000000"/>
                          <w:bottom w:val="nil"/>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17"/>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1288" w:type="dxa"/>
                        <w:gridSpan w:val="2"/>
                        <w:tcBorders>
                          <w:top w:val="single" w:sz="8" w:space="0" w:color="ECE9D8"/>
                          <w:left w:val="single" w:sz="8" w:space="0" w:color="000000"/>
                          <w:bottom w:val="single" w:sz="8" w:space="0" w:color="000000"/>
                          <w:right w:val="single" w:sz="8" w:space="0" w:color="ECE9D8"/>
                        </w:tcBorders>
                      </w:tcPr>
                      <w:p>
                        <w:pPr>
                          <w:pStyle w:val="TableParagraph"/>
                          <w:spacing w:before="28"/>
                          <w:ind w:left="221"/>
                          <w:rPr>
                            <w:sz w:val="21"/>
                          </w:rPr>
                        </w:pPr>
                        <w:r>
                          <w:rPr>
                            <w:spacing w:val="-3"/>
                            <w:sz w:val="21"/>
                          </w:rPr>
                          <w:t>分划目镜</w:t>
                        </w:r>
                      </w:p>
                    </w:tc>
                    <w:tc>
                      <w:tcPr>
                        <w:tcW w:w="1289" w:type="dxa"/>
                        <w:gridSpan w:val="2"/>
                        <w:tcBorders>
                          <w:top w:val="single" w:sz="8" w:space="0" w:color="ECE9D8"/>
                          <w:left w:val="single" w:sz="8" w:space="0" w:color="ECE9D8"/>
                          <w:bottom w:val="single" w:sz="8" w:space="0" w:color="000000"/>
                          <w:right w:val="single" w:sz="8" w:space="0" w:color="ECE9D8"/>
                        </w:tcBorders>
                      </w:tcPr>
                      <w:p>
                        <w:pPr>
                          <w:pStyle w:val="TableParagraph"/>
                          <w:spacing w:before="28"/>
                          <w:ind w:left="474" w:right="454"/>
                          <w:jc w:val="center"/>
                          <w:rPr>
                            <w:sz w:val="21"/>
                          </w:rPr>
                        </w:pPr>
                        <w:r>
                          <w:rPr>
                            <w:spacing w:val="-5"/>
                            <w:sz w:val="21"/>
                          </w:rPr>
                          <w:t>10X</w:t>
                        </w:r>
                      </w:p>
                    </w:tc>
                    <w:tc>
                      <w:tcPr>
                        <w:tcW w:w="1414" w:type="dxa"/>
                        <w:gridSpan w:val="2"/>
                        <w:tcBorders>
                          <w:top w:val="single" w:sz="8" w:space="0" w:color="ECE9D8"/>
                          <w:left w:val="single" w:sz="8" w:space="0" w:color="ECE9D8"/>
                          <w:bottom w:val="single" w:sz="8" w:space="0" w:color="000000"/>
                          <w:right w:val="single" w:sz="4" w:space="0" w:color="000000"/>
                        </w:tcBorders>
                      </w:tcPr>
                      <w:p>
                        <w:pPr>
                          <w:pStyle w:val="TableParagraph"/>
                          <w:spacing w:before="28"/>
                          <w:ind w:left="544"/>
                          <w:rPr>
                            <w:sz w:val="21"/>
                          </w:rPr>
                        </w:pPr>
                        <w:r>
                          <w:rPr>
                            <w:spacing w:val="-5"/>
                            <w:sz w:val="21"/>
                          </w:rPr>
                          <w:t>φ18</w:t>
                        </w:r>
                      </w:p>
                    </w:tc>
                    <w:tc>
                      <w:tcPr>
                        <w:tcW w:w="92" w:type="dxa"/>
                        <w:tcBorders>
                          <w:top w:val="single" w:sz="8" w:space="0" w:color="ECE9D8"/>
                          <w:left w:val="single" w:sz="4" w:space="0" w:color="000000"/>
                          <w:bottom w:val="single" w:sz="8" w:space="0" w:color="000000"/>
                          <w:right w:val="single" w:sz="8" w:space="0" w:color="000000"/>
                        </w:tcBorders>
                      </w:tcPr>
                      <w:p>
                        <w:pPr>
                          <w:pStyle w:val="TableParagraph"/>
                          <w:rPr>
                            <w:rFonts w:ascii="Times New Roman"/>
                            <w:sz w:val="20"/>
                          </w:rPr>
                        </w:pPr>
                      </w:p>
                    </w:tc>
                    <w:tc>
                      <w:tcPr>
                        <w:tcW w:w="2786" w:type="dxa"/>
                        <w:vMerge/>
                        <w:tcBorders>
                          <w:top w:val="nil"/>
                          <w:left w:val="single" w:sz="8" w:space="0" w:color="000000"/>
                          <w:bottom w:val="nil"/>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4114" w:type="dxa"/>
                        <w:gridSpan w:val="7"/>
                        <w:tcBorders>
                          <w:top w:val="single" w:sz="8" w:space="0" w:color="000000"/>
                          <w:left w:val="single" w:sz="4" w:space="0" w:color="000000"/>
                          <w:bottom w:val="single" w:sz="8" w:space="0" w:color="000000"/>
                          <w:right w:val="single" w:sz="4" w:space="0" w:color="000000"/>
                        </w:tcBorders>
                      </w:tcPr>
                      <w:p>
                        <w:pPr>
                          <w:pStyle w:val="TableParagraph"/>
                          <w:spacing w:before="3" w:line="249" w:lineRule="exact"/>
                          <w:ind w:left="5"/>
                          <w:rPr>
                            <w:sz w:val="21"/>
                          </w:rPr>
                        </w:pPr>
                        <w:r>
                          <w:rPr>
                            <w:sz w:val="21"/>
                          </w:rPr>
                          <w:t>2.</w:t>
                        </w:r>
                        <w:r>
                          <w:rPr>
                            <w:spacing w:val="-4"/>
                            <w:sz w:val="21"/>
                          </w:rPr>
                          <w:t xml:space="preserve"> 物镜</w:t>
                        </w:r>
                      </w:p>
                    </w:tc>
                    <w:tc>
                      <w:tcPr>
                        <w:tcW w:w="2878" w:type="dxa"/>
                        <w:gridSpan w:val="2"/>
                        <w:tcBorders>
                          <w:top w:val="nil"/>
                          <w:left w:val="single" w:sz="4" w:space="0" w:color="000000"/>
                          <w:bottom w:val="nil"/>
                          <w:right w:val="single" w:sz="4" w:space="0" w:color="000000"/>
                        </w:tcBorders>
                      </w:tcPr>
                      <w:p>
                        <w:pPr>
                          <w:pStyle w:val="TableParagraph"/>
                          <w:rPr>
                            <w:rFonts w:ascii="Times New Roman"/>
                            <w:sz w:val="20"/>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619"/>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val="restart"/>
                        <w:tcBorders>
                          <w:top w:val="nil"/>
                          <w:left w:val="single" w:sz="4" w:space="0" w:color="000000"/>
                          <w:bottom w:val="nil"/>
                          <w:right w:val="single" w:sz="8" w:space="0" w:color="000000"/>
                        </w:tcBorders>
                      </w:tcPr>
                      <w:p>
                        <w:pPr>
                          <w:pStyle w:val="TableParagraph"/>
                          <w:rPr>
                            <w:rFonts w:ascii="Times New Roman"/>
                            <w:sz w:val="20"/>
                          </w:rPr>
                        </w:pPr>
                      </w:p>
                    </w:tc>
                    <w:tc>
                      <w:tcPr>
                        <w:tcW w:w="906" w:type="dxa"/>
                        <w:tcBorders>
                          <w:top w:val="single" w:sz="8" w:space="0" w:color="000000"/>
                          <w:left w:val="single" w:sz="8" w:space="0" w:color="000000"/>
                          <w:bottom w:val="single" w:sz="8" w:space="0" w:color="ECE9D8"/>
                          <w:right w:val="single" w:sz="8" w:space="0" w:color="ECE9D8"/>
                        </w:tcBorders>
                      </w:tcPr>
                      <w:p>
                        <w:pPr>
                          <w:pStyle w:val="TableParagraph"/>
                          <w:spacing w:before="179"/>
                          <w:ind w:left="239"/>
                          <w:rPr>
                            <w:sz w:val="21"/>
                          </w:rPr>
                        </w:pPr>
                        <w:r>
                          <w:rPr>
                            <w:spacing w:val="-5"/>
                            <w:sz w:val="21"/>
                          </w:rPr>
                          <w:t>类别</w:t>
                        </w:r>
                      </w:p>
                    </w:tc>
                    <w:tc>
                      <w:tcPr>
                        <w:tcW w:w="906" w:type="dxa"/>
                        <w:gridSpan w:val="2"/>
                        <w:tcBorders>
                          <w:top w:val="single" w:sz="8" w:space="0" w:color="000000"/>
                          <w:left w:val="single" w:sz="8" w:space="0" w:color="ECE9D8"/>
                          <w:bottom w:val="single" w:sz="8" w:space="0" w:color="ECE9D8"/>
                          <w:right w:val="single" w:sz="8" w:space="0" w:color="ECE9D8"/>
                        </w:tcBorders>
                      </w:tcPr>
                      <w:p>
                        <w:pPr>
                          <w:pStyle w:val="TableParagraph"/>
                          <w:spacing w:before="23"/>
                          <w:ind w:left="123" w:right="105"/>
                          <w:jc w:val="center"/>
                          <w:rPr>
                            <w:sz w:val="21"/>
                          </w:rPr>
                        </w:pPr>
                        <w:r>
                          <w:rPr>
                            <w:spacing w:val="-4"/>
                            <w:sz w:val="21"/>
                          </w:rPr>
                          <w:t>放大倍</w:t>
                        </w:r>
                      </w:p>
                      <w:p>
                        <w:pPr>
                          <w:pStyle w:val="TableParagraph"/>
                          <w:spacing w:before="43" w:line="264" w:lineRule="exact"/>
                          <w:ind w:left="18"/>
                          <w:jc w:val="center"/>
                          <w:rPr>
                            <w:sz w:val="21"/>
                          </w:rPr>
                        </w:pPr>
                        <w:r>
                          <w:rPr>
                            <w:sz w:val="21"/>
                          </w:rPr>
                          <w:t>数</w:t>
                        </w:r>
                      </w:p>
                    </w:tc>
                    <w:tc>
                      <w:tcPr>
                        <w:tcW w:w="1135" w:type="dxa"/>
                        <w:gridSpan w:val="2"/>
                        <w:tcBorders>
                          <w:top w:val="single" w:sz="8" w:space="0" w:color="000000"/>
                          <w:left w:val="single" w:sz="8" w:space="0" w:color="ECE9D8"/>
                          <w:bottom w:val="single" w:sz="8" w:space="0" w:color="ECE9D8"/>
                          <w:right w:val="single" w:sz="8" w:space="0" w:color="ECE9D8"/>
                        </w:tcBorders>
                      </w:tcPr>
                      <w:p>
                        <w:pPr>
                          <w:pStyle w:val="TableParagraph"/>
                          <w:spacing w:before="179"/>
                          <w:ind w:left="148"/>
                          <w:rPr>
                            <w:sz w:val="21"/>
                          </w:rPr>
                        </w:pPr>
                        <w:r>
                          <w:rPr>
                            <w:spacing w:val="-3"/>
                            <w:sz w:val="21"/>
                          </w:rPr>
                          <w:t>数值孔径</w:t>
                        </w:r>
                      </w:p>
                    </w:tc>
                    <w:tc>
                      <w:tcPr>
                        <w:tcW w:w="1044" w:type="dxa"/>
                        <w:tcBorders>
                          <w:top w:val="single" w:sz="8" w:space="0" w:color="000000"/>
                          <w:left w:val="single" w:sz="8" w:space="0" w:color="ECE9D8"/>
                          <w:bottom w:val="single" w:sz="8" w:space="0" w:color="ECE9D8"/>
                          <w:right w:val="single" w:sz="4" w:space="0" w:color="000000"/>
                        </w:tcBorders>
                      </w:tcPr>
                      <w:p>
                        <w:pPr>
                          <w:pStyle w:val="TableParagraph"/>
                          <w:spacing w:before="179"/>
                          <w:ind w:left="138" w:right="22"/>
                          <w:jc w:val="center"/>
                          <w:rPr>
                            <w:sz w:val="21"/>
                          </w:rPr>
                        </w:pPr>
                        <w:r>
                          <w:rPr>
                            <w:spacing w:val="-3"/>
                            <w:sz w:val="21"/>
                          </w:rPr>
                          <w:t>工作距离</w:t>
                        </w:r>
                      </w:p>
                    </w:tc>
                    <w:tc>
                      <w:tcPr>
                        <w:tcW w:w="92" w:type="dxa"/>
                        <w:tcBorders>
                          <w:top w:val="single" w:sz="8" w:space="0" w:color="000000"/>
                          <w:left w:val="single" w:sz="4" w:space="0" w:color="000000"/>
                          <w:bottom w:val="single" w:sz="8" w:space="0" w:color="ECE9D8"/>
                          <w:right w:val="single" w:sz="8" w:space="0" w:color="000000"/>
                        </w:tcBorders>
                      </w:tcPr>
                      <w:p>
                        <w:pPr>
                          <w:pStyle w:val="TableParagraph"/>
                          <w:rPr>
                            <w:rFonts w:ascii="Times New Roman"/>
                            <w:sz w:val="20"/>
                          </w:rPr>
                        </w:pPr>
                      </w:p>
                    </w:tc>
                    <w:tc>
                      <w:tcPr>
                        <w:tcW w:w="2786" w:type="dxa"/>
                        <w:vMerge w:val="restart"/>
                        <w:tcBorders>
                          <w:top w:val="nil"/>
                          <w:left w:val="single" w:sz="8" w:space="0" w:color="000000"/>
                          <w:bottom w:val="nil"/>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spacing w:before="2"/>
                          <w:rPr>
                            <w:sz w:val="17"/>
                          </w:rPr>
                        </w:pPr>
                      </w:p>
                      <w:p>
                        <w:pPr>
                          <w:pStyle w:val="TableParagraph"/>
                          <w:ind w:left="-86"/>
                          <w:rPr>
                            <w:sz w:val="21"/>
                          </w:rPr>
                        </w:pPr>
                        <w:r>
                          <w:rPr>
                            <w:color w:val="333333"/>
                            <w:spacing w:val="6"/>
                            <w:sz w:val="21"/>
                          </w:rPr>
                          <w:t xml:space="preserve">技术指标完全满足的得 </w:t>
                        </w:r>
                        <w:r>
                          <w:rPr>
                            <w:color w:val="333333"/>
                            <w:sz w:val="21"/>
                          </w:rPr>
                          <w:t>3.5-</w:t>
                        </w:r>
                        <w:r>
                          <w:rPr>
                            <w:color w:val="333333"/>
                            <w:spacing w:val="-10"/>
                            <w:sz w:val="21"/>
                          </w:rPr>
                          <w:t>4</w:t>
                        </w:r>
                      </w:p>
                      <w:p>
                        <w:pPr>
                          <w:pStyle w:val="TableParagraph"/>
                          <w:spacing w:before="43"/>
                          <w:ind w:left="-86" w:right="-29"/>
                          <w:rPr>
                            <w:sz w:val="21"/>
                          </w:rPr>
                        </w:pPr>
                        <w:r>
                          <w:rPr>
                            <w:color w:val="333333"/>
                            <w:spacing w:val="-7"/>
                            <w:sz w:val="21"/>
                          </w:rPr>
                          <w:t>分，正偏离加分，负偏离酌情扣</w:t>
                        </w:r>
                      </w:p>
                      <w:p>
                        <w:pPr>
                          <w:pStyle w:val="TableParagraph"/>
                          <w:spacing w:before="43"/>
                          <w:ind w:left="124"/>
                          <w:rPr>
                            <w:sz w:val="21"/>
                          </w:rPr>
                        </w:pPr>
                        <w:r>
                          <w:rPr>
                            <w:color w:val="333333"/>
                            <w:spacing w:val="-11"/>
                            <w:sz w:val="21"/>
                          </w:rPr>
                          <w:t xml:space="preserve">，最低得 </w:t>
                        </w:r>
                        <w:r>
                          <w:rPr>
                            <w:color w:val="333333"/>
                            <w:sz w:val="21"/>
                          </w:rPr>
                          <w:t>0</w:t>
                        </w:r>
                        <w:r>
                          <w:rPr>
                            <w:color w:val="333333"/>
                            <w:spacing w:val="-32"/>
                            <w:sz w:val="21"/>
                          </w:rPr>
                          <w:t xml:space="preserve"> 分</w:t>
                        </w: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12"/>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906" w:type="dxa"/>
                        <w:vMerge w:val="restart"/>
                        <w:tcBorders>
                          <w:top w:val="single" w:sz="8" w:space="0" w:color="ECE9D8"/>
                          <w:left w:val="single" w:sz="8" w:space="0" w:color="000000"/>
                          <w:bottom w:val="single" w:sz="8" w:space="0" w:color="000000"/>
                          <w:right w:val="single" w:sz="8" w:space="0" w:color="ECE9D8"/>
                        </w:tcBorders>
                      </w:tcPr>
                      <w:p>
                        <w:pPr>
                          <w:pStyle w:val="TableParagraph"/>
                          <w:rPr>
                            <w:sz w:val="20"/>
                          </w:rPr>
                        </w:pPr>
                      </w:p>
                      <w:p>
                        <w:pPr>
                          <w:pStyle w:val="TableParagraph"/>
                          <w:spacing w:before="140" w:line="528" w:lineRule="auto"/>
                          <w:ind w:left="344" w:right="329"/>
                          <w:jc w:val="center"/>
                          <w:rPr>
                            <w:sz w:val="21"/>
                          </w:rPr>
                        </w:pPr>
                        <w:r>
                          <w:rPr>
                            <w:spacing w:val="-10"/>
                            <w:sz w:val="21"/>
                          </w:rPr>
                          <w:t>物</w:t>
                        </w:r>
                        <w:r>
                          <w:rPr>
                            <w:spacing w:val="-10"/>
                            <w:sz w:val="21"/>
                          </w:rPr>
                          <w:t>镜</w:t>
                        </w:r>
                      </w:p>
                    </w:tc>
                    <w:tc>
                      <w:tcPr>
                        <w:tcW w:w="906"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123" w:right="105"/>
                          <w:jc w:val="center"/>
                          <w:rPr>
                            <w:sz w:val="21"/>
                          </w:rPr>
                        </w:pPr>
                        <w:r>
                          <w:rPr>
                            <w:spacing w:val="-5"/>
                            <w:sz w:val="21"/>
                          </w:rPr>
                          <w:t>4X</w:t>
                        </w:r>
                      </w:p>
                    </w:tc>
                    <w:tc>
                      <w:tcPr>
                        <w:tcW w:w="113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358"/>
                          <w:rPr>
                            <w:sz w:val="21"/>
                          </w:rPr>
                        </w:pPr>
                        <w:r>
                          <w:rPr>
                            <w:spacing w:val="-4"/>
                            <w:sz w:val="21"/>
                          </w:rPr>
                          <w:t>0.10</w:t>
                        </w:r>
                      </w:p>
                    </w:tc>
                    <w:tc>
                      <w:tcPr>
                        <w:tcW w:w="1044" w:type="dxa"/>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138" w:right="22"/>
                          <w:jc w:val="center"/>
                          <w:rPr>
                            <w:sz w:val="21"/>
                          </w:rPr>
                        </w:pPr>
                        <w:r>
                          <w:rPr>
                            <w:spacing w:val="-4"/>
                            <w:sz w:val="21"/>
                          </w:rPr>
                          <w:t>7.80</w:t>
                        </w:r>
                      </w:p>
                    </w:tc>
                    <w:tc>
                      <w:tcPr>
                        <w:tcW w:w="92"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2786" w:type="dxa"/>
                        <w:vMerge/>
                        <w:tcBorders>
                          <w:top w:val="nil"/>
                          <w:left w:val="single" w:sz="8" w:space="0" w:color="000000"/>
                          <w:bottom w:val="nil"/>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11"/>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906" w:type="dxa"/>
                        <w:vMerge/>
                        <w:tcBorders>
                          <w:top w:val="nil"/>
                          <w:left w:val="single" w:sz="8" w:space="0" w:color="000000"/>
                          <w:bottom w:val="single" w:sz="8" w:space="0" w:color="000000"/>
                          <w:right w:val="single" w:sz="8" w:space="0" w:color="ECE9D8"/>
                        </w:tcBorders>
                      </w:tcPr>
                      <w:p>
                        <w:pPr>
                          <w:rPr>
                            <w:sz w:val="2"/>
                            <w:szCs w:val="2"/>
                          </w:rPr>
                        </w:pPr>
                      </w:p>
                    </w:tc>
                    <w:tc>
                      <w:tcPr>
                        <w:tcW w:w="906"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294"/>
                          <w:rPr>
                            <w:sz w:val="21"/>
                          </w:rPr>
                        </w:pPr>
                        <w:r>
                          <w:rPr>
                            <w:spacing w:val="-5"/>
                            <w:sz w:val="21"/>
                          </w:rPr>
                          <w:t>10X</w:t>
                        </w:r>
                      </w:p>
                    </w:tc>
                    <w:tc>
                      <w:tcPr>
                        <w:tcW w:w="113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358"/>
                          <w:rPr>
                            <w:sz w:val="21"/>
                          </w:rPr>
                        </w:pPr>
                        <w:r>
                          <w:rPr>
                            <w:spacing w:val="-4"/>
                            <w:sz w:val="21"/>
                          </w:rPr>
                          <w:t>0.25</w:t>
                        </w:r>
                      </w:p>
                    </w:tc>
                    <w:tc>
                      <w:tcPr>
                        <w:tcW w:w="1044" w:type="dxa"/>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138" w:right="22"/>
                          <w:jc w:val="center"/>
                          <w:rPr>
                            <w:sz w:val="21"/>
                          </w:rPr>
                        </w:pPr>
                        <w:r>
                          <w:rPr>
                            <w:spacing w:val="-5"/>
                            <w:sz w:val="21"/>
                          </w:rPr>
                          <w:t>4.7</w:t>
                        </w:r>
                      </w:p>
                    </w:tc>
                    <w:tc>
                      <w:tcPr>
                        <w:tcW w:w="92"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2786" w:type="dxa"/>
                        <w:vMerge/>
                        <w:tcBorders>
                          <w:top w:val="nil"/>
                          <w:left w:val="single" w:sz="8" w:space="0" w:color="000000"/>
                          <w:bottom w:val="nil"/>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11"/>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906" w:type="dxa"/>
                        <w:vMerge/>
                        <w:tcBorders>
                          <w:top w:val="nil"/>
                          <w:left w:val="single" w:sz="8" w:space="0" w:color="000000"/>
                          <w:bottom w:val="single" w:sz="8" w:space="0" w:color="000000"/>
                          <w:right w:val="single" w:sz="8" w:space="0" w:color="ECE9D8"/>
                        </w:tcBorders>
                      </w:tcPr>
                      <w:p>
                        <w:pPr>
                          <w:rPr>
                            <w:sz w:val="2"/>
                            <w:szCs w:val="2"/>
                          </w:rPr>
                        </w:pPr>
                      </w:p>
                    </w:tc>
                    <w:tc>
                      <w:tcPr>
                        <w:tcW w:w="906"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294"/>
                          <w:rPr>
                            <w:sz w:val="21"/>
                          </w:rPr>
                        </w:pPr>
                        <w:r>
                          <w:rPr>
                            <w:spacing w:val="-5"/>
                            <w:sz w:val="21"/>
                          </w:rPr>
                          <w:t>25X</w:t>
                        </w:r>
                      </w:p>
                    </w:tc>
                    <w:tc>
                      <w:tcPr>
                        <w:tcW w:w="113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358"/>
                          <w:rPr>
                            <w:sz w:val="21"/>
                          </w:rPr>
                        </w:pPr>
                        <w:r>
                          <w:rPr>
                            <w:spacing w:val="-4"/>
                            <w:sz w:val="21"/>
                          </w:rPr>
                          <w:t>0.40</w:t>
                        </w:r>
                      </w:p>
                    </w:tc>
                    <w:tc>
                      <w:tcPr>
                        <w:tcW w:w="1044" w:type="dxa"/>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138" w:right="22"/>
                          <w:jc w:val="center"/>
                          <w:rPr>
                            <w:sz w:val="21"/>
                          </w:rPr>
                        </w:pPr>
                        <w:r>
                          <w:rPr>
                            <w:spacing w:val="-4"/>
                            <w:sz w:val="21"/>
                          </w:rPr>
                          <w:t>1.75</w:t>
                        </w:r>
                      </w:p>
                    </w:tc>
                    <w:tc>
                      <w:tcPr>
                        <w:tcW w:w="92"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2786" w:type="dxa"/>
                        <w:vMerge/>
                        <w:tcBorders>
                          <w:top w:val="nil"/>
                          <w:left w:val="single" w:sz="8" w:space="0" w:color="000000"/>
                          <w:bottom w:val="nil"/>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11"/>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906" w:type="dxa"/>
                        <w:vMerge/>
                        <w:tcBorders>
                          <w:top w:val="nil"/>
                          <w:left w:val="single" w:sz="8" w:space="0" w:color="000000"/>
                          <w:bottom w:val="single" w:sz="8" w:space="0" w:color="000000"/>
                          <w:right w:val="single" w:sz="8" w:space="0" w:color="ECE9D8"/>
                        </w:tcBorders>
                      </w:tcPr>
                      <w:p>
                        <w:pPr>
                          <w:rPr>
                            <w:sz w:val="2"/>
                            <w:szCs w:val="2"/>
                          </w:rPr>
                        </w:pPr>
                      </w:p>
                    </w:tc>
                    <w:tc>
                      <w:tcPr>
                        <w:tcW w:w="906"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294"/>
                          <w:rPr>
                            <w:sz w:val="21"/>
                          </w:rPr>
                        </w:pPr>
                        <w:r>
                          <w:rPr>
                            <w:spacing w:val="-5"/>
                            <w:sz w:val="21"/>
                          </w:rPr>
                          <w:t>40X</w:t>
                        </w:r>
                      </w:p>
                    </w:tc>
                    <w:tc>
                      <w:tcPr>
                        <w:tcW w:w="1135" w:type="dxa"/>
                        <w:gridSpan w:val="2"/>
                        <w:tcBorders>
                          <w:top w:val="single" w:sz="8" w:space="0" w:color="ECE9D8"/>
                          <w:left w:val="single" w:sz="8" w:space="0" w:color="ECE9D8"/>
                          <w:bottom w:val="single" w:sz="8" w:space="0" w:color="ECE9D8"/>
                          <w:right w:val="single" w:sz="8" w:space="0" w:color="ECE9D8"/>
                        </w:tcBorders>
                      </w:tcPr>
                      <w:p>
                        <w:pPr>
                          <w:pStyle w:val="TableParagraph"/>
                          <w:spacing w:before="28" w:line="264" w:lineRule="exact"/>
                          <w:ind w:left="358"/>
                          <w:rPr>
                            <w:sz w:val="21"/>
                          </w:rPr>
                        </w:pPr>
                        <w:r>
                          <w:rPr>
                            <w:spacing w:val="-4"/>
                            <w:sz w:val="21"/>
                          </w:rPr>
                          <w:t>0.65</w:t>
                        </w:r>
                      </w:p>
                    </w:tc>
                    <w:tc>
                      <w:tcPr>
                        <w:tcW w:w="1044" w:type="dxa"/>
                        <w:tcBorders>
                          <w:top w:val="single" w:sz="8" w:space="0" w:color="ECE9D8"/>
                          <w:left w:val="single" w:sz="8" w:space="0" w:color="ECE9D8"/>
                          <w:bottom w:val="single" w:sz="8" w:space="0" w:color="ECE9D8"/>
                          <w:right w:val="single" w:sz="4" w:space="0" w:color="000000"/>
                        </w:tcBorders>
                      </w:tcPr>
                      <w:p>
                        <w:pPr>
                          <w:pStyle w:val="TableParagraph"/>
                          <w:spacing w:before="28" w:line="264" w:lineRule="exact"/>
                          <w:ind w:left="138" w:right="22"/>
                          <w:jc w:val="center"/>
                          <w:rPr>
                            <w:sz w:val="21"/>
                          </w:rPr>
                        </w:pPr>
                        <w:r>
                          <w:rPr>
                            <w:spacing w:val="-4"/>
                            <w:sz w:val="21"/>
                          </w:rPr>
                          <w:t>1.72</w:t>
                        </w:r>
                      </w:p>
                    </w:tc>
                    <w:tc>
                      <w:tcPr>
                        <w:tcW w:w="92" w:type="dxa"/>
                        <w:tcBorders>
                          <w:top w:val="single" w:sz="8" w:space="0" w:color="ECE9D8"/>
                          <w:left w:val="single" w:sz="4" w:space="0" w:color="000000"/>
                          <w:bottom w:val="single" w:sz="8" w:space="0" w:color="ECE9D8"/>
                          <w:right w:val="single" w:sz="8" w:space="0" w:color="000000"/>
                        </w:tcBorders>
                      </w:tcPr>
                      <w:p>
                        <w:pPr>
                          <w:pStyle w:val="TableParagraph"/>
                          <w:rPr>
                            <w:rFonts w:ascii="Times New Roman"/>
                            <w:sz w:val="20"/>
                          </w:rPr>
                        </w:pPr>
                      </w:p>
                    </w:tc>
                    <w:tc>
                      <w:tcPr>
                        <w:tcW w:w="2786" w:type="dxa"/>
                        <w:vMerge/>
                        <w:tcBorders>
                          <w:top w:val="nil"/>
                          <w:left w:val="single" w:sz="8" w:space="0" w:color="000000"/>
                          <w:bottom w:val="nil"/>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16"/>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123" w:type="dxa"/>
                        <w:vMerge/>
                        <w:tcBorders>
                          <w:top w:val="nil"/>
                          <w:left w:val="single" w:sz="4" w:space="0" w:color="000000"/>
                          <w:bottom w:val="nil"/>
                          <w:right w:val="single" w:sz="8" w:space="0" w:color="000000"/>
                        </w:tcBorders>
                      </w:tcPr>
                      <w:p>
                        <w:pPr>
                          <w:rPr>
                            <w:sz w:val="2"/>
                            <w:szCs w:val="2"/>
                          </w:rPr>
                        </w:pPr>
                      </w:p>
                    </w:tc>
                    <w:tc>
                      <w:tcPr>
                        <w:tcW w:w="906" w:type="dxa"/>
                        <w:vMerge/>
                        <w:tcBorders>
                          <w:top w:val="nil"/>
                          <w:left w:val="single" w:sz="8" w:space="0" w:color="000000"/>
                          <w:bottom w:val="single" w:sz="8" w:space="0" w:color="000000"/>
                          <w:right w:val="single" w:sz="8" w:space="0" w:color="ECE9D8"/>
                        </w:tcBorders>
                      </w:tcPr>
                      <w:p>
                        <w:pPr>
                          <w:rPr>
                            <w:sz w:val="2"/>
                            <w:szCs w:val="2"/>
                          </w:rPr>
                        </w:pPr>
                      </w:p>
                    </w:tc>
                    <w:tc>
                      <w:tcPr>
                        <w:tcW w:w="906" w:type="dxa"/>
                        <w:gridSpan w:val="2"/>
                        <w:tcBorders>
                          <w:top w:val="single" w:sz="8" w:space="0" w:color="ECE9D8"/>
                          <w:left w:val="single" w:sz="8" w:space="0" w:color="ECE9D8"/>
                          <w:bottom w:val="single" w:sz="8" w:space="0" w:color="000000"/>
                          <w:right w:val="single" w:sz="8" w:space="0" w:color="ECE9D8"/>
                        </w:tcBorders>
                      </w:tcPr>
                      <w:p>
                        <w:pPr>
                          <w:pStyle w:val="TableParagraph"/>
                          <w:spacing w:before="28"/>
                          <w:ind w:left="294"/>
                          <w:rPr>
                            <w:sz w:val="21"/>
                          </w:rPr>
                        </w:pPr>
                        <w:r>
                          <w:rPr>
                            <w:spacing w:val="-5"/>
                            <w:sz w:val="21"/>
                          </w:rPr>
                          <w:t>63X</w:t>
                        </w:r>
                      </w:p>
                    </w:tc>
                    <w:tc>
                      <w:tcPr>
                        <w:tcW w:w="1135" w:type="dxa"/>
                        <w:gridSpan w:val="2"/>
                        <w:tcBorders>
                          <w:top w:val="single" w:sz="8" w:space="0" w:color="ECE9D8"/>
                          <w:left w:val="single" w:sz="8" w:space="0" w:color="ECE9D8"/>
                          <w:bottom w:val="single" w:sz="8" w:space="0" w:color="000000"/>
                          <w:right w:val="single" w:sz="8" w:space="0" w:color="ECE9D8"/>
                        </w:tcBorders>
                      </w:tcPr>
                      <w:p>
                        <w:pPr>
                          <w:pStyle w:val="TableParagraph"/>
                          <w:spacing w:before="28"/>
                          <w:ind w:left="358"/>
                          <w:rPr>
                            <w:sz w:val="21"/>
                          </w:rPr>
                        </w:pPr>
                        <w:r>
                          <w:rPr>
                            <w:spacing w:val="-4"/>
                            <w:sz w:val="21"/>
                          </w:rPr>
                          <w:t>0.85</w:t>
                        </w:r>
                      </w:p>
                    </w:tc>
                    <w:tc>
                      <w:tcPr>
                        <w:tcW w:w="1044" w:type="dxa"/>
                        <w:tcBorders>
                          <w:top w:val="single" w:sz="8" w:space="0" w:color="ECE9D8"/>
                          <w:left w:val="single" w:sz="8" w:space="0" w:color="ECE9D8"/>
                          <w:bottom w:val="single" w:sz="8" w:space="0" w:color="000000"/>
                          <w:right w:val="single" w:sz="4" w:space="0" w:color="000000"/>
                        </w:tcBorders>
                      </w:tcPr>
                      <w:p>
                        <w:pPr>
                          <w:pStyle w:val="TableParagraph"/>
                          <w:spacing w:before="28"/>
                          <w:ind w:left="138" w:right="22"/>
                          <w:jc w:val="center"/>
                          <w:rPr>
                            <w:sz w:val="21"/>
                          </w:rPr>
                        </w:pPr>
                        <w:r>
                          <w:rPr>
                            <w:spacing w:val="-4"/>
                            <w:sz w:val="21"/>
                          </w:rPr>
                          <w:t>0.18</w:t>
                        </w:r>
                      </w:p>
                    </w:tc>
                    <w:tc>
                      <w:tcPr>
                        <w:tcW w:w="92" w:type="dxa"/>
                        <w:tcBorders>
                          <w:top w:val="single" w:sz="8" w:space="0" w:color="ECE9D8"/>
                          <w:left w:val="single" w:sz="4" w:space="0" w:color="000000"/>
                          <w:bottom w:val="single" w:sz="8" w:space="0" w:color="000000"/>
                          <w:right w:val="single" w:sz="8" w:space="0" w:color="000000"/>
                        </w:tcBorders>
                      </w:tcPr>
                      <w:p>
                        <w:pPr>
                          <w:pStyle w:val="TableParagraph"/>
                          <w:rPr>
                            <w:rFonts w:ascii="Times New Roman"/>
                            <w:sz w:val="20"/>
                          </w:rPr>
                        </w:pPr>
                      </w:p>
                    </w:tc>
                    <w:tc>
                      <w:tcPr>
                        <w:tcW w:w="2786" w:type="dxa"/>
                        <w:vMerge/>
                        <w:tcBorders>
                          <w:top w:val="nil"/>
                          <w:left w:val="single" w:sz="8" w:space="0" w:color="000000"/>
                          <w:bottom w:val="nil"/>
                          <w:right w:val="single" w:sz="4" w:space="0" w:color="000000"/>
                        </w:tcBorders>
                      </w:tcPr>
                      <w:p>
                        <w:pPr>
                          <w:rPr>
                            <w:sz w:val="2"/>
                            <w:szCs w:val="2"/>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2183"/>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4114" w:type="dxa"/>
                        <w:gridSpan w:val="7"/>
                        <w:tcBorders>
                          <w:top w:val="single" w:sz="8" w:space="0" w:color="000000"/>
                          <w:left w:val="single" w:sz="4" w:space="0" w:color="000000"/>
                          <w:bottom w:val="single" w:sz="4" w:space="0" w:color="000000"/>
                          <w:right w:val="single" w:sz="4" w:space="0" w:color="000000"/>
                        </w:tcBorders>
                      </w:tcPr>
                      <w:p>
                        <w:pPr>
                          <w:pStyle w:val="TableParagraph"/>
                          <w:spacing w:line="338" w:lineRule="exact"/>
                          <w:ind w:left="215"/>
                          <w:rPr>
                            <w:sz w:val="21"/>
                          </w:rPr>
                        </w:pPr>
                        <w:r>
                          <w:rPr>
                            <w:rFonts w:ascii="Microsoft JhengHei" w:eastAsia="Microsoft JhengHei"/>
                            <w:b/>
                            <w:sz w:val="21"/>
                          </w:rPr>
                          <w:t>*</w:t>
                        </w:r>
                        <w:r>
                          <w:rPr>
                            <w:sz w:val="21"/>
                          </w:rPr>
                          <w:t>3.总放大倍数</w:t>
                        </w:r>
                        <w:r>
                          <w:rPr>
                            <w:spacing w:val="-2"/>
                            <w:sz w:val="21"/>
                          </w:rPr>
                          <w:t>：40X～630X</w:t>
                        </w:r>
                      </w:p>
                      <w:p>
                        <w:pPr>
                          <w:pStyle w:val="TableParagraph"/>
                          <w:spacing w:line="253" w:lineRule="exact"/>
                          <w:ind w:left="215"/>
                          <w:rPr>
                            <w:sz w:val="21"/>
                          </w:rPr>
                        </w:pPr>
                        <w:r>
                          <w:rPr>
                            <w:sz w:val="21"/>
                          </w:rPr>
                          <w:t>4.</w:t>
                        </w:r>
                        <w:r>
                          <w:rPr>
                            <w:spacing w:val="-9"/>
                            <w:sz w:val="21"/>
                          </w:rPr>
                          <w:t xml:space="preserve">试片:石膏 </w:t>
                        </w:r>
                        <w:r>
                          <w:rPr>
                            <w:sz w:val="21"/>
                          </w:rPr>
                          <w:t>1λ,</w:t>
                        </w:r>
                        <w:r>
                          <w:rPr>
                            <w:spacing w:val="-18"/>
                            <w:sz w:val="21"/>
                          </w:rPr>
                          <w:t xml:space="preserve">云母 </w:t>
                        </w:r>
                        <w:r>
                          <w:rPr>
                            <w:sz w:val="21"/>
                          </w:rPr>
                          <w:t>1/4λ,</w:t>
                        </w:r>
                        <w:r>
                          <w:rPr>
                            <w:spacing w:val="-3"/>
                            <w:sz w:val="21"/>
                          </w:rPr>
                          <w:t>石英楔子</w:t>
                        </w:r>
                      </w:p>
                      <w:p>
                        <w:pPr>
                          <w:pStyle w:val="TableParagraph"/>
                          <w:spacing w:line="371" w:lineRule="exact"/>
                          <w:ind w:left="215"/>
                          <w:rPr>
                            <w:sz w:val="21"/>
                          </w:rPr>
                        </w:pPr>
                        <w:r>
                          <w:rPr>
                            <w:rFonts w:ascii="Microsoft JhengHei" w:eastAsia="Microsoft JhengHei"/>
                            <w:b/>
                            <w:sz w:val="21"/>
                          </w:rPr>
                          <w:t>*</w:t>
                        </w:r>
                        <w:r>
                          <w:rPr>
                            <w:sz w:val="21"/>
                          </w:rPr>
                          <w:t>5.测微尺</w:t>
                        </w:r>
                        <w:r>
                          <w:rPr>
                            <w:spacing w:val="-2"/>
                            <w:sz w:val="21"/>
                          </w:rPr>
                          <w:t>:0.01mm</w:t>
                        </w:r>
                      </w:p>
                      <w:p>
                        <w:pPr>
                          <w:pStyle w:val="TableParagraph"/>
                          <w:spacing w:line="253" w:lineRule="exact"/>
                          <w:ind w:left="215"/>
                          <w:rPr>
                            <w:sz w:val="21"/>
                          </w:rPr>
                        </w:pPr>
                        <w:r>
                          <w:rPr>
                            <w:sz w:val="21"/>
                          </w:rPr>
                          <w:t>6.</w:t>
                        </w:r>
                        <w:r>
                          <w:rPr>
                            <w:spacing w:val="-2"/>
                            <w:sz w:val="21"/>
                          </w:rPr>
                          <w:t>滤色片:蓝色</w:t>
                        </w:r>
                      </w:p>
                      <w:p>
                        <w:pPr>
                          <w:pStyle w:val="TableParagraph"/>
                          <w:spacing w:line="371" w:lineRule="exact"/>
                          <w:ind w:left="215"/>
                          <w:rPr>
                            <w:sz w:val="21"/>
                          </w:rPr>
                        </w:pPr>
                        <w:r>
                          <w:rPr>
                            <w:rFonts w:ascii="Microsoft JhengHei" w:eastAsia="Microsoft JhengHei"/>
                            <w:b/>
                            <w:sz w:val="21"/>
                          </w:rPr>
                          <w:t>*</w:t>
                        </w:r>
                        <w:r>
                          <w:rPr>
                            <w:sz w:val="21"/>
                          </w:rPr>
                          <w:t>7.带座目镜网格</w:t>
                        </w:r>
                        <w:r>
                          <w:rPr>
                            <w:spacing w:val="-2"/>
                            <w:sz w:val="21"/>
                          </w:rPr>
                          <w:t>:0.2mm</w:t>
                        </w:r>
                      </w:p>
                      <w:p>
                        <w:pPr>
                          <w:pStyle w:val="TableParagraph"/>
                          <w:spacing w:line="267" w:lineRule="exact"/>
                          <w:ind w:left="215"/>
                          <w:rPr>
                            <w:sz w:val="21"/>
                          </w:rPr>
                        </w:pPr>
                        <w:r>
                          <w:rPr>
                            <w:sz w:val="21"/>
                          </w:rPr>
                          <w:t>8.照明光源: 220V/0-6V</w:t>
                        </w:r>
                        <w:r>
                          <w:rPr>
                            <w:spacing w:val="-16"/>
                            <w:sz w:val="21"/>
                          </w:rPr>
                          <w:t xml:space="preserve"> 变压器</w:t>
                        </w:r>
                      </w:p>
                      <w:p>
                        <w:pPr>
                          <w:pStyle w:val="TableParagraph"/>
                          <w:spacing w:before="43"/>
                          <w:ind w:left="215"/>
                          <w:rPr>
                            <w:sz w:val="21"/>
                          </w:rPr>
                        </w:pPr>
                        <w:r>
                          <w:rPr>
                            <w:sz w:val="21"/>
                          </w:rPr>
                          <w:t>9.灯泡</w:t>
                        </w:r>
                        <w:r>
                          <w:rPr>
                            <w:spacing w:val="-2"/>
                            <w:sz w:val="21"/>
                          </w:rPr>
                          <w:t>：6V/15W</w:t>
                        </w:r>
                      </w:p>
                    </w:tc>
                    <w:tc>
                      <w:tcPr>
                        <w:tcW w:w="2878" w:type="dxa"/>
                        <w:gridSpan w:val="2"/>
                        <w:tcBorders>
                          <w:top w:val="nil"/>
                          <w:left w:val="single" w:sz="4" w:space="0" w:color="000000"/>
                          <w:bottom w:val="single" w:sz="4" w:space="0" w:color="000000"/>
                          <w:right w:val="single" w:sz="4" w:space="0" w:color="000000"/>
                        </w:tcBorders>
                      </w:tcPr>
                      <w:p>
                        <w:pPr>
                          <w:pStyle w:val="TableParagraph"/>
                          <w:rPr>
                            <w:rFonts w:ascii="Times New Roman"/>
                            <w:sz w:val="20"/>
                          </w:rPr>
                        </w:pPr>
                      </w:p>
                    </w:tc>
                    <w:tc>
                      <w:tcPr>
                        <w:tcW w:w="899" w:type="dxa"/>
                        <w:vMerge/>
                        <w:tcBorders>
                          <w:top w:val="nil"/>
                          <w:left w:val="single" w:sz="4" w:space="0" w:color="000000"/>
                          <w:bottom w:val="single" w:sz="4" w:space="0" w:color="000000"/>
                          <w:right w:val="single" w:sz="4" w:space="0" w:color="000000"/>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935"/>
                      <w:jc w:val="left"/>
                    </w:trPr>
                    <w:tc>
                      <w:tcPr>
                        <w:tcW w:w="113" w:type="dxa"/>
                        <w:tcBorders>
                          <w:top w:val="nil"/>
                          <w:left w:val="single" w:sz="4" w:space="0" w:color="000000"/>
                          <w:bottom w:val="single" w:sz="4" w:space="0" w:color="000000"/>
                          <w:right w:val="single" w:sz="4" w:space="0" w:color="000000"/>
                        </w:tcBorders>
                      </w:tcPr>
                      <w:p>
                        <w:pPr>
                          <w:pStyle w:val="TableParagraph"/>
                          <w:rPr>
                            <w:rFonts w:ascii="Times New Roman"/>
                            <w:sz w:val="20"/>
                          </w:rPr>
                        </w:pPr>
                      </w:p>
                    </w:tc>
                    <w:tc>
                      <w:tcPr>
                        <w:tcW w:w="915" w:type="dxa"/>
                        <w:tcBorders>
                          <w:top w:val="single" w:sz="4" w:space="0" w:color="000000"/>
                          <w:left w:val="single" w:sz="4" w:space="0" w:color="000000"/>
                          <w:bottom w:val="single" w:sz="8" w:space="0" w:color="000000"/>
                          <w:right w:val="single" w:sz="4" w:space="0" w:color="000000"/>
                        </w:tcBorders>
                      </w:tcPr>
                      <w:p>
                        <w:pPr>
                          <w:pStyle w:val="TableParagraph"/>
                          <w:spacing w:before="1"/>
                          <w:rPr>
                            <w:sz w:val="26"/>
                          </w:rPr>
                        </w:pPr>
                      </w:p>
                      <w:p>
                        <w:pPr>
                          <w:pStyle w:val="TableParagraph"/>
                          <w:spacing w:before="1"/>
                          <w:ind w:left="10"/>
                          <w:jc w:val="center"/>
                          <w:rPr>
                            <w:sz w:val="21"/>
                          </w:rPr>
                        </w:pPr>
                        <w:r>
                          <w:rPr>
                            <w:sz w:val="21"/>
                          </w:rPr>
                          <w:t>7</w:t>
                        </w:r>
                      </w:p>
                    </w:tc>
                    <w:tc>
                      <w:tcPr>
                        <w:tcW w:w="1260" w:type="dxa"/>
                        <w:tcBorders>
                          <w:top w:val="single" w:sz="4" w:space="0" w:color="000000"/>
                          <w:left w:val="single" w:sz="4" w:space="0" w:color="000000"/>
                          <w:bottom w:val="single" w:sz="8" w:space="0" w:color="000000"/>
                          <w:right w:val="single" w:sz="4" w:space="0" w:color="000000"/>
                        </w:tcBorders>
                      </w:tcPr>
                      <w:p>
                        <w:pPr>
                          <w:pStyle w:val="TableParagraph"/>
                          <w:spacing w:before="1"/>
                          <w:rPr>
                            <w:sz w:val="26"/>
                          </w:rPr>
                        </w:pPr>
                      </w:p>
                      <w:p>
                        <w:pPr>
                          <w:pStyle w:val="TableParagraph"/>
                          <w:spacing w:before="1"/>
                          <w:ind w:left="65" w:right="55"/>
                          <w:jc w:val="center"/>
                          <w:rPr>
                            <w:sz w:val="21"/>
                          </w:rPr>
                        </w:pPr>
                        <w:r>
                          <w:rPr>
                            <w:spacing w:val="-2"/>
                            <w:sz w:val="21"/>
                          </w:rPr>
                          <w:t>雪花制冰机</w:t>
                        </w:r>
                      </w:p>
                    </w:tc>
                    <w:tc>
                      <w:tcPr>
                        <w:tcW w:w="4114" w:type="dxa"/>
                        <w:gridSpan w:val="7"/>
                        <w:tcBorders>
                          <w:top w:val="single" w:sz="4" w:space="0" w:color="000000"/>
                          <w:left w:val="single" w:sz="4" w:space="0" w:color="000000"/>
                          <w:bottom w:val="single" w:sz="8" w:space="0" w:color="000000"/>
                          <w:right w:val="single" w:sz="4" w:space="0" w:color="000000"/>
                        </w:tcBorders>
                      </w:tcPr>
                      <w:p>
                        <w:pPr>
                          <w:pStyle w:val="TableParagraph"/>
                          <w:spacing w:before="9"/>
                          <w:rPr>
                            <w:sz w:val="20"/>
                          </w:rPr>
                        </w:pPr>
                      </w:p>
                      <w:p>
                        <w:pPr>
                          <w:pStyle w:val="TableParagraph"/>
                          <w:ind w:left="5"/>
                          <w:rPr>
                            <w:sz w:val="21"/>
                          </w:rPr>
                        </w:pPr>
                        <w:r>
                          <w:rPr>
                            <w:rFonts w:ascii="Microsoft JhengHei" w:eastAsia="Microsoft JhengHei"/>
                            <w:b/>
                            <w:color w:val="333333"/>
                            <w:sz w:val="21"/>
                          </w:rPr>
                          <w:t>*</w:t>
                        </w:r>
                        <w:r>
                          <w:rPr>
                            <w:color w:val="333333"/>
                            <w:sz w:val="21"/>
                          </w:rPr>
                          <w:t>制冰量</w:t>
                        </w:r>
                        <w:r>
                          <w:rPr>
                            <w:color w:val="333333"/>
                            <w:spacing w:val="-2"/>
                            <w:sz w:val="21"/>
                          </w:rPr>
                          <w:t>：20kg/24h</w:t>
                        </w:r>
                        <w:r>
                          <w:rPr>
                            <w:color w:val="0000FF"/>
                            <w:spacing w:val="-2"/>
                            <w:sz w:val="21"/>
                          </w:rPr>
                          <w:t>；</w:t>
                        </w:r>
                      </w:p>
                    </w:tc>
                    <w:tc>
                      <w:tcPr>
                        <w:tcW w:w="2878" w:type="dxa"/>
                        <w:gridSpan w:val="2"/>
                        <w:tcBorders>
                          <w:top w:val="single" w:sz="4" w:space="0" w:color="000000"/>
                          <w:left w:val="single" w:sz="4" w:space="0" w:color="000000"/>
                          <w:bottom w:val="single" w:sz="8" w:space="0" w:color="000000"/>
                          <w:right w:val="single" w:sz="4" w:space="0" w:color="000000"/>
                        </w:tcBorders>
                      </w:tcPr>
                      <w:p>
                        <w:pPr>
                          <w:pStyle w:val="TableParagraph"/>
                          <w:spacing w:before="23"/>
                          <w:ind w:left="11" w:right="-15"/>
                          <w:rPr>
                            <w:sz w:val="21"/>
                          </w:rPr>
                        </w:pPr>
                        <w:r>
                          <w:rPr>
                            <w:color w:val="333333"/>
                            <w:spacing w:val="6"/>
                            <w:sz w:val="21"/>
                          </w:rPr>
                          <w:t xml:space="preserve">技术指标完全满足的得 </w:t>
                        </w:r>
                        <w:r>
                          <w:rPr>
                            <w:color w:val="333333"/>
                            <w:sz w:val="21"/>
                          </w:rPr>
                          <w:t>1.5-</w:t>
                        </w:r>
                        <w:r>
                          <w:rPr>
                            <w:color w:val="333333"/>
                            <w:spacing w:val="-10"/>
                            <w:sz w:val="21"/>
                          </w:rPr>
                          <w:t>2</w:t>
                        </w:r>
                      </w:p>
                      <w:p>
                        <w:pPr>
                          <w:pStyle w:val="TableParagraph"/>
                          <w:spacing w:before="2" w:line="310" w:lineRule="atLeast"/>
                          <w:ind w:left="11" w:right="-15"/>
                          <w:rPr>
                            <w:sz w:val="21"/>
                          </w:rPr>
                        </w:pPr>
                        <w:r>
                          <w:rPr>
                            <w:color w:val="333333"/>
                            <w:spacing w:val="-6"/>
                            <w:sz w:val="21"/>
                          </w:rPr>
                          <w:t>分，正偏离加分，负偏离酌情扣</w:t>
                        </w:r>
                        <w:r>
                          <w:rPr>
                            <w:color w:val="333333"/>
                            <w:spacing w:val="-4"/>
                            <w:sz w:val="21"/>
                          </w:rPr>
                          <w:t xml:space="preserve">分，最低得 </w:t>
                        </w:r>
                        <w:r>
                          <w:rPr>
                            <w:color w:val="333333"/>
                            <w:sz w:val="21"/>
                          </w:rPr>
                          <w:t>0</w:t>
                        </w:r>
                        <w:r>
                          <w:rPr>
                            <w:color w:val="333333"/>
                            <w:spacing w:val="-11"/>
                            <w:sz w:val="21"/>
                          </w:rPr>
                          <w:t xml:space="preserve"> 分</w:t>
                        </w:r>
                      </w:p>
                    </w:tc>
                    <w:tc>
                      <w:tcPr>
                        <w:tcW w:w="899" w:type="dxa"/>
                        <w:tcBorders>
                          <w:top w:val="single" w:sz="4" w:space="0" w:color="000000"/>
                          <w:left w:val="single" w:sz="4" w:space="0" w:color="000000"/>
                          <w:bottom w:val="single" w:sz="8" w:space="0" w:color="000000"/>
                          <w:right w:val="single" w:sz="4" w:space="0" w:color="000000"/>
                        </w:tcBorders>
                      </w:tcPr>
                      <w:p>
                        <w:pPr>
                          <w:pStyle w:val="TableParagraph"/>
                          <w:spacing w:before="1"/>
                          <w:rPr>
                            <w:sz w:val="26"/>
                          </w:rPr>
                        </w:pPr>
                      </w:p>
                      <w:p>
                        <w:pPr>
                          <w:pStyle w:val="TableParagraph"/>
                          <w:spacing w:before="1"/>
                          <w:ind w:left="27"/>
                          <w:jc w:val="center"/>
                          <w:rPr>
                            <w:sz w:val="21"/>
                          </w:rPr>
                        </w:pPr>
                        <w:r>
                          <w:rPr>
                            <w:sz w:val="21"/>
                          </w:rPr>
                          <w:t>3</w:t>
                        </w:r>
                      </w:p>
                    </w:tc>
                  </w:tr>
                </w:tbl>
                <w:p>
                  <w:pPr>
                    <w:pStyle w:val="BodyText"/>
                  </w:pPr>
                </w:p>
              </w:txbxContent>
            </v:textbox>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3"/>
        </w:rPr>
      </w:pPr>
    </w:p>
    <w:p>
      <w:pPr>
        <w:pStyle w:val="BodyText"/>
        <w:spacing w:before="71"/>
        <w:ind w:left="2902"/>
        <w:jc w:val="center"/>
      </w:pPr>
      <w:r>
        <w:rPr>
          <w:color w:val="333333"/>
        </w:rPr>
        <w:t>分</w:t>
      </w:r>
    </w:p>
    <w:p>
      <w:pPr>
        <w:spacing w:after="0"/>
        <w:jc w:val="center"/>
        <w:sectPr>
          <w:headerReference w:type="default" r:id="rId56"/>
          <w:footerReference w:type="default" r:id="rId57"/>
          <w:pgSz w:w="11910" w:h="16840"/>
          <w:pgMar w:top="1040" w:right="560" w:bottom="1160" w:left="840" w:header="859" w:footer="971"/>
          <w:pgNumType w:start="25"/>
          <w:cols w:space="708"/>
        </w:sectPr>
      </w:pPr>
    </w:p>
    <w:p>
      <w:pPr>
        <w:pStyle w:val="BodyText"/>
        <w:spacing w:before="6"/>
        <w:rPr>
          <w:sz w:val="3"/>
        </w:rPr>
      </w:pPr>
    </w:p>
    <w:tbl>
      <w:tblPr>
        <w:tblStyle w:val="TableNormal6"/>
        <w:tblW w:w="0" w:type="auto"/>
        <w:jc w:val="left"/>
        <w:tblInd w:w="1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3"/>
        <w:gridCol w:w="915"/>
        <w:gridCol w:w="1260"/>
        <w:gridCol w:w="4120"/>
        <w:gridCol w:w="2880"/>
        <w:gridCol w:w="900"/>
      </w:tblGrid>
      <w:tr>
        <w:tblPrEx>
          <w:tblW w:w="0" w:type="auto"/>
          <w:jc w:val="left"/>
          <w:tblInd w:w="1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243"/>
          <w:jc w:val="left"/>
        </w:trPr>
        <w:tc>
          <w:tcPr>
            <w:tcW w:w="113" w:type="dxa"/>
            <w:tcBorders>
              <w:left w:val="single" w:sz="4" w:space="0" w:color="000000"/>
              <w:bottom w:val="nil"/>
              <w:right w:val="single" w:sz="4" w:space="0" w:color="000000"/>
            </w:tcBorders>
          </w:tcPr>
          <w:p>
            <w:pPr>
              <w:pStyle w:val="TableParagraph"/>
              <w:rPr>
                <w:rFonts w:ascii="Times New Roman"/>
                <w:sz w:val="20"/>
              </w:rPr>
            </w:pPr>
          </w:p>
        </w:tc>
        <w:tc>
          <w:tcPr>
            <w:tcW w:w="915" w:type="dxa"/>
            <w:tcBorders>
              <w:left w:val="single" w:sz="4" w:space="0" w:color="000000"/>
              <w:bottom w:val="single" w:sz="4" w:space="0" w:color="000000"/>
              <w:right w:val="single" w:sz="4" w:space="0" w:color="000000"/>
            </w:tcBorders>
          </w:tcPr>
          <w:p>
            <w:pPr>
              <w:pStyle w:val="TableParagraph"/>
              <w:rPr>
                <w:rFonts w:ascii="Times New Roman"/>
                <w:sz w:val="20"/>
              </w:rPr>
            </w:pPr>
          </w:p>
        </w:tc>
        <w:tc>
          <w:tcPr>
            <w:tcW w:w="1260" w:type="dxa"/>
            <w:tcBorders>
              <w:top w:val="single" w:sz="18"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4120" w:type="dxa"/>
            <w:tcBorders>
              <w:top w:val="single" w:sz="18" w:space="0" w:color="000000"/>
              <w:left w:val="single" w:sz="4" w:space="0" w:color="000000"/>
              <w:bottom w:val="single" w:sz="4" w:space="0" w:color="000000"/>
              <w:right w:val="single" w:sz="4" w:space="0" w:color="000000"/>
            </w:tcBorders>
          </w:tcPr>
          <w:p>
            <w:pPr>
              <w:pStyle w:val="TableParagraph"/>
              <w:spacing w:before="12"/>
              <w:rPr>
                <w:sz w:val="24"/>
              </w:rPr>
            </w:pPr>
          </w:p>
          <w:p>
            <w:pPr>
              <w:pStyle w:val="TableParagraph"/>
              <w:spacing w:line="206" w:lineRule="auto"/>
              <w:ind w:left="5" w:right="2424"/>
              <w:rPr>
                <w:sz w:val="21"/>
              </w:rPr>
            </w:pPr>
            <w:r>
              <w:rPr>
                <w:rFonts w:ascii="Microsoft JhengHei" w:eastAsia="Microsoft JhengHei"/>
                <w:b/>
                <w:color w:val="333333"/>
                <w:spacing w:val="-2"/>
                <w:sz w:val="21"/>
              </w:rPr>
              <w:t>*</w:t>
            </w:r>
            <w:r>
              <w:rPr>
                <w:color w:val="333333"/>
                <w:spacing w:val="-2"/>
                <w:sz w:val="21"/>
              </w:rPr>
              <w:t>储冰量：10kg</w:t>
            </w:r>
            <w:r>
              <w:rPr>
                <w:color w:val="0000FF"/>
                <w:spacing w:val="-2"/>
                <w:sz w:val="21"/>
              </w:rPr>
              <w:t>；</w:t>
            </w:r>
            <w:r>
              <w:rPr>
                <w:color w:val="333333"/>
                <w:sz w:val="21"/>
              </w:rPr>
              <w:t>输入功率</w:t>
            </w:r>
            <w:r>
              <w:rPr>
                <w:color w:val="333333"/>
                <w:spacing w:val="-2"/>
                <w:sz w:val="21"/>
              </w:rPr>
              <w:t>：180w；</w:t>
            </w:r>
          </w:p>
        </w:tc>
        <w:tc>
          <w:tcPr>
            <w:tcW w:w="2880" w:type="dxa"/>
            <w:tcBorders>
              <w:top w:val="single" w:sz="18" w:space="0" w:color="000000"/>
              <w:left w:val="single" w:sz="4" w:space="0" w:color="000000"/>
              <w:bottom w:val="single" w:sz="4" w:space="0" w:color="000000"/>
              <w:right w:val="single" w:sz="4" w:space="0" w:color="000000"/>
            </w:tcBorders>
          </w:tcPr>
          <w:p>
            <w:pPr>
              <w:pStyle w:val="TableParagraph"/>
              <w:spacing w:before="18" w:line="278" w:lineRule="auto"/>
              <w:ind w:left="5" w:right="-15"/>
              <w:jc w:val="both"/>
              <w:rPr>
                <w:sz w:val="21"/>
              </w:rPr>
            </w:pPr>
            <w:r>
              <w:rPr>
                <w:color w:val="333333"/>
                <w:spacing w:val="8"/>
                <w:sz w:val="21"/>
              </w:rPr>
              <w:t xml:space="preserve">技术指标完全满足的得 </w:t>
            </w:r>
            <w:r>
              <w:rPr>
                <w:color w:val="333333"/>
                <w:sz w:val="21"/>
              </w:rPr>
              <w:t>2.5-3分，正偏离加分，带</w:t>
            </w:r>
            <w:r>
              <w:rPr>
                <w:rFonts w:ascii="Times New Roman" w:eastAsia="Times New Roman" w:hAnsi="Times New Roman"/>
                <w:color w:val="333333"/>
                <w:sz w:val="21"/>
              </w:rPr>
              <w:t>“</w:t>
            </w:r>
            <w:r>
              <w:rPr>
                <w:color w:val="333333"/>
                <w:sz w:val="21"/>
              </w:rPr>
              <w:t>*</w:t>
            </w:r>
            <w:r>
              <w:rPr>
                <w:rFonts w:ascii="Times New Roman" w:eastAsia="Times New Roman" w:hAnsi="Times New Roman"/>
                <w:color w:val="333333"/>
                <w:spacing w:val="-7"/>
                <w:sz w:val="21"/>
              </w:rPr>
              <w:t xml:space="preserve">” </w:t>
            </w:r>
            <w:r>
              <w:rPr>
                <w:color w:val="333333"/>
                <w:sz w:val="21"/>
              </w:rPr>
              <w:t>负偏离</w:t>
            </w:r>
            <w:r>
              <w:rPr>
                <w:color w:val="333333"/>
                <w:spacing w:val="-9"/>
                <w:sz w:val="21"/>
              </w:rPr>
              <w:t xml:space="preserve">或不满足扣 </w:t>
            </w:r>
            <w:r>
              <w:rPr>
                <w:color w:val="333333"/>
                <w:sz w:val="21"/>
              </w:rPr>
              <w:t>1</w:t>
            </w:r>
            <w:r>
              <w:rPr>
                <w:color w:val="333333"/>
                <w:spacing w:val="-17"/>
                <w:sz w:val="21"/>
              </w:rPr>
              <w:t xml:space="preserve"> 分，其他负偏离酌</w:t>
            </w:r>
          </w:p>
          <w:p>
            <w:pPr>
              <w:pStyle w:val="TableParagraph"/>
              <w:spacing w:line="269" w:lineRule="exact"/>
              <w:ind w:left="5"/>
              <w:jc w:val="both"/>
              <w:rPr>
                <w:sz w:val="21"/>
              </w:rPr>
            </w:pPr>
            <w:r>
              <w:rPr>
                <w:color w:val="333333"/>
                <w:spacing w:val="-7"/>
                <w:sz w:val="21"/>
              </w:rPr>
              <w:t xml:space="preserve">情扣分，最低得 </w:t>
            </w:r>
            <w:r>
              <w:rPr>
                <w:color w:val="333333"/>
                <w:sz w:val="21"/>
              </w:rPr>
              <w:t>0</w:t>
            </w:r>
            <w:r>
              <w:rPr>
                <w:color w:val="333333"/>
                <w:spacing w:val="-32"/>
                <w:sz w:val="21"/>
              </w:rPr>
              <w:t xml:space="preserve"> 分</w:t>
            </w:r>
          </w:p>
        </w:tc>
        <w:tc>
          <w:tcPr>
            <w:tcW w:w="900" w:type="dxa"/>
            <w:tcBorders>
              <w:top w:val="single" w:sz="18"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2"/>
              <w:rPr>
                <w:sz w:val="17"/>
              </w:rPr>
            </w:pPr>
          </w:p>
          <w:p>
            <w:pPr>
              <w:pStyle w:val="TableParagraph"/>
              <w:ind w:left="10"/>
              <w:jc w:val="center"/>
              <w:rPr>
                <w:sz w:val="21"/>
              </w:rPr>
            </w:pPr>
            <w:r>
              <w:rPr>
                <w:sz w:val="21"/>
              </w:rPr>
              <w:t>3</w:t>
            </w:r>
          </w:p>
        </w:tc>
      </w:tr>
      <w:tr>
        <w:tblPrEx>
          <w:tblW w:w="0" w:type="auto"/>
          <w:jc w:val="left"/>
          <w:tblInd w:w="190" w:type="dxa"/>
          <w:tblLayout w:type="fixed"/>
          <w:tblCellMar>
            <w:top w:w="0" w:type="dxa"/>
            <w:left w:w="0" w:type="dxa"/>
            <w:bottom w:w="0" w:type="dxa"/>
            <w:right w:w="0" w:type="dxa"/>
          </w:tblCellMar>
          <w:tblLook w:val="01E0"/>
        </w:tblPrEx>
        <w:trPr>
          <w:trHeight w:val="935"/>
          <w:jc w:val="left"/>
        </w:trPr>
        <w:tc>
          <w:tcPr>
            <w:tcW w:w="113" w:type="dxa"/>
            <w:vMerge w:val="restart"/>
            <w:tcBorders>
              <w:top w:val="nil"/>
              <w:left w:val="single" w:sz="4" w:space="0" w:color="000000"/>
              <w:bottom w:val="nil"/>
              <w:right w:val="single" w:sz="4" w:space="0" w:color="000000"/>
            </w:tcBorders>
          </w:tcPr>
          <w:p>
            <w:pPr>
              <w:pStyle w:val="TableParagraph"/>
              <w:rPr>
                <w:rFonts w:ascii="Times New Roman"/>
                <w:sz w:val="20"/>
              </w:rPr>
            </w:pPr>
          </w:p>
        </w:tc>
        <w:tc>
          <w:tcPr>
            <w:tcW w:w="915"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72"/>
              <w:ind w:left="10"/>
              <w:jc w:val="center"/>
              <w:rPr>
                <w:sz w:val="21"/>
              </w:rPr>
            </w:pPr>
            <w:r>
              <w:rPr>
                <w:sz w:val="21"/>
              </w:rPr>
              <w:t>8</w:t>
            </w:r>
          </w:p>
        </w:tc>
        <w:tc>
          <w:tcPr>
            <w:tcW w:w="1260"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
              <w:rPr>
                <w:sz w:val="21"/>
              </w:rPr>
            </w:pPr>
          </w:p>
          <w:p>
            <w:pPr>
              <w:pStyle w:val="TableParagraph"/>
              <w:spacing w:line="278" w:lineRule="auto"/>
              <w:ind w:left="210" w:right="94" w:hanging="105"/>
              <w:rPr>
                <w:sz w:val="21"/>
              </w:rPr>
            </w:pPr>
            <w:r>
              <w:rPr>
                <w:spacing w:val="-2"/>
                <w:sz w:val="21"/>
              </w:rPr>
              <w:t>智能型实验</w:t>
            </w:r>
            <w:r>
              <w:rPr>
                <w:spacing w:val="-4"/>
                <w:sz w:val="21"/>
              </w:rPr>
              <w:t>室压片机</w:t>
            </w:r>
          </w:p>
        </w:tc>
        <w:tc>
          <w:tcPr>
            <w:tcW w:w="4120" w:type="dxa"/>
            <w:tcBorders>
              <w:top w:val="single" w:sz="4" w:space="0" w:color="000000"/>
              <w:left w:val="single" w:sz="4" w:space="0" w:color="000000"/>
              <w:bottom w:val="single" w:sz="4" w:space="0" w:color="000000"/>
              <w:right w:val="single" w:sz="4" w:space="0" w:color="000000"/>
            </w:tcBorders>
          </w:tcPr>
          <w:p>
            <w:pPr>
              <w:pStyle w:val="TableParagraph"/>
              <w:spacing w:line="338" w:lineRule="exact"/>
              <w:ind w:left="5"/>
              <w:rPr>
                <w:sz w:val="21"/>
              </w:rPr>
            </w:pPr>
            <w:r>
              <w:rPr>
                <w:rFonts w:ascii="Microsoft JhengHei" w:eastAsia="Microsoft JhengHei"/>
                <w:b/>
                <w:color w:val="333333"/>
                <w:sz w:val="21"/>
              </w:rPr>
              <w:t>*</w:t>
            </w:r>
            <w:r>
              <w:rPr>
                <w:color w:val="333333"/>
                <w:sz w:val="21"/>
              </w:rPr>
              <w:t>1、压片尺寸（可选其中二个）：</w:t>
            </w:r>
            <w:r>
              <w:rPr>
                <w:color w:val="333333"/>
                <w:spacing w:val="-15"/>
                <w:sz w:val="21"/>
              </w:rPr>
              <w:t xml:space="preserve"> 标配为</w:t>
            </w:r>
          </w:p>
          <w:p>
            <w:pPr>
              <w:pStyle w:val="TableParagraph"/>
              <w:spacing w:line="267" w:lineRule="exact"/>
              <w:ind w:left="5"/>
              <w:rPr>
                <w:sz w:val="21"/>
              </w:rPr>
            </w:pPr>
            <w:r>
              <w:rPr>
                <w:color w:val="333333"/>
                <w:sz w:val="21"/>
              </w:rPr>
              <w:t>8mm,</w:t>
            </w:r>
            <w:r>
              <w:rPr>
                <w:color w:val="333333"/>
                <w:spacing w:val="-2"/>
                <w:sz w:val="21"/>
              </w:rPr>
              <w:t>可另外定制</w:t>
            </w:r>
          </w:p>
          <w:p>
            <w:pPr>
              <w:pStyle w:val="TableParagraph"/>
              <w:spacing w:before="43"/>
              <w:ind w:left="5"/>
              <w:rPr>
                <w:sz w:val="21"/>
              </w:rPr>
            </w:pPr>
            <w:r>
              <w:rPr>
                <w:color w:val="333333"/>
                <w:sz w:val="21"/>
              </w:rPr>
              <w:t>5mm,6mm,</w:t>
            </w:r>
            <w:r>
              <w:rPr>
                <w:color w:val="333333"/>
                <w:spacing w:val="-53"/>
                <w:sz w:val="21"/>
              </w:rPr>
              <w:t xml:space="preserve"> </w:t>
            </w:r>
            <w:r>
              <w:rPr>
                <w:color w:val="333333"/>
                <w:sz w:val="21"/>
              </w:rPr>
              <w:t>8mm,9mm,11mm,13mm</w:t>
            </w:r>
            <w:r>
              <w:rPr>
                <w:color w:val="333333"/>
                <w:spacing w:val="-53"/>
                <w:sz w:val="21"/>
              </w:rPr>
              <w:t xml:space="preserve"> </w:t>
            </w:r>
            <w:r>
              <w:rPr>
                <w:color w:val="333333"/>
                <w:spacing w:val="-5"/>
                <w:sz w:val="21"/>
              </w:rPr>
              <w:t>etc</w:t>
            </w:r>
          </w:p>
        </w:tc>
        <w:tc>
          <w:tcPr>
            <w:tcW w:w="2880" w:type="dxa"/>
            <w:tcBorders>
              <w:top w:val="single" w:sz="4" w:space="0" w:color="000000"/>
              <w:left w:val="single" w:sz="4" w:space="0" w:color="000000"/>
              <w:bottom w:val="single" w:sz="4" w:space="0" w:color="000000"/>
              <w:right w:val="single" w:sz="4" w:space="0" w:color="000000"/>
            </w:tcBorders>
          </w:tcPr>
          <w:p>
            <w:pPr>
              <w:pStyle w:val="TableParagraph"/>
              <w:spacing w:before="23"/>
              <w:ind w:left="5" w:right="-15"/>
              <w:rPr>
                <w:sz w:val="21"/>
              </w:rPr>
            </w:pPr>
            <w:r>
              <w:rPr>
                <w:color w:val="333333"/>
                <w:spacing w:val="6"/>
                <w:sz w:val="21"/>
              </w:rPr>
              <w:t xml:space="preserve">技术指标完全满足的得 </w:t>
            </w:r>
            <w:r>
              <w:rPr>
                <w:color w:val="333333"/>
                <w:sz w:val="21"/>
              </w:rPr>
              <w:t>1.5-</w:t>
            </w:r>
            <w:r>
              <w:rPr>
                <w:color w:val="333333"/>
                <w:spacing w:val="-10"/>
                <w:sz w:val="21"/>
              </w:rPr>
              <w:t>2</w:t>
            </w:r>
          </w:p>
          <w:p>
            <w:pPr>
              <w:pStyle w:val="TableParagraph"/>
              <w:spacing w:before="2" w:line="310" w:lineRule="atLeast"/>
              <w:ind w:left="5" w:right="-15"/>
              <w:rPr>
                <w:sz w:val="21"/>
              </w:rPr>
            </w:pPr>
            <w:r>
              <w:rPr>
                <w:color w:val="333333"/>
                <w:spacing w:val="-6"/>
                <w:sz w:val="21"/>
              </w:rPr>
              <w:t>分，正偏离加分，负偏离酌情扣</w:t>
            </w:r>
            <w:r>
              <w:rPr>
                <w:color w:val="333333"/>
                <w:spacing w:val="-4"/>
                <w:sz w:val="21"/>
              </w:rPr>
              <w:t xml:space="preserve">分，最低得 </w:t>
            </w:r>
            <w:r>
              <w:rPr>
                <w:color w:val="333333"/>
                <w:sz w:val="21"/>
              </w:rPr>
              <w:t>0</w:t>
            </w:r>
            <w:r>
              <w:rPr>
                <w:color w:val="333333"/>
                <w:spacing w:val="-11"/>
                <w:sz w:val="21"/>
              </w:rPr>
              <w:t xml:space="preserve"> 分</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spacing w:before="1"/>
              <w:rPr>
                <w:sz w:val="26"/>
              </w:rPr>
            </w:pPr>
          </w:p>
          <w:p>
            <w:pPr>
              <w:pStyle w:val="TableParagraph"/>
              <w:spacing w:before="1"/>
              <w:ind w:left="10"/>
              <w:jc w:val="center"/>
              <w:rPr>
                <w:sz w:val="21"/>
              </w:rPr>
            </w:pPr>
            <w:r>
              <w:rPr>
                <w:sz w:val="21"/>
              </w:rPr>
              <w:t>3</w:t>
            </w:r>
          </w:p>
        </w:tc>
      </w:tr>
      <w:tr>
        <w:tblPrEx>
          <w:tblW w:w="0" w:type="auto"/>
          <w:jc w:val="left"/>
          <w:tblInd w:w="190" w:type="dxa"/>
          <w:tblLayout w:type="fixed"/>
          <w:tblCellMar>
            <w:top w:w="0" w:type="dxa"/>
            <w:left w:w="0" w:type="dxa"/>
            <w:bottom w:w="0" w:type="dxa"/>
            <w:right w:w="0" w:type="dxa"/>
          </w:tblCellMar>
          <w:tblLook w:val="01E0"/>
        </w:tblPrEx>
        <w:trPr>
          <w:trHeight w:val="936"/>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4120" w:type="dxa"/>
            <w:tcBorders>
              <w:top w:val="single" w:sz="4" w:space="0" w:color="000000"/>
              <w:left w:val="single" w:sz="4" w:space="0" w:color="000000"/>
              <w:bottom w:val="single" w:sz="4" w:space="0" w:color="000000"/>
              <w:right w:val="single" w:sz="4" w:space="0" w:color="000000"/>
            </w:tcBorders>
          </w:tcPr>
          <w:p>
            <w:pPr>
              <w:pStyle w:val="TableParagraph"/>
              <w:spacing w:before="115" w:line="235" w:lineRule="auto"/>
              <w:ind w:left="5" w:right="-15"/>
              <w:rPr>
                <w:sz w:val="21"/>
              </w:rPr>
            </w:pPr>
            <w:r>
              <w:rPr>
                <w:rFonts w:ascii="Microsoft JhengHei" w:eastAsia="Microsoft JhengHei"/>
                <w:b/>
                <w:color w:val="333333"/>
                <w:spacing w:val="-2"/>
                <w:sz w:val="21"/>
              </w:rPr>
              <w:t>*</w:t>
            </w:r>
            <w:r>
              <w:rPr>
                <w:color w:val="333333"/>
                <w:spacing w:val="-5"/>
                <w:sz w:val="21"/>
              </w:rPr>
              <w:t xml:space="preserve">压机速度： </w:t>
            </w:r>
            <w:r>
              <w:rPr>
                <w:color w:val="333333"/>
                <w:spacing w:val="-2"/>
                <w:sz w:val="21"/>
              </w:rPr>
              <w:t>10~140</w:t>
            </w:r>
            <w:r>
              <w:rPr>
                <w:color w:val="333333"/>
                <w:spacing w:val="-10"/>
                <w:sz w:val="21"/>
              </w:rPr>
              <w:t xml:space="preserve"> 片/分，可无极调速</w:t>
            </w:r>
            <w:r>
              <w:rPr>
                <w:color w:val="333333"/>
                <w:spacing w:val="-2"/>
                <w:sz w:val="21"/>
              </w:rPr>
              <w:t>（</w:t>
            </w:r>
            <w:r>
              <w:rPr>
                <w:color w:val="333333"/>
                <w:spacing w:val="-2"/>
                <w:sz w:val="21"/>
              </w:rPr>
              <w:t>使</w:t>
            </w:r>
            <w:r>
              <w:rPr>
                <w:color w:val="333333"/>
                <w:spacing w:val="-11"/>
                <w:sz w:val="21"/>
              </w:rPr>
              <w:t xml:space="preserve">用 </w:t>
            </w:r>
            <w:r>
              <w:rPr>
                <w:color w:val="333333"/>
                <w:sz w:val="21"/>
              </w:rPr>
              <w:t>8MM</w:t>
            </w:r>
            <w:r>
              <w:rPr>
                <w:color w:val="333333"/>
                <w:spacing w:val="-6"/>
                <w:sz w:val="21"/>
              </w:rPr>
              <w:t xml:space="preserve"> 模具时</w:t>
            </w:r>
            <w:r>
              <w:rPr>
                <w:color w:val="333333"/>
                <w:sz w:val="21"/>
              </w:rPr>
              <w:t>）</w:t>
            </w:r>
          </w:p>
        </w:tc>
        <w:tc>
          <w:tcPr>
            <w:tcW w:w="2880" w:type="dxa"/>
            <w:tcBorders>
              <w:top w:val="single" w:sz="4" w:space="0" w:color="000000"/>
              <w:left w:val="single" w:sz="4" w:space="0" w:color="000000"/>
              <w:bottom w:val="single" w:sz="4" w:space="0" w:color="000000"/>
              <w:right w:val="single" w:sz="4" w:space="0" w:color="000000"/>
            </w:tcBorders>
          </w:tcPr>
          <w:p>
            <w:pPr>
              <w:pStyle w:val="TableParagraph"/>
              <w:spacing w:before="23"/>
              <w:ind w:left="5"/>
              <w:rPr>
                <w:sz w:val="21"/>
              </w:rPr>
            </w:pPr>
            <w:r>
              <w:rPr>
                <w:color w:val="333333"/>
                <w:spacing w:val="6"/>
                <w:sz w:val="21"/>
              </w:rPr>
              <w:t xml:space="preserve">技术指标完全满足的得 </w:t>
            </w:r>
            <w:r>
              <w:rPr>
                <w:color w:val="333333"/>
                <w:sz w:val="21"/>
              </w:rPr>
              <w:t>1.5-</w:t>
            </w:r>
            <w:r>
              <w:rPr>
                <w:color w:val="333333"/>
                <w:spacing w:val="-10"/>
                <w:sz w:val="21"/>
              </w:rPr>
              <w:t>2</w:t>
            </w:r>
          </w:p>
          <w:p>
            <w:pPr>
              <w:pStyle w:val="TableParagraph"/>
              <w:spacing w:before="2" w:line="310" w:lineRule="atLeast"/>
              <w:ind w:left="5" w:right="-15"/>
              <w:rPr>
                <w:sz w:val="21"/>
              </w:rPr>
            </w:pPr>
            <w:r>
              <w:rPr>
                <w:color w:val="333333"/>
                <w:spacing w:val="-6"/>
                <w:sz w:val="21"/>
              </w:rPr>
              <w:t>分，正偏离加分，负偏离酌情扣</w:t>
            </w:r>
            <w:r>
              <w:rPr>
                <w:color w:val="333333"/>
                <w:spacing w:val="-4"/>
                <w:sz w:val="21"/>
              </w:rPr>
              <w:t xml:space="preserve">分，最低得 </w:t>
            </w:r>
            <w:r>
              <w:rPr>
                <w:color w:val="333333"/>
                <w:sz w:val="21"/>
              </w:rPr>
              <w:t>0</w:t>
            </w:r>
            <w:r>
              <w:rPr>
                <w:color w:val="333333"/>
                <w:spacing w:val="-11"/>
                <w:sz w:val="21"/>
              </w:rPr>
              <w:t xml:space="preserve"> 分</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spacing w:before="1"/>
              <w:rPr>
                <w:sz w:val="26"/>
              </w:rPr>
            </w:pPr>
          </w:p>
          <w:p>
            <w:pPr>
              <w:pStyle w:val="TableParagraph"/>
              <w:spacing w:before="1"/>
              <w:ind w:left="10"/>
              <w:jc w:val="center"/>
              <w:rPr>
                <w:sz w:val="21"/>
              </w:rPr>
            </w:pPr>
            <w:r>
              <w:rPr>
                <w:sz w:val="21"/>
              </w:rPr>
              <w:t>3</w:t>
            </w:r>
          </w:p>
        </w:tc>
      </w:tr>
      <w:tr>
        <w:tblPrEx>
          <w:tblW w:w="0" w:type="auto"/>
          <w:jc w:val="left"/>
          <w:tblInd w:w="190" w:type="dxa"/>
          <w:tblLayout w:type="fixed"/>
          <w:tblCellMar>
            <w:top w:w="0" w:type="dxa"/>
            <w:left w:w="0" w:type="dxa"/>
            <w:bottom w:w="0" w:type="dxa"/>
            <w:right w:w="0" w:type="dxa"/>
          </w:tblCellMar>
          <w:tblLook w:val="01E0"/>
        </w:tblPrEx>
        <w:trPr>
          <w:trHeight w:val="1247"/>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4120" w:type="dxa"/>
            <w:tcBorders>
              <w:top w:val="single" w:sz="4" w:space="0" w:color="000000"/>
              <w:left w:val="single" w:sz="4" w:space="0" w:color="000000"/>
              <w:bottom w:val="single" w:sz="4" w:space="0" w:color="000000"/>
              <w:right w:val="single" w:sz="4" w:space="0" w:color="000000"/>
            </w:tcBorders>
          </w:tcPr>
          <w:p>
            <w:pPr>
              <w:pStyle w:val="TableParagraph"/>
              <w:tabs>
                <w:tab w:val="left" w:pos="1317"/>
              </w:tabs>
              <w:spacing w:before="23"/>
              <w:ind w:left="5"/>
              <w:rPr>
                <w:sz w:val="21"/>
              </w:rPr>
            </w:pPr>
            <w:r>
              <w:rPr>
                <w:color w:val="333333"/>
                <w:sz w:val="21"/>
              </w:rPr>
              <w:t>3、机体</w:t>
            </w:r>
            <w:r>
              <w:rPr>
                <w:color w:val="333333"/>
                <w:spacing w:val="-10"/>
                <w:sz w:val="21"/>
              </w:rPr>
              <w:t>：</w:t>
            </w:r>
            <w:r>
              <w:rPr>
                <w:color w:val="333333"/>
                <w:sz w:val="21"/>
              </w:rPr>
              <w:tab/>
              <w:t>700</w:t>
            </w:r>
            <w:r>
              <w:rPr>
                <w:rFonts w:ascii="Times New Roman" w:eastAsia="Times New Roman" w:hAnsi="Times New Roman"/>
                <w:color w:val="333333"/>
                <w:sz w:val="21"/>
              </w:rPr>
              <w:t>×</w:t>
            </w:r>
            <w:r>
              <w:rPr>
                <w:color w:val="333333"/>
                <w:sz w:val="21"/>
              </w:rPr>
              <w:t>350</w:t>
            </w:r>
            <w:r>
              <w:rPr>
                <w:rFonts w:ascii="Times New Roman" w:eastAsia="Times New Roman" w:hAnsi="Times New Roman"/>
                <w:color w:val="333333"/>
                <w:sz w:val="21"/>
              </w:rPr>
              <w:t>×</w:t>
            </w:r>
            <w:r>
              <w:rPr>
                <w:color w:val="333333"/>
                <w:sz w:val="21"/>
              </w:rPr>
              <w:t>600 mm</w:t>
            </w:r>
            <w:r>
              <w:rPr>
                <w:color w:val="333333"/>
                <w:spacing w:val="-53"/>
                <w:sz w:val="21"/>
              </w:rPr>
              <w:t xml:space="preserve"> </w:t>
            </w:r>
            <w:r>
              <w:rPr>
                <w:color w:val="333333"/>
                <w:spacing w:val="-2"/>
                <w:sz w:val="21"/>
              </w:rPr>
              <w:t>(L*W*H)</w:t>
            </w:r>
          </w:p>
          <w:p>
            <w:pPr>
              <w:pStyle w:val="TableParagraph"/>
              <w:tabs>
                <w:tab w:val="left" w:pos="1317"/>
              </w:tabs>
              <w:spacing w:before="43"/>
              <w:ind w:left="5"/>
              <w:rPr>
                <w:sz w:val="21"/>
              </w:rPr>
            </w:pPr>
            <w:r>
              <w:rPr>
                <w:color w:val="333333"/>
                <w:sz w:val="21"/>
              </w:rPr>
              <w:t>4、重量</w:t>
            </w:r>
            <w:r>
              <w:rPr>
                <w:color w:val="333333"/>
                <w:spacing w:val="-10"/>
                <w:sz w:val="21"/>
              </w:rPr>
              <w:t>：</w:t>
            </w:r>
            <w:r>
              <w:rPr>
                <w:color w:val="333333"/>
                <w:sz w:val="21"/>
              </w:rPr>
              <w:tab/>
            </w:r>
            <w:r>
              <w:rPr>
                <w:color w:val="333333"/>
                <w:spacing w:val="-2"/>
                <w:sz w:val="21"/>
              </w:rPr>
              <w:t>150kg</w:t>
            </w:r>
          </w:p>
          <w:p>
            <w:pPr>
              <w:pStyle w:val="TableParagraph"/>
              <w:tabs>
                <w:tab w:val="left" w:pos="1369"/>
              </w:tabs>
              <w:spacing w:before="43" w:line="256" w:lineRule="exact"/>
              <w:ind w:left="5"/>
              <w:rPr>
                <w:sz w:val="21"/>
              </w:rPr>
            </w:pPr>
            <w:r>
              <w:rPr>
                <w:color w:val="333333"/>
                <w:sz w:val="21"/>
              </w:rPr>
              <w:t>5、电源</w:t>
            </w:r>
            <w:r>
              <w:rPr>
                <w:color w:val="333333"/>
                <w:spacing w:val="-10"/>
                <w:sz w:val="21"/>
              </w:rPr>
              <w:t>：</w:t>
            </w:r>
            <w:r>
              <w:rPr>
                <w:color w:val="333333"/>
                <w:sz w:val="21"/>
              </w:rPr>
              <w:tab/>
              <w:t>220/240v</w:t>
            </w:r>
            <w:r>
              <w:rPr>
                <w:color w:val="333333"/>
                <w:spacing w:val="-2"/>
                <w:sz w:val="21"/>
              </w:rPr>
              <w:t xml:space="preserve"> </w:t>
            </w:r>
            <w:r>
              <w:rPr>
                <w:color w:val="333333"/>
                <w:sz w:val="21"/>
              </w:rPr>
              <w:t xml:space="preserve">50/60Hz </w:t>
            </w:r>
            <w:r>
              <w:rPr>
                <w:color w:val="333333"/>
                <w:spacing w:val="-4"/>
                <w:sz w:val="21"/>
              </w:rPr>
              <w:t>8amp</w:t>
            </w:r>
          </w:p>
          <w:p>
            <w:pPr>
              <w:pStyle w:val="TableParagraph"/>
              <w:tabs>
                <w:tab w:val="left" w:pos="1790"/>
              </w:tabs>
              <w:spacing w:line="325" w:lineRule="exact"/>
              <w:ind w:left="5"/>
              <w:rPr>
                <w:sz w:val="21"/>
              </w:rPr>
            </w:pPr>
            <w:r>
              <w:rPr>
                <w:rFonts w:ascii="Microsoft JhengHei" w:eastAsia="Microsoft JhengHei"/>
                <w:b/>
                <w:color w:val="333333"/>
                <w:sz w:val="21"/>
              </w:rPr>
              <w:t>*</w:t>
            </w:r>
            <w:r>
              <w:rPr>
                <w:color w:val="333333"/>
                <w:sz w:val="21"/>
              </w:rPr>
              <w:t>6、冲头压力</w:t>
            </w:r>
            <w:r>
              <w:rPr>
                <w:color w:val="333333"/>
                <w:spacing w:val="-10"/>
                <w:sz w:val="21"/>
              </w:rPr>
              <w:t>：</w:t>
            </w:r>
            <w:r>
              <w:rPr>
                <w:color w:val="333333"/>
                <w:sz w:val="21"/>
              </w:rPr>
              <w:tab/>
            </w:r>
            <w:r>
              <w:rPr>
                <w:color w:val="333333"/>
                <w:spacing w:val="-2"/>
                <w:sz w:val="21"/>
              </w:rPr>
              <w:t>4000KG</w:t>
            </w:r>
          </w:p>
        </w:tc>
        <w:tc>
          <w:tcPr>
            <w:tcW w:w="2880" w:type="dxa"/>
            <w:tcBorders>
              <w:top w:val="single" w:sz="4" w:space="0" w:color="000000"/>
              <w:left w:val="single" w:sz="4" w:space="0" w:color="000000"/>
              <w:bottom w:val="single" w:sz="4" w:space="0" w:color="000000"/>
              <w:right w:val="single" w:sz="4" w:space="0" w:color="000000"/>
            </w:tcBorders>
          </w:tcPr>
          <w:p>
            <w:pPr>
              <w:pStyle w:val="TableParagraph"/>
              <w:spacing w:before="23" w:line="278" w:lineRule="auto"/>
              <w:ind w:left="5" w:right="-15"/>
              <w:jc w:val="both"/>
              <w:rPr>
                <w:sz w:val="21"/>
              </w:rPr>
            </w:pPr>
            <w:r>
              <w:rPr>
                <w:color w:val="333333"/>
                <w:spacing w:val="8"/>
                <w:sz w:val="21"/>
              </w:rPr>
              <w:t xml:space="preserve">技术指标完全满足的得 </w:t>
            </w:r>
            <w:r>
              <w:rPr>
                <w:color w:val="333333"/>
                <w:sz w:val="21"/>
              </w:rPr>
              <w:t>2.5-3分，正偏离加分，带</w:t>
            </w:r>
            <w:r>
              <w:rPr>
                <w:rFonts w:ascii="Times New Roman" w:eastAsia="Times New Roman" w:hAnsi="Times New Roman"/>
                <w:color w:val="333333"/>
                <w:sz w:val="21"/>
              </w:rPr>
              <w:t>“</w:t>
            </w:r>
            <w:r>
              <w:rPr>
                <w:color w:val="333333"/>
                <w:sz w:val="21"/>
              </w:rPr>
              <w:t>*</w:t>
            </w:r>
            <w:r>
              <w:rPr>
                <w:rFonts w:ascii="Times New Roman" w:eastAsia="Times New Roman" w:hAnsi="Times New Roman"/>
                <w:color w:val="333333"/>
                <w:spacing w:val="-7"/>
                <w:sz w:val="21"/>
              </w:rPr>
              <w:t xml:space="preserve">” </w:t>
            </w:r>
            <w:r>
              <w:rPr>
                <w:color w:val="333333"/>
                <w:sz w:val="21"/>
              </w:rPr>
              <w:t>负偏离</w:t>
            </w:r>
            <w:r>
              <w:rPr>
                <w:color w:val="333333"/>
                <w:spacing w:val="-9"/>
                <w:sz w:val="21"/>
              </w:rPr>
              <w:t xml:space="preserve">或不满足扣 </w:t>
            </w:r>
            <w:r>
              <w:rPr>
                <w:color w:val="333333"/>
                <w:sz w:val="21"/>
              </w:rPr>
              <w:t>1</w:t>
            </w:r>
            <w:r>
              <w:rPr>
                <w:color w:val="333333"/>
                <w:spacing w:val="-17"/>
                <w:sz w:val="21"/>
              </w:rPr>
              <w:t xml:space="preserve"> 分，其他负偏离酌</w:t>
            </w:r>
          </w:p>
          <w:p>
            <w:pPr>
              <w:pStyle w:val="TableParagraph"/>
              <w:spacing w:line="269" w:lineRule="exact"/>
              <w:ind w:left="5"/>
              <w:jc w:val="both"/>
              <w:rPr>
                <w:sz w:val="21"/>
              </w:rPr>
            </w:pPr>
            <w:r>
              <w:rPr>
                <w:color w:val="333333"/>
                <w:spacing w:val="-7"/>
                <w:sz w:val="21"/>
              </w:rPr>
              <w:t xml:space="preserve">情扣分，最低得 </w:t>
            </w:r>
            <w:r>
              <w:rPr>
                <w:color w:val="333333"/>
                <w:sz w:val="21"/>
              </w:rPr>
              <w:t>0</w:t>
            </w:r>
            <w:r>
              <w:rPr>
                <w:color w:val="333333"/>
                <w:spacing w:val="-32"/>
                <w:sz w:val="21"/>
              </w:rPr>
              <w:t xml:space="preserve"> 分</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4"/>
              <w:rPr>
                <w:sz w:val="18"/>
              </w:rPr>
            </w:pPr>
          </w:p>
          <w:p>
            <w:pPr>
              <w:pStyle w:val="TableParagraph"/>
              <w:ind w:left="10"/>
              <w:jc w:val="center"/>
              <w:rPr>
                <w:sz w:val="21"/>
              </w:rPr>
            </w:pPr>
            <w:r>
              <w:rPr>
                <w:sz w:val="21"/>
              </w:rPr>
              <w:t>4</w:t>
            </w:r>
          </w:p>
        </w:tc>
      </w:tr>
      <w:tr>
        <w:tblPrEx>
          <w:tblW w:w="0" w:type="auto"/>
          <w:jc w:val="left"/>
          <w:tblInd w:w="190" w:type="dxa"/>
          <w:tblLayout w:type="fixed"/>
          <w:tblCellMar>
            <w:top w:w="0" w:type="dxa"/>
            <w:left w:w="0" w:type="dxa"/>
            <w:bottom w:w="0" w:type="dxa"/>
            <w:right w:w="0" w:type="dxa"/>
          </w:tblCellMar>
          <w:tblLook w:val="01E0"/>
        </w:tblPrEx>
        <w:trPr>
          <w:trHeight w:val="1560"/>
          <w:jc w:val="left"/>
        </w:trPr>
        <w:tc>
          <w:tcPr>
            <w:tcW w:w="113" w:type="dxa"/>
            <w:vMerge/>
            <w:tcBorders>
              <w:top w:val="nil"/>
              <w:left w:val="single" w:sz="4" w:space="0" w:color="000000"/>
              <w:bottom w:val="nil"/>
              <w:right w:val="single" w:sz="4" w:space="0" w:color="000000"/>
            </w:tcBorders>
          </w:tcPr>
          <w:p>
            <w:pPr>
              <w:rPr>
                <w:sz w:val="2"/>
                <w:szCs w:val="2"/>
              </w:rPr>
            </w:pPr>
          </w:p>
        </w:tc>
        <w:tc>
          <w:tcPr>
            <w:tcW w:w="915" w:type="dxa"/>
            <w:vMerge/>
            <w:tcBorders>
              <w:top w:val="nil"/>
              <w:left w:val="single" w:sz="4" w:space="0" w:color="000000"/>
              <w:bottom w:val="single" w:sz="4" w:space="0" w:color="000000"/>
              <w:right w:val="single" w:sz="4" w:space="0" w:color="000000"/>
            </w:tcBorders>
          </w:tcPr>
          <w:p>
            <w:pPr>
              <w:rPr>
                <w:sz w:val="2"/>
                <w:szCs w:val="2"/>
              </w:rPr>
            </w:pPr>
          </w:p>
        </w:tc>
        <w:tc>
          <w:tcPr>
            <w:tcW w:w="1260" w:type="dxa"/>
            <w:vMerge/>
            <w:tcBorders>
              <w:top w:val="nil"/>
              <w:left w:val="single" w:sz="4" w:space="0" w:color="000000"/>
              <w:bottom w:val="single" w:sz="4" w:space="0" w:color="000000"/>
              <w:right w:val="single" w:sz="4" w:space="0" w:color="000000"/>
            </w:tcBorders>
          </w:tcPr>
          <w:p>
            <w:pPr>
              <w:rPr>
                <w:sz w:val="2"/>
                <w:szCs w:val="2"/>
              </w:rPr>
            </w:pPr>
          </w:p>
        </w:tc>
        <w:tc>
          <w:tcPr>
            <w:tcW w:w="4120" w:type="dxa"/>
            <w:tcBorders>
              <w:top w:val="single" w:sz="4" w:space="0" w:color="000000"/>
              <w:left w:val="single" w:sz="4" w:space="0" w:color="000000"/>
              <w:bottom w:val="single" w:sz="4" w:space="0" w:color="000000"/>
              <w:right w:val="single" w:sz="4" w:space="0" w:color="000000"/>
            </w:tcBorders>
          </w:tcPr>
          <w:p>
            <w:pPr>
              <w:pStyle w:val="TableParagraph"/>
              <w:spacing w:before="23"/>
              <w:ind w:left="5"/>
              <w:rPr>
                <w:sz w:val="21"/>
              </w:rPr>
            </w:pPr>
            <w:r>
              <w:rPr>
                <w:color w:val="333333"/>
                <w:sz w:val="21"/>
              </w:rPr>
              <w:t>7</w:t>
            </w:r>
            <w:r>
              <w:rPr>
                <w:color w:val="333333"/>
                <w:spacing w:val="-2"/>
                <w:sz w:val="21"/>
              </w:rPr>
              <w:t>、自带驱动电机</w:t>
            </w:r>
          </w:p>
          <w:p>
            <w:pPr>
              <w:pStyle w:val="TableParagraph"/>
              <w:spacing w:before="43" w:line="278" w:lineRule="auto"/>
              <w:ind w:left="5" w:right="9"/>
              <w:rPr>
                <w:sz w:val="21"/>
              </w:rPr>
            </w:pPr>
            <w:r>
              <w:rPr>
                <w:color w:val="333333"/>
                <w:spacing w:val="-2"/>
                <w:sz w:val="21"/>
              </w:rPr>
              <w:t>8、工作部位配有有机玻璃外罩，可实时观察</w:t>
            </w:r>
            <w:r>
              <w:rPr>
                <w:color w:val="333333"/>
                <w:spacing w:val="-4"/>
                <w:sz w:val="21"/>
              </w:rPr>
              <w:t>工作状态</w:t>
            </w:r>
          </w:p>
          <w:p>
            <w:pPr>
              <w:pStyle w:val="TableParagraph"/>
              <w:spacing w:line="256" w:lineRule="exact"/>
              <w:ind w:left="5"/>
              <w:rPr>
                <w:sz w:val="21"/>
              </w:rPr>
            </w:pPr>
            <w:r>
              <w:rPr>
                <w:color w:val="333333"/>
                <w:sz w:val="21"/>
              </w:rPr>
              <w:t>9</w:t>
            </w:r>
            <w:r>
              <w:rPr>
                <w:color w:val="333333"/>
                <w:spacing w:val="-2"/>
                <w:sz w:val="21"/>
              </w:rPr>
              <w:t>、机体可移动</w:t>
            </w:r>
          </w:p>
          <w:p>
            <w:pPr>
              <w:pStyle w:val="TableParagraph"/>
              <w:spacing w:line="325" w:lineRule="exact"/>
              <w:ind w:left="5"/>
              <w:rPr>
                <w:sz w:val="21"/>
              </w:rPr>
            </w:pPr>
            <w:r>
              <w:rPr>
                <w:rFonts w:ascii="Microsoft JhengHei" w:eastAsia="Microsoft JhengHei"/>
                <w:b/>
                <w:color w:val="333333"/>
                <w:sz w:val="21"/>
              </w:rPr>
              <w:t>*</w:t>
            </w:r>
            <w:r>
              <w:rPr>
                <w:color w:val="333333"/>
                <w:sz w:val="21"/>
              </w:rPr>
              <w:t>10</w:t>
            </w:r>
            <w:r>
              <w:rPr>
                <w:color w:val="333333"/>
                <w:spacing w:val="-5"/>
                <w:sz w:val="21"/>
              </w:rPr>
              <w:t xml:space="preserve">、产品有专利认证和 </w:t>
            </w:r>
            <w:r>
              <w:rPr>
                <w:color w:val="333333"/>
                <w:sz w:val="21"/>
              </w:rPr>
              <w:t>CE</w:t>
            </w:r>
            <w:r>
              <w:rPr>
                <w:color w:val="333333"/>
                <w:spacing w:val="-20"/>
                <w:sz w:val="21"/>
              </w:rPr>
              <w:t xml:space="preserve"> 认证</w:t>
            </w:r>
          </w:p>
        </w:tc>
        <w:tc>
          <w:tcPr>
            <w:tcW w:w="2880" w:type="dxa"/>
            <w:tcBorders>
              <w:top w:val="single" w:sz="4" w:space="0" w:color="000000"/>
              <w:left w:val="single" w:sz="4" w:space="0" w:color="000000"/>
              <w:bottom w:val="single" w:sz="4" w:space="0" w:color="000000"/>
              <w:right w:val="single" w:sz="4" w:space="0" w:color="000000"/>
            </w:tcBorders>
          </w:tcPr>
          <w:p>
            <w:pPr>
              <w:pStyle w:val="TableParagraph"/>
              <w:spacing w:before="1"/>
              <w:rPr>
                <w:sz w:val="26"/>
              </w:rPr>
            </w:pPr>
          </w:p>
          <w:p>
            <w:pPr>
              <w:pStyle w:val="TableParagraph"/>
              <w:spacing w:before="1" w:line="278" w:lineRule="auto"/>
              <w:ind w:left="5" w:right="-15"/>
              <w:jc w:val="both"/>
              <w:rPr>
                <w:sz w:val="21"/>
              </w:rPr>
            </w:pPr>
            <w:r>
              <w:rPr>
                <w:color w:val="333333"/>
                <w:spacing w:val="8"/>
                <w:sz w:val="21"/>
              </w:rPr>
              <w:t xml:space="preserve">技术指标完全满足的得 </w:t>
            </w:r>
            <w:r>
              <w:rPr>
                <w:color w:val="333333"/>
                <w:sz w:val="21"/>
              </w:rPr>
              <w:t>1.5-2</w:t>
            </w:r>
            <w:r>
              <w:rPr>
                <w:color w:val="333333"/>
                <w:spacing w:val="-6"/>
                <w:sz w:val="21"/>
              </w:rPr>
              <w:t>分，正偏离加分，负偏离酌情扣</w:t>
            </w:r>
            <w:r>
              <w:rPr>
                <w:color w:val="333333"/>
                <w:spacing w:val="-4"/>
                <w:sz w:val="21"/>
              </w:rPr>
              <w:t xml:space="preserve">分，最低得 </w:t>
            </w:r>
            <w:r>
              <w:rPr>
                <w:color w:val="333333"/>
                <w:sz w:val="21"/>
              </w:rPr>
              <w:t>0</w:t>
            </w:r>
            <w:r>
              <w:rPr>
                <w:color w:val="333333"/>
                <w:spacing w:val="-11"/>
                <w:sz w:val="21"/>
              </w:rPr>
              <w:t xml:space="preserve"> 分</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34"/>
              <w:ind w:left="10"/>
              <w:jc w:val="center"/>
              <w:rPr>
                <w:sz w:val="21"/>
              </w:rPr>
            </w:pPr>
            <w:r>
              <w:rPr>
                <w:sz w:val="21"/>
              </w:rPr>
              <w:t>3</w:t>
            </w:r>
          </w:p>
        </w:tc>
      </w:tr>
      <w:tr>
        <w:tblPrEx>
          <w:tblW w:w="0" w:type="auto"/>
          <w:jc w:val="left"/>
          <w:tblInd w:w="190" w:type="dxa"/>
          <w:tblLayout w:type="fixed"/>
          <w:tblCellMar>
            <w:top w:w="0" w:type="dxa"/>
            <w:left w:w="0" w:type="dxa"/>
            <w:bottom w:w="0" w:type="dxa"/>
            <w:right w:w="0" w:type="dxa"/>
          </w:tblCellMar>
          <w:tblLook w:val="01E0"/>
        </w:tblPrEx>
        <w:trPr>
          <w:trHeight w:val="1860"/>
          <w:jc w:val="left"/>
        </w:trPr>
        <w:tc>
          <w:tcPr>
            <w:tcW w:w="113" w:type="dxa"/>
            <w:tcBorders>
              <w:top w:val="nil"/>
              <w:left w:val="single" w:sz="4" w:space="0" w:color="000000"/>
              <w:bottom w:val="nil"/>
              <w:right w:val="single" w:sz="4" w:space="0" w:color="000000"/>
            </w:tcBorders>
          </w:tcPr>
          <w:p>
            <w:pPr>
              <w:pStyle w:val="TableParagraph"/>
              <w:rPr>
                <w:rFonts w:ascii="Times New Roman"/>
                <w:sz w:val="20"/>
              </w:rPr>
            </w:pPr>
          </w:p>
        </w:tc>
        <w:tc>
          <w:tcPr>
            <w:tcW w:w="915"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2"/>
              <w:rPr>
                <w:sz w:val="22"/>
              </w:rPr>
            </w:pPr>
          </w:p>
          <w:p>
            <w:pPr>
              <w:pStyle w:val="TableParagraph"/>
              <w:ind w:left="10"/>
              <w:jc w:val="center"/>
              <w:rPr>
                <w:sz w:val="21"/>
              </w:rPr>
            </w:pPr>
            <w:r>
              <w:rPr>
                <w:sz w:val="21"/>
              </w:rPr>
              <w:t>9</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2"/>
              <w:rPr>
                <w:sz w:val="22"/>
              </w:rPr>
            </w:pPr>
          </w:p>
          <w:p>
            <w:pPr>
              <w:pStyle w:val="TableParagraph"/>
              <w:ind w:left="210"/>
              <w:rPr>
                <w:sz w:val="21"/>
              </w:rPr>
            </w:pPr>
            <w:r>
              <w:rPr>
                <w:spacing w:val="-3"/>
                <w:sz w:val="21"/>
              </w:rPr>
              <w:t>恒温水槽</w:t>
            </w:r>
          </w:p>
        </w:tc>
        <w:tc>
          <w:tcPr>
            <w:tcW w:w="4120" w:type="dxa"/>
            <w:tcBorders>
              <w:top w:val="single" w:sz="4" w:space="0" w:color="000000"/>
              <w:left w:val="single" w:sz="4" w:space="0" w:color="000000"/>
              <w:bottom w:val="single" w:sz="4" w:space="0" w:color="000000"/>
              <w:right w:val="single" w:sz="4" w:space="0" w:color="000000"/>
            </w:tcBorders>
          </w:tcPr>
          <w:p>
            <w:pPr>
              <w:pStyle w:val="TableParagraph"/>
              <w:spacing w:before="47" w:line="329" w:lineRule="exact"/>
              <w:ind w:left="5"/>
              <w:rPr>
                <w:sz w:val="21"/>
              </w:rPr>
            </w:pPr>
            <w:r>
              <w:rPr>
                <w:rFonts w:ascii="Microsoft JhengHei" w:eastAsia="Microsoft JhengHei"/>
                <w:b/>
                <w:color w:val="333333"/>
                <w:sz w:val="21"/>
              </w:rPr>
              <w:t>*</w:t>
            </w:r>
            <w:r>
              <w:rPr>
                <w:color w:val="333333"/>
                <w:sz w:val="21"/>
              </w:rPr>
              <w:t>1.</w:t>
            </w:r>
            <w:r>
              <w:rPr>
                <w:color w:val="333333"/>
                <w:spacing w:val="-1"/>
                <w:sz w:val="21"/>
              </w:rPr>
              <w:t>形式：数显式自动控温；</w:t>
            </w:r>
          </w:p>
          <w:p>
            <w:pPr>
              <w:pStyle w:val="TableParagraph"/>
              <w:spacing w:line="272" w:lineRule="exact"/>
              <w:ind w:left="5"/>
              <w:rPr>
                <w:sz w:val="21"/>
              </w:rPr>
            </w:pPr>
            <w:r>
              <w:rPr>
                <w:rFonts w:ascii="Microsoft JhengHei" w:eastAsia="Microsoft JhengHei" w:hAnsi="Microsoft JhengHei"/>
                <w:b/>
                <w:color w:val="333333"/>
                <w:sz w:val="21"/>
              </w:rPr>
              <w:t>*</w:t>
            </w:r>
            <w:r>
              <w:rPr>
                <w:color w:val="333333"/>
                <w:sz w:val="21"/>
              </w:rPr>
              <w:t>2.温度范围：室温</w:t>
            </w:r>
            <w:r>
              <w:rPr>
                <w:color w:val="333333"/>
                <w:spacing w:val="-2"/>
                <w:sz w:val="21"/>
              </w:rPr>
              <w:t>～100℃；</w:t>
            </w:r>
          </w:p>
          <w:p>
            <w:pPr>
              <w:pStyle w:val="TableParagraph"/>
              <w:spacing w:line="307" w:lineRule="exact"/>
              <w:ind w:left="5"/>
              <w:rPr>
                <w:sz w:val="21"/>
              </w:rPr>
            </w:pPr>
            <w:r>
              <w:rPr>
                <w:rFonts w:ascii="Microsoft JhengHei" w:eastAsia="Microsoft JhengHei" w:hAnsi="Microsoft JhengHei"/>
                <w:b/>
                <w:color w:val="333333"/>
                <w:sz w:val="21"/>
              </w:rPr>
              <w:t>*</w:t>
            </w:r>
            <w:r>
              <w:rPr>
                <w:color w:val="333333"/>
                <w:sz w:val="21"/>
              </w:rPr>
              <w:t>3.</w:t>
            </w:r>
            <w:r>
              <w:rPr>
                <w:color w:val="333333"/>
                <w:spacing w:val="1"/>
                <w:sz w:val="21"/>
              </w:rPr>
              <w:t xml:space="preserve">水温波动 </w:t>
            </w:r>
            <w:r>
              <w:rPr>
                <w:color w:val="333333"/>
                <w:spacing w:val="-2"/>
                <w:sz w:val="21"/>
              </w:rPr>
              <w:t>＜0.1℃；</w:t>
            </w:r>
          </w:p>
          <w:p>
            <w:pPr>
              <w:pStyle w:val="TableParagraph"/>
              <w:numPr>
                <w:ilvl w:val="0"/>
                <w:numId w:val="19"/>
              </w:numPr>
              <w:tabs>
                <w:tab w:val="left" w:pos="216"/>
              </w:tabs>
              <w:spacing w:before="0" w:after="0" w:line="247" w:lineRule="exact"/>
              <w:ind w:left="216" w:right="0" w:hanging="211"/>
              <w:jc w:val="left"/>
              <w:rPr>
                <w:sz w:val="21"/>
              </w:rPr>
            </w:pPr>
            <w:r>
              <w:rPr>
                <w:color w:val="333333"/>
                <w:sz w:val="21"/>
              </w:rPr>
              <w:t>加热功率</w:t>
            </w:r>
            <w:r>
              <w:rPr>
                <w:color w:val="333333"/>
                <w:spacing w:val="-2"/>
                <w:sz w:val="21"/>
              </w:rPr>
              <w:t>：1000W；</w:t>
            </w:r>
          </w:p>
          <w:p>
            <w:pPr>
              <w:pStyle w:val="TableParagraph"/>
              <w:numPr>
                <w:ilvl w:val="0"/>
                <w:numId w:val="19"/>
              </w:numPr>
              <w:tabs>
                <w:tab w:val="left" w:pos="216"/>
              </w:tabs>
              <w:spacing w:before="3" w:after="0" w:line="240" w:lineRule="auto"/>
              <w:ind w:left="216" w:right="0" w:hanging="211"/>
              <w:jc w:val="left"/>
              <w:rPr>
                <w:sz w:val="21"/>
              </w:rPr>
            </w:pPr>
            <w:r>
              <w:rPr>
                <w:color w:val="333333"/>
                <w:sz w:val="21"/>
              </w:rPr>
              <w:t>电机功率</w:t>
            </w:r>
            <w:r>
              <w:rPr>
                <w:color w:val="333333"/>
                <w:spacing w:val="-2"/>
                <w:sz w:val="21"/>
              </w:rPr>
              <w:t>：60W；</w:t>
            </w:r>
          </w:p>
          <w:p>
            <w:pPr>
              <w:pStyle w:val="TableParagraph"/>
              <w:numPr>
                <w:ilvl w:val="0"/>
                <w:numId w:val="19"/>
              </w:numPr>
              <w:tabs>
                <w:tab w:val="left" w:pos="216"/>
              </w:tabs>
              <w:spacing w:before="3" w:after="0" w:line="240" w:lineRule="auto"/>
              <w:ind w:left="216" w:right="0" w:hanging="211"/>
              <w:jc w:val="left"/>
              <w:rPr>
                <w:sz w:val="21"/>
              </w:rPr>
            </w:pPr>
            <w:r>
              <w:rPr>
                <w:color w:val="333333"/>
                <w:sz w:val="21"/>
              </w:rPr>
              <w:t>无级调速：起动~2000rpm</w:t>
            </w:r>
            <w:r>
              <w:rPr>
                <w:color w:val="333333"/>
                <w:spacing w:val="-10"/>
                <w:sz w:val="21"/>
              </w:rPr>
              <w:t>。</w:t>
            </w:r>
          </w:p>
        </w:tc>
        <w:tc>
          <w:tcPr>
            <w:tcW w:w="2880" w:type="dxa"/>
            <w:tcBorders>
              <w:top w:val="single" w:sz="4" w:space="0" w:color="000000"/>
              <w:left w:val="single" w:sz="4" w:space="0" w:color="000000"/>
              <w:bottom w:val="single" w:sz="4" w:space="0" w:color="000000"/>
              <w:right w:val="single" w:sz="4" w:space="0" w:color="000000"/>
            </w:tcBorders>
          </w:tcPr>
          <w:p>
            <w:pPr>
              <w:pStyle w:val="TableParagraph"/>
              <w:spacing w:before="8"/>
              <w:rPr>
                <w:sz w:val="25"/>
              </w:rPr>
            </w:pPr>
          </w:p>
          <w:p>
            <w:pPr>
              <w:pStyle w:val="TableParagraph"/>
              <w:spacing w:line="278" w:lineRule="auto"/>
              <w:ind w:left="5" w:right="-15"/>
              <w:jc w:val="both"/>
              <w:rPr>
                <w:sz w:val="21"/>
              </w:rPr>
            </w:pPr>
            <w:r>
              <w:rPr>
                <w:color w:val="333333"/>
                <w:spacing w:val="8"/>
                <w:sz w:val="21"/>
              </w:rPr>
              <w:t xml:space="preserve">技术指标完全满足的得 </w:t>
            </w:r>
            <w:r>
              <w:rPr>
                <w:color w:val="333333"/>
                <w:sz w:val="21"/>
              </w:rPr>
              <w:t>2.5-3分，正偏离加分，带</w:t>
            </w:r>
            <w:r>
              <w:rPr>
                <w:rFonts w:ascii="Times New Roman" w:eastAsia="Times New Roman" w:hAnsi="Times New Roman"/>
                <w:color w:val="333333"/>
                <w:sz w:val="21"/>
              </w:rPr>
              <w:t>“</w:t>
            </w:r>
            <w:r>
              <w:rPr>
                <w:color w:val="333333"/>
                <w:sz w:val="21"/>
              </w:rPr>
              <w:t>*</w:t>
            </w:r>
            <w:r>
              <w:rPr>
                <w:rFonts w:ascii="Times New Roman" w:eastAsia="Times New Roman" w:hAnsi="Times New Roman"/>
                <w:color w:val="333333"/>
                <w:spacing w:val="-7"/>
                <w:sz w:val="21"/>
              </w:rPr>
              <w:t xml:space="preserve">” </w:t>
            </w:r>
            <w:r>
              <w:rPr>
                <w:color w:val="333333"/>
                <w:sz w:val="21"/>
              </w:rPr>
              <w:t>负偏离</w:t>
            </w:r>
            <w:r>
              <w:rPr>
                <w:color w:val="333333"/>
                <w:spacing w:val="-9"/>
                <w:sz w:val="21"/>
              </w:rPr>
              <w:t xml:space="preserve">或不满足扣 </w:t>
            </w:r>
            <w:r>
              <w:rPr>
                <w:color w:val="333333"/>
                <w:spacing w:val="-6"/>
                <w:sz w:val="21"/>
              </w:rPr>
              <w:t>0.5</w:t>
            </w:r>
            <w:r>
              <w:rPr>
                <w:color w:val="333333"/>
                <w:spacing w:val="-17"/>
                <w:sz w:val="21"/>
              </w:rPr>
              <w:t xml:space="preserve"> 分，其他负偏离</w:t>
            </w:r>
            <w:r>
              <w:rPr>
                <w:color w:val="333333"/>
                <w:spacing w:val="-3"/>
                <w:sz w:val="21"/>
              </w:rPr>
              <w:t xml:space="preserve">酌情扣分，最低得 </w:t>
            </w:r>
            <w:r>
              <w:rPr>
                <w:color w:val="333333"/>
                <w:sz w:val="21"/>
              </w:rPr>
              <w:t>0</w:t>
            </w:r>
            <w:r>
              <w:rPr>
                <w:color w:val="333333"/>
                <w:spacing w:val="-11"/>
                <w:sz w:val="21"/>
              </w:rPr>
              <w:t xml:space="preserve"> 分</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2"/>
              <w:rPr>
                <w:sz w:val="22"/>
              </w:rPr>
            </w:pPr>
          </w:p>
          <w:p>
            <w:pPr>
              <w:pStyle w:val="TableParagraph"/>
              <w:ind w:left="10"/>
              <w:jc w:val="center"/>
              <w:rPr>
                <w:sz w:val="21"/>
              </w:rPr>
            </w:pPr>
            <w:r>
              <w:rPr>
                <w:sz w:val="21"/>
              </w:rPr>
              <w:t>4</w:t>
            </w:r>
          </w:p>
        </w:tc>
      </w:tr>
      <w:tr>
        <w:tblPrEx>
          <w:tblW w:w="0" w:type="auto"/>
          <w:jc w:val="left"/>
          <w:tblInd w:w="190" w:type="dxa"/>
          <w:tblLayout w:type="fixed"/>
          <w:tblCellMar>
            <w:top w:w="0" w:type="dxa"/>
            <w:left w:w="0" w:type="dxa"/>
            <w:bottom w:w="0" w:type="dxa"/>
            <w:right w:w="0" w:type="dxa"/>
          </w:tblCellMar>
          <w:tblLook w:val="01E0"/>
        </w:tblPrEx>
        <w:trPr>
          <w:trHeight w:val="1634"/>
          <w:jc w:val="left"/>
        </w:trPr>
        <w:tc>
          <w:tcPr>
            <w:tcW w:w="10188" w:type="dxa"/>
            <w:gridSpan w:val="6"/>
            <w:tcBorders>
              <w:top w:val="single" w:sz="4" w:space="0" w:color="000000"/>
              <w:left w:val="single" w:sz="4" w:space="0" w:color="000000"/>
              <w:bottom w:val="single" w:sz="4" w:space="0" w:color="000000"/>
              <w:right w:val="single" w:sz="4" w:space="0" w:color="000000"/>
            </w:tcBorders>
          </w:tcPr>
          <w:p>
            <w:pPr>
              <w:pStyle w:val="TableParagraph"/>
              <w:spacing w:line="320" w:lineRule="exact"/>
              <w:ind w:left="633"/>
              <w:rPr>
                <w:rFonts w:ascii="Microsoft JhengHei" w:eastAsia="Microsoft JhengHei"/>
                <w:b/>
                <w:sz w:val="21"/>
              </w:rPr>
            </w:pPr>
            <w:r>
              <w:rPr>
                <w:rFonts w:ascii="Microsoft JhengHei" w:eastAsia="Microsoft JhengHei"/>
                <w:b/>
                <w:spacing w:val="-11"/>
                <w:sz w:val="21"/>
              </w:rPr>
              <w:t>注： 投标人应在投标文件中如实填写偏离情况，投标人对投标的内容及技术参数应答内容负责任。对有</w:t>
            </w:r>
          </w:p>
          <w:p>
            <w:pPr>
              <w:pStyle w:val="TableParagraph"/>
              <w:spacing w:before="22" w:line="254" w:lineRule="auto"/>
              <w:ind w:left="108" w:right="97"/>
              <w:jc w:val="both"/>
              <w:rPr>
                <w:rFonts w:ascii="Microsoft JhengHei" w:eastAsia="Microsoft JhengHei" w:hAnsi="Microsoft JhengHei"/>
                <w:b/>
                <w:sz w:val="21"/>
              </w:rPr>
            </w:pPr>
            <w:r>
              <w:rPr>
                <w:rFonts w:ascii="Microsoft JhengHei" w:eastAsia="Microsoft JhengHei" w:hAnsi="Microsoft JhengHei"/>
                <w:b/>
                <w:spacing w:val="-16"/>
                <w:sz w:val="21"/>
              </w:rPr>
              <w:t>重大偏离，或投标承诺明显不符合招标要求却在偏离情况中作“满足”、“无偏离”、“正偏离”等满足招标要</w:t>
            </w:r>
            <w:r>
              <w:rPr>
                <w:rFonts w:ascii="Microsoft JhengHei" w:eastAsia="Microsoft JhengHei" w:hAnsi="Microsoft JhengHei"/>
                <w:b/>
                <w:sz w:val="21"/>
              </w:rPr>
              <w:t>求的承诺时，经查实和评委认定后，技术分为 0 分。如有提供虚假资料，投标保证金将被没收，并取消中标</w:t>
            </w:r>
            <w:r>
              <w:rPr>
                <w:rFonts w:ascii="Microsoft JhengHei" w:eastAsia="Microsoft JhengHei" w:hAnsi="Microsoft JhengHei"/>
                <w:b/>
                <w:spacing w:val="-2"/>
                <w:sz w:val="21"/>
              </w:rPr>
              <w:t>侯选人的资格。</w:t>
            </w:r>
          </w:p>
        </w:tc>
      </w:tr>
    </w:tbl>
    <w:p>
      <w:pPr>
        <w:pStyle w:val="BodyText"/>
        <w:rPr>
          <w:sz w:val="20"/>
        </w:rPr>
      </w:pPr>
    </w:p>
    <w:p>
      <w:pPr>
        <w:pStyle w:val="ListParagraph"/>
        <w:numPr>
          <w:ilvl w:val="1"/>
          <w:numId w:val="27"/>
        </w:numPr>
        <w:tabs>
          <w:tab w:val="left" w:pos="1187"/>
        </w:tabs>
        <w:spacing w:before="142" w:after="0" w:line="249" w:lineRule="auto"/>
        <w:ind w:left="294" w:right="572" w:firstLine="420"/>
        <w:jc w:val="left"/>
        <w:rPr>
          <w:sz w:val="21"/>
        </w:rPr>
      </w:pPr>
      <w:r>
        <w:rPr>
          <w:rFonts w:ascii="Microsoft JhengHei" w:eastAsia="Microsoft JhengHei"/>
          <w:b/>
          <w:spacing w:val="-2"/>
          <w:sz w:val="21"/>
        </w:rPr>
        <w:t>评委根据供应商的技术商务分（评委评出的算术平均得分</w:t>
      </w:r>
      <w:r>
        <w:rPr>
          <w:rFonts w:ascii="Microsoft JhengHei" w:eastAsia="Microsoft JhengHei"/>
          <w:b/>
          <w:spacing w:val="-105"/>
          <w:sz w:val="21"/>
        </w:rPr>
        <w:t>）</w:t>
      </w:r>
      <w:r>
        <w:rPr>
          <w:rFonts w:ascii="Microsoft JhengHei" w:eastAsia="Microsoft JhengHei"/>
          <w:b/>
          <w:spacing w:val="-2"/>
          <w:sz w:val="21"/>
        </w:rPr>
        <w:t>、计算出的价格分，计算每一供应商</w:t>
      </w:r>
      <w:r>
        <w:rPr>
          <w:rFonts w:ascii="Microsoft JhengHei" w:eastAsia="Microsoft JhengHei"/>
          <w:b/>
          <w:spacing w:val="-2"/>
          <w:sz w:val="21"/>
        </w:rPr>
        <w:t>的合计得分。</w:t>
      </w:r>
    </w:p>
    <w:p>
      <w:pPr>
        <w:pStyle w:val="ListParagraph"/>
        <w:numPr>
          <w:ilvl w:val="1"/>
          <w:numId w:val="27"/>
        </w:numPr>
        <w:tabs>
          <w:tab w:val="left" w:pos="1239"/>
        </w:tabs>
        <w:spacing w:before="34" w:after="0" w:line="240" w:lineRule="auto"/>
        <w:ind w:left="1239" w:right="0" w:hanging="525"/>
        <w:jc w:val="left"/>
        <w:rPr>
          <w:sz w:val="21"/>
        </w:rPr>
      </w:pPr>
      <w:r>
        <w:rPr>
          <w:spacing w:val="-1"/>
          <w:sz w:val="21"/>
        </w:rPr>
        <w:t>综合性能及服务分及价格分的计算采用四舍五入法，保留小数点后两位数。</w:t>
      </w:r>
    </w:p>
    <w:p>
      <w:pPr>
        <w:pStyle w:val="ListParagraph"/>
        <w:numPr>
          <w:ilvl w:val="1"/>
          <w:numId w:val="27"/>
        </w:numPr>
        <w:tabs>
          <w:tab w:val="left" w:pos="1187"/>
        </w:tabs>
        <w:spacing w:before="91" w:after="0" w:line="321" w:lineRule="auto"/>
        <w:ind w:left="294" w:right="572" w:firstLine="420"/>
        <w:jc w:val="left"/>
        <w:rPr>
          <w:sz w:val="21"/>
        </w:rPr>
      </w:pPr>
      <w:r>
        <w:rPr>
          <w:spacing w:val="-5"/>
          <w:sz w:val="21"/>
        </w:rPr>
        <w:t>评标委员会根据排名的先后顺序确定一名中标候选供应商排名。排名最先者为第一中标候选供应</w:t>
      </w:r>
      <w:r>
        <w:rPr>
          <w:spacing w:val="-6"/>
          <w:sz w:val="21"/>
        </w:rPr>
        <w:t>商。</w:t>
      </w:r>
    </w:p>
    <w:p>
      <w:pPr>
        <w:pStyle w:val="ListParagraph"/>
        <w:numPr>
          <w:ilvl w:val="1"/>
          <w:numId w:val="27"/>
        </w:numPr>
        <w:tabs>
          <w:tab w:val="left" w:pos="1187"/>
        </w:tabs>
        <w:spacing w:before="0" w:after="0" w:line="268" w:lineRule="exact"/>
        <w:ind w:left="1186" w:right="0" w:hanging="473"/>
        <w:jc w:val="left"/>
        <w:rPr>
          <w:sz w:val="21"/>
        </w:rPr>
      </w:pPr>
      <w:r>
        <w:rPr>
          <w:spacing w:val="-1"/>
          <w:sz w:val="21"/>
        </w:rPr>
        <w:t>上述中标候选供应商均由评委推荐产生。</w:t>
      </w:r>
    </w:p>
    <w:p>
      <w:pPr>
        <w:pStyle w:val="ListParagraph"/>
        <w:numPr>
          <w:ilvl w:val="1"/>
          <w:numId w:val="27"/>
        </w:numPr>
        <w:tabs>
          <w:tab w:val="left" w:pos="1187"/>
        </w:tabs>
        <w:spacing w:before="91" w:after="0" w:line="321" w:lineRule="auto"/>
        <w:ind w:left="294" w:right="572" w:firstLine="420"/>
        <w:jc w:val="left"/>
        <w:rPr>
          <w:sz w:val="21"/>
        </w:rPr>
      </w:pPr>
      <w:r>
        <w:rPr>
          <w:spacing w:val="-2"/>
          <w:sz w:val="21"/>
        </w:rPr>
        <w:t>本次招标活动对所有投标人的投标文件评审，都采用相同的程序和相同的标准。投标人不得干扰</w:t>
      </w:r>
      <w:r>
        <w:rPr>
          <w:spacing w:val="-2"/>
          <w:sz w:val="21"/>
        </w:rPr>
        <w:t>招标代理机构组织的评标活动，否则将取消其投标资格。并没收投标保证金。</w:t>
      </w:r>
    </w:p>
    <w:p>
      <w:pPr>
        <w:spacing w:after="0" w:line="321" w:lineRule="auto"/>
        <w:jc w:val="left"/>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8" w:history="1">
        <w:r>
          <w:rPr>
            <w:rFonts w:ascii="SimSun" w:eastAsia="SimSun" w:hAnsi="SimSun" w:cs="SimSun"/>
            <w:b/>
            <w:bCs/>
            <w:color w:val="0000EE"/>
            <w:sz w:val="30"/>
            <w:szCs w:val="30"/>
            <w:u w:val="single" w:color="0000EE"/>
          </w:rPr>
          <w:t>https://d.book118.com/177022004105006050</w:t>
        </w:r>
      </w:hyperlink>
    </w:p>
    <w:p>
      <w:pPr>
        <w:spacing w:after="0" w:line="321" w:lineRule="auto"/>
        <w:jc w:val="left"/>
        <w:rPr>
          <w:sz w:val="21"/>
        </w:rPr>
      </w:pPr>
    </w:p>
    <w:sectPr>
      <w:headerReference w:type="default" r:id="rId59"/>
      <w:footerReference w:type="default" r:id="rId60"/>
      <w:pgSz w:w="11910" w:h="16840"/>
      <w:pgMar w:top="1040" w:right="560" w:bottom="1160" w:left="840" w:header="859" w:footer="971"/>
      <w:pgNumType w:start="2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2" style="mso-position-horizontal-relative:page;mso-position-vertical-relative:page;position:absolute;z-index:-251658240"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053" type="#_x0000_t202" style="width:119pt;height:11pt;margin-top:785.28pt;margin-left:55.75pt;mso-position-horizontal-relative:page;mso-position-vertical-relative:page;position:absolute;z-index:-251657216"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054" type="#_x0000_t202" style="width:175.25pt;height:19.75pt;margin-top:785.28pt;margin-left:226.75pt;mso-position-horizontal-relative:page;mso-position-vertical-relative:page;position:absolute;z-index:-251656192"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r>
      <w:pict>
        <v:shape id="_x0000_s2055" type="#_x0000_t202" style="width:92pt;height:11pt;margin-top:785.28pt;margin-left:445pt;mso-position-horizontal-relative:page;mso-position-vertical-relative:page;position:absolute;z-index:-251655168"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9" style="mso-position-horizontal-relative:page;mso-position-vertical-relative:page;position:absolute;z-index:-251654144"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060" type="#_x0000_t202" style="width:119pt;height:11pt;margin-top:785.28pt;margin-left:55.75pt;mso-position-horizontal-relative:page;mso-position-vertical-relative:page;position:absolute;z-index:-251653120"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061" type="#_x0000_t202" style="width:175.25pt;height:19.75pt;margin-top:785.28pt;margin-left:226.75pt;mso-position-horizontal-relative:page;mso-position-vertical-relative:page;position:absolute;z-index:-251652096"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r>
      <w:pict>
        <v:shape id="_x0000_s2062" type="#_x0000_t202" style="width:92pt;height:11pt;margin-top:785.28pt;margin-left:445pt;mso-position-horizontal-relative:page;mso-position-vertical-relative:page;position:absolute;z-index:-251651072"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6" style="mso-position-horizontal-relative:page;mso-position-vertical-relative:page;position:absolute;z-index:-251650048"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067" type="#_x0000_t202" style="width:119pt;height:11pt;margin-top:785.28pt;margin-left:55.75pt;mso-position-horizontal-relative:page;mso-position-vertical-relative:page;position:absolute;z-index:-251649024"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068" type="#_x0000_t202" style="width:175.25pt;height:19.75pt;margin-top:785.28pt;margin-left:226.75pt;mso-position-horizontal-relative:page;mso-position-vertical-relative:page;position:absolute;z-index:-251648000"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r>
      <w:pict>
        <v:shape id="_x0000_s2069" type="#_x0000_t202" style="width:92pt;height:11pt;margin-top:785.28pt;margin-left:445pt;mso-position-horizontal-relative:page;mso-position-vertical-relative:page;position:absolute;z-index:-251646976"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3" style="mso-position-horizontal-relative:page;mso-position-vertical-relative:page;position:absolute;z-index:-251645952"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074" type="#_x0000_t202" style="width:119pt;height:11pt;margin-top:785.28pt;margin-left:55.75pt;mso-position-horizontal-relative:page;mso-position-vertical-relative:page;position:absolute;z-index:-251644928"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075" type="#_x0000_t202" style="width:175.25pt;height:19.75pt;margin-top:785.28pt;margin-left:226.75pt;mso-position-horizontal-relative:page;mso-position-vertical-relative:page;position:absolute;z-index:-251643904"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r>
      <w:pict>
        <v:shape id="_x0000_s2076" type="#_x0000_t202" style="width:92pt;height:11pt;margin-top:785.28pt;margin-left:445pt;mso-position-horizontal-relative:page;mso-position-vertical-relative:page;position:absolute;z-index:-251642880"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0" style="mso-position-horizontal-relative:page;mso-position-vertical-relative:page;position:absolute;z-index:-251641856"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081" type="#_x0000_t202" style="width:119pt;height:11pt;margin-top:785.28pt;margin-left:55.75pt;mso-position-horizontal-relative:page;mso-position-vertical-relative:page;position:absolute;z-index:-251640832"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082" type="#_x0000_t202" style="width:175.25pt;height:19.75pt;margin-top:785.28pt;margin-left:226.75pt;mso-position-horizontal-relative:page;mso-position-vertical-relative:page;position:absolute;z-index:-251639808"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r>
      <w:pict>
        <v:shape id="_x0000_s2083" type="#_x0000_t202" style="width:92pt;height:11pt;margin-top:785.28pt;margin-left:445pt;mso-position-horizontal-relative:page;mso-position-vertical-relative:page;position:absolute;z-index:-251638784"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7" style="mso-position-horizontal-relative:page;mso-position-vertical-relative:page;position:absolute;z-index:-251637760"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088" type="#_x0000_t202" style="width:119pt;height:11pt;margin-top:785.28pt;margin-left:55.75pt;mso-position-horizontal-relative:page;mso-position-vertical-relative:page;position:absolute;z-index:-251636736"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089" type="#_x0000_t202" style="width:175.25pt;height:19.75pt;margin-top:785.28pt;margin-left:226.75pt;mso-position-horizontal-relative:page;mso-position-vertical-relative:page;position:absolute;z-index:-251635712"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r>
      <w:pict>
        <v:shape id="_x0000_s2090" type="#_x0000_t202" style="width:92pt;height:11pt;margin-top:785.28pt;margin-left:445pt;mso-position-horizontal-relative:page;mso-position-vertical-relative:page;position:absolute;z-index:-251634688"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4" style="mso-position-horizontal-relative:page;mso-position-vertical-relative:page;position:absolute;z-index:-251633664"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095" type="#_x0000_t202" style="width:119pt;height:11pt;margin-top:785.28pt;margin-left:55.75pt;mso-position-horizontal-relative:page;mso-position-vertical-relative:page;position:absolute;z-index:-251632640"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096" type="#_x0000_t202" style="width:175.25pt;height:19.75pt;margin-top:785.28pt;margin-left:226.75pt;mso-position-horizontal-relative:page;mso-position-vertical-relative:page;position:absolute;z-index:-251631616"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r>
      <w:pict>
        <v:shape id="_x0000_s2097" type="#_x0000_t202" style="width:92pt;height:11pt;margin-top:785.28pt;margin-left:445pt;mso-position-horizontal-relative:page;mso-position-vertical-relative:page;position:absolute;z-index:-251630592"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1" style="mso-position-horizontal-relative:page;mso-position-vertical-relative:page;position:absolute;z-index:-251629568"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02" type="#_x0000_t202" style="width:119pt;height:11pt;margin-top:785.28pt;margin-left:55.75pt;mso-position-horizontal-relative:page;mso-position-vertical-relative:page;position:absolute;z-index:-251628544"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03" type="#_x0000_t202" style="width:175.25pt;height:19.75pt;margin-top:785.28pt;margin-left:226.75pt;mso-position-horizontal-relative:page;mso-position-vertical-relative:page;position:absolute;z-index:-251627520"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r>
      <w:pict>
        <v:shape id="_x0000_s2104" type="#_x0000_t202" style="width:92pt;height:11pt;margin-top:785.28pt;margin-left:445pt;mso-position-horizontal-relative:page;mso-position-vertical-relative:page;position:absolute;z-index:-251626496"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8" style="mso-position-horizontal-relative:page;mso-position-vertical-relative:page;position:absolute;z-index:-251625472"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09" type="#_x0000_t202" style="width:119pt;height:11pt;margin-top:785.28pt;margin-left:55.75pt;mso-position-horizontal-relative:page;mso-position-vertical-relative:page;position:absolute;z-index:-251624448"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10" type="#_x0000_t202" style="width:175.25pt;height:19.75pt;margin-top:785.28pt;margin-left:226.75pt;mso-position-horizontal-relative:page;mso-position-vertical-relative:page;position:absolute;z-index:-251623424"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r>
      <w:pict>
        <v:shape id="_x0000_s2111" type="#_x0000_t202" style="width:92pt;height:11pt;margin-top:785.28pt;margin-left:445pt;mso-position-horizontal-relative:page;mso-position-vertical-relative:page;position:absolute;z-index:-251622400"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5" style="mso-position-horizontal-relative:page;mso-position-vertical-relative:page;position:absolute;z-index:-251621376"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16" type="#_x0000_t202" style="width:119pt;height:11pt;margin-top:785.28pt;margin-left:55.75pt;mso-position-horizontal-relative:page;mso-position-vertical-relative:page;position:absolute;z-index:-251620352"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17" type="#_x0000_t202" style="width:175.25pt;height:19.75pt;margin-top:785.28pt;margin-left:226.75pt;mso-position-horizontal-relative:page;mso-position-vertical-relative:page;position:absolute;z-index:-251619328"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r>
      <w:pict>
        <v:shape id="_x0000_s2118" type="#_x0000_t202" style="width:92pt;height:11pt;margin-top:785.28pt;margin-left:445pt;mso-position-horizontal-relative:page;mso-position-vertical-relative:page;position:absolute;z-index:-251618304"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2" style="mso-position-horizontal-relative:page;mso-position-vertical-relative:page;position:absolute;z-index:-251617280"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23" type="#_x0000_t202" style="width:119pt;height:11pt;margin-top:785.28pt;margin-left:55.75pt;mso-position-horizontal-relative:page;mso-position-vertical-relative:page;position:absolute;z-index:-251616256"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24" type="#_x0000_t202" style="width:175.25pt;height:19.75pt;margin-top:785.28pt;margin-left:226.75pt;mso-position-horizontal-relative:page;mso-position-vertical-relative:page;position:absolute;z-index:-251615232"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r>
      <w:pict>
        <v:shape id="_x0000_s2125" type="#_x0000_t202" style="width:92pt;height:11pt;margin-top:785.28pt;margin-left:445pt;mso-position-horizontal-relative:page;mso-position-vertical-relative:page;position:absolute;z-index:-251614208"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8" style="mso-position-horizontal-relative:page;mso-position-vertical-relative:page;position:absolute;z-index:-251613184"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29" type="#_x0000_t202" style="width:119pt;height:11pt;margin-top:785.28pt;margin-left:55.75pt;mso-position-horizontal-relative:page;mso-position-vertical-relative:page;position:absolute;z-index:-251612160"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30" type="#_x0000_t202" style="width:175.25pt;height:19.75pt;margin-top:785.28pt;margin-left:226.75pt;mso-position-horizontal-relative:page;mso-position-vertical-relative:page;position:absolute;z-index:-251611136"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r>
      <w:pict>
        <v:shape id="_x0000_s2131" type="#_x0000_t202" style="width:92pt;height:11pt;margin-top:785.28pt;margin-left:445pt;mso-position-horizontal-relative:page;mso-position-vertical-relative:page;position:absolute;z-index:-251610112"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5" style="mso-position-horizontal-relative:page;mso-position-vertical-relative:page;position:absolute;z-index:-251609088"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36" type="#_x0000_t202" style="width:119pt;height:11pt;margin-top:785.28pt;margin-left:55.75pt;mso-position-horizontal-relative:page;mso-position-vertical-relative:page;position:absolute;z-index:-251608064"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37" type="#_x0000_t202" style="width:175.25pt;height:19.75pt;margin-top:785.28pt;margin-left:226.75pt;mso-position-horizontal-relative:page;mso-position-vertical-relative:page;position:absolute;z-index:-251607040"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r>
      <w:pict>
        <v:shape id="_x0000_s2138" type="#_x0000_t202" style="width:92pt;height:11pt;margin-top:785.28pt;margin-left:445pt;mso-position-horizontal-relative:page;mso-position-vertical-relative:page;position:absolute;z-index:-251606016"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2" style="mso-position-horizontal-relative:page;mso-position-vertical-relative:page;position:absolute;z-index:-251604992"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43" type="#_x0000_t202" style="width:119pt;height:11pt;margin-top:785.28pt;margin-left:55.75pt;mso-position-horizontal-relative:page;mso-position-vertical-relative:page;position:absolute;z-index:-251603968"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44" type="#_x0000_t202" style="width:175.25pt;height:19.75pt;margin-top:785.28pt;margin-left:226.75pt;mso-position-horizontal-relative:page;mso-position-vertical-relative:page;position:absolute;z-index:-251602944"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r>
      <w:pict>
        <v:shape id="_x0000_s2145" type="#_x0000_t202" style="width:92pt;height:11pt;margin-top:785.28pt;margin-left:445pt;mso-position-horizontal-relative:page;mso-position-vertical-relative:page;position:absolute;z-index:-251601920"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9" style="mso-position-horizontal-relative:page;mso-position-vertical-relative:page;position:absolute;z-index:-251600896"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50" type="#_x0000_t202" style="width:119pt;height:11pt;margin-top:785.28pt;margin-left:55.75pt;mso-position-horizontal-relative:page;mso-position-vertical-relative:page;position:absolute;z-index:-251599872"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51" type="#_x0000_t202" style="width:175.25pt;height:19.75pt;margin-top:785.28pt;margin-left:226.75pt;mso-position-horizontal-relative:page;mso-position-vertical-relative:page;position:absolute;z-index:-251598848"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r>
      <w:pict>
        <v:shape id="_x0000_s2152" type="#_x0000_t202" style="width:92pt;height:11pt;margin-top:785.28pt;margin-left:445pt;mso-position-horizontal-relative:page;mso-position-vertical-relative:page;position:absolute;z-index:-251597824"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6" style="mso-position-horizontal-relative:page;mso-position-vertical-relative:page;position:absolute;z-index:-251596800"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57" type="#_x0000_t202" style="width:119pt;height:11pt;margin-top:785.28pt;margin-left:55.75pt;mso-position-horizontal-relative:page;mso-position-vertical-relative:page;position:absolute;z-index:-251595776"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58" type="#_x0000_t202" style="width:175.25pt;height:19.75pt;margin-top:785.28pt;margin-left:226.75pt;mso-position-horizontal-relative:page;mso-position-vertical-relative:page;position:absolute;z-index:-251594752"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16</w:t>
                </w:r>
                <w:r>
                  <w:rPr>
                    <w:rFonts w:ascii="Times New Roman"/>
                    <w:spacing w:val="-5"/>
                    <w:sz w:val="18"/>
                  </w:rPr>
                  <w:fldChar w:fldCharType="end"/>
                </w:r>
              </w:p>
            </w:txbxContent>
          </v:textbox>
        </v:shape>
      </w:pict>
    </w:r>
    <w:r>
      <w:pict>
        <v:shape id="_x0000_s2159" type="#_x0000_t202" style="width:92pt;height:11pt;margin-top:785.28pt;margin-left:445pt;mso-position-horizontal-relative:page;mso-position-vertical-relative:page;position:absolute;z-index:-251593728"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3" style="mso-position-horizontal-relative:page;mso-position-vertical-relative:page;position:absolute;z-index:-251592704"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64" type="#_x0000_t202" style="width:119pt;height:11pt;margin-top:785.28pt;margin-left:55.75pt;mso-position-horizontal-relative:page;mso-position-vertical-relative:page;position:absolute;z-index:-251591680"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65" type="#_x0000_t202" style="width:175.25pt;height:19.75pt;margin-top:785.28pt;margin-left:226.75pt;mso-position-horizontal-relative:page;mso-position-vertical-relative:page;position:absolute;z-index:-251590656"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17</w:t>
                </w:r>
                <w:r>
                  <w:rPr>
                    <w:rFonts w:ascii="Times New Roman"/>
                    <w:spacing w:val="-5"/>
                    <w:sz w:val="18"/>
                  </w:rPr>
                  <w:fldChar w:fldCharType="end"/>
                </w:r>
              </w:p>
            </w:txbxContent>
          </v:textbox>
        </v:shape>
      </w:pict>
    </w:r>
    <w:r>
      <w:pict>
        <v:shape id="_x0000_s2166" type="#_x0000_t202" style="width:92pt;height:11pt;margin-top:785.28pt;margin-left:445pt;mso-position-horizontal-relative:page;mso-position-vertical-relative:page;position:absolute;z-index:-251589632"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70" style="mso-position-horizontal-relative:page;mso-position-vertical-relative:page;position:absolute;z-index:-251588608"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71" type="#_x0000_t202" style="width:119pt;height:11pt;margin-top:785.28pt;margin-left:55.75pt;mso-position-horizontal-relative:page;mso-position-vertical-relative:page;position:absolute;z-index:-251587584"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72" type="#_x0000_t202" style="width:175.25pt;height:19.75pt;margin-top:785.28pt;margin-left:226.75pt;mso-position-horizontal-relative:page;mso-position-vertical-relative:page;position:absolute;z-index:-251586560"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18</w:t>
                </w:r>
                <w:r>
                  <w:rPr>
                    <w:rFonts w:ascii="Times New Roman"/>
                    <w:spacing w:val="-5"/>
                    <w:sz w:val="18"/>
                  </w:rPr>
                  <w:fldChar w:fldCharType="end"/>
                </w:r>
              </w:p>
            </w:txbxContent>
          </v:textbox>
        </v:shape>
      </w:pict>
    </w:r>
    <w:r>
      <w:pict>
        <v:shape id="_x0000_s2173" type="#_x0000_t202" style="width:92pt;height:11pt;margin-top:785.28pt;margin-left:445pt;mso-position-horizontal-relative:page;mso-position-vertical-relative:page;position:absolute;z-index:-251585536"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77" style="mso-position-horizontal-relative:page;mso-position-vertical-relative:page;position:absolute;z-index:-251584512"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78" type="#_x0000_t202" style="width:119pt;height:11pt;margin-top:785.28pt;margin-left:55.75pt;mso-position-horizontal-relative:page;mso-position-vertical-relative:page;position:absolute;z-index:-251583488"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79" type="#_x0000_t202" style="width:175.25pt;height:19.75pt;margin-top:785.28pt;margin-left:226.75pt;mso-position-horizontal-relative:page;mso-position-vertical-relative:page;position:absolute;z-index:-251582464"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19</w:t>
                </w:r>
                <w:r>
                  <w:rPr>
                    <w:rFonts w:ascii="Times New Roman"/>
                    <w:spacing w:val="-5"/>
                    <w:sz w:val="18"/>
                  </w:rPr>
                  <w:fldChar w:fldCharType="end"/>
                </w:r>
              </w:p>
            </w:txbxContent>
          </v:textbox>
        </v:shape>
      </w:pict>
    </w:r>
    <w:r>
      <w:pict>
        <v:shape id="_x0000_s2180" type="#_x0000_t202" style="width:92pt;height:11pt;margin-top:785.28pt;margin-left:445pt;mso-position-horizontal-relative:page;mso-position-vertical-relative:page;position:absolute;z-index:-251581440"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4" style="mso-position-horizontal-relative:page;mso-position-vertical-relative:page;position:absolute;z-index:-251580416"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85" type="#_x0000_t202" style="width:119pt;height:11pt;margin-top:785.28pt;margin-left:55.75pt;mso-position-horizontal-relative:page;mso-position-vertical-relative:page;position:absolute;z-index:-251579392"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86" type="#_x0000_t202" style="width:175.25pt;height:19.75pt;margin-top:785.28pt;margin-left:226.75pt;mso-position-horizontal-relative:page;mso-position-vertical-relative:page;position:absolute;z-index:-251578368"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20</w:t>
                </w:r>
                <w:r>
                  <w:rPr>
                    <w:rFonts w:ascii="Times New Roman"/>
                    <w:spacing w:val="-5"/>
                    <w:sz w:val="18"/>
                  </w:rPr>
                  <w:fldChar w:fldCharType="end"/>
                </w:r>
              </w:p>
            </w:txbxContent>
          </v:textbox>
        </v:shape>
      </w:pict>
    </w:r>
    <w:r>
      <w:pict>
        <v:shape id="_x0000_s2187" type="#_x0000_t202" style="width:92pt;height:11pt;margin-top:785.28pt;margin-left:445pt;mso-position-horizontal-relative:page;mso-position-vertical-relative:page;position:absolute;z-index:-251577344"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91" style="mso-position-horizontal-relative:page;mso-position-vertical-relative:page;position:absolute;z-index:-251576320"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92" type="#_x0000_t202" style="width:119pt;height:11pt;margin-top:785.28pt;margin-left:55.75pt;mso-position-horizontal-relative:page;mso-position-vertical-relative:page;position:absolute;z-index:-251575296"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193" type="#_x0000_t202" style="width:175.25pt;height:19.75pt;margin-top:785.28pt;margin-left:226.75pt;mso-position-horizontal-relative:page;mso-position-vertical-relative:page;position:absolute;z-index:-251574272"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21</w:t>
                </w:r>
                <w:r>
                  <w:rPr>
                    <w:rFonts w:ascii="Times New Roman"/>
                    <w:spacing w:val="-5"/>
                    <w:sz w:val="18"/>
                  </w:rPr>
                  <w:fldChar w:fldCharType="end"/>
                </w:r>
              </w:p>
            </w:txbxContent>
          </v:textbox>
        </v:shape>
      </w:pict>
    </w:r>
    <w:r>
      <w:pict>
        <v:shape id="_x0000_s2194" type="#_x0000_t202" style="width:92pt;height:11pt;margin-top:785.28pt;margin-left:445pt;mso-position-horizontal-relative:page;mso-position-vertical-relative:page;position:absolute;z-index:-251573248"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98" style="mso-position-horizontal-relative:page;mso-position-vertical-relative:page;position:absolute;z-index:-251572224"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199" type="#_x0000_t202" style="width:119pt;height:11pt;margin-top:785.28pt;margin-left:55.75pt;mso-position-horizontal-relative:page;mso-position-vertical-relative:page;position:absolute;z-index:-251571200"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200" type="#_x0000_t202" style="width:175.25pt;height:19.75pt;margin-top:785.28pt;margin-left:226.75pt;mso-position-horizontal-relative:page;mso-position-vertical-relative:page;position:absolute;z-index:-251570176"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22</w:t>
                </w:r>
                <w:r>
                  <w:rPr>
                    <w:rFonts w:ascii="Times New Roman"/>
                    <w:spacing w:val="-5"/>
                    <w:sz w:val="18"/>
                  </w:rPr>
                  <w:fldChar w:fldCharType="end"/>
                </w:r>
              </w:p>
            </w:txbxContent>
          </v:textbox>
        </v:shape>
      </w:pict>
    </w:r>
    <w:r>
      <w:pict>
        <v:shape id="_x0000_s2201" type="#_x0000_t202" style="width:92pt;height:11pt;margin-top:785.28pt;margin-left:445pt;mso-position-horizontal-relative:page;mso-position-vertical-relative:page;position:absolute;z-index:-251569152"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04" style="mso-position-horizontal-relative:page;mso-position-vertical-relative:page;position:absolute;z-index:-251568128"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205" type="#_x0000_t202" style="width:119pt;height:11pt;margin-top:785.28pt;margin-left:55.75pt;mso-position-horizontal-relative:page;mso-position-vertical-relative:page;position:absolute;z-index:-251567104"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206" type="#_x0000_t202" style="width:175.25pt;height:19.75pt;margin-top:785.28pt;margin-left:226.75pt;mso-position-horizontal-relative:page;mso-position-vertical-relative:page;position:absolute;z-index:-251566080"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23</w:t>
                </w:r>
                <w:r>
                  <w:rPr>
                    <w:rFonts w:ascii="Times New Roman"/>
                    <w:spacing w:val="-5"/>
                    <w:sz w:val="18"/>
                  </w:rPr>
                  <w:fldChar w:fldCharType="end"/>
                </w:r>
              </w:p>
            </w:txbxContent>
          </v:textbox>
        </v:shape>
      </w:pict>
    </w:r>
    <w:r>
      <w:pict>
        <v:shape id="_x0000_s2207" type="#_x0000_t202" style="width:92pt;height:11pt;margin-top:785.28pt;margin-left:445pt;mso-position-horizontal-relative:page;mso-position-vertical-relative:page;position:absolute;z-index:-251565056"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10" style="mso-position-horizontal-relative:page;mso-position-vertical-relative:page;position:absolute;z-index:-251564032"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211" type="#_x0000_t202" style="width:119pt;height:11pt;margin-top:785.28pt;margin-left:55.75pt;mso-position-horizontal-relative:page;mso-position-vertical-relative:page;position:absolute;z-index:-251563008"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212" type="#_x0000_t202" style="width:175.25pt;height:19.75pt;margin-top:785.28pt;margin-left:226.75pt;mso-position-horizontal-relative:page;mso-position-vertical-relative:page;position:absolute;z-index:-251561984"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24</w:t>
                </w:r>
                <w:r>
                  <w:rPr>
                    <w:rFonts w:ascii="Times New Roman"/>
                    <w:spacing w:val="-5"/>
                    <w:sz w:val="18"/>
                  </w:rPr>
                  <w:fldChar w:fldCharType="end"/>
                </w:r>
              </w:p>
            </w:txbxContent>
          </v:textbox>
        </v:shape>
      </w:pict>
    </w:r>
    <w:r>
      <w:pict>
        <v:shape id="_x0000_s2213" type="#_x0000_t202" style="width:92pt;height:11pt;margin-top:785.28pt;margin-left:445pt;mso-position-horizontal-relative:page;mso-position-vertical-relative:page;position:absolute;z-index:-251560960"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16" style="mso-position-horizontal-relative:page;mso-position-vertical-relative:page;position:absolute;z-index:-251559936"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217" type="#_x0000_t202" style="width:119pt;height:11pt;margin-top:785.28pt;margin-left:55.75pt;mso-position-horizontal-relative:page;mso-position-vertical-relative:page;position:absolute;z-index:-251558912"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218" type="#_x0000_t202" style="width:175.25pt;height:19.75pt;margin-top:785.28pt;margin-left:226.75pt;mso-position-horizontal-relative:page;mso-position-vertical-relative:page;position:absolute;z-index:-251557888"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25</w:t>
                </w:r>
                <w:r>
                  <w:rPr>
                    <w:rFonts w:ascii="Times New Roman"/>
                    <w:spacing w:val="-5"/>
                    <w:sz w:val="18"/>
                  </w:rPr>
                  <w:fldChar w:fldCharType="end"/>
                </w:r>
              </w:p>
            </w:txbxContent>
          </v:textbox>
        </v:shape>
      </w:pict>
    </w:r>
    <w:r>
      <w:pict>
        <v:shape id="_x0000_s2219" type="#_x0000_t202" style="width:92pt;height:11pt;margin-top:785.28pt;margin-left:445pt;mso-position-horizontal-relative:page;mso-position-vertical-relative:page;position:absolute;z-index:-251556864"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22" style="mso-position-horizontal-relative:page;mso-position-vertical-relative:page;position:absolute;z-index:-251555840" from="56.75pt,783.6pt" to="538.25pt,783.6pt" stroked="t" strokecolor="black" strokeweight="0.45pt">
          <v:stroke dashstyle="solid"/>
        </v:line>
      </w:pict>
    </w:r>
    <w:r>
      <w:pict>
        <v:shapetype id="_x0000_t202" coordsize="21600,21600" o:spt="202" path="m,l,21600r21600,l21600,xe">
          <v:stroke joinstyle="miter"/>
          <v:path gradientshapeok="t" o:connecttype="rect"/>
        </v:shapetype>
        <v:shape id="_x0000_s2223" type="#_x0000_t202" style="width:119pt;height:11pt;margin-top:785.28pt;margin-left:55.75pt;mso-position-horizontal-relative:page;mso-position-vertical-relative:page;position:absolute;z-index:-251554816" filled="f" stroked="f">
          <v:textbox inset="0,0,0,0">
            <w:txbxContent>
              <w:p>
                <w:pPr>
                  <w:spacing w:before="0" w:line="220" w:lineRule="exact"/>
                  <w:ind w:left="20" w:right="0" w:firstLine="0"/>
                  <w:jc w:val="left"/>
                  <w:rPr>
                    <w:sz w:val="18"/>
                  </w:rPr>
                </w:pPr>
                <w:r>
                  <w:rPr>
                    <w:spacing w:val="-1"/>
                    <w:sz w:val="18"/>
                  </w:rPr>
                  <w:t>泉州市嘉隆招标代理有限公司</w:t>
                </w:r>
              </w:p>
            </w:txbxContent>
          </v:textbox>
        </v:shape>
      </w:pict>
    </w:r>
    <w:r>
      <w:pict>
        <v:shape id="_x0000_s2224" type="#_x0000_t202" style="width:175.25pt;height:19.75pt;margin-top:785.28pt;margin-left:226.75pt;mso-position-horizontal-relative:page;mso-position-vertical-relative:page;position:absolute;z-index:-251553792" filled="f" stroked="f">
          <v:textbox inset="0,0,0,0">
            <w:txbxContent>
              <w:p>
                <w:pPr>
                  <w:spacing w:before="0" w:line="196" w:lineRule="exact"/>
                  <w:ind w:left="20" w:right="0" w:firstLine="0"/>
                  <w:jc w:val="left"/>
                  <w:rPr>
                    <w:sz w:val="18"/>
                  </w:rPr>
                </w:pPr>
                <w:r>
                  <w:rPr>
                    <w:spacing w:val="-3"/>
                    <w:sz w:val="18"/>
                  </w:rPr>
                  <w:t xml:space="preserve">地址：泉州市田安北路倍安居大厦四楼 </w:t>
                </w:r>
                <w:r>
                  <w:rPr>
                    <w:spacing w:val="-4"/>
                    <w:sz w:val="18"/>
                  </w:rPr>
                  <w:t>8409</w:t>
                </w:r>
              </w:p>
              <w:p>
                <w:pPr>
                  <w:spacing w:before="0" w:line="178" w:lineRule="exact"/>
                  <w:ind w:left="1266" w:right="2029" w:firstLine="0"/>
                  <w:jc w:val="center"/>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26</w:t>
                </w:r>
                <w:r>
                  <w:rPr>
                    <w:rFonts w:ascii="Times New Roman"/>
                    <w:spacing w:val="-5"/>
                    <w:sz w:val="18"/>
                  </w:rPr>
                  <w:fldChar w:fldCharType="end"/>
                </w:r>
              </w:p>
            </w:txbxContent>
          </v:textbox>
        </v:shape>
      </w:pict>
    </w:r>
    <w:r>
      <w:pict>
        <v:shape id="_x0000_s2225" type="#_x0000_t202" style="width:92pt;height:11pt;margin-top:785.28pt;margin-left:445pt;mso-position-horizontal-relative:page;mso-position-vertical-relative:page;position:absolute;z-index:-251552768" filled="f" stroked="f">
          <v:textbox inset="0,0,0,0">
            <w:txbxContent>
              <w:p>
                <w:pPr>
                  <w:spacing w:before="0" w:line="220" w:lineRule="exact"/>
                  <w:ind w:left="20" w:right="0" w:firstLine="0"/>
                  <w:jc w:val="left"/>
                  <w:rPr>
                    <w:sz w:val="18"/>
                  </w:rPr>
                </w:pPr>
                <w:r>
                  <w:rPr>
                    <w:sz w:val="18"/>
                  </w:rPr>
                  <w:t>电话： 0595-</w:t>
                </w:r>
                <w:r>
                  <w:rPr>
                    <w:spacing w:val="-2"/>
                    <w:sz w:val="18"/>
                  </w:rPr>
                  <w:t>22795666</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50" type="#_x0000_t202" style="width:182pt;height:11pt;margin-top:42.96pt;margin-left:55.7pt;mso-position-horizontal-relative:page;mso-position-vertical-relative:page;position:absolute;z-index:-251657216"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051" type="#_x0000_t202" style="width:38pt;height:11pt;margin-top:42.96pt;margin-left:478.7pt;mso-position-horizontal-relative:page;mso-position-vertical-relative:page;position:absolute;z-index:-251656192"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6" style="mso-position-horizontal-relative:page;mso-position-vertical-relative:page;position:absolute;z-index:-251655168"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57" type="#_x0000_t202" style="width:182pt;height:11pt;margin-top:42.96pt;margin-left:55.7pt;mso-position-horizontal-relative:page;mso-position-vertical-relative:page;position:absolute;z-index:-251654144"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058" type="#_x0000_t202" style="width:38pt;height:11pt;margin-top:42.96pt;margin-left:478.7pt;mso-position-horizontal-relative:page;mso-position-vertical-relative:page;position:absolute;z-index:-251653120"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3" style="mso-position-horizontal-relative:page;mso-position-vertical-relative:page;position:absolute;z-index:-251652096"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64" type="#_x0000_t202" style="width:182pt;height:11pt;margin-top:42.96pt;margin-left:55.7pt;mso-position-horizontal-relative:page;mso-position-vertical-relative:page;position:absolute;z-index:-251651072"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065" type="#_x0000_t202" style="width:38pt;height:11pt;margin-top:42.96pt;margin-left:478.7pt;mso-position-horizontal-relative:page;mso-position-vertical-relative:page;position:absolute;z-index:-251650048"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0" style="mso-position-horizontal-relative:page;mso-position-vertical-relative:page;position:absolute;z-index:-251649024"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71" type="#_x0000_t202" style="width:182pt;height:11pt;margin-top:42.96pt;margin-left:55.7pt;mso-position-horizontal-relative:page;mso-position-vertical-relative:page;position:absolute;z-index:-251648000"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072" type="#_x0000_t202" style="width:38pt;height:11pt;margin-top:42.96pt;margin-left:478.7pt;mso-position-horizontal-relative:page;mso-position-vertical-relative:page;position:absolute;z-index:-251646976"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7" style="mso-position-horizontal-relative:page;mso-position-vertical-relative:page;position:absolute;z-index:-251645952"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78" type="#_x0000_t202" style="width:182pt;height:11pt;margin-top:42.96pt;margin-left:55.7pt;mso-position-horizontal-relative:page;mso-position-vertical-relative:page;position:absolute;z-index:-251644928"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079" type="#_x0000_t202" style="width:38pt;height:11pt;margin-top:42.96pt;margin-left:478.7pt;mso-position-horizontal-relative:page;mso-position-vertical-relative:page;position:absolute;z-index:-251643904"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4" style="mso-position-horizontal-relative:page;mso-position-vertical-relative:page;position:absolute;z-index:-251642880"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85" type="#_x0000_t202" style="width:182pt;height:11pt;margin-top:42.96pt;margin-left:55.7pt;mso-position-horizontal-relative:page;mso-position-vertical-relative:page;position:absolute;z-index:-251641856"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086" type="#_x0000_t202" style="width:38pt;height:11pt;margin-top:42.96pt;margin-left:478.7pt;mso-position-horizontal-relative:page;mso-position-vertical-relative:page;position:absolute;z-index:-251640832"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1" style="mso-position-horizontal-relative:page;mso-position-vertical-relative:page;position:absolute;z-index:-251639808"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92" type="#_x0000_t202" style="width:182pt;height:11pt;margin-top:42.96pt;margin-left:55.7pt;mso-position-horizontal-relative:page;mso-position-vertical-relative:page;position:absolute;z-index:-251638784"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093" type="#_x0000_t202" style="width:38pt;height:11pt;margin-top:42.96pt;margin-left:478.7pt;mso-position-horizontal-relative:page;mso-position-vertical-relative:page;position:absolute;z-index:-251637760"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8" style="mso-position-horizontal-relative:page;mso-position-vertical-relative:page;position:absolute;z-index:-251636736"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99" type="#_x0000_t202" style="width:182pt;height:11pt;margin-top:42.96pt;margin-left:55.7pt;mso-position-horizontal-relative:page;mso-position-vertical-relative:page;position:absolute;z-index:-251635712"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00" type="#_x0000_t202" style="width:38pt;height:11pt;margin-top:42.96pt;margin-left:478.7pt;mso-position-horizontal-relative:page;mso-position-vertical-relative:page;position:absolute;z-index:-251634688"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5" style="mso-position-horizontal-relative:page;mso-position-vertical-relative:page;position:absolute;z-index:-251633664"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06" type="#_x0000_t202" style="width:182pt;height:11pt;margin-top:42.96pt;margin-left:55.7pt;mso-position-horizontal-relative:page;mso-position-vertical-relative:page;position:absolute;z-index:-251632640"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07" type="#_x0000_t202" style="width:38pt;height:11pt;margin-top:42.96pt;margin-left:478.7pt;mso-position-horizontal-relative:page;mso-position-vertical-relative:page;position:absolute;z-index:-251631616"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2" style="mso-position-horizontal-relative:page;mso-position-vertical-relative:page;position:absolute;z-index:-251630592"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13" type="#_x0000_t202" style="width:182pt;height:11pt;margin-top:42.96pt;margin-left:55.7pt;mso-position-horizontal-relative:page;mso-position-vertical-relative:page;position:absolute;z-index:-251629568"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14" type="#_x0000_t202" style="width:38pt;height:11pt;margin-top:42.96pt;margin-left:478.7pt;mso-position-horizontal-relative:page;mso-position-vertical-relative:page;position:absolute;z-index:-251628544"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9" style="mso-position-horizontal-relative:page;mso-position-vertical-relative:page;position:absolute;z-index:-251627520"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20" type="#_x0000_t202" style="width:182pt;height:11pt;margin-top:42.96pt;margin-left:55.7pt;mso-position-horizontal-relative:page;mso-position-vertical-relative:page;position:absolute;z-index:-251626496"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21" type="#_x0000_t202" style="width:38pt;height:11pt;margin-top:42.96pt;margin-left:478.7pt;mso-position-horizontal-relative:page;mso-position-vertical-relative:page;position:absolute;z-index:-251625472"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6" type="#_x0000_t202" style="width:182pt;height:11pt;margin-top:42.96pt;margin-left:55.7pt;mso-position-horizontal-relative:page;mso-position-vertical-relative:page;position:absolute;z-index:-251624448"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27" type="#_x0000_t202" style="width:38pt;height:11pt;margin-top:42.96pt;margin-left:478.7pt;mso-position-horizontal-relative:page;mso-position-vertical-relative:page;position:absolute;z-index:-251623424"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2" style="mso-position-horizontal-relative:page;mso-position-vertical-relative:page;position:absolute;z-index:-251622400"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33" type="#_x0000_t202" style="width:182pt;height:11pt;margin-top:42.96pt;margin-left:55.7pt;mso-position-horizontal-relative:page;mso-position-vertical-relative:page;position:absolute;z-index:-251621376"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34" type="#_x0000_t202" style="width:38pt;height:11pt;margin-top:42.96pt;margin-left:478.7pt;mso-position-horizontal-relative:page;mso-position-vertical-relative:page;position:absolute;z-index:-251620352"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9" style="mso-position-horizontal-relative:page;mso-position-vertical-relative:page;position:absolute;z-index:-251619328"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40" type="#_x0000_t202" style="width:182pt;height:11pt;margin-top:42.96pt;margin-left:55.7pt;mso-position-horizontal-relative:page;mso-position-vertical-relative:page;position:absolute;z-index:-251618304"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41" type="#_x0000_t202" style="width:38pt;height:11pt;margin-top:42.96pt;margin-left:478.7pt;mso-position-horizontal-relative:page;mso-position-vertical-relative:page;position:absolute;z-index:-251617280"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6" style="mso-position-horizontal-relative:page;mso-position-vertical-relative:page;position:absolute;z-index:-251616256"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47" type="#_x0000_t202" style="width:182pt;height:11pt;margin-top:42.96pt;margin-left:55.7pt;mso-position-horizontal-relative:page;mso-position-vertical-relative:page;position:absolute;z-index:-251615232"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48" type="#_x0000_t202" style="width:38pt;height:11pt;margin-top:42.96pt;margin-left:478.7pt;mso-position-horizontal-relative:page;mso-position-vertical-relative:page;position:absolute;z-index:-251614208"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3" style="mso-position-horizontal-relative:page;mso-position-vertical-relative:page;position:absolute;z-index:-251613184"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54" type="#_x0000_t202" style="width:182pt;height:11pt;margin-top:42.96pt;margin-left:55.7pt;mso-position-horizontal-relative:page;mso-position-vertical-relative:page;position:absolute;z-index:-251612160"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55" type="#_x0000_t202" style="width:38pt;height:11pt;margin-top:42.96pt;margin-left:478.7pt;mso-position-horizontal-relative:page;mso-position-vertical-relative:page;position:absolute;z-index:-251611136"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0" style="mso-position-horizontal-relative:page;mso-position-vertical-relative:page;position:absolute;z-index:-251610112"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61" type="#_x0000_t202" style="width:182pt;height:11pt;margin-top:42.96pt;margin-left:55.7pt;mso-position-horizontal-relative:page;mso-position-vertical-relative:page;position:absolute;z-index:-251609088"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62" type="#_x0000_t202" style="width:38pt;height:11pt;margin-top:42.96pt;margin-left:478.7pt;mso-position-horizontal-relative:page;mso-position-vertical-relative:page;position:absolute;z-index:-251608064"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7" style="mso-position-horizontal-relative:page;mso-position-vertical-relative:page;position:absolute;z-index:-251607040"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68" type="#_x0000_t202" style="width:182pt;height:11pt;margin-top:42.96pt;margin-left:55.7pt;mso-position-horizontal-relative:page;mso-position-vertical-relative:page;position:absolute;z-index:-251606016"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69" type="#_x0000_t202" style="width:38pt;height:11pt;margin-top:42.96pt;margin-left:478.7pt;mso-position-horizontal-relative:page;mso-position-vertical-relative:page;position:absolute;z-index:-251604992"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74" style="mso-position-horizontal-relative:page;mso-position-vertical-relative:page;position:absolute;z-index:-251603968"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75" type="#_x0000_t202" style="width:182pt;height:11pt;margin-top:42.96pt;margin-left:55.7pt;mso-position-horizontal-relative:page;mso-position-vertical-relative:page;position:absolute;z-index:-251602944"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76" type="#_x0000_t202" style="width:38pt;height:11pt;margin-top:42.96pt;margin-left:478.7pt;mso-position-horizontal-relative:page;mso-position-vertical-relative:page;position:absolute;z-index:-251601920"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1" style="mso-position-horizontal-relative:page;mso-position-vertical-relative:page;position:absolute;z-index:-251600896"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82" type="#_x0000_t202" style="width:182pt;height:11pt;margin-top:42.96pt;margin-left:55.7pt;mso-position-horizontal-relative:page;mso-position-vertical-relative:page;position:absolute;z-index:-251599872"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83" type="#_x0000_t202" style="width:38pt;height:11pt;margin-top:42.96pt;margin-left:478.7pt;mso-position-horizontal-relative:page;mso-position-vertical-relative:page;position:absolute;z-index:-251598848"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8" style="mso-position-horizontal-relative:page;mso-position-vertical-relative:page;position:absolute;z-index:-251597824"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89" type="#_x0000_t202" style="width:182pt;height:11pt;margin-top:42.96pt;margin-left:55.7pt;mso-position-horizontal-relative:page;mso-position-vertical-relative:page;position:absolute;z-index:-251596800"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90" type="#_x0000_t202" style="width:38pt;height:11pt;margin-top:42.96pt;margin-left:478.7pt;mso-position-horizontal-relative:page;mso-position-vertical-relative:page;position:absolute;z-index:-251595776"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95" style="mso-position-horizontal-relative:page;mso-position-vertical-relative:page;position:absolute;z-index:-251594752" from="55.2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96" type="#_x0000_t202" style="width:182pt;height:11pt;margin-top:42.96pt;margin-left:55.7pt;mso-position-horizontal-relative:page;mso-position-vertical-relative:page;position:absolute;z-index:-251593728"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197" type="#_x0000_t202" style="width:38pt;height:11pt;margin-top:42.96pt;margin-left:478.7pt;mso-position-horizontal-relative:page;mso-position-vertical-relative:page;position:absolute;z-index:-251592704"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02" type="#_x0000_t202" style="width:182pt;height:11pt;margin-top:42.96pt;margin-left:55.7pt;mso-position-horizontal-relative:page;mso-position-vertical-relative:page;position:absolute;z-index:-251591680"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203" type="#_x0000_t202" style="width:38pt;height:11pt;margin-top:42.96pt;margin-left:478.7pt;mso-position-horizontal-relative:page;mso-position-vertical-relative:page;position:absolute;z-index:-251590656"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08" type="#_x0000_t202" style="width:182pt;height:11pt;margin-top:42.96pt;margin-left:55.7pt;mso-position-horizontal-relative:page;mso-position-vertical-relative:page;position:absolute;z-index:-251589632"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209" type="#_x0000_t202" style="width:38pt;height:11pt;margin-top:42.96pt;margin-left:478.7pt;mso-position-horizontal-relative:page;mso-position-vertical-relative:page;position:absolute;z-index:-251588608"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14" type="#_x0000_t202" style="width:182pt;height:11pt;margin-top:42.96pt;margin-left:55.7pt;mso-position-horizontal-relative:page;mso-position-vertical-relative:page;position:absolute;z-index:-251587584"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215" type="#_x0000_t202" style="width:38pt;height:11pt;margin-top:42.96pt;margin-left:478.7pt;mso-position-horizontal-relative:page;mso-position-vertical-relative:page;position:absolute;z-index:-251586560"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20" type="#_x0000_t202" style="width:182pt;height:11pt;margin-top:42.96pt;margin-left:55.7pt;mso-position-horizontal-relative:page;mso-position-vertical-relative:page;position:absolute;z-index:-251585536" filled="f" stroked="f">
          <v:textbox inset="0,0,0,0">
            <w:txbxContent>
              <w:p>
                <w:pPr>
                  <w:spacing w:before="0" w:line="220" w:lineRule="exact"/>
                  <w:ind w:left="20" w:right="0" w:firstLine="0"/>
                  <w:jc w:val="left"/>
                  <w:rPr>
                    <w:sz w:val="18"/>
                  </w:rPr>
                </w:pPr>
                <w:r>
                  <w:rPr>
                    <w:spacing w:val="-1"/>
                    <w:sz w:val="18"/>
                  </w:rPr>
                  <w:t>泉州师范学院化生院教学设备采购及服务项目</w:t>
                </w:r>
              </w:p>
            </w:txbxContent>
          </v:textbox>
        </v:shape>
      </w:pict>
    </w:r>
    <w:r>
      <w:pict>
        <v:shape id="_x0000_s2221" type="#_x0000_t202" style="width:38pt;height:11pt;margin-top:42.96pt;margin-left:478.7pt;mso-position-horizontal-relative:page;mso-position-vertical-relative:page;position:absolute;z-index:-251584512" filled="f" stroked="f">
          <v:textbox inset="0,0,0,0">
            <w:txbxContent>
              <w:p>
                <w:pPr>
                  <w:spacing w:before="0" w:line="220" w:lineRule="exact"/>
                  <w:ind w:left="20" w:right="0" w:firstLine="0"/>
                  <w:jc w:val="left"/>
                  <w:rPr>
                    <w:sz w:val="18"/>
                  </w:rPr>
                </w:pPr>
                <w:r>
                  <w:rPr>
                    <w:spacing w:val="-3"/>
                    <w:sz w:val="18"/>
                  </w:rPr>
                  <w:t>招标文件</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C7F97"/>
    <w:multiLevelType w:val="hybridMultilevel"/>
    <w:tmpl w:val="00000000"/>
    <w:lvl w:ilvl="0">
      <w:start w:val="1"/>
      <w:numFmt w:val="decimal"/>
      <w:lvlText w:val="（%1）"/>
      <w:lvlJc w:val="left"/>
      <w:pPr>
        <w:ind w:left="1055" w:hanging="528"/>
        <w:jc w:val="right"/>
      </w:pPr>
      <w:rPr>
        <w:rFonts w:ascii="宋体" w:eastAsia="宋体" w:hAnsi="宋体" w:cs="宋体" w:hint="default"/>
        <w:b w:val="0"/>
        <w:bCs w:val="0"/>
        <w:i w:val="0"/>
        <w:iCs w:val="0"/>
        <w:spacing w:val="0"/>
        <w:w w:val="100"/>
        <w:sz w:val="19"/>
        <w:szCs w:val="19"/>
        <w:lang w:val="en-US" w:eastAsia="zh-CN" w:bidi="ar-SA"/>
      </w:rPr>
    </w:lvl>
    <w:lvl w:ilvl="1">
      <w:start w:val="0"/>
      <w:numFmt w:val="bullet"/>
      <w:lvlText w:val="•"/>
      <w:lvlJc w:val="left"/>
      <w:pPr>
        <w:ind w:left="1971" w:hanging="528"/>
      </w:pPr>
      <w:rPr>
        <w:rFonts w:hint="default"/>
        <w:lang w:val="en-US" w:eastAsia="zh-CN" w:bidi="ar-SA"/>
      </w:rPr>
    </w:lvl>
    <w:lvl w:ilvl="2">
      <w:start w:val="0"/>
      <w:numFmt w:val="bullet"/>
      <w:lvlText w:val="•"/>
      <w:lvlJc w:val="left"/>
      <w:pPr>
        <w:ind w:left="2883" w:hanging="528"/>
      </w:pPr>
      <w:rPr>
        <w:rFonts w:hint="default"/>
        <w:lang w:val="en-US" w:eastAsia="zh-CN" w:bidi="ar-SA"/>
      </w:rPr>
    </w:lvl>
    <w:lvl w:ilvl="3">
      <w:start w:val="0"/>
      <w:numFmt w:val="bullet"/>
      <w:lvlText w:val="•"/>
      <w:lvlJc w:val="left"/>
      <w:pPr>
        <w:ind w:left="3795" w:hanging="528"/>
      </w:pPr>
      <w:rPr>
        <w:rFonts w:hint="default"/>
        <w:lang w:val="en-US" w:eastAsia="zh-CN" w:bidi="ar-SA"/>
      </w:rPr>
    </w:lvl>
    <w:lvl w:ilvl="4">
      <w:start w:val="0"/>
      <w:numFmt w:val="bullet"/>
      <w:lvlText w:val="•"/>
      <w:lvlJc w:val="left"/>
      <w:pPr>
        <w:ind w:left="4707" w:hanging="528"/>
      </w:pPr>
      <w:rPr>
        <w:rFonts w:hint="default"/>
        <w:lang w:val="en-US" w:eastAsia="zh-CN" w:bidi="ar-SA"/>
      </w:rPr>
    </w:lvl>
    <w:lvl w:ilvl="5">
      <w:start w:val="0"/>
      <w:numFmt w:val="bullet"/>
      <w:lvlText w:val="•"/>
      <w:lvlJc w:val="left"/>
      <w:pPr>
        <w:ind w:left="5619" w:hanging="528"/>
      </w:pPr>
      <w:rPr>
        <w:rFonts w:hint="default"/>
        <w:lang w:val="en-US" w:eastAsia="zh-CN" w:bidi="ar-SA"/>
      </w:rPr>
    </w:lvl>
    <w:lvl w:ilvl="6">
      <w:start w:val="0"/>
      <w:numFmt w:val="bullet"/>
      <w:lvlText w:val="•"/>
      <w:lvlJc w:val="left"/>
      <w:pPr>
        <w:ind w:left="6530" w:hanging="528"/>
      </w:pPr>
      <w:rPr>
        <w:rFonts w:hint="default"/>
        <w:lang w:val="en-US" w:eastAsia="zh-CN" w:bidi="ar-SA"/>
      </w:rPr>
    </w:lvl>
    <w:lvl w:ilvl="7">
      <w:start w:val="0"/>
      <w:numFmt w:val="bullet"/>
      <w:lvlText w:val="•"/>
      <w:lvlJc w:val="left"/>
      <w:pPr>
        <w:ind w:left="7442" w:hanging="528"/>
      </w:pPr>
      <w:rPr>
        <w:rFonts w:hint="default"/>
        <w:lang w:val="en-US" w:eastAsia="zh-CN" w:bidi="ar-SA"/>
      </w:rPr>
    </w:lvl>
    <w:lvl w:ilvl="8">
      <w:start w:val="0"/>
      <w:numFmt w:val="bullet"/>
      <w:lvlText w:val="•"/>
      <w:lvlJc w:val="left"/>
      <w:pPr>
        <w:ind w:left="8354" w:hanging="528"/>
      </w:pPr>
      <w:rPr>
        <w:rFonts w:hint="default"/>
        <w:lang w:val="en-US" w:eastAsia="zh-CN" w:bidi="ar-SA"/>
      </w:rPr>
    </w:lvl>
  </w:abstractNum>
  <w:abstractNum w:abstractNumId="1">
    <w:nsid w:val="02413833"/>
    <w:multiLevelType w:val="hybridMultilevel"/>
    <w:tmpl w:val="00000000"/>
    <w:lvl w:ilvl="0">
      <w:start w:val="1"/>
      <w:numFmt w:val="decimal"/>
      <w:lvlText w:val="%1."/>
      <w:lvlJc w:val="left"/>
      <w:pPr>
        <w:ind w:left="1029" w:hanging="315"/>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68" w:hanging="315"/>
      </w:pPr>
      <w:rPr>
        <w:rFonts w:hint="default"/>
        <w:lang w:val="en-US" w:eastAsia="zh-CN" w:bidi="ar-SA"/>
      </w:rPr>
    </w:lvl>
    <w:lvl w:ilvl="2">
      <w:start w:val="0"/>
      <w:numFmt w:val="bullet"/>
      <w:lvlText w:val="•"/>
      <w:lvlJc w:val="left"/>
      <w:pPr>
        <w:ind w:left="2917" w:hanging="315"/>
      </w:pPr>
      <w:rPr>
        <w:rFonts w:hint="default"/>
        <w:lang w:val="en-US" w:eastAsia="zh-CN" w:bidi="ar-SA"/>
      </w:rPr>
    </w:lvl>
    <w:lvl w:ilvl="3">
      <w:start w:val="0"/>
      <w:numFmt w:val="bullet"/>
      <w:lvlText w:val="•"/>
      <w:lvlJc w:val="left"/>
      <w:pPr>
        <w:ind w:left="3865" w:hanging="315"/>
      </w:pPr>
      <w:rPr>
        <w:rFonts w:hint="default"/>
        <w:lang w:val="en-US" w:eastAsia="zh-CN" w:bidi="ar-SA"/>
      </w:rPr>
    </w:lvl>
    <w:lvl w:ilvl="4">
      <w:start w:val="0"/>
      <w:numFmt w:val="bullet"/>
      <w:lvlText w:val="•"/>
      <w:lvlJc w:val="left"/>
      <w:pPr>
        <w:ind w:left="4814" w:hanging="315"/>
      </w:pPr>
      <w:rPr>
        <w:rFonts w:hint="default"/>
        <w:lang w:val="en-US" w:eastAsia="zh-CN" w:bidi="ar-SA"/>
      </w:rPr>
    </w:lvl>
    <w:lvl w:ilvl="5">
      <w:start w:val="0"/>
      <w:numFmt w:val="bullet"/>
      <w:lvlText w:val="•"/>
      <w:lvlJc w:val="left"/>
      <w:pPr>
        <w:ind w:left="5763" w:hanging="315"/>
      </w:pPr>
      <w:rPr>
        <w:rFonts w:hint="default"/>
        <w:lang w:val="en-US" w:eastAsia="zh-CN" w:bidi="ar-SA"/>
      </w:rPr>
    </w:lvl>
    <w:lvl w:ilvl="6">
      <w:start w:val="0"/>
      <w:numFmt w:val="bullet"/>
      <w:lvlText w:val="•"/>
      <w:lvlJc w:val="left"/>
      <w:pPr>
        <w:ind w:left="6711" w:hanging="315"/>
      </w:pPr>
      <w:rPr>
        <w:rFonts w:hint="default"/>
        <w:lang w:val="en-US" w:eastAsia="zh-CN" w:bidi="ar-SA"/>
      </w:rPr>
    </w:lvl>
    <w:lvl w:ilvl="7">
      <w:start w:val="0"/>
      <w:numFmt w:val="bullet"/>
      <w:lvlText w:val="•"/>
      <w:lvlJc w:val="left"/>
      <w:pPr>
        <w:ind w:left="7660" w:hanging="315"/>
      </w:pPr>
      <w:rPr>
        <w:rFonts w:hint="default"/>
        <w:lang w:val="en-US" w:eastAsia="zh-CN" w:bidi="ar-SA"/>
      </w:rPr>
    </w:lvl>
    <w:lvl w:ilvl="8">
      <w:start w:val="0"/>
      <w:numFmt w:val="bullet"/>
      <w:lvlText w:val="•"/>
      <w:lvlJc w:val="left"/>
      <w:pPr>
        <w:ind w:left="8608" w:hanging="315"/>
      </w:pPr>
      <w:rPr>
        <w:rFonts w:hint="default"/>
        <w:lang w:val="en-US" w:eastAsia="zh-CN" w:bidi="ar-SA"/>
      </w:rPr>
    </w:lvl>
  </w:abstractNum>
  <w:abstractNum w:abstractNumId="2">
    <w:nsid w:val="05B64EE0"/>
    <w:multiLevelType w:val="hybridMultilevel"/>
    <w:tmpl w:val="00000000"/>
    <w:lvl w:ilvl="0">
      <w:start w:val="1"/>
      <w:numFmt w:val="decimal"/>
      <w:lvlText w:val="（%1）"/>
      <w:lvlJc w:val="left"/>
      <w:pPr>
        <w:ind w:left="1055" w:hanging="528"/>
        <w:jc w:val="right"/>
      </w:pPr>
      <w:rPr>
        <w:rFonts w:ascii="宋体" w:eastAsia="宋体" w:hAnsi="宋体" w:cs="宋体" w:hint="default"/>
        <w:b w:val="0"/>
        <w:bCs w:val="0"/>
        <w:i w:val="0"/>
        <w:iCs w:val="0"/>
        <w:spacing w:val="0"/>
        <w:w w:val="100"/>
        <w:sz w:val="19"/>
        <w:szCs w:val="19"/>
        <w:lang w:val="en-US" w:eastAsia="zh-CN" w:bidi="ar-SA"/>
      </w:rPr>
    </w:lvl>
    <w:lvl w:ilvl="1">
      <w:start w:val="0"/>
      <w:numFmt w:val="bullet"/>
      <w:lvlText w:val="•"/>
      <w:lvlJc w:val="left"/>
      <w:pPr>
        <w:ind w:left="1971" w:hanging="528"/>
      </w:pPr>
      <w:rPr>
        <w:rFonts w:hint="default"/>
        <w:lang w:val="en-US" w:eastAsia="zh-CN" w:bidi="ar-SA"/>
      </w:rPr>
    </w:lvl>
    <w:lvl w:ilvl="2">
      <w:start w:val="0"/>
      <w:numFmt w:val="bullet"/>
      <w:lvlText w:val="•"/>
      <w:lvlJc w:val="left"/>
      <w:pPr>
        <w:ind w:left="2883" w:hanging="528"/>
      </w:pPr>
      <w:rPr>
        <w:rFonts w:hint="default"/>
        <w:lang w:val="en-US" w:eastAsia="zh-CN" w:bidi="ar-SA"/>
      </w:rPr>
    </w:lvl>
    <w:lvl w:ilvl="3">
      <w:start w:val="0"/>
      <w:numFmt w:val="bullet"/>
      <w:lvlText w:val="•"/>
      <w:lvlJc w:val="left"/>
      <w:pPr>
        <w:ind w:left="3795" w:hanging="528"/>
      </w:pPr>
      <w:rPr>
        <w:rFonts w:hint="default"/>
        <w:lang w:val="en-US" w:eastAsia="zh-CN" w:bidi="ar-SA"/>
      </w:rPr>
    </w:lvl>
    <w:lvl w:ilvl="4">
      <w:start w:val="0"/>
      <w:numFmt w:val="bullet"/>
      <w:lvlText w:val="•"/>
      <w:lvlJc w:val="left"/>
      <w:pPr>
        <w:ind w:left="4707" w:hanging="528"/>
      </w:pPr>
      <w:rPr>
        <w:rFonts w:hint="default"/>
        <w:lang w:val="en-US" w:eastAsia="zh-CN" w:bidi="ar-SA"/>
      </w:rPr>
    </w:lvl>
    <w:lvl w:ilvl="5">
      <w:start w:val="0"/>
      <w:numFmt w:val="bullet"/>
      <w:lvlText w:val="•"/>
      <w:lvlJc w:val="left"/>
      <w:pPr>
        <w:ind w:left="5619" w:hanging="528"/>
      </w:pPr>
      <w:rPr>
        <w:rFonts w:hint="default"/>
        <w:lang w:val="en-US" w:eastAsia="zh-CN" w:bidi="ar-SA"/>
      </w:rPr>
    </w:lvl>
    <w:lvl w:ilvl="6">
      <w:start w:val="0"/>
      <w:numFmt w:val="bullet"/>
      <w:lvlText w:val="•"/>
      <w:lvlJc w:val="left"/>
      <w:pPr>
        <w:ind w:left="6530" w:hanging="528"/>
      </w:pPr>
      <w:rPr>
        <w:rFonts w:hint="default"/>
        <w:lang w:val="en-US" w:eastAsia="zh-CN" w:bidi="ar-SA"/>
      </w:rPr>
    </w:lvl>
    <w:lvl w:ilvl="7">
      <w:start w:val="0"/>
      <w:numFmt w:val="bullet"/>
      <w:lvlText w:val="•"/>
      <w:lvlJc w:val="left"/>
      <w:pPr>
        <w:ind w:left="7442" w:hanging="528"/>
      </w:pPr>
      <w:rPr>
        <w:rFonts w:hint="default"/>
        <w:lang w:val="en-US" w:eastAsia="zh-CN" w:bidi="ar-SA"/>
      </w:rPr>
    </w:lvl>
    <w:lvl w:ilvl="8">
      <w:start w:val="0"/>
      <w:numFmt w:val="bullet"/>
      <w:lvlText w:val="•"/>
      <w:lvlJc w:val="left"/>
      <w:pPr>
        <w:ind w:left="8354" w:hanging="528"/>
      </w:pPr>
      <w:rPr>
        <w:rFonts w:hint="default"/>
        <w:lang w:val="en-US" w:eastAsia="zh-CN" w:bidi="ar-SA"/>
      </w:rPr>
    </w:lvl>
  </w:abstractNum>
  <w:abstractNum w:abstractNumId="3">
    <w:nsid w:val="067C419D"/>
    <w:multiLevelType w:val="hybridMultilevel"/>
    <w:tmpl w:val="00000000"/>
    <w:lvl w:ilvl="0">
      <w:start w:val="1"/>
      <w:numFmt w:val="lowerLetter"/>
      <w:lvlText w:val="%1."/>
      <w:lvlJc w:val="left"/>
      <w:pPr>
        <w:ind w:left="294" w:hanging="222"/>
        <w:jc w:val="left"/>
      </w:pPr>
      <w:rPr>
        <w:rFonts w:hint="default"/>
        <w:spacing w:val="5"/>
        <w:w w:val="89"/>
        <w:lang w:val="en-US" w:eastAsia="zh-CN" w:bidi="ar-SA"/>
      </w:rPr>
    </w:lvl>
    <w:lvl w:ilvl="1">
      <w:start w:val="0"/>
      <w:numFmt w:val="bullet"/>
      <w:lvlText w:val="•"/>
      <w:lvlJc w:val="left"/>
      <w:pPr>
        <w:ind w:left="1320" w:hanging="222"/>
      </w:pPr>
      <w:rPr>
        <w:rFonts w:hint="default"/>
        <w:lang w:val="en-US" w:eastAsia="zh-CN" w:bidi="ar-SA"/>
      </w:rPr>
    </w:lvl>
    <w:lvl w:ilvl="2">
      <w:start w:val="0"/>
      <w:numFmt w:val="bullet"/>
      <w:lvlText w:val="•"/>
      <w:lvlJc w:val="left"/>
      <w:pPr>
        <w:ind w:left="2341" w:hanging="222"/>
      </w:pPr>
      <w:rPr>
        <w:rFonts w:hint="default"/>
        <w:lang w:val="en-US" w:eastAsia="zh-CN" w:bidi="ar-SA"/>
      </w:rPr>
    </w:lvl>
    <w:lvl w:ilvl="3">
      <w:start w:val="0"/>
      <w:numFmt w:val="bullet"/>
      <w:lvlText w:val="•"/>
      <w:lvlJc w:val="left"/>
      <w:pPr>
        <w:ind w:left="3361" w:hanging="222"/>
      </w:pPr>
      <w:rPr>
        <w:rFonts w:hint="default"/>
        <w:lang w:val="en-US" w:eastAsia="zh-CN" w:bidi="ar-SA"/>
      </w:rPr>
    </w:lvl>
    <w:lvl w:ilvl="4">
      <w:start w:val="0"/>
      <w:numFmt w:val="bullet"/>
      <w:lvlText w:val="•"/>
      <w:lvlJc w:val="left"/>
      <w:pPr>
        <w:ind w:left="4382" w:hanging="222"/>
      </w:pPr>
      <w:rPr>
        <w:rFonts w:hint="default"/>
        <w:lang w:val="en-US" w:eastAsia="zh-CN" w:bidi="ar-SA"/>
      </w:rPr>
    </w:lvl>
    <w:lvl w:ilvl="5">
      <w:start w:val="0"/>
      <w:numFmt w:val="bullet"/>
      <w:lvlText w:val="•"/>
      <w:lvlJc w:val="left"/>
      <w:pPr>
        <w:ind w:left="5403" w:hanging="222"/>
      </w:pPr>
      <w:rPr>
        <w:rFonts w:hint="default"/>
        <w:lang w:val="en-US" w:eastAsia="zh-CN" w:bidi="ar-SA"/>
      </w:rPr>
    </w:lvl>
    <w:lvl w:ilvl="6">
      <w:start w:val="0"/>
      <w:numFmt w:val="bullet"/>
      <w:lvlText w:val="•"/>
      <w:lvlJc w:val="left"/>
      <w:pPr>
        <w:ind w:left="6423" w:hanging="222"/>
      </w:pPr>
      <w:rPr>
        <w:rFonts w:hint="default"/>
        <w:lang w:val="en-US" w:eastAsia="zh-CN" w:bidi="ar-SA"/>
      </w:rPr>
    </w:lvl>
    <w:lvl w:ilvl="7">
      <w:start w:val="0"/>
      <w:numFmt w:val="bullet"/>
      <w:lvlText w:val="•"/>
      <w:lvlJc w:val="left"/>
      <w:pPr>
        <w:ind w:left="7444" w:hanging="222"/>
      </w:pPr>
      <w:rPr>
        <w:rFonts w:hint="default"/>
        <w:lang w:val="en-US" w:eastAsia="zh-CN" w:bidi="ar-SA"/>
      </w:rPr>
    </w:lvl>
    <w:lvl w:ilvl="8">
      <w:start w:val="0"/>
      <w:numFmt w:val="bullet"/>
      <w:lvlText w:val="•"/>
      <w:lvlJc w:val="left"/>
      <w:pPr>
        <w:ind w:left="8464" w:hanging="222"/>
      </w:pPr>
      <w:rPr>
        <w:rFonts w:hint="default"/>
        <w:lang w:val="en-US" w:eastAsia="zh-CN" w:bidi="ar-SA"/>
      </w:rPr>
    </w:lvl>
  </w:abstractNum>
  <w:abstractNum w:abstractNumId="4">
    <w:nsid w:val="09D696B2"/>
    <w:multiLevelType w:val="hybridMultilevel"/>
    <w:tmpl w:val="00000000"/>
    <w:lvl w:ilvl="0">
      <w:start w:val="1"/>
      <w:numFmt w:val="decimal"/>
      <w:lvlText w:val="%1."/>
      <w:lvlJc w:val="left"/>
      <w:pPr>
        <w:ind w:left="925" w:hanging="211"/>
        <w:jc w:val="right"/>
      </w:pPr>
      <w:rPr>
        <w:rFonts w:hint="default"/>
        <w:w w:val="93"/>
        <w:lang w:val="en-US" w:eastAsia="zh-CN" w:bidi="ar-SA"/>
      </w:rPr>
    </w:lvl>
    <w:lvl w:ilvl="1">
      <w:start w:val="1"/>
      <w:numFmt w:val="decimal"/>
      <w:lvlText w:val="%1.%2"/>
      <w:lvlJc w:val="left"/>
      <w:pPr>
        <w:ind w:left="294" w:hanging="473"/>
        <w:jc w:val="left"/>
      </w:pPr>
      <w:rPr>
        <w:rFonts w:hint="default"/>
        <w:w w:val="100"/>
        <w:lang w:val="en-US" w:eastAsia="zh-CN" w:bidi="ar-SA"/>
      </w:rPr>
    </w:lvl>
    <w:lvl w:ilvl="2">
      <w:start w:val="1"/>
      <w:numFmt w:val="decimal"/>
      <w:lvlText w:val="%1.%2.%3"/>
      <w:lvlJc w:val="left"/>
      <w:pPr>
        <w:ind w:left="294" w:hanging="473"/>
        <w:jc w:val="left"/>
      </w:pPr>
      <w:rPr>
        <w:rFonts w:ascii="宋体" w:eastAsia="宋体" w:hAnsi="宋体" w:cs="宋体" w:hint="default"/>
        <w:b w:val="0"/>
        <w:bCs w:val="0"/>
        <w:i w:val="0"/>
        <w:iCs w:val="0"/>
        <w:w w:val="100"/>
        <w:sz w:val="21"/>
        <w:szCs w:val="21"/>
        <w:lang w:val="en-US" w:eastAsia="zh-CN" w:bidi="ar-SA"/>
      </w:rPr>
    </w:lvl>
    <w:lvl w:ilvl="3">
      <w:start w:val="0"/>
      <w:numFmt w:val="bullet"/>
      <w:lvlText w:val="•"/>
      <w:lvlJc w:val="left"/>
      <w:pPr>
        <w:ind w:left="1140" w:hanging="473"/>
      </w:pPr>
      <w:rPr>
        <w:rFonts w:hint="default"/>
        <w:lang w:val="en-US" w:eastAsia="zh-CN" w:bidi="ar-SA"/>
      </w:rPr>
    </w:lvl>
    <w:lvl w:ilvl="4">
      <w:start w:val="0"/>
      <w:numFmt w:val="bullet"/>
      <w:lvlText w:val="•"/>
      <w:lvlJc w:val="left"/>
      <w:pPr>
        <w:ind w:left="1160" w:hanging="473"/>
      </w:pPr>
      <w:rPr>
        <w:rFonts w:hint="default"/>
        <w:lang w:val="en-US" w:eastAsia="zh-CN" w:bidi="ar-SA"/>
      </w:rPr>
    </w:lvl>
    <w:lvl w:ilvl="5">
      <w:start w:val="0"/>
      <w:numFmt w:val="bullet"/>
      <w:lvlText w:val="•"/>
      <w:lvlJc w:val="left"/>
      <w:pPr>
        <w:ind w:left="1180" w:hanging="473"/>
      </w:pPr>
      <w:rPr>
        <w:rFonts w:hint="default"/>
        <w:lang w:val="en-US" w:eastAsia="zh-CN" w:bidi="ar-SA"/>
      </w:rPr>
    </w:lvl>
    <w:lvl w:ilvl="6">
      <w:start w:val="0"/>
      <w:numFmt w:val="bullet"/>
      <w:lvlText w:val="•"/>
      <w:lvlJc w:val="left"/>
      <w:pPr>
        <w:ind w:left="1300" w:hanging="473"/>
      </w:pPr>
      <w:rPr>
        <w:rFonts w:hint="default"/>
        <w:lang w:val="en-US" w:eastAsia="zh-CN" w:bidi="ar-SA"/>
      </w:rPr>
    </w:lvl>
    <w:lvl w:ilvl="7">
      <w:start w:val="0"/>
      <w:numFmt w:val="bullet"/>
      <w:lvlText w:val="•"/>
      <w:lvlJc w:val="left"/>
      <w:pPr>
        <w:ind w:left="1400" w:hanging="473"/>
      </w:pPr>
      <w:rPr>
        <w:rFonts w:hint="default"/>
        <w:lang w:val="en-US" w:eastAsia="zh-CN" w:bidi="ar-SA"/>
      </w:rPr>
    </w:lvl>
    <w:lvl w:ilvl="8">
      <w:start w:val="0"/>
      <w:numFmt w:val="bullet"/>
      <w:lvlText w:val="•"/>
      <w:lvlJc w:val="left"/>
      <w:pPr>
        <w:ind w:left="4435" w:hanging="473"/>
      </w:pPr>
      <w:rPr>
        <w:rFonts w:hint="default"/>
        <w:lang w:val="en-US" w:eastAsia="zh-CN" w:bidi="ar-SA"/>
      </w:rPr>
    </w:lvl>
  </w:abstractNum>
  <w:abstractNum w:abstractNumId="5">
    <w:nsid w:val="0B71EDD1"/>
    <w:multiLevelType w:val="hybridMultilevel"/>
    <w:tmpl w:val="00000000"/>
    <w:lvl w:ilvl="0">
      <w:start w:val="1"/>
      <w:numFmt w:val="lowerLetter"/>
      <w:lvlText w:val="%1."/>
      <w:lvlJc w:val="left"/>
      <w:pPr>
        <w:ind w:left="934" w:hanging="221"/>
        <w:jc w:val="left"/>
      </w:pPr>
      <w:rPr>
        <w:rFonts w:ascii="宋体" w:eastAsia="宋体" w:hAnsi="宋体" w:cs="宋体" w:hint="default"/>
        <w:b w:val="0"/>
        <w:bCs w:val="0"/>
        <w:i w:val="0"/>
        <w:iCs w:val="0"/>
        <w:spacing w:val="5"/>
        <w:w w:val="100"/>
        <w:sz w:val="19"/>
        <w:szCs w:val="19"/>
        <w:lang w:val="en-US" w:eastAsia="zh-CN" w:bidi="ar-SA"/>
      </w:rPr>
    </w:lvl>
    <w:lvl w:ilvl="1">
      <w:start w:val="0"/>
      <w:numFmt w:val="bullet"/>
      <w:lvlText w:val="•"/>
      <w:lvlJc w:val="left"/>
      <w:pPr>
        <w:ind w:left="1896" w:hanging="221"/>
      </w:pPr>
      <w:rPr>
        <w:rFonts w:hint="default"/>
        <w:lang w:val="en-US" w:eastAsia="zh-CN" w:bidi="ar-SA"/>
      </w:rPr>
    </w:lvl>
    <w:lvl w:ilvl="2">
      <w:start w:val="0"/>
      <w:numFmt w:val="bullet"/>
      <w:lvlText w:val="•"/>
      <w:lvlJc w:val="left"/>
      <w:pPr>
        <w:ind w:left="2853" w:hanging="221"/>
      </w:pPr>
      <w:rPr>
        <w:rFonts w:hint="default"/>
        <w:lang w:val="en-US" w:eastAsia="zh-CN" w:bidi="ar-SA"/>
      </w:rPr>
    </w:lvl>
    <w:lvl w:ilvl="3">
      <w:start w:val="0"/>
      <w:numFmt w:val="bullet"/>
      <w:lvlText w:val="•"/>
      <w:lvlJc w:val="left"/>
      <w:pPr>
        <w:ind w:left="3809" w:hanging="221"/>
      </w:pPr>
      <w:rPr>
        <w:rFonts w:hint="default"/>
        <w:lang w:val="en-US" w:eastAsia="zh-CN" w:bidi="ar-SA"/>
      </w:rPr>
    </w:lvl>
    <w:lvl w:ilvl="4">
      <w:start w:val="0"/>
      <w:numFmt w:val="bullet"/>
      <w:lvlText w:val="•"/>
      <w:lvlJc w:val="left"/>
      <w:pPr>
        <w:ind w:left="4766" w:hanging="221"/>
      </w:pPr>
      <w:rPr>
        <w:rFonts w:hint="default"/>
        <w:lang w:val="en-US" w:eastAsia="zh-CN" w:bidi="ar-SA"/>
      </w:rPr>
    </w:lvl>
    <w:lvl w:ilvl="5">
      <w:start w:val="0"/>
      <w:numFmt w:val="bullet"/>
      <w:lvlText w:val="•"/>
      <w:lvlJc w:val="left"/>
      <w:pPr>
        <w:ind w:left="5723" w:hanging="221"/>
      </w:pPr>
      <w:rPr>
        <w:rFonts w:hint="default"/>
        <w:lang w:val="en-US" w:eastAsia="zh-CN" w:bidi="ar-SA"/>
      </w:rPr>
    </w:lvl>
    <w:lvl w:ilvl="6">
      <w:start w:val="0"/>
      <w:numFmt w:val="bullet"/>
      <w:lvlText w:val="•"/>
      <w:lvlJc w:val="left"/>
      <w:pPr>
        <w:ind w:left="6679" w:hanging="221"/>
      </w:pPr>
      <w:rPr>
        <w:rFonts w:hint="default"/>
        <w:lang w:val="en-US" w:eastAsia="zh-CN" w:bidi="ar-SA"/>
      </w:rPr>
    </w:lvl>
    <w:lvl w:ilvl="7">
      <w:start w:val="0"/>
      <w:numFmt w:val="bullet"/>
      <w:lvlText w:val="•"/>
      <w:lvlJc w:val="left"/>
      <w:pPr>
        <w:ind w:left="7636" w:hanging="221"/>
      </w:pPr>
      <w:rPr>
        <w:rFonts w:hint="default"/>
        <w:lang w:val="en-US" w:eastAsia="zh-CN" w:bidi="ar-SA"/>
      </w:rPr>
    </w:lvl>
    <w:lvl w:ilvl="8">
      <w:start w:val="0"/>
      <w:numFmt w:val="bullet"/>
      <w:lvlText w:val="•"/>
      <w:lvlJc w:val="left"/>
      <w:pPr>
        <w:ind w:left="8592" w:hanging="221"/>
      </w:pPr>
      <w:rPr>
        <w:rFonts w:hint="default"/>
        <w:lang w:val="en-US" w:eastAsia="zh-CN" w:bidi="ar-SA"/>
      </w:rPr>
    </w:lvl>
  </w:abstractNum>
  <w:abstractNum w:abstractNumId="6">
    <w:nsid w:val="0C8C1F1C"/>
    <w:multiLevelType w:val="hybridMultilevel"/>
    <w:tmpl w:val="00000000"/>
    <w:lvl w:ilvl="0">
      <w:start w:val="16"/>
      <w:numFmt w:val="decimal"/>
      <w:lvlText w:val="%1"/>
      <w:lvlJc w:val="left"/>
      <w:pPr>
        <w:ind w:left="1186" w:hanging="473"/>
        <w:jc w:val="left"/>
      </w:pPr>
      <w:rPr>
        <w:rFonts w:hint="default"/>
        <w:lang w:val="en-US" w:eastAsia="zh-CN" w:bidi="ar-SA"/>
      </w:rPr>
    </w:lvl>
    <w:lvl w:ilvl="1">
      <w:start w:val="1"/>
      <w:numFmt w:val="decimal"/>
      <w:lvlText w:val="%1.%2"/>
      <w:lvlJc w:val="left"/>
      <w:pPr>
        <w:ind w:left="1186" w:hanging="473"/>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3045" w:hanging="473"/>
      </w:pPr>
      <w:rPr>
        <w:rFonts w:hint="default"/>
        <w:lang w:val="en-US" w:eastAsia="zh-CN" w:bidi="ar-SA"/>
      </w:rPr>
    </w:lvl>
    <w:lvl w:ilvl="3">
      <w:start w:val="0"/>
      <w:numFmt w:val="bullet"/>
      <w:lvlText w:val="•"/>
      <w:lvlJc w:val="left"/>
      <w:pPr>
        <w:ind w:left="3977" w:hanging="473"/>
      </w:pPr>
      <w:rPr>
        <w:rFonts w:hint="default"/>
        <w:lang w:val="en-US" w:eastAsia="zh-CN" w:bidi="ar-SA"/>
      </w:rPr>
    </w:lvl>
    <w:lvl w:ilvl="4">
      <w:start w:val="0"/>
      <w:numFmt w:val="bullet"/>
      <w:lvlText w:val="•"/>
      <w:lvlJc w:val="left"/>
      <w:pPr>
        <w:ind w:left="4910" w:hanging="473"/>
      </w:pPr>
      <w:rPr>
        <w:rFonts w:hint="default"/>
        <w:lang w:val="en-US" w:eastAsia="zh-CN" w:bidi="ar-SA"/>
      </w:rPr>
    </w:lvl>
    <w:lvl w:ilvl="5">
      <w:start w:val="0"/>
      <w:numFmt w:val="bullet"/>
      <w:lvlText w:val="•"/>
      <w:lvlJc w:val="left"/>
      <w:pPr>
        <w:ind w:left="5843" w:hanging="473"/>
      </w:pPr>
      <w:rPr>
        <w:rFonts w:hint="default"/>
        <w:lang w:val="en-US" w:eastAsia="zh-CN" w:bidi="ar-SA"/>
      </w:rPr>
    </w:lvl>
    <w:lvl w:ilvl="6">
      <w:start w:val="0"/>
      <w:numFmt w:val="bullet"/>
      <w:lvlText w:val="•"/>
      <w:lvlJc w:val="left"/>
      <w:pPr>
        <w:ind w:left="6775" w:hanging="473"/>
      </w:pPr>
      <w:rPr>
        <w:rFonts w:hint="default"/>
        <w:lang w:val="en-US" w:eastAsia="zh-CN" w:bidi="ar-SA"/>
      </w:rPr>
    </w:lvl>
    <w:lvl w:ilvl="7">
      <w:start w:val="0"/>
      <w:numFmt w:val="bullet"/>
      <w:lvlText w:val="•"/>
      <w:lvlJc w:val="left"/>
      <w:pPr>
        <w:ind w:left="7708" w:hanging="473"/>
      </w:pPr>
      <w:rPr>
        <w:rFonts w:hint="default"/>
        <w:lang w:val="en-US" w:eastAsia="zh-CN" w:bidi="ar-SA"/>
      </w:rPr>
    </w:lvl>
    <w:lvl w:ilvl="8">
      <w:start w:val="0"/>
      <w:numFmt w:val="bullet"/>
      <w:lvlText w:val="•"/>
      <w:lvlJc w:val="left"/>
      <w:pPr>
        <w:ind w:left="8640" w:hanging="473"/>
      </w:pPr>
      <w:rPr>
        <w:rFonts w:hint="default"/>
        <w:lang w:val="en-US" w:eastAsia="zh-CN" w:bidi="ar-SA"/>
      </w:rPr>
    </w:lvl>
  </w:abstractNum>
  <w:abstractNum w:abstractNumId="7">
    <w:nsid w:val="0EAB7B52"/>
    <w:multiLevelType w:val="hybridMultilevel"/>
    <w:tmpl w:val="00000000"/>
    <w:lvl w:ilvl="0">
      <w:start w:val="1"/>
      <w:numFmt w:val="decimal"/>
      <w:lvlText w:val="%1."/>
      <w:lvlJc w:val="left"/>
      <w:pPr>
        <w:ind w:left="216" w:hanging="211"/>
        <w:jc w:val="left"/>
      </w:pPr>
      <w:rPr>
        <w:rFonts w:ascii="宋体" w:eastAsia="宋体" w:hAnsi="宋体" w:cs="宋体" w:hint="default"/>
        <w:b w:val="0"/>
        <w:bCs w:val="0"/>
        <w:i w:val="0"/>
        <w:iCs w:val="0"/>
        <w:color w:val="333333"/>
        <w:w w:val="100"/>
        <w:sz w:val="19"/>
        <w:szCs w:val="19"/>
        <w:lang w:val="en-US" w:eastAsia="zh-CN" w:bidi="ar-SA"/>
      </w:rPr>
    </w:lvl>
    <w:lvl w:ilvl="1">
      <w:start w:val="0"/>
      <w:numFmt w:val="bullet"/>
      <w:lvlText w:val="•"/>
      <w:lvlJc w:val="left"/>
      <w:pPr>
        <w:ind w:left="751" w:hanging="211"/>
      </w:pPr>
      <w:rPr>
        <w:rFonts w:hint="default"/>
        <w:lang w:val="en-US" w:eastAsia="zh-CN" w:bidi="ar-SA"/>
      </w:rPr>
    </w:lvl>
    <w:lvl w:ilvl="2">
      <w:start w:val="0"/>
      <w:numFmt w:val="bullet"/>
      <w:lvlText w:val="•"/>
      <w:lvlJc w:val="left"/>
      <w:pPr>
        <w:ind w:left="1283" w:hanging="211"/>
      </w:pPr>
      <w:rPr>
        <w:rFonts w:hint="default"/>
        <w:lang w:val="en-US" w:eastAsia="zh-CN" w:bidi="ar-SA"/>
      </w:rPr>
    </w:lvl>
    <w:lvl w:ilvl="3">
      <w:start w:val="0"/>
      <w:numFmt w:val="bullet"/>
      <w:lvlText w:val="•"/>
      <w:lvlJc w:val="left"/>
      <w:pPr>
        <w:ind w:left="1815" w:hanging="211"/>
      </w:pPr>
      <w:rPr>
        <w:rFonts w:hint="default"/>
        <w:lang w:val="en-US" w:eastAsia="zh-CN" w:bidi="ar-SA"/>
      </w:rPr>
    </w:lvl>
    <w:lvl w:ilvl="4">
      <w:start w:val="0"/>
      <w:numFmt w:val="bullet"/>
      <w:lvlText w:val="•"/>
      <w:lvlJc w:val="left"/>
      <w:pPr>
        <w:ind w:left="2347" w:hanging="211"/>
      </w:pPr>
      <w:rPr>
        <w:rFonts w:hint="default"/>
        <w:lang w:val="en-US" w:eastAsia="zh-CN" w:bidi="ar-SA"/>
      </w:rPr>
    </w:lvl>
    <w:lvl w:ilvl="5">
      <w:start w:val="0"/>
      <w:numFmt w:val="bullet"/>
      <w:lvlText w:val="•"/>
      <w:lvlJc w:val="left"/>
      <w:pPr>
        <w:ind w:left="2879" w:hanging="211"/>
      </w:pPr>
      <w:rPr>
        <w:rFonts w:hint="default"/>
        <w:lang w:val="en-US" w:eastAsia="zh-CN" w:bidi="ar-SA"/>
      </w:rPr>
    </w:lvl>
    <w:lvl w:ilvl="6">
      <w:start w:val="0"/>
      <w:numFmt w:val="bullet"/>
      <w:lvlText w:val="•"/>
      <w:lvlJc w:val="left"/>
      <w:pPr>
        <w:ind w:left="3411" w:hanging="211"/>
      </w:pPr>
      <w:rPr>
        <w:rFonts w:hint="default"/>
        <w:lang w:val="en-US" w:eastAsia="zh-CN" w:bidi="ar-SA"/>
      </w:rPr>
    </w:lvl>
    <w:lvl w:ilvl="7">
      <w:start w:val="0"/>
      <w:numFmt w:val="bullet"/>
      <w:lvlText w:val="•"/>
      <w:lvlJc w:val="left"/>
      <w:pPr>
        <w:ind w:left="3943" w:hanging="211"/>
      </w:pPr>
      <w:rPr>
        <w:rFonts w:hint="default"/>
        <w:lang w:val="en-US" w:eastAsia="zh-CN" w:bidi="ar-SA"/>
      </w:rPr>
    </w:lvl>
    <w:lvl w:ilvl="8">
      <w:start w:val="0"/>
      <w:numFmt w:val="bullet"/>
      <w:lvlText w:val="•"/>
      <w:lvlJc w:val="left"/>
      <w:pPr>
        <w:ind w:left="4475" w:hanging="211"/>
      </w:pPr>
      <w:rPr>
        <w:rFonts w:hint="default"/>
        <w:lang w:val="en-US" w:eastAsia="zh-CN" w:bidi="ar-SA"/>
      </w:rPr>
    </w:lvl>
  </w:abstractNum>
  <w:abstractNum w:abstractNumId="8">
    <w:nsid w:val="15DD8D12"/>
    <w:multiLevelType w:val="hybridMultilevel"/>
    <w:tmpl w:val="00000000"/>
    <w:lvl w:ilvl="0">
      <w:start w:val="1"/>
      <w:numFmt w:val="decimal"/>
      <w:lvlText w:val="%1."/>
      <w:lvlJc w:val="left"/>
      <w:pPr>
        <w:ind w:left="216"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608" w:hanging="211"/>
      </w:pPr>
      <w:rPr>
        <w:rFonts w:hint="default"/>
        <w:lang w:val="en-US" w:eastAsia="zh-CN" w:bidi="ar-SA"/>
      </w:rPr>
    </w:lvl>
    <w:lvl w:ilvl="2">
      <w:start w:val="0"/>
      <w:numFmt w:val="bullet"/>
      <w:lvlText w:val="•"/>
      <w:lvlJc w:val="left"/>
      <w:pPr>
        <w:ind w:left="996" w:hanging="211"/>
      </w:pPr>
      <w:rPr>
        <w:rFonts w:hint="default"/>
        <w:lang w:val="en-US" w:eastAsia="zh-CN" w:bidi="ar-SA"/>
      </w:rPr>
    </w:lvl>
    <w:lvl w:ilvl="3">
      <w:start w:val="0"/>
      <w:numFmt w:val="bullet"/>
      <w:lvlText w:val="•"/>
      <w:lvlJc w:val="left"/>
      <w:pPr>
        <w:ind w:left="1385" w:hanging="211"/>
      </w:pPr>
      <w:rPr>
        <w:rFonts w:hint="default"/>
        <w:lang w:val="en-US" w:eastAsia="zh-CN" w:bidi="ar-SA"/>
      </w:rPr>
    </w:lvl>
    <w:lvl w:ilvl="4">
      <w:start w:val="0"/>
      <w:numFmt w:val="bullet"/>
      <w:lvlText w:val="•"/>
      <w:lvlJc w:val="left"/>
      <w:pPr>
        <w:ind w:left="1773" w:hanging="211"/>
      </w:pPr>
      <w:rPr>
        <w:rFonts w:hint="default"/>
        <w:lang w:val="en-US" w:eastAsia="zh-CN" w:bidi="ar-SA"/>
      </w:rPr>
    </w:lvl>
    <w:lvl w:ilvl="5">
      <w:start w:val="0"/>
      <w:numFmt w:val="bullet"/>
      <w:lvlText w:val="•"/>
      <w:lvlJc w:val="left"/>
      <w:pPr>
        <w:ind w:left="2162" w:hanging="211"/>
      </w:pPr>
      <w:rPr>
        <w:rFonts w:hint="default"/>
        <w:lang w:val="en-US" w:eastAsia="zh-CN" w:bidi="ar-SA"/>
      </w:rPr>
    </w:lvl>
    <w:lvl w:ilvl="6">
      <w:start w:val="0"/>
      <w:numFmt w:val="bullet"/>
      <w:lvlText w:val="•"/>
      <w:lvlJc w:val="left"/>
      <w:pPr>
        <w:ind w:left="2550" w:hanging="211"/>
      </w:pPr>
      <w:rPr>
        <w:rFonts w:hint="default"/>
        <w:lang w:val="en-US" w:eastAsia="zh-CN" w:bidi="ar-SA"/>
      </w:rPr>
    </w:lvl>
    <w:lvl w:ilvl="7">
      <w:start w:val="0"/>
      <w:numFmt w:val="bullet"/>
      <w:lvlText w:val="•"/>
      <w:lvlJc w:val="left"/>
      <w:pPr>
        <w:ind w:left="2938" w:hanging="211"/>
      </w:pPr>
      <w:rPr>
        <w:rFonts w:hint="default"/>
        <w:lang w:val="en-US" w:eastAsia="zh-CN" w:bidi="ar-SA"/>
      </w:rPr>
    </w:lvl>
    <w:lvl w:ilvl="8">
      <w:start w:val="0"/>
      <w:numFmt w:val="bullet"/>
      <w:lvlText w:val="•"/>
      <w:lvlJc w:val="left"/>
      <w:pPr>
        <w:ind w:left="3327" w:hanging="211"/>
      </w:pPr>
      <w:rPr>
        <w:rFonts w:hint="default"/>
        <w:lang w:val="en-US" w:eastAsia="zh-CN" w:bidi="ar-SA"/>
      </w:rPr>
    </w:lvl>
  </w:abstractNum>
  <w:abstractNum w:abstractNumId="9">
    <w:nsid w:val="1819DE94"/>
    <w:multiLevelType w:val="hybridMultilevel"/>
    <w:tmpl w:val="00000000"/>
    <w:lvl w:ilvl="0">
      <w:start w:val="2"/>
      <w:numFmt w:val="decimal"/>
      <w:lvlText w:val="%1"/>
      <w:lvlJc w:val="left"/>
      <w:pPr>
        <w:ind w:left="1030" w:hanging="316"/>
        <w:jc w:val="left"/>
      </w:pPr>
      <w:rPr>
        <w:rFonts w:hint="default"/>
        <w:lang w:val="en-US" w:eastAsia="zh-CN" w:bidi="ar-SA"/>
      </w:rPr>
    </w:lvl>
    <w:lvl w:ilvl="1">
      <w:start w:val="1"/>
      <w:numFmt w:val="decimal"/>
      <w:lvlText w:val="%1.%2"/>
      <w:lvlJc w:val="left"/>
      <w:pPr>
        <w:ind w:left="1030" w:hanging="316"/>
        <w:jc w:val="left"/>
      </w:pPr>
      <w:rPr>
        <w:rFonts w:ascii="宋体" w:eastAsia="宋体" w:hAnsi="宋体" w:cs="宋体" w:hint="default"/>
        <w:b w:val="0"/>
        <w:bCs w:val="0"/>
        <w:i w:val="0"/>
        <w:iCs w:val="0"/>
        <w:w w:val="100"/>
        <w:sz w:val="19"/>
        <w:szCs w:val="19"/>
        <w:lang w:val="en-US" w:eastAsia="zh-CN" w:bidi="ar-SA"/>
      </w:rPr>
    </w:lvl>
    <w:lvl w:ilvl="2">
      <w:start w:val="0"/>
      <w:numFmt w:val="bullet"/>
      <w:lvlText w:val="•"/>
      <w:lvlJc w:val="left"/>
      <w:pPr>
        <w:ind w:left="2933" w:hanging="316"/>
      </w:pPr>
      <w:rPr>
        <w:rFonts w:hint="default"/>
        <w:lang w:val="en-US" w:eastAsia="zh-CN" w:bidi="ar-SA"/>
      </w:rPr>
    </w:lvl>
    <w:lvl w:ilvl="3">
      <w:start w:val="0"/>
      <w:numFmt w:val="bullet"/>
      <w:lvlText w:val="•"/>
      <w:lvlJc w:val="left"/>
      <w:pPr>
        <w:ind w:left="3879" w:hanging="316"/>
      </w:pPr>
      <w:rPr>
        <w:rFonts w:hint="default"/>
        <w:lang w:val="en-US" w:eastAsia="zh-CN" w:bidi="ar-SA"/>
      </w:rPr>
    </w:lvl>
    <w:lvl w:ilvl="4">
      <w:start w:val="0"/>
      <w:numFmt w:val="bullet"/>
      <w:lvlText w:val="•"/>
      <w:lvlJc w:val="left"/>
      <w:pPr>
        <w:ind w:left="4826" w:hanging="316"/>
      </w:pPr>
      <w:rPr>
        <w:rFonts w:hint="default"/>
        <w:lang w:val="en-US" w:eastAsia="zh-CN" w:bidi="ar-SA"/>
      </w:rPr>
    </w:lvl>
    <w:lvl w:ilvl="5">
      <w:start w:val="0"/>
      <w:numFmt w:val="bullet"/>
      <w:lvlText w:val="•"/>
      <w:lvlJc w:val="left"/>
      <w:pPr>
        <w:ind w:left="5773" w:hanging="316"/>
      </w:pPr>
      <w:rPr>
        <w:rFonts w:hint="default"/>
        <w:lang w:val="en-US" w:eastAsia="zh-CN" w:bidi="ar-SA"/>
      </w:rPr>
    </w:lvl>
    <w:lvl w:ilvl="6">
      <w:start w:val="0"/>
      <w:numFmt w:val="bullet"/>
      <w:lvlText w:val="•"/>
      <w:lvlJc w:val="left"/>
      <w:pPr>
        <w:ind w:left="6719" w:hanging="316"/>
      </w:pPr>
      <w:rPr>
        <w:rFonts w:hint="default"/>
        <w:lang w:val="en-US" w:eastAsia="zh-CN" w:bidi="ar-SA"/>
      </w:rPr>
    </w:lvl>
    <w:lvl w:ilvl="7">
      <w:start w:val="0"/>
      <w:numFmt w:val="bullet"/>
      <w:lvlText w:val="•"/>
      <w:lvlJc w:val="left"/>
      <w:pPr>
        <w:ind w:left="7666" w:hanging="316"/>
      </w:pPr>
      <w:rPr>
        <w:rFonts w:hint="default"/>
        <w:lang w:val="en-US" w:eastAsia="zh-CN" w:bidi="ar-SA"/>
      </w:rPr>
    </w:lvl>
    <w:lvl w:ilvl="8">
      <w:start w:val="0"/>
      <w:numFmt w:val="bullet"/>
      <w:lvlText w:val="•"/>
      <w:lvlJc w:val="left"/>
      <w:pPr>
        <w:ind w:left="8612" w:hanging="316"/>
      </w:pPr>
      <w:rPr>
        <w:rFonts w:hint="default"/>
        <w:lang w:val="en-US" w:eastAsia="zh-CN" w:bidi="ar-SA"/>
      </w:rPr>
    </w:lvl>
  </w:abstractNum>
  <w:abstractNum w:abstractNumId="10">
    <w:nsid w:val="1BDCB09A"/>
    <w:multiLevelType w:val="hybridMultilevel"/>
    <w:tmpl w:val="00000000"/>
    <w:lvl w:ilvl="0">
      <w:start w:val="5"/>
      <w:numFmt w:val="decimal"/>
      <w:lvlText w:val="%1"/>
      <w:lvlJc w:val="left"/>
      <w:pPr>
        <w:ind w:left="1119" w:hanging="388"/>
        <w:jc w:val="left"/>
      </w:pPr>
      <w:rPr>
        <w:rFonts w:hint="default"/>
        <w:lang w:val="en-US" w:eastAsia="zh-CN" w:bidi="ar-SA"/>
      </w:rPr>
    </w:lvl>
    <w:lvl w:ilvl="1">
      <w:start w:val="1"/>
      <w:numFmt w:val="decimal"/>
      <w:lvlText w:val="%1.%2"/>
      <w:lvlJc w:val="left"/>
      <w:pPr>
        <w:ind w:left="1119" w:hanging="388"/>
        <w:jc w:val="left"/>
      </w:pPr>
      <w:rPr>
        <w:rFonts w:hint="default"/>
        <w:spacing w:val="0"/>
        <w:w w:val="83"/>
        <w:lang w:val="en-US" w:eastAsia="zh-CN" w:bidi="ar-SA"/>
      </w:rPr>
    </w:lvl>
    <w:lvl w:ilvl="2">
      <w:start w:val="1"/>
      <w:numFmt w:val="decimal"/>
      <w:lvlText w:val="%1.%2.%3"/>
      <w:lvlJc w:val="left"/>
      <w:pPr>
        <w:ind w:left="1266" w:hanging="606"/>
        <w:jc w:val="right"/>
      </w:pPr>
      <w:rPr>
        <w:rFonts w:ascii="宋体" w:eastAsia="宋体" w:hAnsi="宋体" w:cs="宋体" w:hint="default"/>
        <w:b w:val="0"/>
        <w:bCs w:val="0"/>
        <w:i w:val="0"/>
        <w:iCs w:val="0"/>
        <w:spacing w:val="0"/>
        <w:w w:val="100"/>
        <w:sz w:val="21"/>
        <w:szCs w:val="21"/>
        <w:lang w:val="en-US" w:eastAsia="zh-CN" w:bidi="ar-SA"/>
      </w:rPr>
    </w:lvl>
    <w:lvl w:ilvl="3">
      <w:start w:val="0"/>
      <w:numFmt w:val="bullet"/>
      <w:lvlText w:val="•"/>
      <w:lvlJc w:val="left"/>
      <w:pPr>
        <w:ind w:left="2485" w:hanging="606"/>
      </w:pPr>
      <w:rPr>
        <w:rFonts w:hint="default"/>
        <w:lang w:val="en-US" w:eastAsia="zh-CN" w:bidi="ar-SA"/>
      </w:rPr>
    </w:lvl>
    <w:lvl w:ilvl="4">
      <w:start w:val="0"/>
      <w:numFmt w:val="bullet"/>
      <w:lvlText w:val="•"/>
      <w:lvlJc w:val="left"/>
      <w:pPr>
        <w:ind w:left="3631" w:hanging="606"/>
      </w:pPr>
      <w:rPr>
        <w:rFonts w:hint="default"/>
        <w:lang w:val="en-US" w:eastAsia="zh-CN" w:bidi="ar-SA"/>
      </w:rPr>
    </w:lvl>
    <w:lvl w:ilvl="5">
      <w:start w:val="0"/>
      <w:numFmt w:val="bullet"/>
      <w:lvlText w:val="•"/>
      <w:lvlJc w:val="left"/>
      <w:pPr>
        <w:ind w:left="4777" w:hanging="606"/>
      </w:pPr>
      <w:rPr>
        <w:rFonts w:hint="default"/>
        <w:lang w:val="en-US" w:eastAsia="zh-CN" w:bidi="ar-SA"/>
      </w:rPr>
    </w:lvl>
    <w:lvl w:ilvl="6">
      <w:start w:val="0"/>
      <w:numFmt w:val="bullet"/>
      <w:lvlText w:val="•"/>
      <w:lvlJc w:val="left"/>
      <w:pPr>
        <w:ind w:left="5923" w:hanging="606"/>
      </w:pPr>
      <w:rPr>
        <w:rFonts w:hint="default"/>
        <w:lang w:val="en-US" w:eastAsia="zh-CN" w:bidi="ar-SA"/>
      </w:rPr>
    </w:lvl>
    <w:lvl w:ilvl="7">
      <w:start w:val="0"/>
      <w:numFmt w:val="bullet"/>
      <w:lvlText w:val="•"/>
      <w:lvlJc w:val="left"/>
      <w:pPr>
        <w:ind w:left="7068" w:hanging="606"/>
      </w:pPr>
      <w:rPr>
        <w:rFonts w:hint="default"/>
        <w:lang w:val="en-US" w:eastAsia="zh-CN" w:bidi="ar-SA"/>
      </w:rPr>
    </w:lvl>
    <w:lvl w:ilvl="8">
      <w:start w:val="0"/>
      <w:numFmt w:val="bullet"/>
      <w:lvlText w:val="•"/>
      <w:lvlJc w:val="left"/>
      <w:pPr>
        <w:ind w:left="8214" w:hanging="606"/>
      </w:pPr>
      <w:rPr>
        <w:rFonts w:hint="default"/>
        <w:lang w:val="en-US" w:eastAsia="zh-CN" w:bidi="ar-SA"/>
      </w:rPr>
    </w:lvl>
  </w:abstractNum>
  <w:abstractNum w:abstractNumId="11">
    <w:nsid w:val="1E9382C0"/>
    <w:multiLevelType w:val="hybridMultilevel"/>
    <w:tmpl w:val="00000000"/>
    <w:lvl w:ilvl="0">
      <w:start w:val="3"/>
      <w:numFmt w:val="decimal"/>
      <w:lvlText w:val="%1"/>
      <w:lvlJc w:val="left"/>
      <w:pPr>
        <w:ind w:left="1081" w:hanging="368"/>
        <w:jc w:val="left"/>
      </w:pPr>
      <w:rPr>
        <w:rFonts w:hint="default"/>
        <w:lang w:val="en-US" w:eastAsia="zh-CN" w:bidi="ar-SA"/>
      </w:rPr>
    </w:lvl>
    <w:lvl w:ilvl="1">
      <w:start w:val="1"/>
      <w:numFmt w:val="decimal"/>
      <w:lvlText w:val="%1.%2"/>
      <w:lvlJc w:val="left"/>
      <w:pPr>
        <w:ind w:left="1081" w:hanging="368"/>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965" w:hanging="368"/>
      </w:pPr>
      <w:rPr>
        <w:rFonts w:hint="default"/>
        <w:lang w:val="en-US" w:eastAsia="zh-CN" w:bidi="ar-SA"/>
      </w:rPr>
    </w:lvl>
    <w:lvl w:ilvl="3">
      <w:start w:val="0"/>
      <w:numFmt w:val="bullet"/>
      <w:lvlText w:val="•"/>
      <w:lvlJc w:val="left"/>
      <w:pPr>
        <w:ind w:left="3907" w:hanging="368"/>
      </w:pPr>
      <w:rPr>
        <w:rFonts w:hint="default"/>
        <w:lang w:val="en-US" w:eastAsia="zh-CN" w:bidi="ar-SA"/>
      </w:rPr>
    </w:lvl>
    <w:lvl w:ilvl="4">
      <w:start w:val="0"/>
      <w:numFmt w:val="bullet"/>
      <w:lvlText w:val="•"/>
      <w:lvlJc w:val="left"/>
      <w:pPr>
        <w:ind w:left="4850" w:hanging="368"/>
      </w:pPr>
      <w:rPr>
        <w:rFonts w:hint="default"/>
        <w:lang w:val="en-US" w:eastAsia="zh-CN" w:bidi="ar-SA"/>
      </w:rPr>
    </w:lvl>
    <w:lvl w:ilvl="5">
      <w:start w:val="0"/>
      <w:numFmt w:val="bullet"/>
      <w:lvlText w:val="•"/>
      <w:lvlJc w:val="left"/>
      <w:pPr>
        <w:ind w:left="5793" w:hanging="368"/>
      </w:pPr>
      <w:rPr>
        <w:rFonts w:hint="default"/>
        <w:lang w:val="en-US" w:eastAsia="zh-CN" w:bidi="ar-SA"/>
      </w:rPr>
    </w:lvl>
    <w:lvl w:ilvl="6">
      <w:start w:val="0"/>
      <w:numFmt w:val="bullet"/>
      <w:lvlText w:val="•"/>
      <w:lvlJc w:val="left"/>
      <w:pPr>
        <w:ind w:left="6735" w:hanging="368"/>
      </w:pPr>
      <w:rPr>
        <w:rFonts w:hint="default"/>
        <w:lang w:val="en-US" w:eastAsia="zh-CN" w:bidi="ar-SA"/>
      </w:rPr>
    </w:lvl>
    <w:lvl w:ilvl="7">
      <w:start w:val="0"/>
      <w:numFmt w:val="bullet"/>
      <w:lvlText w:val="•"/>
      <w:lvlJc w:val="left"/>
      <w:pPr>
        <w:ind w:left="7678" w:hanging="368"/>
      </w:pPr>
      <w:rPr>
        <w:rFonts w:hint="default"/>
        <w:lang w:val="en-US" w:eastAsia="zh-CN" w:bidi="ar-SA"/>
      </w:rPr>
    </w:lvl>
    <w:lvl w:ilvl="8">
      <w:start w:val="0"/>
      <w:numFmt w:val="bullet"/>
      <w:lvlText w:val="•"/>
      <w:lvlJc w:val="left"/>
      <w:pPr>
        <w:ind w:left="8620" w:hanging="368"/>
      </w:pPr>
      <w:rPr>
        <w:rFonts w:hint="default"/>
        <w:lang w:val="en-US" w:eastAsia="zh-CN" w:bidi="ar-SA"/>
      </w:rPr>
    </w:lvl>
  </w:abstractNum>
  <w:abstractNum w:abstractNumId="12">
    <w:nsid w:val="22037374"/>
    <w:multiLevelType w:val="hybridMultilevel"/>
    <w:tmpl w:val="00000000"/>
    <w:lvl w:ilvl="0">
      <w:start w:val="1"/>
      <w:numFmt w:val="decimal"/>
      <w:lvlText w:val="%1"/>
      <w:lvlJc w:val="left"/>
      <w:pPr>
        <w:ind w:left="1134" w:hanging="420"/>
        <w:jc w:val="left"/>
      </w:pPr>
      <w:rPr>
        <w:rFonts w:hint="default"/>
        <w:lang w:val="en-US" w:eastAsia="zh-CN" w:bidi="ar-SA"/>
      </w:rPr>
    </w:lvl>
    <w:lvl w:ilvl="1">
      <w:start w:val="1"/>
      <w:numFmt w:val="decimal"/>
      <w:lvlText w:val="%1.%2"/>
      <w:lvlJc w:val="left"/>
      <w:pPr>
        <w:ind w:left="1134" w:hanging="42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3013" w:hanging="420"/>
      </w:pPr>
      <w:rPr>
        <w:rFonts w:hint="default"/>
        <w:lang w:val="en-US" w:eastAsia="zh-CN" w:bidi="ar-SA"/>
      </w:rPr>
    </w:lvl>
    <w:lvl w:ilvl="3">
      <w:start w:val="0"/>
      <w:numFmt w:val="bullet"/>
      <w:lvlText w:val="•"/>
      <w:lvlJc w:val="left"/>
      <w:pPr>
        <w:ind w:left="3949" w:hanging="420"/>
      </w:pPr>
      <w:rPr>
        <w:rFonts w:hint="default"/>
        <w:lang w:val="en-US" w:eastAsia="zh-CN" w:bidi="ar-SA"/>
      </w:rPr>
    </w:lvl>
    <w:lvl w:ilvl="4">
      <w:start w:val="0"/>
      <w:numFmt w:val="bullet"/>
      <w:lvlText w:val="•"/>
      <w:lvlJc w:val="left"/>
      <w:pPr>
        <w:ind w:left="4886" w:hanging="420"/>
      </w:pPr>
      <w:rPr>
        <w:rFonts w:hint="default"/>
        <w:lang w:val="en-US" w:eastAsia="zh-CN" w:bidi="ar-SA"/>
      </w:rPr>
    </w:lvl>
    <w:lvl w:ilvl="5">
      <w:start w:val="0"/>
      <w:numFmt w:val="bullet"/>
      <w:lvlText w:val="•"/>
      <w:lvlJc w:val="left"/>
      <w:pPr>
        <w:ind w:left="5823" w:hanging="420"/>
      </w:pPr>
      <w:rPr>
        <w:rFonts w:hint="default"/>
        <w:lang w:val="en-US" w:eastAsia="zh-CN" w:bidi="ar-SA"/>
      </w:rPr>
    </w:lvl>
    <w:lvl w:ilvl="6">
      <w:start w:val="0"/>
      <w:numFmt w:val="bullet"/>
      <w:lvlText w:val="•"/>
      <w:lvlJc w:val="left"/>
      <w:pPr>
        <w:ind w:left="6759" w:hanging="420"/>
      </w:pPr>
      <w:rPr>
        <w:rFonts w:hint="default"/>
        <w:lang w:val="en-US" w:eastAsia="zh-CN" w:bidi="ar-SA"/>
      </w:rPr>
    </w:lvl>
    <w:lvl w:ilvl="7">
      <w:start w:val="0"/>
      <w:numFmt w:val="bullet"/>
      <w:lvlText w:val="•"/>
      <w:lvlJc w:val="left"/>
      <w:pPr>
        <w:ind w:left="7696" w:hanging="420"/>
      </w:pPr>
      <w:rPr>
        <w:rFonts w:hint="default"/>
        <w:lang w:val="en-US" w:eastAsia="zh-CN" w:bidi="ar-SA"/>
      </w:rPr>
    </w:lvl>
    <w:lvl w:ilvl="8">
      <w:start w:val="0"/>
      <w:numFmt w:val="bullet"/>
      <w:lvlText w:val="•"/>
      <w:lvlJc w:val="left"/>
      <w:pPr>
        <w:ind w:left="8632" w:hanging="420"/>
      </w:pPr>
      <w:rPr>
        <w:rFonts w:hint="default"/>
        <w:lang w:val="en-US" w:eastAsia="zh-CN" w:bidi="ar-SA"/>
      </w:rPr>
    </w:lvl>
  </w:abstractNum>
  <w:abstractNum w:abstractNumId="13">
    <w:nsid w:val="2239E3F1"/>
    <w:multiLevelType w:val="hybridMultilevel"/>
    <w:tmpl w:val="00000000"/>
    <w:lvl w:ilvl="0">
      <w:start w:val="1"/>
      <w:numFmt w:val="decimal"/>
      <w:lvlText w:val="%1."/>
      <w:lvlJc w:val="left"/>
      <w:pPr>
        <w:ind w:left="294" w:hanging="211"/>
        <w:jc w:val="left"/>
      </w:pPr>
      <w:rPr>
        <w:rFonts w:ascii="宋体" w:eastAsia="宋体" w:hAnsi="宋体" w:cs="宋体" w:hint="default"/>
        <w:b w:val="0"/>
        <w:bCs w:val="0"/>
        <w:i w:val="0"/>
        <w:iCs w:val="0"/>
        <w:w w:val="100"/>
        <w:sz w:val="19"/>
        <w:szCs w:val="19"/>
        <w:lang w:val="en-US" w:eastAsia="zh-CN" w:bidi="ar-SA"/>
      </w:rPr>
    </w:lvl>
    <w:lvl w:ilvl="1">
      <w:start w:val="1"/>
      <w:numFmt w:val="decimal"/>
      <w:lvlText w:val="%1.%2"/>
      <w:lvlJc w:val="left"/>
      <w:pPr>
        <w:ind w:left="1134" w:hanging="42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180" w:hanging="420"/>
      </w:pPr>
      <w:rPr>
        <w:rFonts w:hint="default"/>
        <w:lang w:val="en-US" w:eastAsia="zh-CN" w:bidi="ar-SA"/>
      </w:rPr>
    </w:lvl>
    <w:lvl w:ilvl="3">
      <w:start w:val="0"/>
      <w:numFmt w:val="bullet"/>
      <w:lvlText w:val="•"/>
      <w:lvlJc w:val="left"/>
      <w:pPr>
        <w:ind w:left="3221" w:hanging="420"/>
      </w:pPr>
      <w:rPr>
        <w:rFonts w:hint="default"/>
        <w:lang w:val="en-US" w:eastAsia="zh-CN" w:bidi="ar-SA"/>
      </w:rPr>
    </w:lvl>
    <w:lvl w:ilvl="4">
      <w:start w:val="0"/>
      <w:numFmt w:val="bullet"/>
      <w:lvlText w:val="•"/>
      <w:lvlJc w:val="left"/>
      <w:pPr>
        <w:ind w:left="4262" w:hanging="420"/>
      </w:pPr>
      <w:rPr>
        <w:rFonts w:hint="default"/>
        <w:lang w:val="en-US" w:eastAsia="zh-CN" w:bidi="ar-SA"/>
      </w:rPr>
    </w:lvl>
    <w:lvl w:ilvl="5">
      <w:start w:val="0"/>
      <w:numFmt w:val="bullet"/>
      <w:lvlText w:val="•"/>
      <w:lvlJc w:val="left"/>
      <w:pPr>
        <w:ind w:left="5302" w:hanging="420"/>
      </w:pPr>
      <w:rPr>
        <w:rFonts w:hint="default"/>
        <w:lang w:val="en-US" w:eastAsia="zh-CN" w:bidi="ar-SA"/>
      </w:rPr>
    </w:lvl>
    <w:lvl w:ilvl="6">
      <w:start w:val="0"/>
      <w:numFmt w:val="bullet"/>
      <w:lvlText w:val="•"/>
      <w:lvlJc w:val="left"/>
      <w:pPr>
        <w:ind w:left="6343" w:hanging="420"/>
      </w:pPr>
      <w:rPr>
        <w:rFonts w:hint="default"/>
        <w:lang w:val="en-US" w:eastAsia="zh-CN" w:bidi="ar-SA"/>
      </w:rPr>
    </w:lvl>
    <w:lvl w:ilvl="7">
      <w:start w:val="0"/>
      <w:numFmt w:val="bullet"/>
      <w:lvlText w:val="•"/>
      <w:lvlJc w:val="left"/>
      <w:pPr>
        <w:ind w:left="7384" w:hanging="420"/>
      </w:pPr>
      <w:rPr>
        <w:rFonts w:hint="default"/>
        <w:lang w:val="en-US" w:eastAsia="zh-CN" w:bidi="ar-SA"/>
      </w:rPr>
    </w:lvl>
    <w:lvl w:ilvl="8">
      <w:start w:val="0"/>
      <w:numFmt w:val="bullet"/>
      <w:lvlText w:val="•"/>
      <w:lvlJc w:val="left"/>
      <w:pPr>
        <w:ind w:left="8424" w:hanging="420"/>
      </w:pPr>
      <w:rPr>
        <w:rFonts w:hint="default"/>
        <w:lang w:val="en-US" w:eastAsia="zh-CN" w:bidi="ar-SA"/>
      </w:rPr>
    </w:lvl>
  </w:abstractNum>
  <w:abstractNum w:abstractNumId="14">
    <w:nsid w:val="228369FF"/>
    <w:multiLevelType w:val="hybridMultilevel"/>
    <w:tmpl w:val="00000000"/>
    <w:lvl w:ilvl="0">
      <w:start w:val="7"/>
      <w:numFmt w:val="decimal"/>
      <w:lvlText w:val="%1"/>
      <w:lvlJc w:val="left"/>
      <w:pPr>
        <w:ind w:left="294" w:hanging="420"/>
        <w:jc w:val="left"/>
      </w:pPr>
      <w:rPr>
        <w:rFonts w:hint="default"/>
        <w:lang w:val="en-US" w:eastAsia="zh-CN" w:bidi="ar-SA"/>
      </w:rPr>
    </w:lvl>
    <w:lvl w:ilvl="1">
      <w:start w:val="1"/>
      <w:numFmt w:val="decimal"/>
      <w:lvlText w:val="%1.%2"/>
      <w:lvlJc w:val="left"/>
      <w:pPr>
        <w:ind w:left="294" w:hanging="420"/>
        <w:jc w:val="left"/>
      </w:pPr>
      <w:rPr>
        <w:rFonts w:hint="default"/>
        <w:w w:val="100"/>
        <w:lang w:val="en-US" w:eastAsia="zh-CN" w:bidi="ar-SA"/>
      </w:rPr>
    </w:lvl>
    <w:lvl w:ilvl="2">
      <w:start w:val="0"/>
      <w:numFmt w:val="bullet"/>
      <w:lvlText w:val="•"/>
      <w:lvlJc w:val="left"/>
      <w:pPr>
        <w:ind w:left="2341" w:hanging="420"/>
      </w:pPr>
      <w:rPr>
        <w:rFonts w:hint="default"/>
        <w:lang w:val="en-US" w:eastAsia="zh-CN" w:bidi="ar-SA"/>
      </w:rPr>
    </w:lvl>
    <w:lvl w:ilvl="3">
      <w:start w:val="0"/>
      <w:numFmt w:val="bullet"/>
      <w:lvlText w:val="•"/>
      <w:lvlJc w:val="left"/>
      <w:pPr>
        <w:ind w:left="3361" w:hanging="420"/>
      </w:pPr>
      <w:rPr>
        <w:rFonts w:hint="default"/>
        <w:lang w:val="en-US" w:eastAsia="zh-CN" w:bidi="ar-SA"/>
      </w:rPr>
    </w:lvl>
    <w:lvl w:ilvl="4">
      <w:start w:val="0"/>
      <w:numFmt w:val="bullet"/>
      <w:lvlText w:val="•"/>
      <w:lvlJc w:val="left"/>
      <w:pPr>
        <w:ind w:left="4382" w:hanging="420"/>
      </w:pPr>
      <w:rPr>
        <w:rFonts w:hint="default"/>
        <w:lang w:val="en-US" w:eastAsia="zh-CN" w:bidi="ar-SA"/>
      </w:rPr>
    </w:lvl>
    <w:lvl w:ilvl="5">
      <w:start w:val="0"/>
      <w:numFmt w:val="bullet"/>
      <w:lvlText w:val="•"/>
      <w:lvlJc w:val="left"/>
      <w:pPr>
        <w:ind w:left="5403" w:hanging="420"/>
      </w:pPr>
      <w:rPr>
        <w:rFonts w:hint="default"/>
        <w:lang w:val="en-US" w:eastAsia="zh-CN" w:bidi="ar-SA"/>
      </w:rPr>
    </w:lvl>
    <w:lvl w:ilvl="6">
      <w:start w:val="0"/>
      <w:numFmt w:val="bullet"/>
      <w:lvlText w:val="•"/>
      <w:lvlJc w:val="left"/>
      <w:pPr>
        <w:ind w:left="6423" w:hanging="420"/>
      </w:pPr>
      <w:rPr>
        <w:rFonts w:hint="default"/>
        <w:lang w:val="en-US" w:eastAsia="zh-CN" w:bidi="ar-SA"/>
      </w:rPr>
    </w:lvl>
    <w:lvl w:ilvl="7">
      <w:start w:val="0"/>
      <w:numFmt w:val="bullet"/>
      <w:lvlText w:val="•"/>
      <w:lvlJc w:val="left"/>
      <w:pPr>
        <w:ind w:left="7444" w:hanging="420"/>
      </w:pPr>
      <w:rPr>
        <w:rFonts w:hint="default"/>
        <w:lang w:val="en-US" w:eastAsia="zh-CN" w:bidi="ar-SA"/>
      </w:rPr>
    </w:lvl>
    <w:lvl w:ilvl="8">
      <w:start w:val="0"/>
      <w:numFmt w:val="bullet"/>
      <w:lvlText w:val="•"/>
      <w:lvlJc w:val="left"/>
      <w:pPr>
        <w:ind w:left="8464" w:hanging="420"/>
      </w:pPr>
      <w:rPr>
        <w:rFonts w:hint="default"/>
        <w:lang w:val="en-US" w:eastAsia="zh-CN" w:bidi="ar-SA"/>
      </w:rPr>
    </w:lvl>
  </w:abstractNum>
  <w:abstractNum w:abstractNumId="15">
    <w:nsid w:val="2294222A"/>
    <w:multiLevelType w:val="hybridMultilevel"/>
    <w:tmpl w:val="00000000"/>
    <w:lvl w:ilvl="0">
      <w:start w:val="1"/>
      <w:numFmt w:val="decimal"/>
      <w:lvlText w:val="%1."/>
      <w:lvlJc w:val="left"/>
      <w:pPr>
        <w:ind w:left="216" w:hanging="211"/>
        <w:jc w:val="left"/>
      </w:pPr>
      <w:rPr>
        <w:rFonts w:ascii="宋体" w:eastAsia="宋体" w:hAnsi="宋体" w:cs="宋体" w:hint="default"/>
        <w:b w:val="0"/>
        <w:bCs w:val="0"/>
        <w:i w:val="0"/>
        <w:iCs w:val="0"/>
        <w:color w:val="333333"/>
        <w:w w:val="100"/>
        <w:sz w:val="19"/>
        <w:szCs w:val="19"/>
        <w:lang w:val="en-US" w:eastAsia="zh-CN" w:bidi="ar-SA"/>
      </w:rPr>
    </w:lvl>
    <w:lvl w:ilvl="1">
      <w:start w:val="0"/>
      <w:numFmt w:val="bullet"/>
      <w:lvlText w:val="•"/>
      <w:lvlJc w:val="left"/>
      <w:pPr>
        <w:ind w:left="608" w:hanging="211"/>
      </w:pPr>
      <w:rPr>
        <w:rFonts w:hint="default"/>
        <w:lang w:val="en-US" w:eastAsia="zh-CN" w:bidi="ar-SA"/>
      </w:rPr>
    </w:lvl>
    <w:lvl w:ilvl="2">
      <w:start w:val="0"/>
      <w:numFmt w:val="bullet"/>
      <w:lvlText w:val="•"/>
      <w:lvlJc w:val="left"/>
      <w:pPr>
        <w:ind w:left="996" w:hanging="211"/>
      </w:pPr>
      <w:rPr>
        <w:rFonts w:hint="default"/>
        <w:lang w:val="en-US" w:eastAsia="zh-CN" w:bidi="ar-SA"/>
      </w:rPr>
    </w:lvl>
    <w:lvl w:ilvl="3">
      <w:start w:val="0"/>
      <w:numFmt w:val="bullet"/>
      <w:lvlText w:val="•"/>
      <w:lvlJc w:val="left"/>
      <w:pPr>
        <w:ind w:left="1385" w:hanging="211"/>
      </w:pPr>
      <w:rPr>
        <w:rFonts w:hint="default"/>
        <w:lang w:val="en-US" w:eastAsia="zh-CN" w:bidi="ar-SA"/>
      </w:rPr>
    </w:lvl>
    <w:lvl w:ilvl="4">
      <w:start w:val="0"/>
      <w:numFmt w:val="bullet"/>
      <w:lvlText w:val="•"/>
      <w:lvlJc w:val="left"/>
      <w:pPr>
        <w:ind w:left="1773" w:hanging="211"/>
      </w:pPr>
      <w:rPr>
        <w:rFonts w:hint="default"/>
        <w:lang w:val="en-US" w:eastAsia="zh-CN" w:bidi="ar-SA"/>
      </w:rPr>
    </w:lvl>
    <w:lvl w:ilvl="5">
      <w:start w:val="0"/>
      <w:numFmt w:val="bullet"/>
      <w:lvlText w:val="•"/>
      <w:lvlJc w:val="left"/>
      <w:pPr>
        <w:ind w:left="2162" w:hanging="211"/>
      </w:pPr>
      <w:rPr>
        <w:rFonts w:hint="default"/>
        <w:lang w:val="en-US" w:eastAsia="zh-CN" w:bidi="ar-SA"/>
      </w:rPr>
    </w:lvl>
    <w:lvl w:ilvl="6">
      <w:start w:val="0"/>
      <w:numFmt w:val="bullet"/>
      <w:lvlText w:val="•"/>
      <w:lvlJc w:val="left"/>
      <w:pPr>
        <w:ind w:left="2550" w:hanging="211"/>
      </w:pPr>
      <w:rPr>
        <w:rFonts w:hint="default"/>
        <w:lang w:val="en-US" w:eastAsia="zh-CN" w:bidi="ar-SA"/>
      </w:rPr>
    </w:lvl>
    <w:lvl w:ilvl="7">
      <w:start w:val="0"/>
      <w:numFmt w:val="bullet"/>
      <w:lvlText w:val="•"/>
      <w:lvlJc w:val="left"/>
      <w:pPr>
        <w:ind w:left="2938" w:hanging="211"/>
      </w:pPr>
      <w:rPr>
        <w:rFonts w:hint="default"/>
        <w:lang w:val="en-US" w:eastAsia="zh-CN" w:bidi="ar-SA"/>
      </w:rPr>
    </w:lvl>
    <w:lvl w:ilvl="8">
      <w:start w:val="0"/>
      <w:numFmt w:val="bullet"/>
      <w:lvlText w:val="•"/>
      <w:lvlJc w:val="left"/>
      <w:pPr>
        <w:ind w:left="3327" w:hanging="211"/>
      </w:pPr>
      <w:rPr>
        <w:rFonts w:hint="default"/>
        <w:lang w:val="en-US" w:eastAsia="zh-CN" w:bidi="ar-SA"/>
      </w:rPr>
    </w:lvl>
  </w:abstractNum>
  <w:abstractNum w:abstractNumId="16">
    <w:nsid w:val="29A6F131"/>
    <w:multiLevelType w:val="hybridMultilevel"/>
    <w:tmpl w:val="00000000"/>
    <w:lvl w:ilvl="0">
      <w:start w:val="1"/>
      <w:numFmt w:val="decimal"/>
      <w:lvlText w:val="%1."/>
      <w:lvlJc w:val="left"/>
      <w:pPr>
        <w:ind w:left="294" w:hanging="462"/>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320" w:hanging="462"/>
      </w:pPr>
      <w:rPr>
        <w:rFonts w:hint="default"/>
        <w:lang w:val="en-US" w:eastAsia="zh-CN" w:bidi="ar-SA"/>
      </w:rPr>
    </w:lvl>
    <w:lvl w:ilvl="2">
      <w:start w:val="0"/>
      <w:numFmt w:val="bullet"/>
      <w:lvlText w:val="•"/>
      <w:lvlJc w:val="left"/>
      <w:pPr>
        <w:ind w:left="2341" w:hanging="462"/>
      </w:pPr>
      <w:rPr>
        <w:rFonts w:hint="default"/>
        <w:lang w:val="en-US" w:eastAsia="zh-CN" w:bidi="ar-SA"/>
      </w:rPr>
    </w:lvl>
    <w:lvl w:ilvl="3">
      <w:start w:val="0"/>
      <w:numFmt w:val="bullet"/>
      <w:lvlText w:val="•"/>
      <w:lvlJc w:val="left"/>
      <w:pPr>
        <w:ind w:left="3361" w:hanging="462"/>
      </w:pPr>
      <w:rPr>
        <w:rFonts w:hint="default"/>
        <w:lang w:val="en-US" w:eastAsia="zh-CN" w:bidi="ar-SA"/>
      </w:rPr>
    </w:lvl>
    <w:lvl w:ilvl="4">
      <w:start w:val="0"/>
      <w:numFmt w:val="bullet"/>
      <w:lvlText w:val="•"/>
      <w:lvlJc w:val="left"/>
      <w:pPr>
        <w:ind w:left="4382" w:hanging="462"/>
      </w:pPr>
      <w:rPr>
        <w:rFonts w:hint="default"/>
        <w:lang w:val="en-US" w:eastAsia="zh-CN" w:bidi="ar-SA"/>
      </w:rPr>
    </w:lvl>
    <w:lvl w:ilvl="5">
      <w:start w:val="0"/>
      <w:numFmt w:val="bullet"/>
      <w:lvlText w:val="•"/>
      <w:lvlJc w:val="left"/>
      <w:pPr>
        <w:ind w:left="5403" w:hanging="462"/>
      </w:pPr>
      <w:rPr>
        <w:rFonts w:hint="default"/>
        <w:lang w:val="en-US" w:eastAsia="zh-CN" w:bidi="ar-SA"/>
      </w:rPr>
    </w:lvl>
    <w:lvl w:ilvl="6">
      <w:start w:val="0"/>
      <w:numFmt w:val="bullet"/>
      <w:lvlText w:val="•"/>
      <w:lvlJc w:val="left"/>
      <w:pPr>
        <w:ind w:left="6423" w:hanging="462"/>
      </w:pPr>
      <w:rPr>
        <w:rFonts w:hint="default"/>
        <w:lang w:val="en-US" w:eastAsia="zh-CN" w:bidi="ar-SA"/>
      </w:rPr>
    </w:lvl>
    <w:lvl w:ilvl="7">
      <w:start w:val="0"/>
      <w:numFmt w:val="bullet"/>
      <w:lvlText w:val="•"/>
      <w:lvlJc w:val="left"/>
      <w:pPr>
        <w:ind w:left="7444" w:hanging="462"/>
      </w:pPr>
      <w:rPr>
        <w:rFonts w:hint="default"/>
        <w:lang w:val="en-US" w:eastAsia="zh-CN" w:bidi="ar-SA"/>
      </w:rPr>
    </w:lvl>
    <w:lvl w:ilvl="8">
      <w:start w:val="0"/>
      <w:numFmt w:val="bullet"/>
      <w:lvlText w:val="•"/>
      <w:lvlJc w:val="left"/>
      <w:pPr>
        <w:ind w:left="8464" w:hanging="462"/>
      </w:pPr>
      <w:rPr>
        <w:rFonts w:hint="default"/>
        <w:lang w:val="en-US" w:eastAsia="zh-CN" w:bidi="ar-SA"/>
      </w:rPr>
    </w:lvl>
  </w:abstractNum>
  <w:abstractNum w:abstractNumId="17">
    <w:nsid w:val="29D7B742"/>
    <w:multiLevelType w:val="hybridMultilevel"/>
    <w:tmpl w:val="00000000"/>
    <w:lvl w:ilvl="0">
      <w:start w:val="2"/>
      <w:numFmt w:val="decimal"/>
      <w:lvlText w:val="%1."/>
      <w:lvlJc w:val="left"/>
      <w:pPr>
        <w:ind w:left="92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878" w:hanging="211"/>
      </w:pPr>
      <w:rPr>
        <w:rFonts w:hint="default"/>
        <w:lang w:val="en-US" w:eastAsia="zh-CN" w:bidi="ar-SA"/>
      </w:rPr>
    </w:lvl>
    <w:lvl w:ilvl="2">
      <w:start w:val="0"/>
      <w:numFmt w:val="bullet"/>
      <w:lvlText w:val="•"/>
      <w:lvlJc w:val="left"/>
      <w:pPr>
        <w:ind w:left="2837" w:hanging="211"/>
      </w:pPr>
      <w:rPr>
        <w:rFonts w:hint="default"/>
        <w:lang w:val="en-US" w:eastAsia="zh-CN" w:bidi="ar-SA"/>
      </w:rPr>
    </w:lvl>
    <w:lvl w:ilvl="3">
      <w:start w:val="0"/>
      <w:numFmt w:val="bullet"/>
      <w:lvlText w:val="•"/>
      <w:lvlJc w:val="left"/>
      <w:pPr>
        <w:ind w:left="3795" w:hanging="211"/>
      </w:pPr>
      <w:rPr>
        <w:rFonts w:hint="default"/>
        <w:lang w:val="en-US" w:eastAsia="zh-CN" w:bidi="ar-SA"/>
      </w:rPr>
    </w:lvl>
    <w:lvl w:ilvl="4">
      <w:start w:val="0"/>
      <w:numFmt w:val="bullet"/>
      <w:lvlText w:val="•"/>
      <w:lvlJc w:val="left"/>
      <w:pPr>
        <w:ind w:left="4754" w:hanging="211"/>
      </w:pPr>
      <w:rPr>
        <w:rFonts w:hint="default"/>
        <w:lang w:val="en-US" w:eastAsia="zh-CN" w:bidi="ar-SA"/>
      </w:rPr>
    </w:lvl>
    <w:lvl w:ilvl="5">
      <w:start w:val="0"/>
      <w:numFmt w:val="bullet"/>
      <w:lvlText w:val="•"/>
      <w:lvlJc w:val="left"/>
      <w:pPr>
        <w:ind w:left="5713" w:hanging="211"/>
      </w:pPr>
      <w:rPr>
        <w:rFonts w:hint="default"/>
        <w:lang w:val="en-US" w:eastAsia="zh-CN" w:bidi="ar-SA"/>
      </w:rPr>
    </w:lvl>
    <w:lvl w:ilvl="6">
      <w:start w:val="0"/>
      <w:numFmt w:val="bullet"/>
      <w:lvlText w:val="•"/>
      <w:lvlJc w:val="left"/>
      <w:pPr>
        <w:ind w:left="6671" w:hanging="211"/>
      </w:pPr>
      <w:rPr>
        <w:rFonts w:hint="default"/>
        <w:lang w:val="en-US" w:eastAsia="zh-CN" w:bidi="ar-SA"/>
      </w:rPr>
    </w:lvl>
    <w:lvl w:ilvl="7">
      <w:start w:val="0"/>
      <w:numFmt w:val="bullet"/>
      <w:lvlText w:val="•"/>
      <w:lvlJc w:val="left"/>
      <w:pPr>
        <w:ind w:left="7630" w:hanging="211"/>
      </w:pPr>
      <w:rPr>
        <w:rFonts w:hint="default"/>
        <w:lang w:val="en-US" w:eastAsia="zh-CN" w:bidi="ar-SA"/>
      </w:rPr>
    </w:lvl>
    <w:lvl w:ilvl="8">
      <w:start w:val="0"/>
      <w:numFmt w:val="bullet"/>
      <w:lvlText w:val="•"/>
      <w:lvlJc w:val="left"/>
      <w:pPr>
        <w:ind w:left="8588" w:hanging="211"/>
      </w:pPr>
      <w:rPr>
        <w:rFonts w:hint="default"/>
        <w:lang w:val="en-US" w:eastAsia="zh-CN" w:bidi="ar-SA"/>
      </w:rPr>
    </w:lvl>
  </w:abstractNum>
  <w:abstractNum w:abstractNumId="18">
    <w:nsid w:val="2EBB101B"/>
    <w:multiLevelType w:val="hybridMultilevel"/>
    <w:tmpl w:val="00000000"/>
    <w:lvl w:ilvl="0">
      <w:start w:val="1"/>
      <w:numFmt w:val="decimal"/>
      <w:lvlText w:val="%1."/>
      <w:lvlJc w:val="left"/>
      <w:pPr>
        <w:ind w:left="216"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751" w:hanging="211"/>
      </w:pPr>
      <w:rPr>
        <w:rFonts w:hint="default"/>
        <w:lang w:val="en-US" w:eastAsia="zh-CN" w:bidi="ar-SA"/>
      </w:rPr>
    </w:lvl>
    <w:lvl w:ilvl="2">
      <w:start w:val="0"/>
      <w:numFmt w:val="bullet"/>
      <w:lvlText w:val="•"/>
      <w:lvlJc w:val="left"/>
      <w:pPr>
        <w:ind w:left="1283" w:hanging="211"/>
      </w:pPr>
      <w:rPr>
        <w:rFonts w:hint="default"/>
        <w:lang w:val="en-US" w:eastAsia="zh-CN" w:bidi="ar-SA"/>
      </w:rPr>
    </w:lvl>
    <w:lvl w:ilvl="3">
      <w:start w:val="0"/>
      <w:numFmt w:val="bullet"/>
      <w:lvlText w:val="•"/>
      <w:lvlJc w:val="left"/>
      <w:pPr>
        <w:ind w:left="1815" w:hanging="211"/>
      </w:pPr>
      <w:rPr>
        <w:rFonts w:hint="default"/>
        <w:lang w:val="en-US" w:eastAsia="zh-CN" w:bidi="ar-SA"/>
      </w:rPr>
    </w:lvl>
    <w:lvl w:ilvl="4">
      <w:start w:val="0"/>
      <w:numFmt w:val="bullet"/>
      <w:lvlText w:val="•"/>
      <w:lvlJc w:val="left"/>
      <w:pPr>
        <w:ind w:left="2347" w:hanging="211"/>
      </w:pPr>
      <w:rPr>
        <w:rFonts w:hint="default"/>
        <w:lang w:val="en-US" w:eastAsia="zh-CN" w:bidi="ar-SA"/>
      </w:rPr>
    </w:lvl>
    <w:lvl w:ilvl="5">
      <w:start w:val="0"/>
      <w:numFmt w:val="bullet"/>
      <w:lvlText w:val="•"/>
      <w:lvlJc w:val="left"/>
      <w:pPr>
        <w:ind w:left="2879" w:hanging="211"/>
      </w:pPr>
      <w:rPr>
        <w:rFonts w:hint="default"/>
        <w:lang w:val="en-US" w:eastAsia="zh-CN" w:bidi="ar-SA"/>
      </w:rPr>
    </w:lvl>
    <w:lvl w:ilvl="6">
      <w:start w:val="0"/>
      <w:numFmt w:val="bullet"/>
      <w:lvlText w:val="•"/>
      <w:lvlJc w:val="left"/>
      <w:pPr>
        <w:ind w:left="3411" w:hanging="211"/>
      </w:pPr>
      <w:rPr>
        <w:rFonts w:hint="default"/>
        <w:lang w:val="en-US" w:eastAsia="zh-CN" w:bidi="ar-SA"/>
      </w:rPr>
    </w:lvl>
    <w:lvl w:ilvl="7">
      <w:start w:val="0"/>
      <w:numFmt w:val="bullet"/>
      <w:lvlText w:val="•"/>
      <w:lvlJc w:val="left"/>
      <w:pPr>
        <w:ind w:left="3943" w:hanging="211"/>
      </w:pPr>
      <w:rPr>
        <w:rFonts w:hint="default"/>
        <w:lang w:val="en-US" w:eastAsia="zh-CN" w:bidi="ar-SA"/>
      </w:rPr>
    </w:lvl>
    <w:lvl w:ilvl="8">
      <w:start w:val="0"/>
      <w:numFmt w:val="bullet"/>
      <w:lvlText w:val="•"/>
      <w:lvlJc w:val="left"/>
      <w:pPr>
        <w:ind w:left="4475" w:hanging="211"/>
      </w:pPr>
      <w:rPr>
        <w:rFonts w:hint="default"/>
        <w:lang w:val="en-US" w:eastAsia="zh-CN" w:bidi="ar-SA"/>
      </w:rPr>
    </w:lvl>
  </w:abstractNum>
  <w:abstractNum w:abstractNumId="19">
    <w:nsid w:val="3097C91A"/>
    <w:multiLevelType w:val="hybridMultilevel"/>
    <w:tmpl w:val="00000000"/>
    <w:lvl w:ilvl="0">
      <w:start w:val="1"/>
      <w:numFmt w:val="lowerLetter"/>
      <w:lvlText w:val="%1."/>
      <w:lvlJc w:val="left"/>
      <w:pPr>
        <w:ind w:left="934" w:hanging="221"/>
        <w:jc w:val="left"/>
      </w:pPr>
      <w:rPr>
        <w:rFonts w:ascii="宋体" w:eastAsia="宋体" w:hAnsi="宋体" w:cs="宋体" w:hint="default"/>
        <w:b w:val="0"/>
        <w:bCs w:val="0"/>
        <w:i w:val="0"/>
        <w:iCs w:val="0"/>
        <w:spacing w:val="5"/>
        <w:w w:val="100"/>
        <w:sz w:val="19"/>
        <w:szCs w:val="19"/>
        <w:lang w:val="en-US" w:eastAsia="zh-CN" w:bidi="ar-SA"/>
      </w:rPr>
    </w:lvl>
    <w:lvl w:ilvl="1">
      <w:start w:val="0"/>
      <w:numFmt w:val="bullet"/>
      <w:lvlText w:val="•"/>
      <w:lvlJc w:val="left"/>
      <w:pPr>
        <w:ind w:left="1896" w:hanging="221"/>
      </w:pPr>
      <w:rPr>
        <w:rFonts w:hint="default"/>
        <w:lang w:val="en-US" w:eastAsia="zh-CN" w:bidi="ar-SA"/>
      </w:rPr>
    </w:lvl>
    <w:lvl w:ilvl="2">
      <w:start w:val="0"/>
      <w:numFmt w:val="bullet"/>
      <w:lvlText w:val="•"/>
      <w:lvlJc w:val="left"/>
      <w:pPr>
        <w:ind w:left="2853" w:hanging="221"/>
      </w:pPr>
      <w:rPr>
        <w:rFonts w:hint="default"/>
        <w:lang w:val="en-US" w:eastAsia="zh-CN" w:bidi="ar-SA"/>
      </w:rPr>
    </w:lvl>
    <w:lvl w:ilvl="3">
      <w:start w:val="0"/>
      <w:numFmt w:val="bullet"/>
      <w:lvlText w:val="•"/>
      <w:lvlJc w:val="left"/>
      <w:pPr>
        <w:ind w:left="3809" w:hanging="221"/>
      </w:pPr>
      <w:rPr>
        <w:rFonts w:hint="default"/>
        <w:lang w:val="en-US" w:eastAsia="zh-CN" w:bidi="ar-SA"/>
      </w:rPr>
    </w:lvl>
    <w:lvl w:ilvl="4">
      <w:start w:val="0"/>
      <w:numFmt w:val="bullet"/>
      <w:lvlText w:val="•"/>
      <w:lvlJc w:val="left"/>
      <w:pPr>
        <w:ind w:left="4766" w:hanging="221"/>
      </w:pPr>
      <w:rPr>
        <w:rFonts w:hint="default"/>
        <w:lang w:val="en-US" w:eastAsia="zh-CN" w:bidi="ar-SA"/>
      </w:rPr>
    </w:lvl>
    <w:lvl w:ilvl="5">
      <w:start w:val="0"/>
      <w:numFmt w:val="bullet"/>
      <w:lvlText w:val="•"/>
      <w:lvlJc w:val="left"/>
      <w:pPr>
        <w:ind w:left="5723" w:hanging="221"/>
      </w:pPr>
      <w:rPr>
        <w:rFonts w:hint="default"/>
        <w:lang w:val="en-US" w:eastAsia="zh-CN" w:bidi="ar-SA"/>
      </w:rPr>
    </w:lvl>
    <w:lvl w:ilvl="6">
      <w:start w:val="0"/>
      <w:numFmt w:val="bullet"/>
      <w:lvlText w:val="•"/>
      <w:lvlJc w:val="left"/>
      <w:pPr>
        <w:ind w:left="6679" w:hanging="221"/>
      </w:pPr>
      <w:rPr>
        <w:rFonts w:hint="default"/>
        <w:lang w:val="en-US" w:eastAsia="zh-CN" w:bidi="ar-SA"/>
      </w:rPr>
    </w:lvl>
    <w:lvl w:ilvl="7">
      <w:start w:val="0"/>
      <w:numFmt w:val="bullet"/>
      <w:lvlText w:val="•"/>
      <w:lvlJc w:val="left"/>
      <w:pPr>
        <w:ind w:left="7636" w:hanging="221"/>
      </w:pPr>
      <w:rPr>
        <w:rFonts w:hint="default"/>
        <w:lang w:val="en-US" w:eastAsia="zh-CN" w:bidi="ar-SA"/>
      </w:rPr>
    </w:lvl>
    <w:lvl w:ilvl="8">
      <w:start w:val="0"/>
      <w:numFmt w:val="bullet"/>
      <w:lvlText w:val="•"/>
      <w:lvlJc w:val="left"/>
      <w:pPr>
        <w:ind w:left="8592" w:hanging="221"/>
      </w:pPr>
      <w:rPr>
        <w:rFonts w:hint="default"/>
        <w:lang w:val="en-US" w:eastAsia="zh-CN" w:bidi="ar-SA"/>
      </w:rPr>
    </w:lvl>
  </w:abstractNum>
  <w:abstractNum w:abstractNumId="20">
    <w:nsid w:val="35576989"/>
    <w:multiLevelType w:val="hybridMultilevel"/>
    <w:tmpl w:val="00000000"/>
    <w:lvl w:ilvl="0">
      <w:start w:val="1"/>
      <w:numFmt w:val="decimal"/>
      <w:lvlText w:val="%1."/>
      <w:lvlJc w:val="left"/>
      <w:pPr>
        <w:ind w:left="294"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320" w:hanging="211"/>
      </w:pPr>
      <w:rPr>
        <w:rFonts w:hint="default"/>
        <w:lang w:val="en-US" w:eastAsia="zh-CN" w:bidi="ar-SA"/>
      </w:rPr>
    </w:lvl>
    <w:lvl w:ilvl="2">
      <w:start w:val="0"/>
      <w:numFmt w:val="bullet"/>
      <w:lvlText w:val="•"/>
      <w:lvlJc w:val="left"/>
      <w:pPr>
        <w:ind w:left="2341" w:hanging="211"/>
      </w:pPr>
      <w:rPr>
        <w:rFonts w:hint="default"/>
        <w:lang w:val="en-US" w:eastAsia="zh-CN" w:bidi="ar-SA"/>
      </w:rPr>
    </w:lvl>
    <w:lvl w:ilvl="3">
      <w:start w:val="0"/>
      <w:numFmt w:val="bullet"/>
      <w:lvlText w:val="•"/>
      <w:lvlJc w:val="left"/>
      <w:pPr>
        <w:ind w:left="3361" w:hanging="211"/>
      </w:pPr>
      <w:rPr>
        <w:rFonts w:hint="default"/>
        <w:lang w:val="en-US" w:eastAsia="zh-CN" w:bidi="ar-SA"/>
      </w:rPr>
    </w:lvl>
    <w:lvl w:ilvl="4">
      <w:start w:val="0"/>
      <w:numFmt w:val="bullet"/>
      <w:lvlText w:val="•"/>
      <w:lvlJc w:val="left"/>
      <w:pPr>
        <w:ind w:left="4382" w:hanging="211"/>
      </w:pPr>
      <w:rPr>
        <w:rFonts w:hint="default"/>
        <w:lang w:val="en-US" w:eastAsia="zh-CN" w:bidi="ar-SA"/>
      </w:rPr>
    </w:lvl>
    <w:lvl w:ilvl="5">
      <w:start w:val="0"/>
      <w:numFmt w:val="bullet"/>
      <w:lvlText w:val="•"/>
      <w:lvlJc w:val="left"/>
      <w:pPr>
        <w:ind w:left="5403" w:hanging="211"/>
      </w:pPr>
      <w:rPr>
        <w:rFonts w:hint="default"/>
        <w:lang w:val="en-US" w:eastAsia="zh-CN" w:bidi="ar-SA"/>
      </w:rPr>
    </w:lvl>
    <w:lvl w:ilvl="6">
      <w:start w:val="0"/>
      <w:numFmt w:val="bullet"/>
      <w:lvlText w:val="•"/>
      <w:lvlJc w:val="left"/>
      <w:pPr>
        <w:ind w:left="6423" w:hanging="211"/>
      </w:pPr>
      <w:rPr>
        <w:rFonts w:hint="default"/>
        <w:lang w:val="en-US" w:eastAsia="zh-CN" w:bidi="ar-SA"/>
      </w:rPr>
    </w:lvl>
    <w:lvl w:ilvl="7">
      <w:start w:val="0"/>
      <w:numFmt w:val="bullet"/>
      <w:lvlText w:val="•"/>
      <w:lvlJc w:val="left"/>
      <w:pPr>
        <w:ind w:left="7444" w:hanging="211"/>
      </w:pPr>
      <w:rPr>
        <w:rFonts w:hint="default"/>
        <w:lang w:val="en-US" w:eastAsia="zh-CN" w:bidi="ar-SA"/>
      </w:rPr>
    </w:lvl>
    <w:lvl w:ilvl="8">
      <w:start w:val="0"/>
      <w:numFmt w:val="bullet"/>
      <w:lvlText w:val="•"/>
      <w:lvlJc w:val="left"/>
      <w:pPr>
        <w:ind w:left="8464" w:hanging="211"/>
      </w:pPr>
      <w:rPr>
        <w:rFonts w:hint="default"/>
        <w:lang w:val="en-US" w:eastAsia="zh-CN" w:bidi="ar-SA"/>
      </w:rPr>
    </w:lvl>
  </w:abstractNum>
  <w:abstractNum w:abstractNumId="21">
    <w:nsid w:val="3719CBC7"/>
    <w:multiLevelType w:val="hybridMultilevel"/>
    <w:tmpl w:val="00000000"/>
    <w:lvl w:ilvl="0">
      <w:start w:val="4"/>
      <w:numFmt w:val="decimal"/>
      <w:lvlText w:val="%1"/>
      <w:lvlJc w:val="left"/>
      <w:pPr>
        <w:ind w:left="1098" w:hanging="385"/>
        <w:jc w:val="left"/>
      </w:pPr>
      <w:rPr>
        <w:rFonts w:hint="default"/>
        <w:lang w:val="en-US" w:eastAsia="zh-CN" w:bidi="ar-SA"/>
      </w:rPr>
    </w:lvl>
    <w:lvl w:ilvl="1">
      <w:start w:val="1"/>
      <w:numFmt w:val="decimal"/>
      <w:lvlText w:val="%1.%2"/>
      <w:lvlJc w:val="left"/>
      <w:pPr>
        <w:ind w:left="1098" w:hanging="385"/>
        <w:jc w:val="left"/>
      </w:pPr>
      <w:rPr>
        <w:rFonts w:ascii="宋体" w:eastAsia="宋体" w:hAnsi="宋体" w:cs="宋体" w:hint="default"/>
        <w:b w:val="0"/>
        <w:bCs w:val="0"/>
        <w:i w:val="0"/>
        <w:iCs w:val="0"/>
        <w:spacing w:val="0"/>
        <w:w w:val="100"/>
        <w:sz w:val="21"/>
        <w:szCs w:val="21"/>
        <w:lang w:val="en-US" w:eastAsia="zh-CN" w:bidi="ar-SA"/>
      </w:rPr>
    </w:lvl>
    <w:lvl w:ilvl="2">
      <w:start w:val="0"/>
      <w:numFmt w:val="bullet"/>
      <w:lvlText w:val="•"/>
      <w:lvlJc w:val="left"/>
      <w:pPr>
        <w:ind w:left="2981" w:hanging="385"/>
      </w:pPr>
      <w:rPr>
        <w:rFonts w:hint="default"/>
        <w:lang w:val="en-US" w:eastAsia="zh-CN" w:bidi="ar-SA"/>
      </w:rPr>
    </w:lvl>
    <w:lvl w:ilvl="3">
      <w:start w:val="0"/>
      <w:numFmt w:val="bullet"/>
      <w:lvlText w:val="•"/>
      <w:lvlJc w:val="left"/>
      <w:pPr>
        <w:ind w:left="3921" w:hanging="385"/>
      </w:pPr>
      <w:rPr>
        <w:rFonts w:hint="default"/>
        <w:lang w:val="en-US" w:eastAsia="zh-CN" w:bidi="ar-SA"/>
      </w:rPr>
    </w:lvl>
    <w:lvl w:ilvl="4">
      <w:start w:val="0"/>
      <w:numFmt w:val="bullet"/>
      <w:lvlText w:val="•"/>
      <w:lvlJc w:val="left"/>
      <w:pPr>
        <w:ind w:left="4862" w:hanging="385"/>
      </w:pPr>
      <w:rPr>
        <w:rFonts w:hint="default"/>
        <w:lang w:val="en-US" w:eastAsia="zh-CN" w:bidi="ar-SA"/>
      </w:rPr>
    </w:lvl>
    <w:lvl w:ilvl="5">
      <w:start w:val="0"/>
      <w:numFmt w:val="bullet"/>
      <w:lvlText w:val="•"/>
      <w:lvlJc w:val="left"/>
      <w:pPr>
        <w:ind w:left="5803" w:hanging="385"/>
      </w:pPr>
      <w:rPr>
        <w:rFonts w:hint="default"/>
        <w:lang w:val="en-US" w:eastAsia="zh-CN" w:bidi="ar-SA"/>
      </w:rPr>
    </w:lvl>
    <w:lvl w:ilvl="6">
      <w:start w:val="0"/>
      <w:numFmt w:val="bullet"/>
      <w:lvlText w:val="•"/>
      <w:lvlJc w:val="left"/>
      <w:pPr>
        <w:ind w:left="6743" w:hanging="385"/>
      </w:pPr>
      <w:rPr>
        <w:rFonts w:hint="default"/>
        <w:lang w:val="en-US" w:eastAsia="zh-CN" w:bidi="ar-SA"/>
      </w:rPr>
    </w:lvl>
    <w:lvl w:ilvl="7">
      <w:start w:val="0"/>
      <w:numFmt w:val="bullet"/>
      <w:lvlText w:val="•"/>
      <w:lvlJc w:val="left"/>
      <w:pPr>
        <w:ind w:left="7684" w:hanging="385"/>
      </w:pPr>
      <w:rPr>
        <w:rFonts w:hint="default"/>
        <w:lang w:val="en-US" w:eastAsia="zh-CN" w:bidi="ar-SA"/>
      </w:rPr>
    </w:lvl>
    <w:lvl w:ilvl="8">
      <w:start w:val="0"/>
      <w:numFmt w:val="bullet"/>
      <w:lvlText w:val="•"/>
      <w:lvlJc w:val="left"/>
      <w:pPr>
        <w:ind w:left="8624" w:hanging="385"/>
      </w:pPr>
      <w:rPr>
        <w:rFonts w:hint="default"/>
        <w:lang w:val="en-US" w:eastAsia="zh-CN" w:bidi="ar-SA"/>
      </w:rPr>
    </w:lvl>
  </w:abstractNum>
  <w:abstractNum w:abstractNumId="22">
    <w:nsid w:val="394E0126"/>
    <w:multiLevelType w:val="hybridMultilevel"/>
    <w:tmpl w:val="00000000"/>
    <w:lvl w:ilvl="0">
      <w:start w:val="1"/>
      <w:numFmt w:val="decimal"/>
      <w:lvlText w:val="%1."/>
      <w:lvlJc w:val="left"/>
      <w:pPr>
        <w:ind w:left="294"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320" w:hanging="211"/>
      </w:pPr>
      <w:rPr>
        <w:rFonts w:hint="default"/>
        <w:lang w:val="en-US" w:eastAsia="zh-CN" w:bidi="ar-SA"/>
      </w:rPr>
    </w:lvl>
    <w:lvl w:ilvl="2">
      <w:start w:val="0"/>
      <w:numFmt w:val="bullet"/>
      <w:lvlText w:val="•"/>
      <w:lvlJc w:val="left"/>
      <w:pPr>
        <w:ind w:left="2341" w:hanging="211"/>
      </w:pPr>
      <w:rPr>
        <w:rFonts w:hint="default"/>
        <w:lang w:val="en-US" w:eastAsia="zh-CN" w:bidi="ar-SA"/>
      </w:rPr>
    </w:lvl>
    <w:lvl w:ilvl="3">
      <w:start w:val="0"/>
      <w:numFmt w:val="bullet"/>
      <w:lvlText w:val="•"/>
      <w:lvlJc w:val="left"/>
      <w:pPr>
        <w:ind w:left="3361" w:hanging="211"/>
      </w:pPr>
      <w:rPr>
        <w:rFonts w:hint="default"/>
        <w:lang w:val="en-US" w:eastAsia="zh-CN" w:bidi="ar-SA"/>
      </w:rPr>
    </w:lvl>
    <w:lvl w:ilvl="4">
      <w:start w:val="0"/>
      <w:numFmt w:val="bullet"/>
      <w:lvlText w:val="•"/>
      <w:lvlJc w:val="left"/>
      <w:pPr>
        <w:ind w:left="4382" w:hanging="211"/>
      </w:pPr>
      <w:rPr>
        <w:rFonts w:hint="default"/>
        <w:lang w:val="en-US" w:eastAsia="zh-CN" w:bidi="ar-SA"/>
      </w:rPr>
    </w:lvl>
    <w:lvl w:ilvl="5">
      <w:start w:val="0"/>
      <w:numFmt w:val="bullet"/>
      <w:lvlText w:val="•"/>
      <w:lvlJc w:val="left"/>
      <w:pPr>
        <w:ind w:left="5403" w:hanging="211"/>
      </w:pPr>
      <w:rPr>
        <w:rFonts w:hint="default"/>
        <w:lang w:val="en-US" w:eastAsia="zh-CN" w:bidi="ar-SA"/>
      </w:rPr>
    </w:lvl>
    <w:lvl w:ilvl="6">
      <w:start w:val="0"/>
      <w:numFmt w:val="bullet"/>
      <w:lvlText w:val="•"/>
      <w:lvlJc w:val="left"/>
      <w:pPr>
        <w:ind w:left="6423" w:hanging="211"/>
      </w:pPr>
      <w:rPr>
        <w:rFonts w:hint="default"/>
        <w:lang w:val="en-US" w:eastAsia="zh-CN" w:bidi="ar-SA"/>
      </w:rPr>
    </w:lvl>
    <w:lvl w:ilvl="7">
      <w:start w:val="0"/>
      <w:numFmt w:val="bullet"/>
      <w:lvlText w:val="•"/>
      <w:lvlJc w:val="left"/>
      <w:pPr>
        <w:ind w:left="7444" w:hanging="211"/>
      </w:pPr>
      <w:rPr>
        <w:rFonts w:hint="default"/>
        <w:lang w:val="en-US" w:eastAsia="zh-CN" w:bidi="ar-SA"/>
      </w:rPr>
    </w:lvl>
    <w:lvl w:ilvl="8">
      <w:start w:val="0"/>
      <w:numFmt w:val="bullet"/>
      <w:lvlText w:val="•"/>
      <w:lvlJc w:val="left"/>
      <w:pPr>
        <w:ind w:left="8464" w:hanging="211"/>
      </w:pPr>
      <w:rPr>
        <w:rFonts w:hint="default"/>
        <w:lang w:val="en-US" w:eastAsia="zh-CN" w:bidi="ar-SA"/>
      </w:rPr>
    </w:lvl>
  </w:abstractNum>
  <w:abstractNum w:abstractNumId="23">
    <w:nsid w:val="39B06009"/>
    <w:multiLevelType w:val="hybridMultilevel"/>
    <w:tmpl w:val="00000000"/>
    <w:lvl w:ilvl="0">
      <w:start w:val="4"/>
      <w:numFmt w:val="decimal"/>
      <w:lvlText w:val="%1."/>
      <w:lvlJc w:val="left"/>
      <w:pPr>
        <w:ind w:left="216" w:hanging="211"/>
        <w:jc w:val="left"/>
      </w:pPr>
      <w:rPr>
        <w:rFonts w:ascii="宋体" w:eastAsia="宋体" w:hAnsi="宋体" w:cs="宋体" w:hint="default"/>
        <w:b w:val="0"/>
        <w:bCs w:val="0"/>
        <w:i w:val="0"/>
        <w:iCs w:val="0"/>
        <w:color w:val="333333"/>
        <w:w w:val="100"/>
        <w:sz w:val="19"/>
        <w:szCs w:val="19"/>
        <w:lang w:val="en-US" w:eastAsia="zh-CN" w:bidi="ar-SA"/>
      </w:rPr>
    </w:lvl>
    <w:lvl w:ilvl="1">
      <w:start w:val="0"/>
      <w:numFmt w:val="bullet"/>
      <w:lvlText w:val="•"/>
      <w:lvlJc w:val="left"/>
      <w:pPr>
        <w:ind w:left="752" w:hanging="211"/>
      </w:pPr>
      <w:rPr>
        <w:rFonts w:hint="default"/>
        <w:lang w:val="en-US" w:eastAsia="zh-CN" w:bidi="ar-SA"/>
      </w:rPr>
    </w:lvl>
    <w:lvl w:ilvl="2">
      <w:start w:val="0"/>
      <w:numFmt w:val="bullet"/>
      <w:lvlText w:val="•"/>
      <w:lvlJc w:val="left"/>
      <w:pPr>
        <w:ind w:left="1285" w:hanging="211"/>
      </w:pPr>
      <w:rPr>
        <w:rFonts w:hint="default"/>
        <w:lang w:val="en-US" w:eastAsia="zh-CN" w:bidi="ar-SA"/>
      </w:rPr>
    </w:lvl>
    <w:lvl w:ilvl="3">
      <w:start w:val="0"/>
      <w:numFmt w:val="bullet"/>
      <w:lvlText w:val="•"/>
      <w:lvlJc w:val="left"/>
      <w:pPr>
        <w:ind w:left="1817" w:hanging="211"/>
      </w:pPr>
      <w:rPr>
        <w:rFonts w:hint="default"/>
        <w:lang w:val="en-US" w:eastAsia="zh-CN" w:bidi="ar-SA"/>
      </w:rPr>
    </w:lvl>
    <w:lvl w:ilvl="4">
      <w:start w:val="0"/>
      <w:numFmt w:val="bullet"/>
      <w:lvlText w:val="•"/>
      <w:lvlJc w:val="left"/>
      <w:pPr>
        <w:ind w:left="2350" w:hanging="211"/>
      </w:pPr>
      <w:rPr>
        <w:rFonts w:hint="default"/>
        <w:lang w:val="en-US" w:eastAsia="zh-CN" w:bidi="ar-SA"/>
      </w:rPr>
    </w:lvl>
    <w:lvl w:ilvl="5">
      <w:start w:val="0"/>
      <w:numFmt w:val="bullet"/>
      <w:lvlText w:val="•"/>
      <w:lvlJc w:val="left"/>
      <w:pPr>
        <w:ind w:left="2882" w:hanging="211"/>
      </w:pPr>
      <w:rPr>
        <w:rFonts w:hint="default"/>
        <w:lang w:val="en-US" w:eastAsia="zh-CN" w:bidi="ar-SA"/>
      </w:rPr>
    </w:lvl>
    <w:lvl w:ilvl="6">
      <w:start w:val="0"/>
      <w:numFmt w:val="bullet"/>
      <w:lvlText w:val="•"/>
      <w:lvlJc w:val="left"/>
      <w:pPr>
        <w:ind w:left="3415" w:hanging="211"/>
      </w:pPr>
      <w:rPr>
        <w:rFonts w:hint="default"/>
        <w:lang w:val="en-US" w:eastAsia="zh-CN" w:bidi="ar-SA"/>
      </w:rPr>
    </w:lvl>
    <w:lvl w:ilvl="7">
      <w:start w:val="0"/>
      <w:numFmt w:val="bullet"/>
      <w:lvlText w:val="•"/>
      <w:lvlJc w:val="left"/>
      <w:pPr>
        <w:ind w:left="3947" w:hanging="211"/>
      </w:pPr>
      <w:rPr>
        <w:rFonts w:hint="default"/>
        <w:lang w:val="en-US" w:eastAsia="zh-CN" w:bidi="ar-SA"/>
      </w:rPr>
    </w:lvl>
    <w:lvl w:ilvl="8">
      <w:start w:val="0"/>
      <w:numFmt w:val="bullet"/>
      <w:lvlText w:val="•"/>
      <w:lvlJc w:val="left"/>
      <w:pPr>
        <w:ind w:left="4480" w:hanging="211"/>
      </w:pPr>
      <w:rPr>
        <w:rFonts w:hint="default"/>
        <w:lang w:val="en-US" w:eastAsia="zh-CN" w:bidi="ar-SA"/>
      </w:rPr>
    </w:lvl>
  </w:abstractNum>
  <w:abstractNum w:abstractNumId="24">
    <w:nsid w:val="3BABBDA1"/>
    <w:multiLevelType w:val="hybridMultilevel"/>
    <w:tmpl w:val="00000000"/>
    <w:lvl w:ilvl="0">
      <w:start w:val="2"/>
      <w:numFmt w:val="decimal"/>
      <w:lvlText w:val="%1."/>
      <w:lvlJc w:val="left"/>
      <w:pPr>
        <w:ind w:left="294" w:hanging="241"/>
        <w:jc w:val="left"/>
      </w:pPr>
      <w:rPr>
        <w:rFonts w:ascii="宋体" w:eastAsia="宋体" w:hAnsi="宋体" w:cs="宋体" w:hint="default"/>
        <w:b w:val="0"/>
        <w:bCs w:val="0"/>
        <w:i w:val="0"/>
        <w:iCs w:val="0"/>
        <w:w w:val="100"/>
        <w:sz w:val="22"/>
        <w:szCs w:val="22"/>
        <w:lang w:val="en-US" w:eastAsia="zh-CN" w:bidi="ar-SA"/>
      </w:rPr>
    </w:lvl>
    <w:lvl w:ilvl="1">
      <w:start w:val="1"/>
      <w:numFmt w:val="decimal"/>
      <w:lvlText w:val="%1.%2"/>
      <w:lvlJc w:val="left"/>
      <w:pPr>
        <w:ind w:left="294" w:hanging="4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41" w:hanging="420"/>
      </w:pPr>
      <w:rPr>
        <w:rFonts w:hint="default"/>
        <w:lang w:val="en-US" w:eastAsia="zh-CN" w:bidi="ar-SA"/>
      </w:rPr>
    </w:lvl>
    <w:lvl w:ilvl="3">
      <w:start w:val="0"/>
      <w:numFmt w:val="bullet"/>
      <w:lvlText w:val="•"/>
      <w:lvlJc w:val="left"/>
      <w:pPr>
        <w:ind w:left="3361" w:hanging="420"/>
      </w:pPr>
      <w:rPr>
        <w:rFonts w:hint="default"/>
        <w:lang w:val="en-US" w:eastAsia="zh-CN" w:bidi="ar-SA"/>
      </w:rPr>
    </w:lvl>
    <w:lvl w:ilvl="4">
      <w:start w:val="0"/>
      <w:numFmt w:val="bullet"/>
      <w:lvlText w:val="•"/>
      <w:lvlJc w:val="left"/>
      <w:pPr>
        <w:ind w:left="4382" w:hanging="420"/>
      </w:pPr>
      <w:rPr>
        <w:rFonts w:hint="default"/>
        <w:lang w:val="en-US" w:eastAsia="zh-CN" w:bidi="ar-SA"/>
      </w:rPr>
    </w:lvl>
    <w:lvl w:ilvl="5">
      <w:start w:val="0"/>
      <w:numFmt w:val="bullet"/>
      <w:lvlText w:val="•"/>
      <w:lvlJc w:val="left"/>
      <w:pPr>
        <w:ind w:left="5403" w:hanging="420"/>
      </w:pPr>
      <w:rPr>
        <w:rFonts w:hint="default"/>
        <w:lang w:val="en-US" w:eastAsia="zh-CN" w:bidi="ar-SA"/>
      </w:rPr>
    </w:lvl>
    <w:lvl w:ilvl="6">
      <w:start w:val="0"/>
      <w:numFmt w:val="bullet"/>
      <w:lvlText w:val="•"/>
      <w:lvlJc w:val="left"/>
      <w:pPr>
        <w:ind w:left="6423" w:hanging="420"/>
      </w:pPr>
      <w:rPr>
        <w:rFonts w:hint="default"/>
        <w:lang w:val="en-US" w:eastAsia="zh-CN" w:bidi="ar-SA"/>
      </w:rPr>
    </w:lvl>
    <w:lvl w:ilvl="7">
      <w:start w:val="0"/>
      <w:numFmt w:val="bullet"/>
      <w:lvlText w:val="•"/>
      <w:lvlJc w:val="left"/>
      <w:pPr>
        <w:ind w:left="7444" w:hanging="420"/>
      </w:pPr>
      <w:rPr>
        <w:rFonts w:hint="default"/>
        <w:lang w:val="en-US" w:eastAsia="zh-CN" w:bidi="ar-SA"/>
      </w:rPr>
    </w:lvl>
    <w:lvl w:ilvl="8">
      <w:start w:val="0"/>
      <w:numFmt w:val="bullet"/>
      <w:lvlText w:val="•"/>
      <w:lvlJc w:val="left"/>
      <w:pPr>
        <w:ind w:left="8464" w:hanging="420"/>
      </w:pPr>
      <w:rPr>
        <w:rFonts w:hint="default"/>
        <w:lang w:val="en-US" w:eastAsia="zh-CN" w:bidi="ar-SA"/>
      </w:rPr>
    </w:lvl>
  </w:abstractNum>
  <w:abstractNum w:abstractNumId="25">
    <w:nsid w:val="41600CF0"/>
    <w:multiLevelType w:val="hybridMultilevel"/>
    <w:tmpl w:val="00000000"/>
    <w:lvl w:ilvl="0">
      <w:start w:val="1"/>
      <w:numFmt w:val="decimal"/>
      <w:lvlText w:val="%1."/>
      <w:lvlJc w:val="left"/>
      <w:pPr>
        <w:ind w:left="92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878" w:hanging="211"/>
      </w:pPr>
      <w:rPr>
        <w:rFonts w:hint="default"/>
        <w:lang w:val="en-US" w:eastAsia="zh-CN" w:bidi="ar-SA"/>
      </w:rPr>
    </w:lvl>
    <w:lvl w:ilvl="2">
      <w:start w:val="0"/>
      <w:numFmt w:val="bullet"/>
      <w:lvlText w:val="•"/>
      <w:lvlJc w:val="left"/>
      <w:pPr>
        <w:ind w:left="2837" w:hanging="211"/>
      </w:pPr>
      <w:rPr>
        <w:rFonts w:hint="default"/>
        <w:lang w:val="en-US" w:eastAsia="zh-CN" w:bidi="ar-SA"/>
      </w:rPr>
    </w:lvl>
    <w:lvl w:ilvl="3">
      <w:start w:val="0"/>
      <w:numFmt w:val="bullet"/>
      <w:lvlText w:val="•"/>
      <w:lvlJc w:val="left"/>
      <w:pPr>
        <w:ind w:left="3795" w:hanging="211"/>
      </w:pPr>
      <w:rPr>
        <w:rFonts w:hint="default"/>
        <w:lang w:val="en-US" w:eastAsia="zh-CN" w:bidi="ar-SA"/>
      </w:rPr>
    </w:lvl>
    <w:lvl w:ilvl="4">
      <w:start w:val="0"/>
      <w:numFmt w:val="bullet"/>
      <w:lvlText w:val="•"/>
      <w:lvlJc w:val="left"/>
      <w:pPr>
        <w:ind w:left="4754" w:hanging="211"/>
      </w:pPr>
      <w:rPr>
        <w:rFonts w:hint="default"/>
        <w:lang w:val="en-US" w:eastAsia="zh-CN" w:bidi="ar-SA"/>
      </w:rPr>
    </w:lvl>
    <w:lvl w:ilvl="5">
      <w:start w:val="0"/>
      <w:numFmt w:val="bullet"/>
      <w:lvlText w:val="•"/>
      <w:lvlJc w:val="left"/>
      <w:pPr>
        <w:ind w:left="5713" w:hanging="211"/>
      </w:pPr>
      <w:rPr>
        <w:rFonts w:hint="default"/>
        <w:lang w:val="en-US" w:eastAsia="zh-CN" w:bidi="ar-SA"/>
      </w:rPr>
    </w:lvl>
    <w:lvl w:ilvl="6">
      <w:start w:val="0"/>
      <w:numFmt w:val="bullet"/>
      <w:lvlText w:val="•"/>
      <w:lvlJc w:val="left"/>
      <w:pPr>
        <w:ind w:left="6671" w:hanging="211"/>
      </w:pPr>
      <w:rPr>
        <w:rFonts w:hint="default"/>
        <w:lang w:val="en-US" w:eastAsia="zh-CN" w:bidi="ar-SA"/>
      </w:rPr>
    </w:lvl>
    <w:lvl w:ilvl="7">
      <w:start w:val="0"/>
      <w:numFmt w:val="bullet"/>
      <w:lvlText w:val="•"/>
      <w:lvlJc w:val="left"/>
      <w:pPr>
        <w:ind w:left="7630" w:hanging="211"/>
      </w:pPr>
      <w:rPr>
        <w:rFonts w:hint="default"/>
        <w:lang w:val="en-US" w:eastAsia="zh-CN" w:bidi="ar-SA"/>
      </w:rPr>
    </w:lvl>
    <w:lvl w:ilvl="8">
      <w:start w:val="0"/>
      <w:numFmt w:val="bullet"/>
      <w:lvlText w:val="•"/>
      <w:lvlJc w:val="left"/>
      <w:pPr>
        <w:ind w:left="8588" w:hanging="211"/>
      </w:pPr>
      <w:rPr>
        <w:rFonts w:hint="default"/>
        <w:lang w:val="en-US" w:eastAsia="zh-CN" w:bidi="ar-SA"/>
      </w:rPr>
    </w:lvl>
  </w:abstractNum>
  <w:abstractNum w:abstractNumId="26">
    <w:nsid w:val="41C51E5C"/>
    <w:multiLevelType w:val="hybridMultilevel"/>
    <w:tmpl w:val="00000000"/>
    <w:lvl w:ilvl="0">
      <w:start w:val="1"/>
      <w:numFmt w:val="decimal"/>
      <w:lvlText w:val="%1"/>
      <w:lvlJc w:val="left"/>
      <w:pPr>
        <w:ind w:left="1134" w:hanging="420"/>
        <w:jc w:val="left"/>
      </w:pPr>
      <w:rPr>
        <w:rFonts w:hint="default"/>
        <w:lang w:val="en-US" w:eastAsia="zh-CN" w:bidi="ar-SA"/>
      </w:rPr>
    </w:lvl>
    <w:lvl w:ilvl="1">
      <w:start w:val="1"/>
      <w:numFmt w:val="decimal"/>
      <w:lvlText w:val="%1.%2"/>
      <w:lvlJc w:val="left"/>
      <w:pPr>
        <w:ind w:left="1134" w:hanging="42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3013" w:hanging="420"/>
      </w:pPr>
      <w:rPr>
        <w:rFonts w:hint="default"/>
        <w:lang w:val="en-US" w:eastAsia="zh-CN" w:bidi="ar-SA"/>
      </w:rPr>
    </w:lvl>
    <w:lvl w:ilvl="3">
      <w:start w:val="0"/>
      <w:numFmt w:val="bullet"/>
      <w:lvlText w:val="•"/>
      <w:lvlJc w:val="left"/>
      <w:pPr>
        <w:ind w:left="3949" w:hanging="420"/>
      </w:pPr>
      <w:rPr>
        <w:rFonts w:hint="default"/>
        <w:lang w:val="en-US" w:eastAsia="zh-CN" w:bidi="ar-SA"/>
      </w:rPr>
    </w:lvl>
    <w:lvl w:ilvl="4">
      <w:start w:val="0"/>
      <w:numFmt w:val="bullet"/>
      <w:lvlText w:val="•"/>
      <w:lvlJc w:val="left"/>
      <w:pPr>
        <w:ind w:left="4886" w:hanging="420"/>
      </w:pPr>
      <w:rPr>
        <w:rFonts w:hint="default"/>
        <w:lang w:val="en-US" w:eastAsia="zh-CN" w:bidi="ar-SA"/>
      </w:rPr>
    </w:lvl>
    <w:lvl w:ilvl="5">
      <w:start w:val="0"/>
      <w:numFmt w:val="bullet"/>
      <w:lvlText w:val="•"/>
      <w:lvlJc w:val="left"/>
      <w:pPr>
        <w:ind w:left="5823" w:hanging="420"/>
      </w:pPr>
      <w:rPr>
        <w:rFonts w:hint="default"/>
        <w:lang w:val="en-US" w:eastAsia="zh-CN" w:bidi="ar-SA"/>
      </w:rPr>
    </w:lvl>
    <w:lvl w:ilvl="6">
      <w:start w:val="0"/>
      <w:numFmt w:val="bullet"/>
      <w:lvlText w:val="•"/>
      <w:lvlJc w:val="left"/>
      <w:pPr>
        <w:ind w:left="6759" w:hanging="420"/>
      </w:pPr>
      <w:rPr>
        <w:rFonts w:hint="default"/>
        <w:lang w:val="en-US" w:eastAsia="zh-CN" w:bidi="ar-SA"/>
      </w:rPr>
    </w:lvl>
    <w:lvl w:ilvl="7">
      <w:start w:val="0"/>
      <w:numFmt w:val="bullet"/>
      <w:lvlText w:val="•"/>
      <w:lvlJc w:val="left"/>
      <w:pPr>
        <w:ind w:left="7696" w:hanging="420"/>
      </w:pPr>
      <w:rPr>
        <w:rFonts w:hint="default"/>
        <w:lang w:val="en-US" w:eastAsia="zh-CN" w:bidi="ar-SA"/>
      </w:rPr>
    </w:lvl>
    <w:lvl w:ilvl="8">
      <w:start w:val="0"/>
      <w:numFmt w:val="bullet"/>
      <w:lvlText w:val="•"/>
      <w:lvlJc w:val="left"/>
      <w:pPr>
        <w:ind w:left="8632" w:hanging="420"/>
      </w:pPr>
      <w:rPr>
        <w:rFonts w:hint="default"/>
        <w:lang w:val="en-US" w:eastAsia="zh-CN" w:bidi="ar-SA"/>
      </w:rPr>
    </w:lvl>
  </w:abstractNum>
  <w:abstractNum w:abstractNumId="27">
    <w:nsid w:val="44949AD1"/>
    <w:multiLevelType w:val="hybridMultilevel"/>
    <w:tmpl w:val="00000000"/>
    <w:lvl w:ilvl="0">
      <w:start w:val="1"/>
      <w:numFmt w:val="decimal"/>
      <w:lvlText w:val="%1."/>
      <w:lvlJc w:val="left"/>
      <w:pPr>
        <w:ind w:left="92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878" w:hanging="211"/>
      </w:pPr>
      <w:rPr>
        <w:rFonts w:hint="default"/>
        <w:lang w:val="en-US" w:eastAsia="zh-CN" w:bidi="ar-SA"/>
      </w:rPr>
    </w:lvl>
    <w:lvl w:ilvl="2">
      <w:start w:val="0"/>
      <w:numFmt w:val="bullet"/>
      <w:lvlText w:val="•"/>
      <w:lvlJc w:val="left"/>
      <w:pPr>
        <w:ind w:left="2837" w:hanging="211"/>
      </w:pPr>
      <w:rPr>
        <w:rFonts w:hint="default"/>
        <w:lang w:val="en-US" w:eastAsia="zh-CN" w:bidi="ar-SA"/>
      </w:rPr>
    </w:lvl>
    <w:lvl w:ilvl="3">
      <w:start w:val="0"/>
      <w:numFmt w:val="bullet"/>
      <w:lvlText w:val="•"/>
      <w:lvlJc w:val="left"/>
      <w:pPr>
        <w:ind w:left="3795" w:hanging="211"/>
      </w:pPr>
      <w:rPr>
        <w:rFonts w:hint="default"/>
        <w:lang w:val="en-US" w:eastAsia="zh-CN" w:bidi="ar-SA"/>
      </w:rPr>
    </w:lvl>
    <w:lvl w:ilvl="4">
      <w:start w:val="0"/>
      <w:numFmt w:val="bullet"/>
      <w:lvlText w:val="•"/>
      <w:lvlJc w:val="left"/>
      <w:pPr>
        <w:ind w:left="4754" w:hanging="211"/>
      </w:pPr>
      <w:rPr>
        <w:rFonts w:hint="default"/>
        <w:lang w:val="en-US" w:eastAsia="zh-CN" w:bidi="ar-SA"/>
      </w:rPr>
    </w:lvl>
    <w:lvl w:ilvl="5">
      <w:start w:val="0"/>
      <w:numFmt w:val="bullet"/>
      <w:lvlText w:val="•"/>
      <w:lvlJc w:val="left"/>
      <w:pPr>
        <w:ind w:left="5713" w:hanging="211"/>
      </w:pPr>
      <w:rPr>
        <w:rFonts w:hint="default"/>
        <w:lang w:val="en-US" w:eastAsia="zh-CN" w:bidi="ar-SA"/>
      </w:rPr>
    </w:lvl>
    <w:lvl w:ilvl="6">
      <w:start w:val="0"/>
      <w:numFmt w:val="bullet"/>
      <w:lvlText w:val="•"/>
      <w:lvlJc w:val="left"/>
      <w:pPr>
        <w:ind w:left="6671" w:hanging="211"/>
      </w:pPr>
      <w:rPr>
        <w:rFonts w:hint="default"/>
        <w:lang w:val="en-US" w:eastAsia="zh-CN" w:bidi="ar-SA"/>
      </w:rPr>
    </w:lvl>
    <w:lvl w:ilvl="7">
      <w:start w:val="0"/>
      <w:numFmt w:val="bullet"/>
      <w:lvlText w:val="•"/>
      <w:lvlJc w:val="left"/>
      <w:pPr>
        <w:ind w:left="7630" w:hanging="211"/>
      </w:pPr>
      <w:rPr>
        <w:rFonts w:hint="default"/>
        <w:lang w:val="en-US" w:eastAsia="zh-CN" w:bidi="ar-SA"/>
      </w:rPr>
    </w:lvl>
    <w:lvl w:ilvl="8">
      <w:start w:val="0"/>
      <w:numFmt w:val="bullet"/>
      <w:lvlText w:val="•"/>
      <w:lvlJc w:val="left"/>
      <w:pPr>
        <w:ind w:left="8588" w:hanging="211"/>
      </w:pPr>
      <w:rPr>
        <w:rFonts w:hint="default"/>
        <w:lang w:val="en-US" w:eastAsia="zh-CN" w:bidi="ar-SA"/>
      </w:rPr>
    </w:lvl>
  </w:abstractNum>
  <w:abstractNum w:abstractNumId="28">
    <w:nsid w:val="459D8ED2"/>
    <w:multiLevelType w:val="hybridMultilevel"/>
    <w:tmpl w:val="00000000"/>
    <w:lvl w:ilvl="0">
      <w:start w:val="4"/>
      <w:numFmt w:val="decimal"/>
      <w:lvlText w:val="%1."/>
      <w:lvlJc w:val="left"/>
      <w:pPr>
        <w:ind w:left="216" w:hanging="211"/>
        <w:jc w:val="left"/>
      </w:pPr>
      <w:rPr>
        <w:rFonts w:ascii="宋体" w:eastAsia="宋体" w:hAnsi="宋体" w:cs="宋体" w:hint="default"/>
        <w:b w:val="0"/>
        <w:bCs w:val="0"/>
        <w:i w:val="0"/>
        <w:iCs w:val="0"/>
        <w:color w:val="333333"/>
        <w:w w:val="100"/>
        <w:sz w:val="19"/>
        <w:szCs w:val="19"/>
        <w:lang w:val="en-US" w:eastAsia="zh-CN" w:bidi="ar-SA"/>
      </w:rPr>
    </w:lvl>
    <w:lvl w:ilvl="1">
      <w:start w:val="0"/>
      <w:numFmt w:val="bullet"/>
      <w:lvlText w:val="•"/>
      <w:lvlJc w:val="left"/>
      <w:pPr>
        <w:ind w:left="609" w:hanging="211"/>
      </w:pPr>
      <w:rPr>
        <w:rFonts w:hint="default"/>
        <w:lang w:val="en-US" w:eastAsia="zh-CN" w:bidi="ar-SA"/>
      </w:rPr>
    </w:lvl>
    <w:lvl w:ilvl="2">
      <w:start w:val="0"/>
      <w:numFmt w:val="bullet"/>
      <w:lvlText w:val="•"/>
      <w:lvlJc w:val="left"/>
      <w:pPr>
        <w:ind w:left="998" w:hanging="211"/>
      </w:pPr>
      <w:rPr>
        <w:rFonts w:hint="default"/>
        <w:lang w:val="en-US" w:eastAsia="zh-CN" w:bidi="ar-SA"/>
      </w:rPr>
    </w:lvl>
    <w:lvl w:ilvl="3">
      <w:start w:val="0"/>
      <w:numFmt w:val="bullet"/>
      <w:lvlText w:val="•"/>
      <w:lvlJc w:val="left"/>
      <w:pPr>
        <w:ind w:left="1387" w:hanging="211"/>
      </w:pPr>
      <w:rPr>
        <w:rFonts w:hint="default"/>
        <w:lang w:val="en-US" w:eastAsia="zh-CN" w:bidi="ar-SA"/>
      </w:rPr>
    </w:lvl>
    <w:lvl w:ilvl="4">
      <w:start w:val="0"/>
      <w:numFmt w:val="bullet"/>
      <w:lvlText w:val="•"/>
      <w:lvlJc w:val="left"/>
      <w:pPr>
        <w:ind w:left="1776" w:hanging="211"/>
      </w:pPr>
      <w:rPr>
        <w:rFonts w:hint="default"/>
        <w:lang w:val="en-US" w:eastAsia="zh-CN" w:bidi="ar-SA"/>
      </w:rPr>
    </w:lvl>
    <w:lvl w:ilvl="5">
      <w:start w:val="0"/>
      <w:numFmt w:val="bullet"/>
      <w:lvlText w:val="•"/>
      <w:lvlJc w:val="left"/>
      <w:pPr>
        <w:ind w:left="2165" w:hanging="211"/>
      </w:pPr>
      <w:rPr>
        <w:rFonts w:hint="default"/>
        <w:lang w:val="en-US" w:eastAsia="zh-CN" w:bidi="ar-SA"/>
      </w:rPr>
    </w:lvl>
    <w:lvl w:ilvl="6">
      <w:start w:val="0"/>
      <w:numFmt w:val="bullet"/>
      <w:lvlText w:val="•"/>
      <w:lvlJc w:val="left"/>
      <w:pPr>
        <w:ind w:left="2554" w:hanging="211"/>
      </w:pPr>
      <w:rPr>
        <w:rFonts w:hint="default"/>
        <w:lang w:val="en-US" w:eastAsia="zh-CN" w:bidi="ar-SA"/>
      </w:rPr>
    </w:lvl>
    <w:lvl w:ilvl="7">
      <w:start w:val="0"/>
      <w:numFmt w:val="bullet"/>
      <w:lvlText w:val="•"/>
      <w:lvlJc w:val="left"/>
      <w:pPr>
        <w:ind w:left="2943" w:hanging="211"/>
      </w:pPr>
      <w:rPr>
        <w:rFonts w:hint="default"/>
        <w:lang w:val="en-US" w:eastAsia="zh-CN" w:bidi="ar-SA"/>
      </w:rPr>
    </w:lvl>
    <w:lvl w:ilvl="8">
      <w:start w:val="0"/>
      <w:numFmt w:val="bullet"/>
      <w:lvlText w:val="•"/>
      <w:lvlJc w:val="left"/>
      <w:pPr>
        <w:ind w:left="3332" w:hanging="211"/>
      </w:pPr>
      <w:rPr>
        <w:rFonts w:hint="default"/>
        <w:lang w:val="en-US" w:eastAsia="zh-CN" w:bidi="ar-SA"/>
      </w:rPr>
    </w:lvl>
  </w:abstractNum>
  <w:abstractNum w:abstractNumId="29">
    <w:nsid w:val="46E11B00"/>
    <w:multiLevelType w:val="hybridMultilevel"/>
    <w:tmpl w:val="00000000"/>
    <w:lvl w:ilvl="0">
      <w:start w:val="1"/>
      <w:numFmt w:val="decimal"/>
      <w:lvlText w:val="%1."/>
      <w:lvlJc w:val="left"/>
      <w:pPr>
        <w:ind w:left="925" w:hanging="211"/>
        <w:jc w:val="right"/>
      </w:pPr>
      <w:rPr>
        <w:rFonts w:hint="default"/>
        <w:w w:val="93"/>
        <w:lang w:val="en-US" w:eastAsia="zh-CN" w:bidi="ar-SA"/>
      </w:rPr>
    </w:lvl>
    <w:lvl w:ilvl="1">
      <w:start w:val="1"/>
      <w:numFmt w:val="decimal"/>
      <w:lvlText w:val="%1.%2"/>
      <w:lvlJc w:val="left"/>
      <w:pPr>
        <w:ind w:left="294" w:hanging="473"/>
        <w:jc w:val="left"/>
      </w:pPr>
      <w:rPr>
        <w:rFonts w:hint="default"/>
        <w:w w:val="100"/>
        <w:lang w:val="en-US" w:eastAsia="zh-CN" w:bidi="ar-SA"/>
      </w:rPr>
    </w:lvl>
    <w:lvl w:ilvl="2">
      <w:start w:val="1"/>
      <w:numFmt w:val="decimal"/>
      <w:lvlText w:val="%1.%2.%3"/>
      <w:lvlJc w:val="left"/>
      <w:pPr>
        <w:ind w:left="294" w:hanging="473"/>
        <w:jc w:val="left"/>
      </w:pPr>
      <w:rPr>
        <w:rFonts w:ascii="宋体" w:eastAsia="宋体" w:hAnsi="宋体" w:cs="宋体" w:hint="default"/>
        <w:b w:val="0"/>
        <w:bCs w:val="0"/>
        <w:i w:val="0"/>
        <w:iCs w:val="0"/>
        <w:w w:val="100"/>
        <w:sz w:val="21"/>
        <w:szCs w:val="21"/>
        <w:lang w:val="en-US" w:eastAsia="zh-CN" w:bidi="ar-SA"/>
      </w:rPr>
    </w:lvl>
    <w:lvl w:ilvl="3">
      <w:start w:val="0"/>
      <w:numFmt w:val="bullet"/>
      <w:lvlText w:val="•"/>
      <w:lvlJc w:val="left"/>
      <w:pPr>
        <w:ind w:left="1140" w:hanging="473"/>
      </w:pPr>
      <w:rPr>
        <w:rFonts w:hint="default"/>
        <w:lang w:val="en-US" w:eastAsia="zh-CN" w:bidi="ar-SA"/>
      </w:rPr>
    </w:lvl>
    <w:lvl w:ilvl="4">
      <w:start w:val="0"/>
      <w:numFmt w:val="bullet"/>
      <w:lvlText w:val="•"/>
      <w:lvlJc w:val="left"/>
      <w:pPr>
        <w:ind w:left="1160" w:hanging="473"/>
      </w:pPr>
      <w:rPr>
        <w:rFonts w:hint="default"/>
        <w:lang w:val="en-US" w:eastAsia="zh-CN" w:bidi="ar-SA"/>
      </w:rPr>
    </w:lvl>
    <w:lvl w:ilvl="5">
      <w:start w:val="0"/>
      <w:numFmt w:val="bullet"/>
      <w:lvlText w:val="•"/>
      <w:lvlJc w:val="left"/>
      <w:pPr>
        <w:ind w:left="1180" w:hanging="473"/>
      </w:pPr>
      <w:rPr>
        <w:rFonts w:hint="default"/>
        <w:lang w:val="en-US" w:eastAsia="zh-CN" w:bidi="ar-SA"/>
      </w:rPr>
    </w:lvl>
    <w:lvl w:ilvl="6">
      <w:start w:val="0"/>
      <w:numFmt w:val="bullet"/>
      <w:lvlText w:val="•"/>
      <w:lvlJc w:val="left"/>
      <w:pPr>
        <w:ind w:left="1300" w:hanging="473"/>
      </w:pPr>
      <w:rPr>
        <w:rFonts w:hint="default"/>
        <w:lang w:val="en-US" w:eastAsia="zh-CN" w:bidi="ar-SA"/>
      </w:rPr>
    </w:lvl>
    <w:lvl w:ilvl="7">
      <w:start w:val="0"/>
      <w:numFmt w:val="bullet"/>
      <w:lvlText w:val="•"/>
      <w:lvlJc w:val="left"/>
      <w:pPr>
        <w:ind w:left="1400" w:hanging="473"/>
      </w:pPr>
      <w:rPr>
        <w:rFonts w:hint="default"/>
        <w:lang w:val="en-US" w:eastAsia="zh-CN" w:bidi="ar-SA"/>
      </w:rPr>
    </w:lvl>
    <w:lvl w:ilvl="8">
      <w:start w:val="0"/>
      <w:numFmt w:val="bullet"/>
      <w:lvlText w:val="•"/>
      <w:lvlJc w:val="left"/>
      <w:pPr>
        <w:ind w:left="4435" w:hanging="473"/>
      </w:pPr>
      <w:rPr>
        <w:rFonts w:hint="default"/>
        <w:lang w:val="en-US" w:eastAsia="zh-CN" w:bidi="ar-SA"/>
      </w:rPr>
    </w:lvl>
  </w:abstractNum>
  <w:abstractNum w:abstractNumId="30">
    <w:nsid w:val="47730212"/>
    <w:multiLevelType w:val="hybridMultilevel"/>
    <w:tmpl w:val="00000000"/>
    <w:lvl w:ilvl="0">
      <w:start w:val="1"/>
      <w:numFmt w:val="decimal"/>
      <w:lvlText w:val="%1."/>
      <w:lvlJc w:val="left"/>
      <w:pPr>
        <w:ind w:left="925" w:hanging="212"/>
        <w:jc w:val="left"/>
      </w:pPr>
      <w:rPr>
        <w:rFonts w:ascii="微软雅黑" w:eastAsia="微软雅黑" w:hAnsi="微软雅黑" w:cs="微软雅黑" w:hint="default"/>
        <w:b/>
        <w:bCs/>
        <w:i w:val="0"/>
        <w:iCs w:val="0"/>
        <w:w w:val="81"/>
        <w:sz w:val="19"/>
        <w:szCs w:val="19"/>
        <w:lang w:val="en-US" w:eastAsia="zh-CN" w:bidi="ar-SA"/>
      </w:rPr>
    </w:lvl>
    <w:lvl w:ilvl="1">
      <w:start w:val="0"/>
      <w:numFmt w:val="bullet"/>
      <w:lvlText w:val="•"/>
      <w:lvlJc w:val="left"/>
      <w:pPr>
        <w:ind w:left="1878" w:hanging="212"/>
      </w:pPr>
      <w:rPr>
        <w:rFonts w:hint="default"/>
        <w:lang w:val="en-US" w:eastAsia="zh-CN" w:bidi="ar-SA"/>
      </w:rPr>
    </w:lvl>
    <w:lvl w:ilvl="2">
      <w:start w:val="0"/>
      <w:numFmt w:val="bullet"/>
      <w:lvlText w:val="•"/>
      <w:lvlJc w:val="left"/>
      <w:pPr>
        <w:ind w:left="2837" w:hanging="212"/>
      </w:pPr>
      <w:rPr>
        <w:rFonts w:hint="default"/>
        <w:lang w:val="en-US" w:eastAsia="zh-CN" w:bidi="ar-SA"/>
      </w:rPr>
    </w:lvl>
    <w:lvl w:ilvl="3">
      <w:start w:val="0"/>
      <w:numFmt w:val="bullet"/>
      <w:lvlText w:val="•"/>
      <w:lvlJc w:val="left"/>
      <w:pPr>
        <w:ind w:left="3795" w:hanging="212"/>
      </w:pPr>
      <w:rPr>
        <w:rFonts w:hint="default"/>
        <w:lang w:val="en-US" w:eastAsia="zh-CN" w:bidi="ar-SA"/>
      </w:rPr>
    </w:lvl>
    <w:lvl w:ilvl="4">
      <w:start w:val="0"/>
      <w:numFmt w:val="bullet"/>
      <w:lvlText w:val="•"/>
      <w:lvlJc w:val="left"/>
      <w:pPr>
        <w:ind w:left="4754" w:hanging="212"/>
      </w:pPr>
      <w:rPr>
        <w:rFonts w:hint="default"/>
        <w:lang w:val="en-US" w:eastAsia="zh-CN" w:bidi="ar-SA"/>
      </w:rPr>
    </w:lvl>
    <w:lvl w:ilvl="5">
      <w:start w:val="0"/>
      <w:numFmt w:val="bullet"/>
      <w:lvlText w:val="•"/>
      <w:lvlJc w:val="left"/>
      <w:pPr>
        <w:ind w:left="5713" w:hanging="212"/>
      </w:pPr>
      <w:rPr>
        <w:rFonts w:hint="default"/>
        <w:lang w:val="en-US" w:eastAsia="zh-CN" w:bidi="ar-SA"/>
      </w:rPr>
    </w:lvl>
    <w:lvl w:ilvl="6">
      <w:start w:val="0"/>
      <w:numFmt w:val="bullet"/>
      <w:lvlText w:val="•"/>
      <w:lvlJc w:val="left"/>
      <w:pPr>
        <w:ind w:left="6671" w:hanging="212"/>
      </w:pPr>
      <w:rPr>
        <w:rFonts w:hint="default"/>
        <w:lang w:val="en-US" w:eastAsia="zh-CN" w:bidi="ar-SA"/>
      </w:rPr>
    </w:lvl>
    <w:lvl w:ilvl="7">
      <w:start w:val="0"/>
      <w:numFmt w:val="bullet"/>
      <w:lvlText w:val="•"/>
      <w:lvlJc w:val="left"/>
      <w:pPr>
        <w:ind w:left="7630" w:hanging="212"/>
      </w:pPr>
      <w:rPr>
        <w:rFonts w:hint="default"/>
        <w:lang w:val="en-US" w:eastAsia="zh-CN" w:bidi="ar-SA"/>
      </w:rPr>
    </w:lvl>
    <w:lvl w:ilvl="8">
      <w:start w:val="0"/>
      <w:numFmt w:val="bullet"/>
      <w:lvlText w:val="•"/>
      <w:lvlJc w:val="left"/>
      <w:pPr>
        <w:ind w:left="8588" w:hanging="212"/>
      </w:pPr>
      <w:rPr>
        <w:rFonts w:hint="default"/>
        <w:lang w:val="en-US" w:eastAsia="zh-CN" w:bidi="ar-SA"/>
      </w:rPr>
    </w:lvl>
  </w:abstractNum>
  <w:abstractNum w:abstractNumId="31">
    <w:nsid w:val="47D25B34"/>
    <w:multiLevelType w:val="hybridMultilevel"/>
    <w:tmpl w:val="00000000"/>
    <w:lvl w:ilvl="0">
      <w:start w:val="1"/>
      <w:numFmt w:val="decimal"/>
      <w:lvlText w:val="%1."/>
      <w:lvlJc w:val="left"/>
      <w:pPr>
        <w:ind w:left="294"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320" w:hanging="211"/>
      </w:pPr>
      <w:rPr>
        <w:rFonts w:hint="default"/>
        <w:lang w:val="en-US" w:eastAsia="zh-CN" w:bidi="ar-SA"/>
      </w:rPr>
    </w:lvl>
    <w:lvl w:ilvl="2">
      <w:start w:val="0"/>
      <w:numFmt w:val="bullet"/>
      <w:lvlText w:val="•"/>
      <w:lvlJc w:val="left"/>
      <w:pPr>
        <w:ind w:left="2341" w:hanging="211"/>
      </w:pPr>
      <w:rPr>
        <w:rFonts w:hint="default"/>
        <w:lang w:val="en-US" w:eastAsia="zh-CN" w:bidi="ar-SA"/>
      </w:rPr>
    </w:lvl>
    <w:lvl w:ilvl="3">
      <w:start w:val="0"/>
      <w:numFmt w:val="bullet"/>
      <w:lvlText w:val="•"/>
      <w:lvlJc w:val="left"/>
      <w:pPr>
        <w:ind w:left="3361" w:hanging="211"/>
      </w:pPr>
      <w:rPr>
        <w:rFonts w:hint="default"/>
        <w:lang w:val="en-US" w:eastAsia="zh-CN" w:bidi="ar-SA"/>
      </w:rPr>
    </w:lvl>
    <w:lvl w:ilvl="4">
      <w:start w:val="0"/>
      <w:numFmt w:val="bullet"/>
      <w:lvlText w:val="•"/>
      <w:lvlJc w:val="left"/>
      <w:pPr>
        <w:ind w:left="4382" w:hanging="211"/>
      </w:pPr>
      <w:rPr>
        <w:rFonts w:hint="default"/>
        <w:lang w:val="en-US" w:eastAsia="zh-CN" w:bidi="ar-SA"/>
      </w:rPr>
    </w:lvl>
    <w:lvl w:ilvl="5">
      <w:start w:val="0"/>
      <w:numFmt w:val="bullet"/>
      <w:lvlText w:val="•"/>
      <w:lvlJc w:val="left"/>
      <w:pPr>
        <w:ind w:left="5403" w:hanging="211"/>
      </w:pPr>
      <w:rPr>
        <w:rFonts w:hint="default"/>
        <w:lang w:val="en-US" w:eastAsia="zh-CN" w:bidi="ar-SA"/>
      </w:rPr>
    </w:lvl>
    <w:lvl w:ilvl="6">
      <w:start w:val="0"/>
      <w:numFmt w:val="bullet"/>
      <w:lvlText w:val="•"/>
      <w:lvlJc w:val="left"/>
      <w:pPr>
        <w:ind w:left="6423" w:hanging="211"/>
      </w:pPr>
      <w:rPr>
        <w:rFonts w:hint="default"/>
        <w:lang w:val="en-US" w:eastAsia="zh-CN" w:bidi="ar-SA"/>
      </w:rPr>
    </w:lvl>
    <w:lvl w:ilvl="7">
      <w:start w:val="0"/>
      <w:numFmt w:val="bullet"/>
      <w:lvlText w:val="•"/>
      <w:lvlJc w:val="left"/>
      <w:pPr>
        <w:ind w:left="7444" w:hanging="211"/>
      </w:pPr>
      <w:rPr>
        <w:rFonts w:hint="default"/>
        <w:lang w:val="en-US" w:eastAsia="zh-CN" w:bidi="ar-SA"/>
      </w:rPr>
    </w:lvl>
    <w:lvl w:ilvl="8">
      <w:start w:val="0"/>
      <w:numFmt w:val="bullet"/>
      <w:lvlText w:val="•"/>
      <w:lvlJc w:val="left"/>
      <w:pPr>
        <w:ind w:left="8464" w:hanging="211"/>
      </w:pPr>
      <w:rPr>
        <w:rFonts w:hint="default"/>
        <w:lang w:val="en-US" w:eastAsia="zh-CN" w:bidi="ar-SA"/>
      </w:rPr>
    </w:lvl>
  </w:abstractNum>
  <w:abstractNum w:abstractNumId="32">
    <w:nsid w:val="4BB56761"/>
    <w:multiLevelType w:val="hybridMultilevel"/>
    <w:tmpl w:val="00000000"/>
    <w:lvl w:ilvl="0">
      <w:start w:val="1"/>
      <w:numFmt w:val="decimal"/>
      <w:lvlText w:val="%1."/>
      <w:lvlJc w:val="left"/>
      <w:pPr>
        <w:ind w:left="1029" w:hanging="315"/>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68" w:hanging="315"/>
      </w:pPr>
      <w:rPr>
        <w:rFonts w:hint="default"/>
        <w:lang w:val="en-US" w:eastAsia="zh-CN" w:bidi="ar-SA"/>
      </w:rPr>
    </w:lvl>
    <w:lvl w:ilvl="2">
      <w:start w:val="0"/>
      <w:numFmt w:val="bullet"/>
      <w:lvlText w:val="•"/>
      <w:lvlJc w:val="left"/>
      <w:pPr>
        <w:ind w:left="2917" w:hanging="315"/>
      </w:pPr>
      <w:rPr>
        <w:rFonts w:hint="default"/>
        <w:lang w:val="en-US" w:eastAsia="zh-CN" w:bidi="ar-SA"/>
      </w:rPr>
    </w:lvl>
    <w:lvl w:ilvl="3">
      <w:start w:val="0"/>
      <w:numFmt w:val="bullet"/>
      <w:lvlText w:val="•"/>
      <w:lvlJc w:val="left"/>
      <w:pPr>
        <w:ind w:left="3865" w:hanging="315"/>
      </w:pPr>
      <w:rPr>
        <w:rFonts w:hint="default"/>
        <w:lang w:val="en-US" w:eastAsia="zh-CN" w:bidi="ar-SA"/>
      </w:rPr>
    </w:lvl>
    <w:lvl w:ilvl="4">
      <w:start w:val="0"/>
      <w:numFmt w:val="bullet"/>
      <w:lvlText w:val="•"/>
      <w:lvlJc w:val="left"/>
      <w:pPr>
        <w:ind w:left="4814" w:hanging="315"/>
      </w:pPr>
      <w:rPr>
        <w:rFonts w:hint="default"/>
        <w:lang w:val="en-US" w:eastAsia="zh-CN" w:bidi="ar-SA"/>
      </w:rPr>
    </w:lvl>
    <w:lvl w:ilvl="5">
      <w:start w:val="0"/>
      <w:numFmt w:val="bullet"/>
      <w:lvlText w:val="•"/>
      <w:lvlJc w:val="left"/>
      <w:pPr>
        <w:ind w:left="5763" w:hanging="315"/>
      </w:pPr>
      <w:rPr>
        <w:rFonts w:hint="default"/>
        <w:lang w:val="en-US" w:eastAsia="zh-CN" w:bidi="ar-SA"/>
      </w:rPr>
    </w:lvl>
    <w:lvl w:ilvl="6">
      <w:start w:val="0"/>
      <w:numFmt w:val="bullet"/>
      <w:lvlText w:val="•"/>
      <w:lvlJc w:val="left"/>
      <w:pPr>
        <w:ind w:left="6711" w:hanging="315"/>
      </w:pPr>
      <w:rPr>
        <w:rFonts w:hint="default"/>
        <w:lang w:val="en-US" w:eastAsia="zh-CN" w:bidi="ar-SA"/>
      </w:rPr>
    </w:lvl>
    <w:lvl w:ilvl="7">
      <w:start w:val="0"/>
      <w:numFmt w:val="bullet"/>
      <w:lvlText w:val="•"/>
      <w:lvlJc w:val="left"/>
      <w:pPr>
        <w:ind w:left="7660" w:hanging="315"/>
      </w:pPr>
      <w:rPr>
        <w:rFonts w:hint="default"/>
        <w:lang w:val="en-US" w:eastAsia="zh-CN" w:bidi="ar-SA"/>
      </w:rPr>
    </w:lvl>
    <w:lvl w:ilvl="8">
      <w:start w:val="0"/>
      <w:numFmt w:val="bullet"/>
      <w:lvlText w:val="•"/>
      <w:lvlJc w:val="left"/>
      <w:pPr>
        <w:ind w:left="8608" w:hanging="315"/>
      </w:pPr>
      <w:rPr>
        <w:rFonts w:hint="default"/>
        <w:lang w:val="en-US" w:eastAsia="zh-CN" w:bidi="ar-SA"/>
      </w:rPr>
    </w:lvl>
  </w:abstractNum>
  <w:abstractNum w:abstractNumId="33">
    <w:nsid w:val="4E1C3C66"/>
    <w:multiLevelType w:val="hybridMultilevel"/>
    <w:tmpl w:val="00000000"/>
    <w:lvl w:ilvl="0">
      <w:start w:val="1"/>
      <w:numFmt w:val="decimal"/>
      <w:lvlText w:val="%1."/>
      <w:lvlJc w:val="left"/>
      <w:pPr>
        <w:ind w:left="925" w:hanging="211"/>
        <w:jc w:val="right"/>
      </w:pPr>
      <w:rPr>
        <w:rFonts w:hint="default"/>
        <w:w w:val="93"/>
        <w:lang w:val="en-US" w:eastAsia="zh-CN" w:bidi="ar-SA"/>
      </w:rPr>
    </w:lvl>
    <w:lvl w:ilvl="1">
      <w:start w:val="1"/>
      <w:numFmt w:val="decimal"/>
      <w:lvlText w:val="%1.%2"/>
      <w:lvlJc w:val="left"/>
      <w:pPr>
        <w:ind w:left="294" w:hanging="473"/>
        <w:jc w:val="left"/>
      </w:pPr>
      <w:rPr>
        <w:rFonts w:hint="default"/>
        <w:w w:val="100"/>
        <w:lang w:val="en-US" w:eastAsia="zh-CN" w:bidi="ar-SA"/>
      </w:rPr>
    </w:lvl>
    <w:lvl w:ilvl="2">
      <w:start w:val="1"/>
      <w:numFmt w:val="decimal"/>
      <w:lvlText w:val="%1.%2.%3"/>
      <w:lvlJc w:val="left"/>
      <w:pPr>
        <w:ind w:left="294" w:hanging="473"/>
        <w:jc w:val="left"/>
      </w:pPr>
      <w:rPr>
        <w:rFonts w:ascii="宋体" w:eastAsia="宋体" w:hAnsi="宋体" w:cs="宋体" w:hint="default"/>
        <w:b w:val="0"/>
        <w:bCs w:val="0"/>
        <w:i w:val="0"/>
        <w:iCs w:val="0"/>
        <w:w w:val="100"/>
        <w:sz w:val="21"/>
        <w:szCs w:val="21"/>
        <w:lang w:val="en-US" w:eastAsia="zh-CN" w:bidi="ar-SA"/>
      </w:rPr>
    </w:lvl>
    <w:lvl w:ilvl="3">
      <w:start w:val="0"/>
      <w:numFmt w:val="bullet"/>
      <w:lvlText w:val="•"/>
      <w:lvlJc w:val="left"/>
      <w:pPr>
        <w:ind w:left="1140" w:hanging="473"/>
      </w:pPr>
      <w:rPr>
        <w:rFonts w:hint="default"/>
        <w:lang w:val="en-US" w:eastAsia="zh-CN" w:bidi="ar-SA"/>
      </w:rPr>
    </w:lvl>
    <w:lvl w:ilvl="4">
      <w:start w:val="0"/>
      <w:numFmt w:val="bullet"/>
      <w:lvlText w:val="•"/>
      <w:lvlJc w:val="left"/>
      <w:pPr>
        <w:ind w:left="1160" w:hanging="473"/>
      </w:pPr>
      <w:rPr>
        <w:rFonts w:hint="default"/>
        <w:lang w:val="en-US" w:eastAsia="zh-CN" w:bidi="ar-SA"/>
      </w:rPr>
    </w:lvl>
    <w:lvl w:ilvl="5">
      <w:start w:val="0"/>
      <w:numFmt w:val="bullet"/>
      <w:lvlText w:val="•"/>
      <w:lvlJc w:val="left"/>
      <w:pPr>
        <w:ind w:left="1180" w:hanging="473"/>
      </w:pPr>
      <w:rPr>
        <w:rFonts w:hint="default"/>
        <w:lang w:val="en-US" w:eastAsia="zh-CN" w:bidi="ar-SA"/>
      </w:rPr>
    </w:lvl>
    <w:lvl w:ilvl="6">
      <w:start w:val="0"/>
      <w:numFmt w:val="bullet"/>
      <w:lvlText w:val="•"/>
      <w:lvlJc w:val="left"/>
      <w:pPr>
        <w:ind w:left="1300" w:hanging="473"/>
      </w:pPr>
      <w:rPr>
        <w:rFonts w:hint="default"/>
        <w:lang w:val="en-US" w:eastAsia="zh-CN" w:bidi="ar-SA"/>
      </w:rPr>
    </w:lvl>
    <w:lvl w:ilvl="7">
      <w:start w:val="0"/>
      <w:numFmt w:val="bullet"/>
      <w:lvlText w:val="•"/>
      <w:lvlJc w:val="left"/>
      <w:pPr>
        <w:ind w:left="1400" w:hanging="473"/>
      </w:pPr>
      <w:rPr>
        <w:rFonts w:hint="default"/>
        <w:lang w:val="en-US" w:eastAsia="zh-CN" w:bidi="ar-SA"/>
      </w:rPr>
    </w:lvl>
    <w:lvl w:ilvl="8">
      <w:start w:val="0"/>
      <w:numFmt w:val="bullet"/>
      <w:lvlText w:val="•"/>
      <w:lvlJc w:val="left"/>
      <w:pPr>
        <w:ind w:left="4435" w:hanging="473"/>
      </w:pPr>
      <w:rPr>
        <w:rFonts w:hint="default"/>
        <w:lang w:val="en-US" w:eastAsia="zh-CN" w:bidi="ar-SA"/>
      </w:rPr>
    </w:lvl>
  </w:abstractNum>
  <w:abstractNum w:abstractNumId="34">
    <w:nsid w:val="4F09ACC2"/>
    <w:multiLevelType w:val="hybridMultilevel"/>
    <w:tmpl w:val="00000000"/>
    <w:lvl w:ilvl="0">
      <w:start w:val="1"/>
      <w:numFmt w:val="decimal"/>
      <w:lvlText w:val="%1."/>
      <w:lvlJc w:val="left"/>
      <w:pPr>
        <w:ind w:left="925" w:hanging="211"/>
        <w:jc w:val="right"/>
      </w:pPr>
      <w:rPr>
        <w:rFonts w:hint="default"/>
        <w:w w:val="93"/>
        <w:lang w:val="en-US" w:eastAsia="zh-CN" w:bidi="ar-SA"/>
      </w:rPr>
    </w:lvl>
    <w:lvl w:ilvl="1">
      <w:start w:val="1"/>
      <w:numFmt w:val="decimal"/>
      <w:lvlText w:val="%1.%2"/>
      <w:lvlJc w:val="left"/>
      <w:pPr>
        <w:ind w:left="294" w:hanging="473"/>
        <w:jc w:val="left"/>
      </w:pPr>
      <w:rPr>
        <w:rFonts w:hint="default"/>
        <w:w w:val="100"/>
        <w:lang w:val="en-US" w:eastAsia="zh-CN" w:bidi="ar-SA"/>
      </w:rPr>
    </w:lvl>
    <w:lvl w:ilvl="2">
      <w:start w:val="1"/>
      <w:numFmt w:val="decimal"/>
      <w:lvlText w:val="%1.%2.%3"/>
      <w:lvlJc w:val="left"/>
      <w:pPr>
        <w:ind w:left="294" w:hanging="473"/>
        <w:jc w:val="left"/>
      </w:pPr>
      <w:rPr>
        <w:rFonts w:ascii="宋体" w:eastAsia="宋体" w:hAnsi="宋体" w:cs="宋体" w:hint="default"/>
        <w:b w:val="0"/>
        <w:bCs w:val="0"/>
        <w:i w:val="0"/>
        <w:iCs w:val="0"/>
        <w:w w:val="100"/>
        <w:sz w:val="21"/>
        <w:szCs w:val="21"/>
        <w:lang w:val="en-US" w:eastAsia="zh-CN" w:bidi="ar-SA"/>
      </w:rPr>
    </w:lvl>
    <w:lvl w:ilvl="3">
      <w:start w:val="0"/>
      <w:numFmt w:val="bullet"/>
      <w:lvlText w:val="•"/>
      <w:lvlJc w:val="left"/>
      <w:pPr>
        <w:ind w:left="1140" w:hanging="473"/>
      </w:pPr>
      <w:rPr>
        <w:rFonts w:hint="default"/>
        <w:lang w:val="en-US" w:eastAsia="zh-CN" w:bidi="ar-SA"/>
      </w:rPr>
    </w:lvl>
    <w:lvl w:ilvl="4">
      <w:start w:val="0"/>
      <w:numFmt w:val="bullet"/>
      <w:lvlText w:val="•"/>
      <w:lvlJc w:val="left"/>
      <w:pPr>
        <w:ind w:left="1160" w:hanging="473"/>
      </w:pPr>
      <w:rPr>
        <w:rFonts w:hint="default"/>
        <w:lang w:val="en-US" w:eastAsia="zh-CN" w:bidi="ar-SA"/>
      </w:rPr>
    </w:lvl>
    <w:lvl w:ilvl="5">
      <w:start w:val="0"/>
      <w:numFmt w:val="bullet"/>
      <w:lvlText w:val="•"/>
      <w:lvlJc w:val="left"/>
      <w:pPr>
        <w:ind w:left="1180" w:hanging="473"/>
      </w:pPr>
      <w:rPr>
        <w:rFonts w:hint="default"/>
        <w:lang w:val="en-US" w:eastAsia="zh-CN" w:bidi="ar-SA"/>
      </w:rPr>
    </w:lvl>
    <w:lvl w:ilvl="6">
      <w:start w:val="0"/>
      <w:numFmt w:val="bullet"/>
      <w:lvlText w:val="•"/>
      <w:lvlJc w:val="left"/>
      <w:pPr>
        <w:ind w:left="1300" w:hanging="473"/>
      </w:pPr>
      <w:rPr>
        <w:rFonts w:hint="default"/>
        <w:lang w:val="en-US" w:eastAsia="zh-CN" w:bidi="ar-SA"/>
      </w:rPr>
    </w:lvl>
    <w:lvl w:ilvl="7">
      <w:start w:val="0"/>
      <w:numFmt w:val="bullet"/>
      <w:lvlText w:val="•"/>
      <w:lvlJc w:val="left"/>
      <w:pPr>
        <w:ind w:left="1400" w:hanging="473"/>
      </w:pPr>
      <w:rPr>
        <w:rFonts w:hint="default"/>
        <w:lang w:val="en-US" w:eastAsia="zh-CN" w:bidi="ar-SA"/>
      </w:rPr>
    </w:lvl>
    <w:lvl w:ilvl="8">
      <w:start w:val="0"/>
      <w:numFmt w:val="bullet"/>
      <w:lvlText w:val="•"/>
      <w:lvlJc w:val="left"/>
      <w:pPr>
        <w:ind w:left="4435" w:hanging="473"/>
      </w:pPr>
      <w:rPr>
        <w:rFonts w:hint="default"/>
        <w:lang w:val="en-US" w:eastAsia="zh-CN" w:bidi="ar-SA"/>
      </w:rPr>
    </w:lvl>
  </w:abstractNum>
  <w:abstractNum w:abstractNumId="35">
    <w:nsid w:val="51CDEA39"/>
    <w:multiLevelType w:val="hybridMultilevel"/>
    <w:tmpl w:val="00000000"/>
    <w:lvl w:ilvl="0">
      <w:start w:val="3"/>
      <w:numFmt w:val="decimal"/>
      <w:lvlText w:val="%1"/>
      <w:lvlJc w:val="left"/>
      <w:pPr>
        <w:ind w:left="1098" w:hanging="385"/>
        <w:jc w:val="left"/>
      </w:pPr>
      <w:rPr>
        <w:rFonts w:hint="default"/>
        <w:lang w:val="en-US" w:eastAsia="zh-CN" w:bidi="ar-SA"/>
      </w:rPr>
    </w:lvl>
    <w:lvl w:ilvl="1">
      <w:start w:val="1"/>
      <w:numFmt w:val="decimal"/>
      <w:lvlText w:val="%1.%2"/>
      <w:lvlJc w:val="left"/>
      <w:pPr>
        <w:ind w:left="1098" w:hanging="385"/>
        <w:jc w:val="left"/>
      </w:pPr>
      <w:rPr>
        <w:rFonts w:ascii="宋体" w:eastAsia="宋体" w:hAnsi="宋体" w:cs="宋体" w:hint="default"/>
        <w:b w:val="0"/>
        <w:bCs w:val="0"/>
        <w:i w:val="0"/>
        <w:iCs w:val="0"/>
        <w:spacing w:val="0"/>
        <w:w w:val="100"/>
        <w:sz w:val="21"/>
        <w:szCs w:val="21"/>
        <w:lang w:val="en-US" w:eastAsia="zh-CN" w:bidi="ar-SA"/>
      </w:rPr>
    </w:lvl>
    <w:lvl w:ilvl="2">
      <w:start w:val="1"/>
      <w:numFmt w:val="decimal"/>
      <w:lvlText w:val="%1.%2.%3"/>
      <w:lvlJc w:val="left"/>
      <w:pPr>
        <w:ind w:left="294" w:hanging="606"/>
        <w:jc w:val="left"/>
      </w:pPr>
      <w:rPr>
        <w:rFonts w:ascii="宋体" w:eastAsia="宋体" w:hAnsi="宋体" w:cs="宋体" w:hint="default"/>
        <w:b w:val="0"/>
        <w:bCs w:val="0"/>
        <w:i w:val="0"/>
        <w:iCs w:val="0"/>
        <w:spacing w:val="0"/>
        <w:w w:val="100"/>
        <w:sz w:val="21"/>
        <w:szCs w:val="21"/>
        <w:lang w:val="en-US" w:eastAsia="zh-CN" w:bidi="ar-SA"/>
      </w:rPr>
    </w:lvl>
    <w:lvl w:ilvl="3">
      <w:start w:val="0"/>
      <w:numFmt w:val="bullet"/>
      <w:lvlText w:val="•"/>
      <w:lvlJc w:val="left"/>
      <w:pPr>
        <w:ind w:left="3190" w:hanging="606"/>
      </w:pPr>
      <w:rPr>
        <w:rFonts w:hint="default"/>
        <w:lang w:val="en-US" w:eastAsia="zh-CN" w:bidi="ar-SA"/>
      </w:rPr>
    </w:lvl>
    <w:lvl w:ilvl="4">
      <w:start w:val="0"/>
      <w:numFmt w:val="bullet"/>
      <w:lvlText w:val="•"/>
      <w:lvlJc w:val="left"/>
      <w:pPr>
        <w:ind w:left="4235" w:hanging="606"/>
      </w:pPr>
      <w:rPr>
        <w:rFonts w:hint="default"/>
        <w:lang w:val="en-US" w:eastAsia="zh-CN" w:bidi="ar-SA"/>
      </w:rPr>
    </w:lvl>
    <w:lvl w:ilvl="5">
      <w:start w:val="0"/>
      <w:numFmt w:val="bullet"/>
      <w:lvlText w:val="•"/>
      <w:lvlJc w:val="left"/>
      <w:pPr>
        <w:ind w:left="5280" w:hanging="606"/>
      </w:pPr>
      <w:rPr>
        <w:rFonts w:hint="default"/>
        <w:lang w:val="en-US" w:eastAsia="zh-CN" w:bidi="ar-SA"/>
      </w:rPr>
    </w:lvl>
    <w:lvl w:ilvl="6">
      <w:start w:val="0"/>
      <w:numFmt w:val="bullet"/>
      <w:lvlText w:val="•"/>
      <w:lvlJc w:val="left"/>
      <w:pPr>
        <w:ind w:left="6325" w:hanging="606"/>
      </w:pPr>
      <w:rPr>
        <w:rFonts w:hint="default"/>
        <w:lang w:val="en-US" w:eastAsia="zh-CN" w:bidi="ar-SA"/>
      </w:rPr>
    </w:lvl>
    <w:lvl w:ilvl="7">
      <w:start w:val="0"/>
      <w:numFmt w:val="bullet"/>
      <w:lvlText w:val="•"/>
      <w:lvlJc w:val="left"/>
      <w:pPr>
        <w:ind w:left="7370" w:hanging="606"/>
      </w:pPr>
      <w:rPr>
        <w:rFonts w:hint="default"/>
        <w:lang w:val="en-US" w:eastAsia="zh-CN" w:bidi="ar-SA"/>
      </w:rPr>
    </w:lvl>
    <w:lvl w:ilvl="8">
      <w:start w:val="0"/>
      <w:numFmt w:val="bullet"/>
      <w:lvlText w:val="•"/>
      <w:lvlJc w:val="left"/>
      <w:pPr>
        <w:ind w:left="8415" w:hanging="606"/>
      </w:pPr>
      <w:rPr>
        <w:rFonts w:hint="default"/>
        <w:lang w:val="en-US" w:eastAsia="zh-CN" w:bidi="ar-SA"/>
      </w:rPr>
    </w:lvl>
  </w:abstractNum>
  <w:abstractNum w:abstractNumId="36">
    <w:nsid w:val="56A7040E"/>
    <w:multiLevelType w:val="hybridMultilevel"/>
    <w:tmpl w:val="00000000"/>
    <w:lvl w:ilvl="0">
      <w:start w:val="1"/>
      <w:numFmt w:val="decimal"/>
      <w:lvlText w:val="%1"/>
      <w:lvlJc w:val="left"/>
      <w:pPr>
        <w:ind w:left="294" w:hanging="420"/>
        <w:jc w:val="left"/>
      </w:pPr>
      <w:rPr>
        <w:rFonts w:hint="default"/>
        <w:lang w:val="en-US" w:eastAsia="zh-CN" w:bidi="ar-SA"/>
      </w:rPr>
    </w:lvl>
    <w:lvl w:ilvl="1">
      <w:start w:val="1"/>
      <w:numFmt w:val="decimal"/>
      <w:lvlText w:val="%1.%2"/>
      <w:lvlJc w:val="left"/>
      <w:pPr>
        <w:ind w:left="294" w:hanging="420"/>
        <w:jc w:val="left"/>
      </w:pPr>
      <w:rPr>
        <w:rFonts w:ascii="宋体" w:eastAsia="宋体" w:hAnsi="宋体" w:cs="宋体" w:hint="default"/>
        <w:b w:val="0"/>
        <w:bCs w:val="0"/>
        <w:i w:val="0"/>
        <w:iCs w:val="0"/>
        <w:w w:val="100"/>
        <w:sz w:val="21"/>
        <w:szCs w:val="21"/>
        <w:lang w:val="en-US" w:eastAsia="zh-CN" w:bidi="ar-SA"/>
      </w:rPr>
    </w:lvl>
    <w:lvl w:ilvl="2">
      <w:start w:val="1"/>
      <w:numFmt w:val="decimal"/>
      <w:lvlText w:val="%1.%2.%3"/>
      <w:lvlJc w:val="left"/>
      <w:pPr>
        <w:ind w:left="1319" w:hanging="606"/>
        <w:jc w:val="left"/>
      </w:pPr>
      <w:rPr>
        <w:rFonts w:ascii="宋体" w:eastAsia="宋体" w:hAnsi="宋体" w:cs="宋体" w:hint="default"/>
        <w:b w:val="0"/>
        <w:bCs w:val="0"/>
        <w:i w:val="0"/>
        <w:iCs w:val="0"/>
        <w:spacing w:val="0"/>
        <w:w w:val="100"/>
        <w:sz w:val="21"/>
        <w:szCs w:val="21"/>
        <w:lang w:val="en-US" w:eastAsia="zh-CN" w:bidi="ar-SA"/>
      </w:rPr>
    </w:lvl>
    <w:lvl w:ilvl="3">
      <w:start w:val="1"/>
      <w:numFmt w:val="lowerLetter"/>
      <w:lvlText w:val="%4."/>
      <w:lvlJc w:val="left"/>
      <w:pPr>
        <w:ind w:left="294" w:hanging="221"/>
        <w:jc w:val="left"/>
      </w:pPr>
      <w:rPr>
        <w:rFonts w:ascii="宋体" w:eastAsia="宋体" w:hAnsi="宋体" w:cs="宋体" w:hint="default"/>
        <w:b w:val="0"/>
        <w:bCs w:val="0"/>
        <w:i w:val="0"/>
        <w:iCs w:val="0"/>
        <w:spacing w:val="5"/>
        <w:w w:val="100"/>
        <w:sz w:val="19"/>
        <w:szCs w:val="19"/>
        <w:lang w:val="en-US" w:eastAsia="zh-CN" w:bidi="ar-SA"/>
      </w:rPr>
    </w:lvl>
    <w:lvl w:ilvl="4">
      <w:start w:val="0"/>
      <w:numFmt w:val="bullet"/>
      <w:lvlText w:val="•"/>
      <w:lvlJc w:val="left"/>
      <w:pPr>
        <w:ind w:left="4382" w:hanging="221"/>
      </w:pPr>
      <w:rPr>
        <w:rFonts w:hint="default"/>
        <w:lang w:val="en-US" w:eastAsia="zh-CN" w:bidi="ar-SA"/>
      </w:rPr>
    </w:lvl>
    <w:lvl w:ilvl="5">
      <w:start w:val="0"/>
      <w:numFmt w:val="bullet"/>
      <w:lvlText w:val="•"/>
      <w:lvlJc w:val="left"/>
      <w:pPr>
        <w:ind w:left="5402" w:hanging="221"/>
      </w:pPr>
      <w:rPr>
        <w:rFonts w:hint="default"/>
        <w:lang w:val="en-US" w:eastAsia="zh-CN" w:bidi="ar-SA"/>
      </w:rPr>
    </w:lvl>
    <w:lvl w:ilvl="6">
      <w:start w:val="0"/>
      <w:numFmt w:val="bullet"/>
      <w:lvlText w:val="•"/>
      <w:lvlJc w:val="left"/>
      <w:pPr>
        <w:ind w:left="6423" w:hanging="221"/>
      </w:pPr>
      <w:rPr>
        <w:rFonts w:hint="default"/>
        <w:lang w:val="en-US" w:eastAsia="zh-CN" w:bidi="ar-SA"/>
      </w:rPr>
    </w:lvl>
    <w:lvl w:ilvl="7">
      <w:start w:val="0"/>
      <w:numFmt w:val="bullet"/>
      <w:lvlText w:val="•"/>
      <w:lvlJc w:val="left"/>
      <w:pPr>
        <w:ind w:left="7444" w:hanging="221"/>
      </w:pPr>
      <w:rPr>
        <w:rFonts w:hint="default"/>
        <w:lang w:val="en-US" w:eastAsia="zh-CN" w:bidi="ar-SA"/>
      </w:rPr>
    </w:lvl>
    <w:lvl w:ilvl="8">
      <w:start w:val="0"/>
      <w:numFmt w:val="bullet"/>
      <w:lvlText w:val="•"/>
      <w:lvlJc w:val="left"/>
      <w:pPr>
        <w:ind w:left="8464" w:hanging="221"/>
      </w:pPr>
      <w:rPr>
        <w:rFonts w:hint="default"/>
        <w:lang w:val="en-US" w:eastAsia="zh-CN" w:bidi="ar-SA"/>
      </w:rPr>
    </w:lvl>
  </w:abstractNum>
  <w:abstractNum w:abstractNumId="37">
    <w:nsid w:val="5BFC6CEB"/>
    <w:multiLevelType w:val="hybridMultilevel"/>
    <w:tmpl w:val="00000000"/>
    <w:lvl w:ilvl="0">
      <w:start w:val="2"/>
      <w:numFmt w:val="decimal"/>
      <w:lvlText w:val="%1"/>
      <w:lvlJc w:val="left"/>
      <w:pPr>
        <w:ind w:left="294" w:hanging="385"/>
        <w:jc w:val="left"/>
      </w:pPr>
      <w:rPr>
        <w:rFonts w:hint="default"/>
        <w:lang w:val="en-US" w:eastAsia="zh-CN" w:bidi="ar-SA"/>
      </w:rPr>
    </w:lvl>
    <w:lvl w:ilvl="1">
      <w:start w:val="1"/>
      <w:numFmt w:val="decimal"/>
      <w:lvlText w:val="%1.%2"/>
      <w:lvlJc w:val="left"/>
      <w:pPr>
        <w:ind w:left="294" w:hanging="385"/>
        <w:jc w:val="left"/>
      </w:pPr>
      <w:rPr>
        <w:rFonts w:ascii="宋体" w:eastAsia="宋体" w:hAnsi="宋体" w:cs="宋体" w:hint="default"/>
        <w:b w:val="0"/>
        <w:bCs w:val="0"/>
        <w:i w:val="0"/>
        <w:iCs w:val="0"/>
        <w:spacing w:val="0"/>
        <w:w w:val="100"/>
        <w:sz w:val="21"/>
        <w:szCs w:val="21"/>
        <w:lang w:val="en-US" w:eastAsia="zh-CN" w:bidi="ar-SA"/>
      </w:rPr>
    </w:lvl>
    <w:lvl w:ilvl="2">
      <w:start w:val="0"/>
      <w:numFmt w:val="bullet"/>
      <w:lvlText w:val="•"/>
      <w:lvlJc w:val="left"/>
      <w:pPr>
        <w:ind w:left="2341" w:hanging="385"/>
      </w:pPr>
      <w:rPr>
        <w:rFonts w:hint="default"/>
        <w:lang w:val="en-US" w:eastAsia="zh-CN" w:bidi="ar-SA"/>
      </w:rPr>
    </w:lvl>
    <w:lvl w:ilvl="3">
      <w:start w:val="0"/>
      <w:numFmt w:val="bullet"/>
      <w:lvlText w:val="•"/>
      <w:lvlJc w:val="left"/>
      <w:pPr>
        <w:ind w:left="3361" w:hanging="385"/>
      </w:pPr>
      <w:rPr>
        <w:rFonts w:hint="default"/>
        <w:lang w:val="en-US" w:eastAsia="zh-CN" w:bidi="ar-SA"/>
      </w:rPr>
    </w:lvl>
    <w:lvl w:ilvl="4">
      <w:start w:val="0"/>
      <w:numFmt w:val="bullet"/>
      <w:lvlText w:val="•"/>
      <w:lvlJc w:val="left"/>
      <w:pPr>
        <w:ind w:left="4382" w:hanging="385"/>
      </w:pPr>
      <w:rPr>
        <w:rFonts w:hint="default"/>
        <w:lang w:val="en-US" w:eastAsia="zh-CN" w:bidi="ar-SA"/>
      </w:rPr>
    </w:lvl>
    <w:lvl w:ilvl="5">
      <w:start w:val="0"/>
      <w:numFmt w:val="bullet"/>
      <w:lvlText w:val="•"/>
      <w:lvlJc w:val="left"/>
      <w:pPr>
        <w:ind w:left="5403" w:hanging="385"/>
      </w:pPr>
      <w:rPr>
        <w:rFonts w:hint="default"/>
        <w:lang w:val="en-US" w:eastAsia="zh-CN" w:bidi="ar-SA"/>
      </w:rPr>
    </w:lvl>
    <w:lvl w:ilvl="6">
      <w:start w:val="0"/>
      <w:numFmt w:val="bullet"/>
      <w:lvlText w:val="•"/>
      <w:lvlJc w:val="left"/>
      <w:pPr>
        <w:ind w:left="6423" w:hanging="385"/>
      </w:pPr>
      <w:rPr>
        <w:rFonts w:hint="default"/>
        <w:lang w:val="en-US" w:eastAsia="zh-CN" w:bidi="ar-SA"/>
      </w:rPr>
    </w:lvl>
    <w:lvl w:ilvl="7">
      <w:start w:val="0"/>
      <w:numFmt w:val="bullet"/>
      <w:lvlText w:val="•"/>
      <w:lvlJc w:val="left"/>
      <w:pPr>
        <w:ind w:left="7444" w:hanging="385"/>
      </w:pPr>
      <w:rPr>
        <w:rFonts w:hint="default"/>
        <w:lang w:val="en-US" w:eastAsia="zh-CN" w:bidi="ar-SA"/>
      </w:rPr>
    </w:lvl>
    <w:lvl w:ilvl="8">
      <w:start w:val="0"/>
      <w:numFmt w:val="bullet"/>
      <w:lvlText w:val="•"/>
      <w:lvlJc w:val="left"/>
      <w:pPr>
        <w:ind w:left="8464" w:hanging="385"/>
      </w:pPr>
      <w:rPr>
        <w:rFonts w:hint="default"/>
        <w:lang w:val="en-US" w:eastAsia="zh-CN" w:bidi="ar-SA"/>
      </w:rPr>
    </w:lvl>
  </w:abstractNum>
  <w:abstractNum w:abstractNumId="38">
    <w:nsid w:val="614E3BBA"/>
    <w:multiLevelType w:val="hybridMultilevel"/>
    <w:tmpl w:val="00000000"/>
    <w:lvl w:ilvl="0">
      <w:start w:val="1"/>
      <w:numFmt w:val="decimal"/>
      <w:lvlText w:val="%1"/>
      <w:lvlJc w:val="left"/>
      <w:pPr>
        <w:ind w:left="294" w:hanging="420"/>
        <w:jc w:val="left"/>
      </w:pPr>
      <w:rPr>
        <w:rFonts w:hint="default"/>
        <w:lang w:val="en-US" w:eastAsia="zh-CN" w:bidi="ar-SA"/>
      </w:rPr>
    </w:lvl>
    <w:lvl w:ilvl="1">
      <w:start w:val="1"/>
      <w:numFmt w:val="decimal"/>
      <w:lvlText w:val="%1.%2"/>
      <w:lvlJc w:val="left"/>
      <w:pPr>
        <w:ind w:left="294" w:hanging="420"/>
        <w:jc w:val="left"/>
      </w:pPr>
      <w:rPr>
        <w:rFonts w:ascii="宋体" w:eastAsia="宋体" w:hAnsi="宋体" w:cs="宋体" w:hint="default"/>
        <w:b w:val="0"/>
        <w:bCs w:val="0"/>
        <w:i w:val="0"/>
        <w:iCs w:val="0"/>
        <w:w w:val="100"/>
        <w:sz w:val="21"/>
        <w:szCs w:val="21"/>
        <w:lang w:val="en-US" w:eastAsia="zh-CN" w:bidi="ar-SA"/>
      </w:rPr>
    </w:lvl>
    <w:lvl w:ilvl="2">
      <w:start w:val="1"/>
      <w:numFmt w:val="decimal"/>
      <w:lvlText w:val="%1.%2.%3"/>
      <w:lvlJc w:val="left"/>
      <w:pPr>
        <w:ind w:left="1319" w:hanging="606"/>
        <w:jc w:val="left"/>
      </w:pPr>
      <w:rPr>
        <w:rFonts w:ascii="宋体" w:eastAsia="宋体" w:hAnsi="宋体" w:cs="宋体" w:hint="default"/>
        <w:b w:val="0"/>
        <w:bCs w:val="0"/>
        <w:i w:val="0"/>
        <w:iCs w:val="0"/>
        <w:spacing w:val="0"/>
        <w:w w:val="100"/>
        <w:sz w:val="21"/>
        <w:szCs w:val="21"/>
        <w:lang w:val="en-US" w:eastAsia="zh-CN" w:bidi="ar-SA"/>
      </w:rPr>
    </w:lvl>
    <w:lvl w:ilvl="3">
      <w:start w:val="1"/>
      <w:numFmt w:val="lowerLetter"/>
      <w:lvlText w:val="%4."/>
      <w:lvlJc w:val="left"/>
      <w:pPr>
        <w:ind w:left="294" w:hanging="221"/>
        <w:jc w:val="left"/>
      </w:pPr>
      <w:rPr>
        <w:rFonts w:ascii="宋体" w:eastAsia="宋体" w:hAnsi="宋体" w:cs="宋体" w:hint="default"/>
        <w:b w:val="0"/>
        <w:bCs w:val="0"/>
        <w:i w:val="0"/>
        <w:iCs w:val="0"/>
        <w:spacing w:val="5"/>
        <w:w w:val="100"/>
        <w:sz w:val="19"/>
        <w:szCs w:val="19"/>
        <w:lang w:val="en-US" w:eastAsia="zh-CN" w:bidi="ar-SA"/>
      </w:rPr>
    </w:lvl>
    <w:lvl w:ilvl="4">
      <w:start w:val="0"/>
      <w:numFmt w:val="bullet"/>
      <w:lvlText w:val="•"/>
      <w:lvlJc w:val="left"/>
      <w:pPr>
        <w:ind w:left="4382" w:hanging="221"/>
      </w:pPr>
      <w:rPr>
        <w:rFonts w:hint="default"/>
        <w:lang w:val="en-US" w:eastAsia="zh-CN" w:bidi="ar-SA"/>
      </w:rPr>
    </w:lvl>
    <w:lvl w:ilvl="5">
      <w:start w:val="0"/>
      <w:numFmt w:val="bullet"/>
      <w:lvlText w:val="•"/>
      <w:lvlJc w:val="left"/>
      <w:pPr>
        <w:ind w:left="5402" w:hanging="221"/>
      </w:pPr>
      <w:rPr>
        <w:rFonts w:hint="default"/>
        <w:lang w:val="en-US" w:eastAsia="zh-CN" w:bidi="ar-SA"/>
      </w:rPr>
    </w:lvl>
    <w:lvl w:ilvl="6">
      <w:start w:val="0"/>
      <w:numFmt w:val="bullet"/>
      <w:lvlText w:val="•"/>
      <w:lvlJc w:val="left"/>
      <w:pPr>
        <w:ind w:left="6423" w:hanging="221"/>
      </w:pPr>
      <w:rPr>
        <w:rFonts w:hint="default"/>
        <w:lang w:val="en-US" w:eastAsia="zh-CN" w:bidi="ar-SA"/>
      </w:rPr>
    </w:lvl>
    <w:lvl w:ilvl="7">
      <w:start w:val="0"/>
      <w:numFmt w:val="bullet"/>
      <w:lvlText w:val="•"/>
      <w:lvlJc w:val="left"/>
      <w:pPr>
        <w:ind w:left="7444" w:hanging="221"/>
      </w:pPr>
      <w:rPr>
        <w:rFonts w:hint="default"/>
        <w:lang w:val="en-US" w:eastAsia="zh-CN" w:bidi="ar-SA"/>
      </w:rPr>
    </w:lvl>
    <w:lvl w:ilvl="8">
      <w:start w:val="0"/>
      <w:numFmt w:val="bullet"/>
      <w:lvlText w:val="•"/>
      <w:lvlJc w:val="left"/>
      <w:pPr>
        <w:ind w:left="8464" w:hanging="221"/>
      </w:pPr>
      <w:rPr>
        <w:rFonts w:hint="default"/>
        <w:lang w:val="en-US" w:eastAsia="zh-CN" w:bidi="ar-SA"/>
      </w:rPr>
    </w:lvl>
  </w:abstractNum>
  <w:abstractNum w:abstractNumId="39">
    <w:nsid w:val="6A498B23"/>
    <w:multiLevelType w:val="hybridMultilevel"/>
    <w:tmpl w:val="00000000"/>
    <w:lvl w:ilvl="0">
      <w:start w:val="1"/>
      <w:numFmt w:val="decimal"/>
      <w:lvlText w:val="%1."/>
      <w:lvlJc w:val="left"/>
      <w:pPr>
        <w:ind w:left="216"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751" w:hanging="211"/>
      </w:pPr>
      <w:rPr>
        <w:rFonts w:hint="default"/>
        <w:lang w:val="en-US" w:eastAsia="zh-CN" w:bidi="ar-SA"/>
      </w:rPr>
    </w:lvl>
    <w:lvl w:ilvl="2">
      <w:start w:val="0"/>
      <w:numFmt w:val="bullet"/>
      <w:lvlText w:val="•"/>
      <w:lvlJc w:val="left"/>
      <w:pPr>
        <w:ind w:left="1283" w:hanging="211"/>
      </w:pPr>
      <w:rPr>
        <w:rFonts w:hint="default"/>
        <w:lang w:val="en-US" w:eastAsia="zh-CN" w:bidi="ar-SA"/>
      </w:rPr>
    </w:lvl>
    <w:lvl w:ilvl="3">
      <w:start w:val="0"/>
      <w:numFmt w:val="bullet"/>
      <w:lvlText w:val="•"/>
      <w:lvlJc w:val="left"/>
      <w:pPr>
        <w:ind w:left="1815" w:hanging="211"/>
      </w:pPr>
      <w:rPr>
        <w:rFonts w:hint="default"/>
        <w:lang w:val="en-US" w:eastAsia="zh-CN" w:bidi="ar-SA"/>
      </w:rPr>
    </w:lvl>
    <w:lvl w:ilvl="4">
      <w:start w:val="0"/>
      <w:numFmt w:val="bullet"/>
      <w:lvlText w:val="•"/>
      <w:lvlJc w:val="left"/>
      <w:pPr>
        <w:ind w:left="2347" w:hanging="211"/>
      </w:pPr>
      <w:rPr>
        <w:rFonts w:hint="default"/>
        <w:lang w:val="en-US" w:eastAsia="zh-CN" w:bidi="ar-SA"/>
      </w:rPr>
    </w:lvl>
    <w:lvl w:ilvl="5">
      <w:start w:val="0"/>
      <w:numFmt w:val="bullet"/>
      <w:lvlText w:val="•"/>
      <w:lvlJc w:val="left"/>
      <w:pPr>
        <w:ind w:left="2879" w:hanging="211"/>
      </w:pPr>
      <w:rPr>
        <w:rFonts w:hint="default"/>
        <w:lang w:val="en-US" w:eastAsia="zh-CN" w:bidi="ar-SA"/>
      </w:rPr>
    </w:lvl>
    <w:lvl w:ilvl="6">
      <w:start w:val="0"/>
      <w:numFmt w:val="bullet"/>
      <w:lvlText w:val="•"/>
      <w:lvlJc w:val="left"/>
      <w:pPr>
        <w:ind w:left="3411" w:hanging="211"/>
      </w:pPr>
      <w:rPr>
        <w:rFonts w:hint="default"/>
        <w:lang w:val="en-US" w:eastAsia="zh-CN" w:bidi="ar-SA"/>
      </w:rPr>
    </w:lvl>
    <w:lvl w:ilvl="7">
      <w:start w:val="0"/>
      <w:numFmt w:val="bullet"/>
      <w:lvlText w:val="•"/>
      <w:lvlJc w:val="left"/>
      <w:pPr>
        <w:ind w:left="3943" w:hanging="211"/>
      </w:pPr>
      <w:rPr>
        <w:rFonts w:hint="default"/>
        <w:lang w:val="en-US" w:eastAsia="zh-CN" w:bidi="ar-SA"/>
      </w:rPr>
    </w:lvl>
    <w:lvl w:ilvl="8">
      <w:start w:val="0"/>
      <w:numFmt w:val="bullet"/>
      <w:lvlText w:val="•"/>
      <w:lvlJc w:val="left"/>
      <w:pPr>
        <w:ind w:left="4475" w:hanging="211"/>
      </w:pPr>
      <w:rPr>
        <w:rFonts w:hint="default"/>
        <w:lang w:val="en-US" w:eastAsia="zh-CN" w:bidi="ar-SA"/>
      </w:rPr>
    </w:lvl>
  </w:abstractNum>
  <w:abstractNum w:abstractNumId="40">
    <w:nsid w:val="6C5FA440"/>
    <w:multiLevelType w:val="hybridMultilevel"/>
    <w:tmpl w:val="00000000"/>
    <w:lvl w:ilvl="0">
      <w:start w:val="1"/>
      <w:numFmt w:val="upperLetter"/>
      <w:lvlText w:val="%1."/>
      <w:lvlJc w:val="left"/>
      <w:pPr>
        <w:ind w:left="294" w:hanging="316"/>
        <w:jc w:val="left"/>
      </w:pPr>
      <w:rPr>
        <w:rFonts w:ascii="宋体" w:eastAsia="宋体" w:hAnsi="宋体" w:cs="宋体" w:hint="default"/>
        <w:b w:val="0"/>
        <w:bCs w:val="0"/>
        <w:i w:val="0"/>
        <w:iCs w:val="0"/>
        <w:w w:val="100"/>
        <w:sz w:val="19"/>
        <w:szCs w:val="19"/>
        <w:lang w:val="en-US" w:eastAsia="zh-CN" w:bidi="ar-SA"/>
      </w:rPr>
    </w:lvl>
    <w:lvl w:ilvl="1">
      <w:start w:val="1"/>
      <w:numFmt w:val="decimal"/>
      <w:lvlText w:val="（%2）"/>
      <w:lvlJc w:val="left"/>
      <w:pPr>
        <w:ind w:left="820" w:hanging="526"/>
        <w:jc w:val="left"/>
      </w:pPr>
      <w:rPr>
        <w:rFonts w:ascii="宋体" w:eastAsia="宋体" w:hAnsi="宋体" w:cs="宋体" w:hint="default"/>
        <w:b w:val="0"/>
        <w:bCs w:val="0"/>
        <w:i w:val="0"/>
        <w:iCs w:val="0"/>
        <w:w w:val="100"/>
        <w:sz w:val="19"/>
        <w:szCs w:val="19"/>
        <w:lang w:val="en-US" w:eastAsia="zh-CN" w:bidi="ar-SA"/>
      </w:rPr>
    </w:lvl>
    <w:lvl w:ilvl="2">
      <w:start w:val="0"/>
      <w:numFmt w:val="bullet"/>
      <w:lvlText w:val="•"/>
      <w:lvlJc w:val="left"/>
      <w:pPr>
        <w:ind w:left="1896" w:hanging="526"/>
      </w:pPr>
      <w:rPr>
        <w:rFonts w:hint="default"/>
        <w:lang w:val="en-US" w:eastAsia="zh-CN" w:bidi="ar-SA"/>
      </w:rPr>
    </w:lvl>
    <w:lvl w:ilvl="3">
      <w:start w:val="0"/>
      <w:numFmt w:val="bullet"/>
      <w:lvlText w:val="•"/>
      <w:lvlJc w:val="left"/>
      <w:pPr>
        <w:ind w:left="2972" w:hanging="526"/>
      </w:pPr>
      <w:rPr>
        <w:rFonts w:hint="default"/>
        <w:lang w:val="en-US" w:eastAsia="zh-CN" w:bidi="ar-SA"/>
      </w:rPr>
    </w:lvl>
    <w:lvl w:ilvl="4">
      <w:start w:val="0"/>
      <w:numFmt w:val="bullet"/>
      <w:lvlText w:val="•"/>
      <w:lvlJc w:val="left"/>
      <w:pPr>
        <w:ind w:left="4048" w:hanging="526"/>
      </w:pPr>
      <w:rPr>
        <w:rFonts w:hint="default"/>
        <w:lang w:val="en-US" w:eastAsia="zh-CN" w:bidi="ar-SA"/>
      </w:rPr>
    </w:lvl>
    <w:lvl w:ilvl="5">
      <w:start w:val="0"/>
      <w:numFmt w:val="bullet"/>
      <w:lvlText w:val="•"/>
      <w:lvlJc w:val="left"/>
      <w:pPr>
        <w:ind w:left="5124" w:hanging="526"/>
      </w:pPr>
      <w:rPr>
        <w:rFonts w:hint="default"/>
        <w:lang w:val="en-US" w:eastAsia="zh-CN" w:bidi="ar-SA"/>
      </w:rPr>
    </w:lvl>
    <w:lvl w:ilvl="6">
      <w:start w:val="0"/>
      <w:numFmt w:val="bullet"/>
      <w:lvlText w:val="•"/>
      <w:lvlJc w:val="left"/>
      <w:pPr>
        <w:ind w:left="6201" w:hanging="526"/>
      </w:pPr>
      <w:rPr>
        <w:rFonts w:hint="default"/>
        <w:lang w:val="en-US" w:eastAsia="zh-CN" w:bidi="ar-SA"/>
      </w:rPr>
    </w:lvl>
    <w:lvl w:ilvl="7">
      <w:start w:val="0"/>
      <w:numFmt w:val="bullet"/>
      <w:lvlText w:val="•"/>
      <w:lvlJc w:val="left"/>
      <w:pPr>
        <w:ind w:left="7277" w:hanging="526"/>
      </w:pPr>
      <w:rPr>
        <w:rFonts w:hint="default"/>
        <w:lang w:val="en-US" w:eastAsia="zh-CN" w:bidi="ar-SA"/>
      </w:rPr>
    </w:lvl>
    <w:lvl w:ilvl="8">
      <w:start w:val="0"/>
      <w:numFmt w:val="bullet"/>
      <w:lvlText w:val="•"/>
      <w:lvlJc w:val="left"/>
      <w:pPr>
        <w:ind w:left="8353" w:hanging="526"/>
      </w:pPr>
      <w:rPr>
        <w:rFonts w:hint="default"/>
        <w:lang w:val="en-US" w:eastAsia="zh-CN" w:bidi="ar-SA"/>
      </w:rPr>
    </w:lvl>
  </w:abstractNum>
  <w:abstractNum w:abstractNumId="41">
    <w:nsid w:val="6CDEFB42"/>
    <w:multiLevelType w:val="hybridMultilevel"/>
    <w:tmpl w:val="00000000"/>
    <w:lvl w:ilvl="0">
      <w:start w:val="1"/>
      <w:numFmt w:val="decimal"/>
      <w:lvlText w:val="%1."/>
      <w:lvlJc w:val="left"/>
      <w:pPr>
        <w:ind w:left="294" w:hanging="28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320" w:hanging="281"/>
      </w:pPr>
      <w:rPr>
        <w:rFonts w:hint="default"/>
        <w:lang w:val="en-US" w:eastAsia="zh-CN" w:bidi="ar-SA"/>
      </w:rPr>
    </w:lvl>
    <w:lvl w:ilvl="2">
      <w:start w:val="0"/>
      <w:numFmt w:val="bullet"/>
      <w:lvlText w:val="•"/>
      <w:lvlJc w:val="left"/>
      <w:pPr>
        <w:ind w:left="2341" w:hanging="281"/>
      </w:pPr>
      <w:rPr>
        <w:rFonts w:hint="default"/>
        <w:lang w:val="en-US" w:eastAsia="zh-CN" w:bidi="ar-SA"/>
      </w:rPr>
    </w:lvl>
    <w:lvl w:ilvl="3">
      <w:start w:val="0"/>
      <w:numFmt w:val="bullet"/>
      <w:lvlText w:val="•"/>
      <w:lvlJc w:val="left"/>
      <w:pPr>
        <w:ind w:left="3361" w:hanging="281"/>
      </w:pPr>
      <w:rPr>
        <w:rFonts w:hint="default"/>
        <w:lang w:val="en-US" w:eastAsia="zh-CN" w:bidi="ar-SA"/>
      </w:rPr>
    </w:lvl>
    <w:lvl w:ilvl="4">
      <w:start w:val="0"/>
      <w:numFmt w:val="bullet"/>
      <w:lvlText w:val="•"/>
      <w:lvlJc w:val="left"/>
      <w:pPr>
        <w:ind w:left="4382" w:hanging="281"/>
      </w:pPr>
      <w:rPr>
        <w:rFonts w:hint="default"/>
        <w:lang w:val="en-US" w:eastAsia="zh-CN" w:bidi="ar-SA"/>
      </w:rPr>
    </w:lvl>
    <w:lvl w:ilvl="5">
      <w:start w:val="0"/>
      <w:numFmt w:val="bullet"/>
      <w:lvlText w:val="•"/>
      <w:lvlJc w:val="left"/>
      <w:pPr>
        <w:ind w:left="5403" w:hanging="281"/>
      </w:pPr>
      <w:rPr>
        <w:rFonts w:hint="default"/>
        <w:lang w:val="en-US" w:eastAsia="zh-CN" w:bidi="ar-SA"/>
      </w:rPr>
    </w:lvl>
    <w:lvl w:ilvl="6">
      <w:start w:val="0"/>
      <w:numFmt w:val="bullet"/>
      <w:lvlText w:val="•"/>
      <w:lvlJc w:val="left"/>
      <w:pPr>
        <w:ind w:left="6423" w:hanging="281"/>
      </w:pPr>
      <w:rPr>
        <w:rFonts w:hint="default"/>
        <w:lang w:val="en-US" w:eastAsia="zh-CN" w:bidi="ar-SA"/>
      </w:rPr>
    </w:lvl>
    <w:lvl w:ilvl="7">
      <w:start w:val="0"/>
      <w:numFmt w:val="bullet"/>
      <w:lvlText w:val="•"/>
      <w:lvlJc w:val="left"/>
      <w:pPr>
        <w:ind w:left="7444" w:hanging="281"/>
      </w:pPr>
      <w:rPr>
        <w:rFonts w:hint="default"/>
        <w:lang w:val="en-US" w:eastAsia="zh-CN" w:bidi="ar-SA"/>
      </w:rPr>
    </w:lvl>
    <w:lvl w:ilvl="8">
      <w:start w:val="0"/>
      <w:numFmt w:val="bullet"/>
      <w:lvlText w:val="•"/>
      <w:lvlJc w:val="left"/>
      <w:pPr>
        <w:ind w:left="8464" w:hanging="281"/>
      </w:pPr>
      <w:rPr>
        <w:rFonts w:hint="default"/>
        <w:lang w:val="en-US" w:eastAsia="zh-CN" w:bidi="ar-SA"/>
      </w:rPr>
    </w:lvl>
  </w:abstractNum>
  <w:abstractNum w:abstractNumId="42">
    <w:nsid w:val="6D6D1008"/>
    <w:multiLevelType w:val="hybridMultilevel"/>
    <w:tmpl w:val="00000000"/>
    <w:lvl w:ilvl="0">
      <w:start w:val="3"/>
      <w:numFmt w:val="decimal"/>
      <w:lvlText w:val="%1"/>
      <w:lvlJc w:val="left"/>
      <w:pPr>
        <w:ind w:left="1098" w:hanging="385"/>
        <w:jc w:val="left"/>
      </w:pPr>
      <w:rPr>
        <w:rFonts w:hint="default"/>
        <w:lang w:val="en-US" w:eastAsia="zh-CN" w:bidi="ar-SA"/>
      </w:rPr>
    </w:lvl>
    <w:lvl w:ilvl="1">
      <w:start w:val="1"/>
      <w:numFmt w:val="decimal"/>
      <w:lvlText w:val="%1.%2"/>
      <w:lvlJc w:val="left"/>
      <w:pPr>
        <w:ind w:left="1098" w:hanging="385"/>
        <w:jc w:val="left"/>
      </w:pPr>
      <w:rPr>
        <w:rFonts w:ascii="宋体" w:eastAsia="宋体" w:hAnsi="宋体" w:cs="宋体" w:hint="default"/>
        <w:b w:val="0"/>
        <w:bCs w:val="0"/>
        <w:i w:val="0"/>
        <w:iCs w:val="0"/>
        <w:spacing w:val="0"/>
        <w:w w:val="100"/>
        <w:sz w:val="21"/>
        <w:szCs w:val="21"/>
        <w:lang w:val="en-US" w:eastAsia="zh-CN" w:bidi="ar-SA"/>
      </w:rPr>
    </w:lvl>
    <w:lvl w:ilvl="2">
      <w:start w:val="1"/>
      <w:numFmt w:val="decimal"/>
      <w:lvlText w:val="%1.%2.%3"/>
      <w:lvlJc w:val="left"/>
      <w:pPr>
        <w:ind w:left="294" w:hanging="606"/>
        <w:jc w:val="left"/>
      </w:pPr>
      <w:rPr>
        <w:rFonts w:ascii="宋体" w:eastAsia="宋体" w:hAnsi="宋体" w:cs="宋体" w:hint="default"/>
        <w:b w:val="0"/>
        <w:bCs w:val="0"/>
        <w:i w:val="0"/>
        <w:iCs w:val="0"/>
        <w:spacing w:val="0"/>
        <w:w w:val="100"/>
        <w:sz w:val="21"/>
        <w:szCs w:val="21"/>
        <w:lang w:val="en-US" w:eastAsia="zh-CN" w:bidi="ar-SA"/>
      </w:rPr>
    </w:lvl>
    <w:lvl w:ilvl="3">
      <w:start w:val="0"/>
      <w:numFmt w:val="bullet"/>
      <w:lvlText w:val="•"/>
      <w:lvlJc w:val="left"/>
      <w:pPr>
        <w:ind w:left="3190" w:hanging="606"/>
      </w:pPr>
      <w:rPr>
        <w:rFonts w:hint="default"/>
        <w:lang w:val="en-US" w:eastAsia="zh-CN" w:bidi="ar-SA"/>
      </w:rPr>
    </w:lvl>
    <w:lvl w:ilvl="4">
      <w:start w:val="0"/>
      <w:numFmt w:val="bullet"/>
      <w:lvlText w:val="•"/>
      <w:lvlJc w:val="left"/>
      <w:pPr>
        <w:ind w:left="4235" w:hanging="606"/>
      </w:pPr>
      <w:rPr>
        <w:rFonts w:hint="default"/>
        <w:lang w:val="en-US" w:eastAsia="zh-CN" w:bidi="ar-SA"/>
      </w:rPr>
    </w:lvl>
    <w:lvl w:ilvl="5">
      <w:start w:val="0"/>
      <w:numFmt w:val="bullet"/>
      <w:lvlText w:val="•"/>
      <w:lvlJc w:val="left"/>
      <w:pPr>
        <w:ind w:left="5280" w:hanging="606"/>
      </w:pPr>
      <w:rPr>
        <w:rFonts w:hint="default"/>
        <w:lang w:val="en-US" w:eastAsia="zh-CN" w:bidi="ar-SA"/>
      </w:rPr>
    </w:lvl>
    <w:lvl w:ilvl="6">
      <w:start w:val="0"/>
      <w:numFmt w:val="bullet"/>
      <w:lvlText w:val="•"/>
      <w:lvlJc w:val="left"/>
      <w:pPr>
        <w:ind w:left="6325" w:hanging="606"/>
      </w:pPr>
      <w:rPr>
        <w:rFonts w:hint="default"/>
        <w:lang w:val="en-US" w:eastAsia="zh-CN" w:bidi="ar-SA"/>
      </w:rPr>
    </w:lvl>
    <w:lvl w:ilvl="7">
      <w:start w:val="0"/>
      <w:numFmt w:val="bullet"/>
      <w:lvlText w:val="•"/>
      <w:lvlJc w:val="left"/>
      <w:pPr>
        <w:ind w:left="7370" w:hanging="606"/>
      </w:pPr>
      <w:rPr>
        <w:rFonts w:hint="default"/>
        <w:lang w:val="en-US" w:eastAsia="zh-CN" w:bidi="ar-SA"/>
      </w:rPr>
    </w:lvl>
    <w:lvl w:ilvl="8">
      <w:start w:val="0"/>
      <w:numFmt w:val="bullet"/>
      <w:lvlText w:val="•"/>
      <w:lvlJc w:val="left"/>
      <w:pPr>
        <w:ind w:left="8415" w:hanging="606"/>
      </w:pPr>
      <w:rPr>
        <w:rFonts w:hint="default"/>
        <w:lang w:val="en-US" w:eastAsia="zh-CN" w:bidi="ar-SA"/>
      </w:rPr>
    </w:lvl>
  </w:abstractNum>
  <w:abstractNum w:abstractNumId="43">
    <w:nsid w:val="6DA5E448"/>
    <w:multiLevelType w:val="hybridMultilevel"/>
    <w:tmpl w:val="00000000"/>
    <w:lvl w:ilvl="0">
      <w:start w:val="1"/>
      <w:numFmt w:val="decimal"/>
      <w:lvlText w:val="%1."/>
      <w:lvlJc w:val="left"/>
      <w:pPr>
        <w:ind w:left="216"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609" w:hanging="211"/>
      </w:pPr>
      <w:rPr>
        <w:rFonts w:hint="default"/>
        <w:lang w:val="en-US" w:eastAsia="zh-CN" w:bidi="ar-SA"/>
      </w:rPr>
    </w:lvl>
    <w:lvl w:ilvl="2">
      <w:start w:val="0"/>
      <w:numFmt w:val="bullet"/>
      <w:lvlText w:val="•"/>
      <w:lvlJc w:val="left"/>
      <w:pPr>
        <w:ind w:left="998" w:hanging="211"/>
      </w:pPr>
      <w:rPr>
        <w:rFonts w:hint="default"/>
        <w:lang w:val="en-US" w:eastAsia="zh-CN" w:bidi="ar-SA"/>
      </w:rPr>
    </w:lvl>
    <w:lvl w:ilvl="3">
      <w:start w:val="0"/>
      <w:numFmt w:val="bullet"/>
      <w:lvlText w:val="•"/>
      <w:lvlJc w:val="left"/>
      <w:pPr>
        <w:ind w:left="1387" w:hanging="211"/>
      </w:pPr>
      <w:rPr>
        <w:rFonts w:hint="default"/>
        <w:lang w:val="en-US" w:eastAsia="zh-CN" w:bidi="ar-SA"/>
      </w:rPr>
    </w:lvl>
    <w:lvl w:ilvl="4">
      <w:start w:val="0"/>
      <w:numFmt w:val="bullet"/>
      <w:lvlText w:val="•"/>
      <w:lvlJc w:val="left"/>
      <w:pPr>
        <w:ind w:left="1776" w:hanging="211"/>
      </w:pPr>
      <w:rPr>
        <w:rFonts w:hint="default"/>
        <w:lang w:val="en-US" w:eastAsia="zh-CN" w:bidi="ar-SA"/>
      </w:rPr>
    </w:lvl>
    <w:lvl w:ilvl="5">
      <w:start w:val="0"/>
      <w:numFmt w:val="bullet"/>
      <w:lvlText w:val="•"/>
      <w:lvlJc w:val="left"/>
      <w:pPr>
        <w:ind w:left="2165" w:hanging="211"/>
      </w:pPr>
      <w:rPr>
        <w:rFonts w:hint="default"/>
        <w:lang w:val="en-US" w:eastAsia="zh-CN" w:bidi="ar-SA"/>
      </w:rPr>
    </w:lvl>
    <w:lvl w:ilvl="6">
      <w:start w:val="0"/>
      <w:numFmt w:val="bullet"/>
      <w:lvlText w:val="•"/>
      <w:lvlJc w:val="left"/>
      <w:pPr>
        <w:ind w:left="2554" w:hanging="211"/>
      </w:pPr>
      <w:rPr>
        <w:rFonts w:hint="default"/>
        <w:lang w:val="en-US" w:eastAsia="zh-CN" w:bidi="ar-SA"/>
      </w:rPr>
    </w:lvl>
    <w:lvl w:ilvl="7">
      <w:start w:val="0"/>
      <w:numFmt w:val="bullet"/>
      <w:lvlText w:val="•"/>
      <w:lvlJc w:val="left"/>
      <w:pPr>
        <w:ind w:left="2943" w:hanging="211"/>
      </w:pPr>
      <w:rPr>
        <w:rFonts w:hint="default"/>
        <w:lang w:val="en-US" w:eastAsia="zh-CN" w:bidi="ar-SA"/>
      </w:rPr>
    </w:lvl>
    <w:lvl w:ilvl="8">
      <w:start w:val="0"/>
      <w:numFmt w:val="bullet"/>
      <w:lvlText w:val="•"/>
      <w:lvlJc w:val="left"/>
      <w:pPr>
        <w:ind w:left="3332" w:hanging="211"/>
      </w:pPr>
      <w:rPr>
        <w:rFonts w:hint="default"/>
        <w:lang w:val="en-US" w:eastAsia="zh-CN" w:bidi="ar-SA"/>
      </w:rPr>
    </w:lvl>
  </w:abstractNum>
  <w:abstractNum w:abstractNumId="44">
    <w:nsid w:val="6E109FE8"/>
    <w:multiLevelType w:val="hybridMultilevel"/>
    <w:tmpl w:val="00000000"/>
    <w:lvl w:ilvl="0">
      <w:start w:val="1"/>
      <w:numFmt w:val="decimal"/>
      <w:lvlText w:val="%1."/>
      <w:lvlJc w:val="left"/>
      <w:pPr>
        <w:ind w:left="92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878" w:hanging="211"/>
      </w:pPr>
      <w:rPr>
        <w:rFonts w:hint="default"/>
        <w:lang w:val="en-US" w:eastAsia="zh-CN" w:bidi="ar-SA"/>
      </w:rPr>
    </w:lvl>
    <w:lvl w:ilvl="2">
      <w:start w:val="0"/>
      <w:numFmt w:val="bullet"/>
      <w:lvlText w:val="•"/>
      <w:lvlJc w:val="left"/>
      <w:pPr>
        <w:ind w:left="2837" w:hanging="211"/>
      </w:pPr>
      <w:rPr>
        <w:rFonts w:hint="default"/>
        <w:lang w:val="en-US" w:eastAsia="zh-CN" w:bidi="ar-SA"/>
      </w:rPr>
    </w:lvl>
    <w:lvl w:ilvl="3">
      <w:start w:val="0"/>
      <w:numFmt w:val="bullet"/>
      <w:lvlText w:val="•"/>
      <w:lvlJc w:val="left"/>
      <w:pPr>
        <w:ind w:left="3795" w:hanging="211"/>
      </w:pPr>
      <w:rPr>
        <w:rFonts w:hint="default"/>
        <w:lang w:val="en-US" w:eastAsia="zh-CN" w:bidi="ar-SA"/>
      </w:rPr>
    </w:lvl>
    <w:lvl w:ilvl="4">
      <w:start w:val="0"/>
      <w:numFmt w:val="bullet"/>
      <w:lvlText w:val="•"/>
      <w:lvlJc w:val="left"/>
      <w:pPr>
        <w:ind w:left="4754" w:hanging="211"/>
      </w:pPr>
      <w:rPr>
        <w:rFonts w:hint="default"/>
        <w:lang w:val="en-US" w:eastAsia="zh-CN" w:bidi="ar-SA"/>
      </w:rPr>
    </w:lvl>
    <w:lvl w:ilvl="5">
      <w:start w:val="0"/>
      <w:numFmt w:val="bullet"/>
      <w:lvlText w:val="•"/>
      <w:lvlJc w:val="left"/>
      <w:pPr>
        <w:ind w:left="5713" w:hanging="211"/>
      </w:pPr>
      <w:rPr>
        <w:rFonts w:hint="default"/>
        <w:lang w:val="en-US" w:eastAsia="zh-CN" w:bidi="ar-SA"/>
      </w:rPr>
    </w:lvl>
    <w:lvl w:ilvl="6">
      <w:start w:val="0"/>
      <w:numFmt w:val="bullet"/>
      <w:lvlText w:val="•"/>
      <w:lvlJc w:val="left"/>
      <w:pPr>
        <w:ind w:left="6671" w:hanging="211"/>
      </w:pPr>
      <w:rPr>
        <w:rFonts w:hint="default"/>
        <w:lang w:val="en-US" w:eastAsia="zh-CN" w:bidi="ar-SA"/>
      </w:rPr>
    </w:lvl>
    <w:lvl w:ilvl="7">
      <w:start w:val="0"/>
      <w:numFmt w:val="bullet"/>
      <w:lvlText w:val="•"/>
      <w:lvlJc w:val="left"/>
      <w:pPr>
        <w:ind w:left="7630" w:hanging="211"/>
      </w:pPr>
      <w:rPr>
        <w:rFonts w:hint="default"/>
        <w:lang w:val="en-US" w:eastAsia="zh-CN" w:bidi="ar-SA"/>
      </w:rPr>
    </w:lvl>
    <w:lvl w:ilvl="8">
      <w:start w:val="0"/>
      <w:numFmt w:val="bullet"/>
      <w:lvlText w:val="•"/>
      <w:lvlJc w:val="left"/>
      <w:pPr>
        <w:ind w:left="8588" w:hanging="211"/>
      </w:pPr>
      <w:rPr>
        <w:rFonts w:hint="default"/>
        <w:lang w:val="en-US" w:eastAsia="zh-CN" w:bidi="ar-SA"/>
      </w:rPr>
    </w:lvl>
  </w:abstractNum>
  <w:abstractNum w:abstractNumId="45">
    <w:nsid w:val="6E577607"/>
    <w:multiLevelType w:val="hybridMultilevel"/>
    <w:tmpl w:val="00000000"/>
    <w:lvl w:ilvl="0">
      <w:start w:val="1"/>
      <w:numFmt w:val="decimal"/>
      <w:lvlText w:val="%1."/>
      <w:lvlJc w:val="left"/>
      <w:pPr>
        <w:ind w:left="925" w:hanging="211"/>
        <w:jc w:val="left"/>
      </w:pPr>
      <w:rPr>
        <w:rFonts w:hint="default"/>
        <w:w w:val="100"/>
        <w:lang w:val="en-US" w:eastAsia="zh-CN" w:bidi="ar-SA"/>
      </w:rPr>
    </w:lvl>
    <w:lvl w:ilvl="1">
      <w:start w:val="1"/>
      <w:numFmt w:val="decimal"/>
      <w:lvlText w:val="%1.%2"/>
      <w:lvlJc w:val="left"/>
      <w:pPr>
        <w:ind w:left="1081" w:hanging="368"/>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127" w:hanging="368"/>
      </w:pPr>
      <w:rPr>
        <w:rFonts w:hint="default"/>
        <w:lang w:val="en-US" w:eastAsia="zh-CN" w:bidi="ar-SA"/>
      </w:rPr>
    </w:lvl>
    <w:lvl w:ilvl="3">
      <w:start w:val="0"/>
      <w:numFmt w:val="bullet"/>
      <w:lvlText w:val="•"/>
      <w:lvlJc w:val="left"/>
      <w:pPr>
        <w:ind w:left="3174" w:hanging="368"/>
      </w:pPr>
      <w:rPr>
        <w:rFonts w:hint="default"/>
        <w:lang w:val="en-US" w:eastAsia="zh-CN" w:bidi="ar-SA"/>
      </w:rPr>
    </w:lvl>
    <w:lvl w:ilvl="4">
      <w:start w:val="0"/>
      <w:numFmt w:val="bullet"/>
      <w:lvlText w:val="•"/>
      <w:lvlJc w:val="left"/>
      <w:pPr>
        <w:ind w:left="4222" w:hanging="368"/>
      </w:pPr>
      <w:rPr>
        <w:rFonts w:hint="default"/>
        <w:lang w:val="en-US" w:eastAsia="zh-CN" w:bidi="ar-SA"/>
      </w:rPr>
    </w:lvl>
    <w:lvl w:ilvl="5">
      <w:start w:val="0"/>
      <w:numFmt w:val="bullet"/>
      <w:lvlText w:val="•"/>
      <w:lvlJc w:val="left"/>
      <w:pPr>
        <w:ind w:left="5269" w:hanging="368"/>
      </w:pPr>
      <w:rPr>
        <w:rFonts w:hint="default"/>
        <w:lang w:val="en-US" w:eastAsia="zh-CN" w:bidi="ar-SA"/>
      </w:rPr>
    </w:lvl>
    <w:lvl w:ilvl="6">
      <w:start w:val="0"/>
      <w:numFmt w:val="bullet"/>
      <w:lvlText w:val="•"/>
      <w:lvlJc w:val="left"/>
      <w:pPr>
        <w:ind w:left="6316" w:hanging="368"/>
      </w:pPr>
      <w:rPr>
        <w:rFonts w:hint="default"/>
        <w:lang w:val="en-US" w:eastAsia="zh-CN" w:bidi="ar-SA"/>
      </w:rPr>
    </w:lvl>
    <w:lvl w:ilvl="7">
      <w:start w:val="0"/>
      <w:numFmt w:val="bullet"/>
      <w:lvlText w:val="•"/>
      <w:lvlJc w:val="left"/>
      <w:pPr>
        <w:ind w:left="7364" w:hanging="368"/>
      </w:pPr>
      <w:rPr>
        <w:rFonts w:hint="default"/>
        <w:lang w:val="en-US" w:eastAsia="zh-CN" w:bidi="ar-SA"/>
      </w:rPr>
    </w:lvl>
    <w:lvl w:ilvl="8">
      <w:start w:val="0"/>
      <w:numFmt w:val="bullet"/>
      <w:lvlText w:val="•"/>
      <w:lvlJc w:val="left"/>
      <w:pPr>
        <w:ind w:left="8411" w:hanging="368"/>
      </w:pPr>
      <w:rPr>
        <w:rFonts w:hint="default"/>
        <w:lang w:val="en-US" w:eastAsia="zh-CN" w:bidi="ar-SA"/>
      </w:rPr>
    </w:lvl>
  </w:abstractNum>
  <w:abstractNum w:abstractNumId="46">
    <w:nsid w:val="75C65E82"/>
    <w:multiLevelType w:val="hybridMultilevel"/>
    <w:tmpl w:val="00000000"/>
    <w:lvl w:ilvl="0">
      <w:start w:val="1"/>
      <w:numFmt w:val="decimal"/>
      <w:lvlText w:val="%1."/>
      <w:lvlJc w:val="left"/>
      <w:pPr>
        <w:ind w:left="92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878" w:hanging="211"/>
      </w:pPr>
      <w:rPr>
        <w:rFonts w:hint="default"/>
        <w:lang w:val="en-US" w:eastAsia="zh-CN" w:bidi="ar-SA"/>
      </w:rPr>
    </w:lvl>
    <w:lvl w:ilvl="2">
      <w:start w:val="0"/>
      <w:numFmt w:val="bullet"/>
      <w:lvlText w:val="•"/>
      <w:lvlJc w:val="left"/>
      <w:pPr>
        <w:ind w:left="2837" w:hanging="211"/>
      </w:pPr>
      <w:rPr>
        <w:rFonts w:hint="default"/>
        <w:lang w:val="en-US" w:eastAsia="zh-CN" w:bidi="ar-SA"/>
      </w:rPr>
    </w:lvl>
    <w:lvl w:ilvl="3">
      <w:start w:val="0"/>
      <w:numFmt w:val="bullet"/>
      <w:lvlText w:val="•"/>
      <w:lvlJc w:val="left"/>
      <w:pPr>
        <w:ind w:left="3795" w:hanging="211"/>
      </w:pPr>
      <w:rPr>
        <w:rFonts w:hint="default"/>
        <w:lang w:val="en-US" w:eastAsia="zh-CN" w:bidi="ar-SA"/>
      </w:rPr>
    </w:lvl>
    <w:lvl w:ilvl="4">
      <w:start w:val="0"/>
      <w:numFmt w:val="bullet"/>
      <w:lvlText w:val="•"/>
      <w:lvlJc w:val="left"/>
      <w:pPr>
        <w:ind w:left="4754" w:hanging="211"/>
      </w:pPr>
      <w:rPr>
        <w:rFonts w:hint="default"/>
        <w:lang w:val="en-US" w:eastAsia="zh-CN" w:bidi="ar-SA"/>
      </w:rPr>
    </w:lvl>
    <w:lvl w:ilvl="5">
      <w:start w:val="0"/>
      <w:numFmt w:val="bullet"/>
      <w:lvlText w:val="•"/>
      <w:lvlJc w:val="left"/>
      <w:pPr>
        <w:ind w:left="5713" w:hanging="211"/>
      </w:pPr>
      <w:rPr>
        <w:rFonts w:hint="default"/>
        <w:lang w:val="en-US" w:eastAsia="zh-CN" w:bidi="ar-SA"/>
      </w:rPr>
    </w:lvl>
    <w:lvl w:ilvl="6">
      <w:start w:val="0"/>
      <w:numFmt w:val="bullet"/>
      <w:lvlText w:val="•"/>
      <w:lvlJc w:val="left"/>
      <w:pPr>
        <w:ind w:left="6671" w:hanging="211"/>
      </w:pPr>
      <w:rPr>
        <w:rFonts w:hint="default"/>
        <w:lang w:val="en-US" w:eastAsia="zh-CN" w:bidi="ar-SA"/>
      </w:rPr>
    </w:lvl>
    <w:lvl w:ilvl="7">
      <w:start w:val="0"/>
      <w:numFmt w:val="bullet"/>
      <w:lvlText w:val="•"/>
      <w:lvlJc w:val="left"/>
      <w:pPr>
        <w:ind w:left="7630" w:hanging="211"/>
      </w:pPr>
      <w:rPr>
        <w:rFonts w:hint="default"/>
        <w:lang w:val="en-US" w:eastAsia="zh-CN" w:bidi="ar-SA"/>
      </w:rPr>
    </w:lvl>
    <w:lvl w:ilvl="8">
      <w:start w:val="0"/>
      <w:numFmt w:val="bullet"/>
      <w:lvlText w:val="•"/>
      <w:lvlJc w:val="left"/>
      <w:pPr>
        <w:ind w:left="8588" w:hanging="211"/>
      </w:pPr>
      <w:rPr>
        <w:rFonts w:hint="default"/>
        <w:lang w:val="en-US" w:eastAsia="zh-CN" w:bidi="ar-SA"/>
      </w:rPr>
    </w:lvl>
  </w:abstractNum>
  <w:abstractNum w:abstractNumId="47">
    <w:nsid w:val="78AD2AFB"/>
    <w:multiLevelType w:val="hybridMultilevel"/>
    <w:tmpl w:val="00000000"/>
    <w:lvl w:ilvl="0">
      <w:start w:val="1"/>
      <w:numFmt w:val="decimal"/>
      <w:lvlText w:val="%1."/>
      <w:lvlJc w:val="left"/>
      <w:pPr>
        <w:ind w:left="997" w:hanging="337"/>
        <w:jc w:val="right"/>
      </w:pPr>
      <w:rPr>
        <w:rFonts w:ascii="宋体" w:eastAsia="宋体" w:hAnsi="宋体" w:cs="宋体" w:hint="default"/>
        <w:b w:val="0"/>
        <w:bCs w:val="0"/>
        <w:i w:val="0"/>
        <w:iCs w:val="0"/>
        <w:w w:val="100"/>
        <w:sz w:val="21"/>
        <w:szCs w:val="21"/>
        <w:lang w:val="en-US" w:eastAsia="zh-CN" w:bidi="ar-SA"/>
      </w:rPr>
    </w:lvl>
    <w:lvl w:ilvl="1">
      <w:start w:val="1"/>
      <w:numFmt w:val="decimal"/>
      <w:lvlText w:val="%1.%2"/>
      <w:lvlJc w:val="left"/>
      <w:pPr>
        <w:ind w:left="1134" w:hanging="42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180" w:hanging="420"/>
      </w:pPr>
      <w:rPr>
        <w:rFonts w:hint="default"/>
        <w:lang w:val="en-US" w:eastAsia="zh-CN" w:bidi="ar-SA"/>
      </w:rPr>
    </w:lvl>
    <w:lvl w:ilvl="3">
      <w:start w:val="0"/>
      <w:numFmt w:val="bullet"/>
      <w:lvlText w:val="•"/>
      <w:lvlJc w:val="left"/>
      <w:pPr>
        <w:ind w:left="3221" w:hanging="420"/>
      </w:pPr>
      <w:rPr>
        <w:rFonts w:hint="default"/>
        <w:lang w:val="en-US" w:eastAsia="zh-CN" w:bidi="ar-SA"/>
      </w:rPr>
    </w:lvl>
    <w:lvl w:ilvl="4">
      <w:start w:val="0"/>
      <w:numFmt w:val="bullet"/>
      <w:lvlText w:val="•"/>
      <w:lvlJc w:val="left"/>
      <w:pPr>
        <w:ind w:left="4262" w:hanging="420"/>
      </w:pPr>
      <w:rPr>
        <w:rFonts w:hint="default"/>
        <w:lang w:val="en-US" w:eastAsia="zh-CN" w:bidi="ar-SA"/>
      </w:rPr>
    </w:lvl>
    <w:lvl w:ilvl="5">
      <w:start w:val="0"/>
      <w:numFmt w:val="bullet"/>
      <w:lvlText w:val="•"/>
      <w:lvlJc w:val="left"/>
      <w:pPr>
        <w:ind w:left="5302" w:hanging="420"/>
      </w:pPr>
      <w:rPr>
        <w:rFonts w:hint="default"/>
        <w:lang w:val="en-US" w:eastAsia="zh-CN" w:bidi="ar-SA"/>
      </w:rPr>
    </w:lvl>
    <w:lvl w:ilvl="6">
      <w:start w:val="0"/>
      <w:numFmt w:val="bullet"/>
      <w:lvlText w:val="•"/>
      <w:lvlJc w:val="left"/>
      <w:pPr>
        <w:ind w:left="6343" w:hanging="420"/>
      </w:pPr>
      <w:rPr>
        <w:rFonts w:hint="default"/>
        <w:lang w:val="en-US" w:eastAsia="zh-CN" w:bidi="ar-SA"/>
      </w:rPr>
    </w:lvl>
    <w:lvl w:ilvl="7">
      <w:start w:val="0"/>
      <w:numFmt w:val="bullet"/>
      <w:lvlText w:val="•"/>
      <w:lvlJc w:val="left"/>
      <w:pPr>
        <w:ind w:left="7384" w:hanging="420"/>
      </w:pPr>
      <w:rPr>
        <w:rFonts w:hint="default"/>
        <w:lang w:val="en-US" w:eastAsia="zh-CN" w:bidi="ar-SA"/>
      </w:rPr>
    </w:lvl>
    <w:lvl w:ilvl="8">
      <w:start w:val="0"/>
      <w:numFmt w:val="bullet"/>
      <w:lvlText w:val="•"/>
      <w:lvlJc w:val="left"/>
      <w:pPr>
        <w:ind w:left="8424" w:hanging="420"/>
      </w:pPr>
      <w:rPr>
        <w:rFonts w:hint="default"/>
        <w:lang w:val="en-US" w:eastAsia="zh-CN" w:bidi="ar-SA"/>
      </w:rPr>
    </w:lvl>
  </w:abstractNum>
  <w:abstractNum w:abstractNumId="48">
    <w:nsid w:val="7985B08D"/>
    <w:multiLevelType w:val="hybridMultilevel"/>
    <w:tmpl w:val="00000000"/>
    <w:lvl w:ilvl="0">
      <w:start w:val="1"/>
      <w:numFmt w:val="decimal"/>
      <w:lvlText w:val="%1."/>
      <w:lvlJc w:val="left"/>
      <w:pPr>
        <w:ind w:left="92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878" w:hanging="211"/>
      </w:pPr>
      <w:rPr>
        <w:rFonts w:hint="default"/>
        <w:lang w:val="en-US" w:eastAsia="zh-CN" w:bidi="ar-SA"/>
      </w:rPr>
    </w:lvl>
    <w:lvl w:ilvl="2">
      <w:start w:val="0"/>
      <w:numFmt w:val="bullet"/>
      <w:lvlText w:val="•"/>
      <w:lvlJc w:val="left"/>
      <w:pPr>
        <w:ind w:left="2837" w:hanging="211"/>
      </w:pPr>
      <w:rPr>
        <w:rFonts w:hint="default"/>
        <w:lang w:val="en-US" w:eastAsia="zh-CN" w:bidi="ar-SA"/>
      </w:rPr>
    </w:lvl>
    <w:lvl w:ilvl="3">
      <w:start w:val="0"/>
      <w:numFmt w:val="bullet"/>
      <w:lvlText w:val="•"/>
      <w:lvlJc w:val="left"/>
      <w:pPr>
        <w:ind w:left="3795" w:hanging="211"/>
      </w:pPr>
      <w:rPr>
        <w:rFonts w:hint="default"/>
        <w:lang w:val="en-US" w:eastAsia="zh-CN" w:bidi="ar-SA"/>
      </w:rPr>
    </w:lvl>
    <w:lvl w:ilvl="4">
      <w:start w:val="0"/>
      <w:numFmt w:val="bullet"/>
      <w:lvlText w:val="•"/>
      <w:lvlJc w:val="left"/>
      <w:pPr>
        <w:ind w:left="4754" w:hanging="211"/>
      </w:pPr>
      <w:rPr>
        <w:rFonts w:hint="default"/>
        <w:lang w:val="en-US" w:eastAsia="zh-CN" w:bidi="ar-SA"/>
      </w:rPr>
    </w:lvl>
    <w:lvl w:ilvl="5">
      <w:start w:val="0"/>
      <w:numFmt w:val="bullet"/>
      <w:lvlText w:val="•"/>
      <w:lvlJc w:val="left"/>
      <w:pPr>
        <w:ind w:left="5713" w:hanging="211"/>
      </w:pPr>
      <w:rPr>
        <w:rFonts w:hint="default"/>
        <w:lang w:val="en-US" w:eastAsia="zh-CN" w:bidi="ar-SA"/>
      </w:rPr>
    </w:lvl>
    <w:lvl w:ilvl="6">
      <w:start w:val="0"/>
      <w:numFmt w:val="bullet"/>
      <w:lvlText w:val="•"/>
      <w:lvlJc w:val="left"/>
      <w:pPr>
        <w:ind w:left="6671" w:hanging="211"/>
      </w:pPr>
      <w:rPr>
        <w:rFonts w:hint="default"/>
        <w:lang w:val="en-US" w:eastAsia="zh-CN" w:bidi="ar-SA"/>
      </w:rPr>
    </w:lvl>
    <w:lvl w:ilvl="7">
      <w:start w:val="0"/>
      <w:numFmt w:val="bullet"/>
      <w:lvlText w:val="•"/>
      <w:lvlJc w:val="left"/>
      <w:pPr>
        <w:ind w:left="7630" w:hanging="211"/>
      </w:pPr>
      <w:rPr>
        <w:rFonts w:hint="default"/>
        <w:lang w:val="en-US" w:eastAsia="zh-CN" w:bidi="ar-SA"/>
      </w:rPr>
    </w:lvl>
    <w:lvl w:ilvl="8">
      <w:start w:val="0"/>
      <w:numFmt w:val="bullet"/>
      <w:lvlText w:val="•"/>
      <w:lvlJc w:val="left"/>
      <w:pPr>
        <w:ind w:left="8588" w:hanging="211"/>
      </w:pPr>
      <w:rPr>
        <w:rFonts w:hint="default"/>
        <w:lang w:val="en-US" w:eastAsia="zh-CN" w:bidi="ar-SA"/>
      </w:rPr>
    </w:lvl>
  </w:abstractNum>
  <w:abstractNum w:abstractNumId="49">
    <w:nsid w:val="7CCFEC18"/>
    <w:multiLevelType w:val="hybridMultilevel"/>
    <w:tmpl w:val="00000000"/>
    <w:lvl w:ilvl="0">
      <w:start w:val="6"/>
      <w:numFmt w:val="decimal"/>
      <w:lvlText w:val="%1"/>
      <w:lvlJc w:val="left"/>
      <w:pPr>
        <w:ind w:left="294" w:hanging="385"/>
        <w:jc w:val="left"/>
      </w:pPr>
      <w:rPr>
        <w:rFonts w:hint="default"/>
        <w:lang w:val="en-US" w:eastAsia="zh-CN" w:bidi="ar-SA"/>
      </w:rPr>
    </w:lvl>
    <w:lvl w:ilvl="1">
      <w:start w:val="1"/>
      <w:numFmt w:val="decimal"/>
      <w:lvlText w:val="%1.%2"/>
      <w:lvlJc w:val="left"/>
      <w:pPr>
        <w:ind w:left="294" w:hanging="385"/>
        <w:jc w:val="left"/>
      </w:pPr>
      <w:rPr>
        <w:rFonts w:hint="default"/>
        <w:spacing w:val="0"/>
        <w:w w:val="100"/>
        <w:lang w:val="en-US" w:eastAsia="zh-CN" w:bidi="ar-SA"/>
      </w:rPr>
    </w:lvl>
    <w:lvl w:ilvl="2">
      <w:start w:val="0"/>
      <w:numFmt w:val="bullet"/>
      <w:lvlText w:val="•"/>
      <w:lvlJc w:val="left"/>
      <w:pPr>
        <w:ind w:left="2341" w:hanging="385"/>
      </w:pPr>
      <w:rPr>
        <w:rFonts w:hint="default"/>
        <w:lang w:val="en-US" w:eastAsia="zh-CN" w:bidi="ar-SA"/>
      </w:rPr>
    </w:lvl>
    <w:lvl w:ilvl="3">
      <w:start w:val="0"/>
      <w:numFmt w:val="bullet"/>
      <w:lvlText w:val="•"/>
      <w:lvlJc w:val="left"/>
      <w:pPr>
        <w:ind w:left="3361" w:hanging="385"/>
      </w:pPr>
      <w:rPr>
        <w:rFonts w:hint="default"/>
        <w:lang w:val="en-US" w:eastAsia="zh-CN" w:bidi="ar-SA"/>
      </w:rPr>
    </w:lvl>
    <w:lvl w:ilvl="4">
      <w:start w:val="0"/>
      <w:numFmt w:val="bullet"/>
      <w:lvlText w:val="•"/>
      <w:lvlJc w:val="left"/>
      <w:pPr>
        <w:ind w:left="4382" w:hanging="385"/>
      </w:pPr>
      <w:rPr>
        <w:rFonts w:hint="default"/>
        <w:lang w:val="en-US" w:eastAsia="zh-CN" w:bidi="ar-SA"/>
      </w:rPr>
    </w:lvl>
    <w:lvl w:ilvl="5">
      <w:start w:val="0"/>
      <w:numFmt w:val="bullet"/>
      <w:lvlText w:val="•"/>
      <w:lvlJc w:val="left"/>
      <w:pPr>
        <w:ind w:left="5403" w:hanging="385"/>
      </w:pPr>
      <w:rPr>
        <w:rFonts w:hint="default"/>
        <w:lang w:val="en-US" w:eastAsia="zh-CN" w:bidi="ar-SA"/>
      </w:rPr>
    </w:lvl>
    <w:lvl w:ilvl="6">
      <w:start w:val="0"/>
      <w:numFmt w:val="bullet"/>
      <w:lvlText w:val="•"/>
      <w:lvlJc w:val="left"/>
      <w:pPr>
        <w:ind w:left="6423" w:hanging="385"/>
      </w:pPr>
      <w:rPr>
        <w:rFonts w:hint="default"/>
        <w:lang w:val="en-US" w:eastAsia="zh-CN" w:bidi="ar-SA"/>
      </w:rPr>
    </w:lvl>
    <w:lvl w:ilvl="7">
      <w:start w:val="0"/>
      <w:numFmt w:val="bullet"/>
      <w:lvlText w:val="•"/>
      <w:lvlJc w:val="left"/>
      <w:pPr>
        <w:ind w:left="7444" w:hanging="385"/>
      </w:pPr>
      <w:rPr>
        <w:rFonts w:hint="default"/>
        <w:lang w:val="en-US" w:eastAsia="zh-CN" w:bidi="ar-SA"/>
      </w:rPr>
    </w:lvl>
    <w:lvl w:ilvl="8">
      <w:start w:val="0"/>
      <w:numFmt w:val="bullet"/>
      <w:lvlText w:val="•"/>
      <w:lvlJc w:val="left"/>
      <w:pPr>
        <w:ind w:left="8464" w:hanging="385"/>
      </w:pPr>
      <w:rPr>
        <w:rFonts w:hint="default"/>
        <w:lang w:val="en-US" w:eastAsia="zh-CN" w:bidi="ar-SA"/>
      </w:rPr>
    </w:lvl>
  </w:abstractNum>
  <w:abstractNum w:abstractNumId="50">
    <w:nsid w:val="7CDA17C7"/>
    <w:multiLevelType w:val="hybridMultilevel"/>
    <w:tmpl w:val="00000000"/>
    <w:lvl w:ilvl="0">
      <w:start w:val="1"/>
      <w:numFmt w:val="decimal"/>
      <w:lvlText w:val="%1."/>
      <w:lvlJc w:val="left"/>
      <w:pPr>
        <w:ind w:left="294"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320" w:hanging="211"/>
      </w:pPr>
      <w:rPr>
        <w:rFonts w:hint="default"/>
        <w:lang w:val="en-US" w:eastAsia="zh-CN" w:bidi="ar-SA"/>
      </w:rPr>
    </w:lvl>
    <w:lvl w:ilvl="2">
      <w:start w:val="0"/>
      <w:numFmt w:val="bullet"/>
      <w:lvlText w:val="•"/>
      <w:lvlJc w:val="left"/>
      <w:pPr>
        <w:ind w:left="2341" w:hanging="211"/>
      </w:pPr>
      <w:rPr>
        <w:rFonts w:hint="default"/>
        <w:lang w:val="en-US" w:eastAsia="zh-CN" w:bidi="ar-SA"/>
      </w:rPr>
    </w:lvl>
    <w:lvl w:ilvl="3">
      <w:start w:val="0"/>
      <w:numFmt w:val="bullet"/>
      <w:lvlText w:val="•"/>
      <w:lvlJc w:val="left"/>
      <w:pPr>
        <w:ind w:left="3361" w:hanging="211"/>
      </w:pPr>
      <w:rPr>
        <w:rFonts w:hint="default"/>
        <w:lang w:val="en-US" w:eastAsia="zh-CN" w:bidi="ar-SA"/>
      </w:rPr>
    </w:lvl>
    <w:lvl w:ilvl="4">
      <w:start w:val="0"/>
      <w:numFmt w:val="bullet"/>
      <w:lvlText w:val="•"/>
      <w:lvlJc w:val="left"/>
      <w:pPr>
        <w:ind w:left="4382" w:hanging="211"/>
      </w:pPr>
      <w:rPr>
        <w:rFonts w:hint="default"/>
        <w:lang w:val="en-US" w:eastAsia="zh-CN" w:bidi="ar-SA"/>
      </w:rPr>
    </w:lvl>
    <w:lvl w:ilvl="5">
      <w:start w:val="0"/>
      <w:numFmt w:val="bullet"/>
      <w:lvlText w:val="•"/>
      <w:lvlJc w:val="left"/>
      <w:pPr>
        <w:ind w:left="5403" w:hanging="211"/>
      </w:pPr>
      <w:rPr>
        <w:rFonts w:hint="default"/>
        <w:lang w:val="en-US" w:eastAsia="zh-CN" w:bidi="ar-SA"/>
      </w:rPr>
    </w:lvl>
    <w:lvl w:ilvl="6">
      <w:start w:val="0"/>
      <w:numFmt w:val="bullet"/>
      <w:lvlText w:val="•"/>
      <w:lvlJc w:val="left"/>
      <w:pPr>
        <w:ind w:left="6423" w:hanging="211"/>
      </w:pPr>
      <w:rPr>
        <w:rFonts w:hint="default"/>
        <w:lang w:val="en-US" w:eastAsia="zh-CN" w:bidi="ar-SA"/>
      </w:rPr>
    </w:lvl>
    <w:lvl w:ilvl="7">
      <w:start w:val="0"/>
      <w:numFmt w:val="bullet"/>
      <w:lvlText w:val="•"/>
      <w:lvlJc w:val="left"/>
      <w:pPr>
        <w:ind w:left="7444" w:hanging="211"/>
      </w:pPr>
      <w:rPr>
        <w:rFonts w:hint="default"/>
        <w:lang w:val="en-US" w:eastAsia="zh-CN" w:bidi="ar-SA"/>
      </w:rPr>
    </w:lvl>
    <w:lvl w:ilvl="8">
      <w:start w:val="0"/>
      <w:numFmt w:val="bullet"/>
      <w:lvlText w:val="•"/>
      <w:lvlJc w:val="left"/>
      <w:pPr>
        <w:ind w:left="8464" w:hanging="211"/>
      </w:pPr>
      <w:rPr>
        <w:rFonts w:hint="default"/>
        <w:lang w:val="en-US" w:eastAsia="zh-CN" w:bidi="ar-SA"/>
      </w:rPr>
    </w:lvl>
  </w:abstractNum>
  <w:abstractNum w:abstractNumId="51">
    <w:nsid w:val="7F76FB3E"/>
    <w:multiLevelType w:val="hybridMultilevel"/>
    <w:tmpl w:val="00000000"/>
    <w:lvl w:ilvl="0">
      <w:start w:val="1"/>
      <w:numFmt w:val="decimal"/>
      <w:lvlText w:val="%1."/>
      <w:lvlJc w:val="left"/>
      <w:pPr>
        <w:ind w:left="925" w:hanging="211"/>
        <w:jc w:val="right"/>
      </w:pPr>
      <w:rPr>
        <w:rFonts w:hint="default"/>
        <w:w w:val="93"/>
        <w:lang w:val="en-US" w:eastAsia="zh-CN" w:bidi="ar-SA"/>
      </w:rPr>
    </w:lvl>
    <w:lvl w:ilvl="1">
      <w:start w:val="1"/>
      <w:numFmt w:val="decimal"/>
      <w:lvlText w:val="%1.%2"/>
      <w:lvlJc w:val="left"/>
      <w:pPr>
        <w:ind w:left="294" w:hanging="473"/>
        <w:jc w:val="left"/>
      </w:pPr>
      <w:rPr>
        <w:rFonts w:hint="default"/>
        <w:w w:val="100"/>
        <w:lang w:val="en-US" w:eastAsia="zh-CN" w:bidi="ar-SA"/>
      </w:rPr>
    </w:lvl>
    <w:lvl w:ilvl="2">
      <w:start w:val="1"/>
      <w:numFmt w:val="decimal"/>
      <w:lvlText w:val="%1.%2.%3"/>
      <w:lvlJc w:val="left"/>
      <w:pPr>
        <w:ind w:left="294" w:hanging="473"/>
        <w:jc w:val="left"/>
      </w:pPr>
      <w:rPr>
        <w:rFonts w:ascii="宋体" w:eastAsia="宋体" w:hAnsi="宋体" w:cs="宋体" w:hint="default"/>
        <w:b w:val="0"/>
        <w:bCs w:val="0"/>
        <w:i w:val="0"/>
        <w:iCs w:val="0"/>
        <w:w w:val="100"/>
        <w:sz w:val="21"/>
        <w:szCs w:val="21"/>
        <w:lang w:val="en-US" w:eastAsia="zh-CN" w:bidi="ar-SA"/>
      </w:rPr>
    </w:lvl>
    <w:lvl w:ilvl="3">
      <w:start w:val="0"/>
      <w:numFmt w:val="bullet"/>
      <w:lvlText w:val="•"/>
      <w:lvlJc w:val="left"/>
      <w:pPr>
        <w:ind w:left="1140" w:hanging="473"/>
      </w:pPr>
      <w:rPr>
        <w:rFonts w:hint="default"/>
        <w:lang w:val="en-US" w:eastAsia="zh-CN" w:bidi="ar-SA"/>
      </w:rPr>
    </w:lvl>
    <w:lvl w:ilvl="4">
      <w:start w:val="0"/>
      <w:numFmt w:val="bullet"/>
      <w:lvlText w:val="•"/>
      <w:lvlJc w:val="left"/>
      <w:pPr>
        <w:ind w:left="1160" w:hanging="473"/>
      </w:pPr>
      <w:rPr>
        <w:rFonts w:hint="default"/>
        <w:lang w:val="en-US" w:eastAsia="zh-CN" w:bidi="ar-SA"/>
      </w:rPr>
    </w:lvl>
    <w:lvl w:ilvl="5">
      <w:start w:val="0"/>
      <w:numFmt w:val="bullet"/>
      <w:lvlText w:val="•"/>
      <w:lvlJc w:val="left"/>
      <w:pPr>
        <w:ind w:left="1180" w:hanging="473"/>
      </w:pPr>
      <w:rPr>
        <w:rFonts w:hint="default"/>
        <w:lang w:val="en-US" w:eastAsia="zh-CN" w:bidi="ar-SA"/>
      </w:rPr>
    </w:lvl>
    <w:lvl w:ilvl="6">
      <w:start w:val="0"/>
      <w:numFmt w:val="bullet"/>
      <w:lvlText w:val="•"/>
      <w:lvlJc w:val="left"/>
      <w:pPr>
        <w:ind w:left="1300" w:hanging="473"/>
      </w:pPr>
      <w:rPr>
        <w:rFonts w:hint="default"/>
        <w:lang w:val="en-US" w:eastAsia="zh-CN" w:bidi="ar-SA"/>
      </w:rPr>
    </w:lvl>
    <w:lvl w:ilvl="7">
      <w:start w:val="0"/>
      <w:numFmt w:val="bullet"/>
      <w:lvlText w:val="•"/>
      <w:lvlJc w:val="left"/>
      <w:pPr>
        <w:ind w:left="1400" w:hanging="473"/>
      </w:pPr>
      <w:rPr>
        <w:rFonts w:hint="default"/>
        <w:lang w:val="en-US" w:eastAsia="zh-CN" w:bidi="ar-SA"/>
      </w:rPr>
    </w:lvl>
    <w:lvl w:ilvl="8">
      <w:start w:val="0"/>
      <w:numFmt w:val="bullet"/>
      <w:lvlText w:val="•"/>
      <w:lvlJc w:val="left"/>
      <w:pPr>
        <w:ind w:left="4435" w:hanging="473"/>
      </w:pPr>
      <w:rPr>
        <w:rFonts w:hint="default"/>
        <w:lang w:val="en-US" w:eastAsia="zh-CN" w:bidi="ar-SA"/>
      </w:rPr>
    </w:lvl>
  </w:abstractNum>
  <w:num w:numId="1">
    <w:abstractNumId w:val="6"/>
  </w:num>
  <w:num w:numId="2">
    <w:abstractNumId w:val="40"/>
  </w:num>
  <w:num w:numId="3">
    <w:abstractNumId w:val="41"/>
  </w:num>
  <w:num w:numId="4">
    <w:abstractNumId w:val="24"/>
  </w:num>
  <w:num w:numId="5">
    <w:abstractNumId w:val="17"/>
  </w:num>
  <w:num w:numId="6">
    <w:abstractNumId w:val="16"/>
  </w:num>
  <w:num w:numId="7">
    <w:abstractNumId w:val="32"/>
  </w:num>
  <w:num w:numId="8">
    <w:abstractNumId w:val="25"/>
  </w:num>
  <w:num w:numId="9">
    <w:abstractNumId w:val="31"/>
  </w:num>
  <w:num w:numId="10">
    <w:abstractNumId w:val="20"/>
  </w:num>
  <w:num w:numId="11">
    <w:abstractNumId w:val="13"/>
  </w:num>
  <w:num w:numId="12">
    <w:abstractNumId w:val="50"/>
  </w:num>
  <w:num w:numId="13">
    <w:abstractNumId w:val="1"/>
  </w:num>
  <w:num w:numId="14">
    <w:abstractNumId w:val="22"/>
  </w:num>
  <w:num w:numId="15">
    <w:abstractNumId w:val="47"/>
  </w:num>
  <w:num w:numId="16">
    <w:abstractNumId w:val="48"/>
  </w:num>
  <w:num w:numId="17">
    <w:abstractNumId w:val="45"/>
  </w:num>
  <w:num w:numId="18">
    <w:abstractNumId w:val="27"/>
  </w:num>
  <w:num w:numId="19">
    <w:abstractNumId w:val="28"/>
  </w:num>
  <w:num w:numId="20">
    <w:abstractNumId w:val="15"/>
  </w:num>
  <w:num w:numId="21">
    <w:abstractNumId w:val="8"/>
  </w:num>
  <w:num w:numId="22">
    <w:abstractNumId w:val="43"/>
  </w:num>
  <w:num w:numId="23">
    <w:abstractNumId w:val="2"/>
  </w:num>
  <w:num w:numId="24">
    <w:abstractNumId w:val="11"/>
  </w:num>
  <w:num w:numId="25">
    <w:abstractNumId w:val="9"/>
  </w:num>
  <w:num w:numId="26">
    <w:abstractNumId w:val="26"/>
  </w:num>
  <w:num w:numId="27">
    <w:abstractNumId w:val="51"/>
  </w:num>
  <w:num w:numId="28">
    <w:abstractNumId w:val="30"/>
  </w:num>
  <w:num w:numId="29">
    <w:abstractNumId w:val="44"/>
  </w:num>
  <w:num w:numId="30">
    <w:abstractNumId w:val="23"/>
  </w:num>
  <w:num w:numId="31">
    <w:abstractNumId w:val="7"/>
  </w:num>
  <w:num w:numId="32">
    <w:abstractNumId w:val="18"/>
  </w:num>
  <w:num w:numId="33">
    <w:abstractNumId w:val="39"/>
  </w:num>
  <w:num w:numId="34">
    <w:abstractNumId w:val="14"/>
  </w:num>
  <w:num w:numId="35">
    <w:abstractNumId w:val="49"/>
  </w:num>
  <w:num w:numId="36">
    <w:abstractNumId w:val="10"/>
  </w:num>
  <w:num w:numId="37">
    <w:abstractNumId w:val="21"/>
  </w:num>
  <w:num w:numId="38">
    <w:abstractNumId w:val="42"/>
  </w:num>
  <w:num w:numId="39">
    <w:abstractNumId w:val="37"/>
  </w:num>
  <w:num w:numId="40">
    <w:abstractNumId w:val="3"/>
  </w:num>
  <w:num w:numId="41">
    <w:abstractNumId w:val="19"/>
  </w:num>
  <w:num w:numId="42">
    <w:abstractNumId w:val="5"/>
  </w:num>
  <w:num w:numId="43">
    <w:abstractNumId w:val="36"/>
  </w:num>
  <w:num w:numId="44">
    <w:abstractNumId w:val="38"/>
  </w:num>
  <w:num w:numId="45">
    <w:abstractNumId w:val="35"/>
  </w:num>
  <w:num w:numId="46">
    <w:abstractNumId w:val="46"/>
  </w:num>
  <w:num w:numId="47">
    <w:abstractNumId w:val="12"/>
  </w:num>
  <w:num w:numId="48">
    <w:abstractNumId w:val="4"/>
  </w:num>
  <w:num w:numId="49">
    <w:abstractNumId w:val="33"/>
  </w:num>
  <w:num w:numId="50">
    <w:abstractNumId w:val="29"/>
  </w:num>
  <w:num w:numId="51">
    <w:abstractNumId w:val="34"/>
  </w:num>
  <w:num w:numId="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772" w:lineRule="exact"/>
      <w:ind w:left="1992" w:right="2271"/>
      <w:jc w:val="center"/>
      <w:outlineLvl w:val="0"/>
    </w:pPr>
    <w:rPr>
      <w:rFonts w:ascii="微软雅黑" w:eastAsia="微软雅黑" w:hAnsi="微软雅黑" w:cs="微软雅黑"/>
      <w:b/>
      <w:bCs/>
      <w:sz w:val="48"/>
      <w:szCs w:val="48"/>
      <w:lang w:val="en-US" w:eastAsia="zh-CN" w:bidi="ar-SA"/>
    </w:rPr>
  </w:style>
  <w:style w:type="paragraph" w:styleId="Heading2">
    <w:name w:val="heading 2"/>
    <w:basedOn w:val="Normal"/>
    <w:uiPriority w:val="1"/>
    <w:qFormat/>
    <w:pPr>
      <w:spacing w:line="593" w:lineRule="exact"/>
      <w:ind w:left="1992" w:right="2271"/>
      <w:jc w:val="center"/>
      <w:outlineLvl w:val="1"/>
    </w:pPr>
    <w:rPr>
      <w:rFonts w:ascii="微软雅黑" w:eastAsia="微软雅黑" w:hAnsi="微软雅黑" w:cs="微软雅黑"/>
      <w:b/>
      <w:bCs/>
      <w:sz w:val="36"/>
      <w:szCs w:val="36"/>
      <w:lang w:val="en-US" w:eastAsia="zh-CN" w:bidi="ar-SA"/>
    </w:rPr>
  </w:style>
  <w:style w:type="paragraph" w:styleId="Heading3">
    <w:name w:val="heading 3"/>
    <w:basedOn w:val="Normal"/>
    <w:uiPriority w:val="1"/>
    <w:qFormat/>
    <w:pPr>
      <w:ind w:left="1992"/>
      <w:jc w:val="center"/>
      <w:outlineLvl w:val="2"/>
    </w:pPr>
    <w:rPr>
      <w:rFonts w:ascii="微软雅黑" w:eastAsia="微软雅黑" w:hAnsi="微软雅黑" w:cs="微软雅黑"/>
      <w:b/>
      <w:bCs/>
      <w:sz w:val="32"/>
      <w:szCs w:val="32"/>
      <w:lang w:val="en-US" w:eastAsia="zh-CN" w:bidi="ar-SA"/>
    </w:rPr>
  </w:style>
  <w:style w:type="paragraph" w:styleId="Heading4">
    <w:name w:val="heading 4"/>
    <w:basedOn w:val="Normal"/>
    <w:uiPriority w:val="1"/>
    <w:qFormat/>
    <w:pPr>
      <w:spacing w:before="37"/>
      <w:ind w:left="291" w:right="2271"/>
      <w:jc w:val="center"/>
      <w:outlineLvl w:val="3"/>
    </w:pPr>
    <w:rPr>
      <w:rFonts w:ascii="微软雅黑" w:eastAsia="微软雅黑" w:hAnsi="微软雅黑" w:cs="微软雅黑"/>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43"/>
      <w:ind w:left="294"/>
    </w:pPr>
    <w:rPr>
      <w:rFonts w:ascii="宋体" w:eastAsia="宋体" w:hAnsi="宋体" w:cs="宋体"/>
      <w:sz w:val="21"/>
      <w:szCs w:val="21"/>
      <w:lang w:val="en-US" w:eastAsia="zh-CN" w:bidi="ar-SA"/>
    </w:rPr>
  </w:style>
  <w:style w:type="paragraph" w:styleId="TOC2">
    <w:name w:val="toc 2"/>
    <w:basedOn w:val="Normal"/>
    <w:uiPriority w:val="1"/>
    <w:qFormat/>
    <w:pPr>
      <w:spacing w:before="43"/>
      <w:ind w:left="474"/>
    </w:pPr>
    <w:rPr>
      <w:rFonts w:ascii="宋体" w:eastAsia="宋体" w:hAnsi="宋体" w:cs="宋体"/>
      <w:sz w:val="21"/>
      <w:szCs w:val="21"/>
      <w:lang w:val="en-US" w:eastAsia="zh-CN" w:bidi="ar-SA"/>
    </w:rPr>
  </w:style>
  <w:style w:type="paragraph" w:styleId="TOC3">
    <w:name w:val="toc 3"/>
    <w:basedOn w:val="Normal"/>
    <w:uiPriority w:val="1"/>
    <w:qFormat/>
    <w:pPr>
      <w:spacing w:before="43"/>
      <w:ind w:left="579"/>
    </w:pPr>
    <w:rPr>
      <w:rFonts w:ascii="宋体" w:eastAsia="宋体" w:hAnsi="宋体" w:cs="宋体"/>
      <w:sz w:val="21"/>
      <w:szCs w:val="21"/>
      <w:lang w:val="en-US" w:eastAsia="zh-CN" w:bidi="ar-SA"/>
    </w:rPr>
  </w:style>
  <w:style w:type="paragraph" w:styleId="TOC4">
    <w:name w:val="toc 4"/>
    <w:basedOn w:val="Normal"/>
    <w:uiPriority w:val="1"/>
    <w:qFormat/>
    <w:pPr>
      <w:spacing w:before="43"/>
      <w:ind w:left="684"/>
    </w:pPr>
    <w:rPr>
      <w:rFonts w:ascii="宋体" w:eastAsia="宋体" w:hAnsi="宋体" w:cs="宋体"/>
      <w:sz w:val="21"/>
      <w:szCs w:val="21"/>
      <w:lang w:val="en-US" w:eastAsia="zh-CN" w:bidi="ar-SA"/>
    </w:r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spacing w:before="1"/>
      <w:ind w:left="474" w:right="705"/>
      <w:jc w:val="center"/>
    </w:pPr>
    <w:rPr>
      <w:rFonts w:ascii="宋体" w:eastAsia="宋体" w:hAnsi="宋体" w:cs="宋体"/>
      <w:sz w:val="72"/>
      <w:szCs w:val="72"/>
      <w:lang w:val="en-US" w:eastAsia="zh-CN" w:bidi="ar-SA"/>
    </w:rPr>
  </w:style>
  <w:style w:type="paragraph" w:styleId="ListParagraph">
    <w:name w:val="List Paragraph"/>
    <w:basedOn w:val="Normal"/>
    <w:uiPriority w:val="1"/>
    <w:qFormat/>
    <w:pPr>
      <w:ind w:left="294" w:firstLine="420"/>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zfcg.fjqz.gov.cn/" TargetMode="External" /><Relationship Id="rId11" Type="http://schemas.openxmlformats.org/officeDocument/2006/relationships/hyperlink" Target="http://cz.fjzfcg.gov.cn/&#25110;" TargetMode="External" /><Relationship Id="rId12" Type="http://schemas.openxmlformats.org/officeDocument/2006/relationships/hyperlink" Target="http://www.ccgp.gov.cn/&#31561;" TargetMode="External" /><Relationship Id="rId13" Type="http://schemas.openxmlformats.org/officeDocument/2006/relationships/hyperlink" Target="mailto:qzjlzbdl@163.com" TargetMode="Externa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eader" Target="header10.xml" /><Relationship Id="rId27" Type="http://schemas.openxmlformats.org/officeDocument/2006/relationships/footer" Target="footer10.xml" /><Relationship Id="rId28" Type="http://schemas.openxmlformats.org/officeDocument/2006/relationships/header" Target="header11.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2.xml" /><Relationship Id="rId32" Type="http://schemas.openxmlformats.org/officeDocument/2006/relationships/header" Target="header13.xml" /><Relationship Id="rId33" Type="http://schemas.openxmlformats.org/officeDocument/2006/relationships/footer" Target="footer13.xml" /><Relationship Id="rId34" Type="http://schemas.openxmlformats.org/officeDocument/2006/relationships/header" Target="header14.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footer" Target="footer16.xml" /><Relationship Id="rId4" Type="http://schemas.openxmlformats.org/officeDocument/2006/relationships/header" Target="header1.xml" /><Relationship Id="rId40" Type="http://schemas.openxmlformats.org/officeDocument/2006/relationships/header" Target="header17.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header" Target="header19.xml" /><Relationship Id="rId45" Type="http://schemas.openxmlformats.org/officeDocument/2006/relationships/footer" Target="footer19.xml" /><Relationship Id="rId46" Type="http://schemas.openxmlformats.org/officeDocument/2006/relationships/header" Target="header20.xml" /><Relationship Id="rId47" Type="http://schemas.openxmlformats.org/officeDocument/2006/relationships/footer" Target="footer20.xml" /><Relationship Id="rId48" Type="http://schemas.openxmlformats.org/officeDocument/2006/relationships/header" Target="header21.xml" /><Relationship Id="rId49" Type="http://schemas.openxmlformats.org/officeDocument/2006/relationships/footer" Target="footer21.xml" /><Relationship Id="rId5" Type="http://schemas.openxmlformats.org/officeDocument/2006/relationships/footer" Target="footer1.xml" /><Relationship Id="rId50" Type="http://schemas.openxmlformats.org/officeDocument/2006/relationships/header" Target="header22.xml" /><Relationship Id="rId51" Type="http://schemas.openxmlformats.org/officeDocument/2006/relationships/footer" Target="footer22.xml" /><Relationship Id="rId52" Type="http://schemas.openxmlformats.org/officeDocument/2006/relationships/header" Target="header23.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footer" Target="footer24.xml" /><Relationship Id="rId56" Type="http://schemas.openxmlformats.org/officeDocument/2006/relationships/header" Target="header25.xml" /><Relationship Id="rId57" Type="http://schemas.openxmlformats.org/officeDocument/2006/relationships/footer" Target="footer25.xml" /><Relationship Id="rId58" Type="http://schemas.openxmlformats.org/officeDocument/2006/relationships/hyperlink" Target="https://d.book118.com/177022004105006050" TargetMode="External" /><Relationship Id="rId59" Type="http://schemas.openxmlformats.org/officeDocument/2006/relationships/header" Target="header26.xml" /><Relationship Id="rId6" Type="http://schemas.openxmlformats.org/officeDocument/2006/relationships/header" Target="header2.xml" /><Relationship Id="rId60" Type="http://schemas.openxmlformats.org/officeDocument/2006/relationships/footer" Target="footer26.xml" /><Relationship Id="rId61" Type="http://schemas.openxmlformats.org/officeDocument/2006/relationships/theme" Target="theme/theme1.xml" /><Relationship Id="rId62" Type="http://schemas.openxmlformats.org/officeDocument/2006/relationships/numbering" Target="numbering.xml" /><Relationship Id="rId63"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2024-03-05T06:41:49Z</dcterms:created>
  <dcterms:modified xsi:type="dcterms:W3CDTF">2024-03-05T06:41:49Z</dcterms:modified>
</cp:coreProperties>
</file>