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8"/>
        </w:rPr>
      </w:pPr>
    </w:p>
    <w:p>
      <w:pPr>
        <w:spacing w:before="60"/>
        <w:ind w:left="3322" w:right="0" w:firstLine="0"/>
        <w:jc w:val="left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北京化装品生产线建设工程</w:t>
      </w: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37"/>
        </w:rPr>
      </w:pPr>
    </w:p>
    <w:p>
      <w:pPr>
        <w:spacing w:before="0"/>
        <w:ind w:left="1594" w:right="4870" w:firstLine="0"/>
        <w:jc w:val="center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投资分析报告</w:t>
      </w: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spacing w:before="9"/>
        <w:rPr>
          <w:rFonts w:ascii="黑体"/>
          <w:b/>
          <w:sz w:val="32"/>
        </w:rPr>
      </w:pPr>
    </w:p>
    <w:p>
      <w:pPr>
        <w:pStyle w:val="Heading2"/>
        <w:ind w:left="4523" w:right="4844"/>
        <w:jc w:val="center"/>
        <w:rPr>
          <w:rFonts w:ascii="黑体" w:eastAsia="黑体" w:hint="eastAsia"/>
        </w:rPr>
      </w:pPr>
      <w:r>
        <w:rPr>
          <w:rFonts w:ascii="黑体" w:eastAsia="黑体" w:hint="eastAsia"/>
          <w:spacing w:val="2"/>
          <w:w w:val="95"/>
        </w:rPr>
        <w:t>规划设计</w:t>
      </w:r>
      <w:r>
        <w:rPr>
          <w:rFonts w:ascii="黑体" w:eastAsia="黑体" w:hint="eastAsia"/>
          <w:w w:val="95"/>
        </w:rPr>
        <w:t>/投资分析/产业运营</w:t>
      </w:r>
    </w:p>
    <w:p>
      <w:pPr>
        <w:spacing w:after="0"/>
        <w:jc w:val="center"/>
        <w:rPr>
          <w:rFonts w:ascii="黑体" w:eastAsia="黑体" w:hint="eastAsia"/>
        </w:rPr>
        <w:sectPr>
          <w:type w:val="continuous"/>
          <w:pgSz w:w="18360" w:h="23760"/>
          <w:pgMar w:top="2300" w:right="1200" w:bottom="280" w:left="1520" w:header="708" w:footer="708"/>
          <w:cols w:space="708"/>
        </w:sect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spacing w:before="174"/>
        <w:ind w:left="1407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报告说明—</w:t>
      </w:r>
    </w:p>
    <w:p>
      <w:pPr>
        <w:pStyle w:val="BodyText"/>
        <w:spacing w:before="2"/>
        <w:rPr>
          <w:rFonts w:ascii="黑体"/>
          <w:sz w:val="31"/>
        </w:rPr>
      </w:pPr>
    </w:p>
    <w:p>
      <w:pPr>
        <w:pStyle w:val="BodyText"/>
        <w:spacing w:line="405" w:lineRule="auto"/>
        <w:ind w:left="280" w:right="957" w:firstLine="900"/>
        <w:jc w:val="both"/>
      </w:pPr>
      <w:r>
        <w:rPr>
          <w:spacing w:val="-1"/>
        </w:rPr>
        <w:t>化装品是指以涂抹、喷洒或者其他类似方法，散布于人体外表的任何部位，如皮肤、毛发、指趾甲、唇齿等，以到达清洁、保养、美容、修饰和转变外观，或者修正人体气味，保持良好状态为目的的化学工业品或精</w:t>
      </w:r>
      <w:r>
        <w:t>细化工产品。</w:t>
      </w:r>
    </w:p>
    <w:p>
      <w:pPr>
        <w:pStyle w:val="BodyText"/>
        <w:spacing w:line="405" w:lineRule="auto"/>
        <w:ind w:left="280" w:right="728" w:firstLine="900"/>
      </w:pPr>
      <w:r>
        <w:rPr>
          <w:spacing w:val="-2"/>
          <w:w w:val="95"/>
        </w:rPr>
        <w:t xml:space="preserve">该化装品工程打算总投资 </w:t>
      </w:r>
      <w:r>
        <w:rPr>
          <w:w w:val="95"/>
        </w:rPr>
        <w:t>15073.71</w:t>
      </w:r>
      <w:r>
        <w:rPr>
          <w:spacing w:val="-4"/>
          <w:w w:val="95"/>
        </w:rPr>
        <w:t xml:space="preserve"> 万元，其中：固定资产投资</w:t>
      </w:r>
      <w:r>
        <w:rPr>
          <w:spacing w:val="-1"/>
        </w:rPr>
        <w:t>12293.69</w:t>
      </w:r>
      <w:r>
        <w:rPr>
          <w:spacing w:val="-113"/>
        </w:rPr>
        <w:t xml:space="preserve"> </w:t>
      </w:r>
      <w:r>
        <w:rPr>
          <w:spacing w:val="-11"/>
        </w:rPr>
        <w:t xml:space="preserve">万元，占工程总投资的 </w:t>
      </w:r>
      <w:r>
        <w:t>81.56%；</w:t>
      </w:r>
      <w:r>
        <w:rPr>
          <w:spacing w:val="-23"/>
        </w:rPr>
        <w:t xml:space="preserve">流淌资金 </w:t>
      </w:r>
      <w:r>
        <w:t>2780.02</w:t>
      </w:r>
      <w:r>
        <w:rPr>
          <w:spacing w:val="-13"/>
        </w:rPr>
        <w:t xml:space="preserve"> 万元，占工程总投资的</w:t>
      </w:r>
      <w:r>
        <w:rPr>
          <w:spacing w:val="-110"/>
        </w:rPr>
        <w:t xml:space="preserve"> </w:t>
      </w:r>
      <w:r>
        <w:t>18.44%。</w:t>
      </w:r>
    </w:p>
    <w:p>
      <w:pPr>
        <w:pStyle w:val="BodyText"/>
        <w:spacing w:line="405" w:lineRule="auto"/>
        <w:ind w:left="280" w:right="728" w:firstLine="900"/>
      </w:pPr>
      <w:r>
        <w:rPr>
          <w:spacing w:val="1"/>
          <w:w w:val="95"/>
        </w:rPr>
        <w:t xml:space="preserve">达产年营业收入 </w:t>
      </w:r>
      <w:r>
        <w:rPr>
          <w:w w:val="95"/>
        </w:rPr>
        <w:t>22729.00</w:t>
      </w:r>
      <w:r>
        <w:rPr>
          <w:spacing w:val="1"/>
          <w:w w:val="95"/>
        </w:rPr>
        <w:t xml:space="preserve"> 万元，总本钱费用 </w:t>
      </w:r>
      <w:r>
        <w:rPr>
          <w:w w:val="95"/>
        </w:rPr>
        <w:t>17472.79 万元，税金及</w:t>
      </w:r>
      <w:r>
        <w:rPr>
          <w:spacing w:val="-1"/>
        </w:rPr>
        <w:t>附</w:t>
      </w:r>
      <w:r>
        <w:rPr>
          <w:spacing w:val="-55"/>
        </w:rPr>
        <w:t xml:space="preserve">加 </w:t>
      </w:r>
      <w:r>
        <w:rPr>
          <w:spacing w:val="-1"/>
        </w:rPr>
        <w:t>259.59</w:t>
      </w:r>
      <w:r>
        <w:rPr>
          <w:spacing w:val="-28"/>
        </w:rPr>
        <w:t xml:space="preserve"> 万元，利润总额 </w:t>
      </w:r>
      <w:r>
        <w:rPr>
          <w:spacing w:val="-1"/>
        </w:rPr>
        <w:t>5256.21</w:t>
      </w:r>
      <w:r>
        <w:rPr>
          <w:spacing w:val="-27"/>
        </w:rPr>
        <w:t xml:space="preserve"> 万元，利税总额 </w:t>
      </w:r>
      <w:r>
        <w:t>6240.79</w:t>
      </w:r>
      <w:r>
        <w:rPr>
          <w:spacing w:val="-18"/>
        </w:rPr>
        <w:t xml:space="preserve"> 万元，税后净</w:t>
      </w:r>
      <w:r>
        <w:rPr>
          <w:spacing w:val="-37"/>
        </w:rPr>
        <w:t xml:space="preserve">利润 </w:t>
      </w:r>
      <w:r>
        <w:t>3942.16</w:t>
      </w:r>
      <w:r>
        <w:rPr>
          <w:spacing w:val="-21"/>
        </w:rPr>
        <w:t xml:space="preserve"> 万元，达产年纳税总额 </w:t>
      </w:r>
      <w:r>
        <w:t>2298.63</w:t>
      </w:r>
      <w:r>
        <w:rPr>
          <w:spacing w:val="-12"/>
        </w:rPr>
        <w:t xml:space="preserve"> 万元；达产年投资利润率</w:t>
      </w:r>
      <w:r>
        <w:rPr>
          <w:spacing w:val="-1"/>
        </w:rPr>
        <w:t>34.87%，</w:t>
      </w:r>
      <w:r>
        <w:rPr>
          <w:spacing w:val="-19"/>
        </w:rPr>
        <w:t xml:space="preserve">投资利税率 </w:t>
      </w:r>
      <w:r>
        <w:t>41.40</w:t>
      </w:r>
      <w:r>
        <w:rPr>
          <w:spacing w:val="-14"/>
        </w:rPr>
        <w:t xml:space="preserve">%，投资回报率 </w:t>
      </w:r>
      <w:r>
        <w:t>26.15%，全部投资回收期 5.32</w:t>
      </w:r>
      <w:r>
        <w:rPr>
          <w:spacing w:val="1"/>
        </w:rPr>
        <w:t xml:space="preserve"> </w:t>
      </w:r>
      <w:r>
        <w:rPr>
          <w:spacing w:val="-13"/>
        </w:rPr>
        <w:t xml:space="preserve">年，供给就业职位 </w:t>
      </w:r>
      <w:r>
        <w:t>346</w:t>
      </w:r>
      <w:r>
        <w:rPr>
          <w:spacing w:val="-39"/>
        </w:rPr>
        <w:t xml:space="preserve"> 个。</w:t>
      </w:r>
    </w:p>
    <w:p>
      <w:pPr>
        <w:pStyle w:val="BodyText"/>
        <w:spacing w:line="405" w:lineRule="auto"/>
        <w:ind w:left="280" w:right="617" w:firstLine="900"/>
      </w:pPr>
      <w:r>
        <w:t>外乡化装品企业布局电商渠道已有十年时间，分为两个阶段：第一阶段，2023</w:t>
      </w:r>
      <w:r>
        <w:rPr>
          <w:spacing w:val="-13"/>
        </w:rPr>
        <w:t xml:space="preserve"> 年至今的淘品牌时期。</w:t>
      </w:r>
      <w:r>
        <w:t>2023</w:t>
      </w:r>
      <w:r>
        <w:rPr>
          <w:spacing w:val="-12"/>
        </w:rPr>
        <w:t xml:space="preserve"> 年借助电商渠道红利，涌现出了一大</w:t>
      </w:r>
      <w:r>
        <w:t>批的淘品牌公司，包括目前仍活泼一线的御泥坊、阿芙、膜法世家等。其次</w:t>
      </w:r>
      <w:r>
        <w:rPr>
          <w:spacing w:val="-1"/>
        </w:rPr>
        <w:t>阶段，2023</w:t>
      </w:r>
      <w:r>
        <w:rPr>
          <w:spacing w:val="-12"/>
        </w:rPr>
        <w:t xml:space="preserve"> 年移动互联网的兴起，社交+电商模式成为电商渠道进展大趋</w:t>
      </w:r>
      <w:r>
        <w:t>势。以小红书、微博为首的社交平台在年轻消费者中影响力度越来越大。</w:t>
      </w:r>
    </w:p>
    <w:p>
      <w:pPr>
        <w:spacing w:after="0" w:line="405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https://d.book118.com/177046046012006025</w:t>
        </w:r>
      </w:hyperlink>
    </w:p>
    <w:p>
      <w:pPr>
        <w:spacing w:after="0" w:line="405" w:lineRule="auto"/>
      </w:pPr>
    </w:p>
    <w:sectPr>
      <w:pgSz w:w="18360" w:h="23760"/>
      <w:pgMar w:top="2300" w:right="1200" w:bottom="280" w:left="15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45"/>
      <w:szCs w:val="45"/>
    </w:rPr>
  </w:style>
  <w:style w:type="paragraph" w:customStyle="1" w:styleId="Heading1">
    <w:name w:val="Heading 1"/>
    <w:basedOn w:val="Normal"/>
    <w:uiPriority w:val="1"/>
    <w:qFormat/>
    <w:pPr>
      <w:ind w:left="1180"/>
      <w:outlineLvl w:val="1"/>
    </w:pPr>
    <w:rPr>
      <w:rFonts w:ascii="黑体" w:eastAsia="黑体" w:hAnsi="黑体" w:cs="黑体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ind w:left="1180"/>
      <w:outlineLvl w:val="2"/>
    </w:pPr>
    <w:rPr>
      <w:rFonts w:ascii="仿宋" w:eastAsia="仿宋" w:hAnsi="仿宋" w:cs="仿宋"/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8"/>
      <w:ind w:left="50"/>
    </w:pPr>
    <w:rPr>
      <w:rFonts w:ascii="仿宋" w:eastAsia="仿宋" w:hAnsi="仿宋" w:cs="仿宋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7704604601200602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2023-10-06T10:46:57Z</dcterms:created>
  <dcterms:modified xsi:type="dcterms:W3CDTF">2023-10-06T10:46:57Z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2023-04-12T00:00:00Z</vt:filetime>
  </property>
  <property fmtid="{D5CDD505-2E9C-101B-9397-08002B2CF9AE}" pid="3" name="LastSaved">
    <vt:filetime>2023-10-06T00:00:00Z</vt:filetime>
  </property>
</Properties>
</file>