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2018-2023年私立华联学院高职单招（数学／语文／英语）历年常考试题库含答案解析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李清照《声声慢（寻寻觅觅）》最突出的语言技巧是（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C.叠字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莫泊桑在文坛上崭露头角的第一部成名作是（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A.《俊友》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B.《一生》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C.《苦恼》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D.《羊脂球》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闻一多曾提出新格律诗的“三美”主张，即新诗要有（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A.理想美、思想美、形式美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B.色彩浓、回味永、意境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C.音乐的美、绘画的美、建筑的美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D.节奏、韵味、意境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A.乐府新题诗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B.乐府旧题诗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C.绝句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提出“文章合为时而著，歌诗合为事而作”文学主张的是（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D.李商隐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《山居秋暝》是一首（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C.五古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莫泊桑是（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A.自然主义作家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B.法国批判现实主义大师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C.法国19世纪小说家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D.法国20世纪杰出的诗人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《张中丞传后叙》中所说的“守一城，捍天下”的“城”是指（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A.汴州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B.睢阳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C.洛阳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D.徐州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孔子所说的小康社会指的是（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A.五帝时代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B.“三代之英”的时代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C.夏、商、周三代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D.春秋战国时代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《关山月》一诗的作者是（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A.陆游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下列句子中，使用了反诘修辞格的是（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A.叹年来踪迹，何事苦淹留?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B.不知天上宫阙，今夕是何年?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C.满地黄花堆积，憔悴损，如今有谁堪摘?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D.明明如月，何时可掇?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苏轼的《前赤壁赋》的感情变化线索是（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1743258" cy="1438426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3258" cy="143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七斤的主要性格特征是（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A.见多识广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B.憎恶复辟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C.愚昧落后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D.伺机复辟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陶渊明《饮酒（其五）》的体裁是（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https://d.book118.com/177053066156006044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177053066156006044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