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2024年三镓行业分析报告及未来五到十年行业发展趋势报告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32455" w:history="1">
        <w:r>
          <w:rPr>
            <w:rFonts w:eastAsia="微软雅黑" w:hint="eastAsia"/>
            <w:snapToGrid/>
            <w:lang w:val="en-US" w:eastAsia="en-US"/>
          </w:rPr>
          <w:t>一、2024-2029年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_Toc32455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4157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_Toc4157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221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_Toc32221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636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_Toc25636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295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_Toc9295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814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_Toc18814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470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_Toc11470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5984" w:history="1">
        <w:r>
          <w:rPr>
            <w:rFonts w:eastAsia="微软雅黑" w:hint="eastAsia"/>
            <w:snapToGrid/>
            <w:lang w:val="en-US" w:eastAsia="en-US"/>
          </w:rPr>
          <w:t>二、2024-2029年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行业市场运行趋势及存在问题分析</w:t>
        </w:r>
        <w:r>
          <w:tab/>
        </w:r>
        <w:r>
          <w:fldChar w:fldCharType="begin"/>
        </w:r>
        <w:r>
          <w:instrText xml:space="preserve"> PAGEREF _Toc15984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301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行业市场运行动态分析</w:t>
        </w:r>
        <w:r>
          <w:tab/>
        </w:r>
        <w:r>
          <w:fldChar w:fldCharType="begin"/>
        </w:r>
        <w:r>
          <w:instrText xml:space="preserve"> PAGEREF _Toc31301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018" w:history="1">
        <w:r>
          <w:rPr>
            <w:rFonts w:eastAsia="微软雅黑" w:hint="eastAsia"/>
            <w:snapToGrid/>
            <w:lang w:val="en-US" w:eastAsia="zh-CN"/>
          </w:rPr>
          <w:t>(二)、现阶段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_Toc19018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746" w:history="1">
        <w:r>
          <w:rPr>
            <w:rFonts w:eastAsia="微软雅黑" w:hint="eastAsia"/>
            <w:snapToGrid/>
            <w:lang w:val="en-US" w:eastAsia="zh-CN"/>
          </w:rPr>
          <w:t>(三)、现阶段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_Toc3746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132" w:history="1">
        <w:r>
          <w:rPr>
            <w:rFonts w:eastAsia="微软雅黑" w:hint="eastAsia"/>
            <w:snapToGrid/>
            <w:lang w:val="en-US" w:eastAsia="zh-CN"/>
          </w:rPr>
          <w:t>(四)、规范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行业的发展</w:t>
        </w:r>
        <w:r>
          <w:tab/>
        </w:r>
        <w:r>
          <w:fldChar w:fldCharType="begin"/>
        </w:r>
        <w:r>
          <w:instrText xml:space="preserve"> PAGEREF _Toc10132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4893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行业企业战略选择</w:t>
        </w:r>
        <w:r>
          <w:tab/>
        </w:r>
        <w:r>
          <w:fldChar w:fldCharType="begin"/>
        </w:r>
        <w:r>
          <w:instrText xml:space="preserve"> PAGEREF _Toc24893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269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行业SWOT分析</w:t>
        </w:r>
        <w:r>
          <w:tab/>
        </w:r>
        <w:r>
          <w:fldChar w:fldCharType="begin"/>
        </w:r>
        <w:r>
          <w:instrText xml:space="preserve"> PAGEREF _Toc17269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822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行业企业战略确定</w:t>
        </w:r>
        <w:r>
          <w:tab/>
        </w:r>
        <w:r>
          <w:fldChar w:fldCharType="begin"/>
        </w:r>
        <w:r>
          <w:instrText xml:space="preserve"> PAGEREF _Toc22822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909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行业PEST分析</w:t>
        </w:r>
        <w:r>
          <w:tab/>
        </w:r>
        <w:r>
          <w:fldChar w:fldCharType="begin"/>
        </w:r>
        <w:r>
          <w:instrText xml:space="preserve"> PAGEREF _Toc25909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4889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_Toc4889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9961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_Toc9961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6129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_Toc6129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8826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_Toc28826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4047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行业成功突围策略</w:t>
        </w:r>
        <w:r>
          <w:tab/>
        </w:r>
        <w:r>
          <w:fldChar w:fldCharType="begin"/>
        </w:r>
        <w:r>
          <w:instrText xml:space="preserve"> PAGEREF _Toc4047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012" w:history="1">
        <w:r>
          <w:rPr>
            <w:rFonts w:eastAsia="微软雅黑" w:hint="eastAsia"/>
            <w:snapToGrid/>
            <w:lang w:val="en-US" w:eastAsia="en-US"/>
          </w:rPr>
          <w:t>(一)、寻找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行业准差异化消费者兴趣诉求点</w:t>
        </w:r>
        <w:r>
          <w:tab/>
        </w:r>
        <w:r>
          <w:fldChar w:fldCharType="begin"/>
        </w:r>
        <w:r>
          <w:instrText xml:space="preserve"> PAGEREF _Toc29012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010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行业精准定位与无声消费教育</w:t>
        </w:r>
        <w:r>
          <w:tab/>
        </w:r>
        <w:r>
          <w:fldChar w:fldCharType="begin"/>
        </w:r>
        <w:r>
          <w:instrText xml:space="preserve"> PAGEREF _Toc8010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781" w:history="1">
        <w:r>
          <w:rPr>
            <w:rFonts w:eastAsia="微软雅黑" w:hint="eastAsia"/>
            <w:snapToGrid/>
            <w:lang w:val="en-US" w:eastAsia="zh-CN"/>
          </w:rPr>
          <w:t>(三)、从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行业硬文广告传播到深度合作</w:t>
        </w:r>
        <w:r>
          <w:tab/>
        </w:r>
        <w:r>
          <w:fldChar w:fldCharType="begin"/>
        </w:r>
        <w:r>
          <w:instrText xml:space="preserve"> PAGEREF _Toc11781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284" w:history="1">
        <w:r>
          <w:rPr>
            <w:rFonts w:eastAsia="微软雅黑" w:hint="eastAsia"/>
            <w:snapToGrid/>
            <w:lang w:val="en-US" w:eastAsia="zh-CN"/>
          </w:rPr>
          <w:t>(四)、公益营销竞争激烈</w:t>
        </w:r>
        <w:r>
          <w:tab/>
        </w:r>
        <w:r>
          <w:fldChar w:fldCharType="begin"/>
        </w:r>
        <w:r>
          <w:instrText xml:space="preserve"> PAGEREF _Toc18284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390" w:history="1">
        <w:r>
          <w:rPr>
            <w:rFonts w:eastAsia="微软雅黑" w:hint="eastAsia"/>
            <w:snapToGrid/>
            <w:lang w:val="en-US" w:eastAsia="zh-CN"/>
          </w:rPr>
          <w:t>(五)、电子商务提升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行业广告效果</w:t>
        </w:r>
        <w:r>
          <w:tab/>
        </w:r>
        <w:r>
          <w:fldChar w:fldCharType="begin"/>
        </w:r>
        <w:r>
          <w:instrText xml:space="preserve"> PAGEREF _Toc15390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798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行业渠道以多种形式传播</w:t>
        </w:r>
        <w:r>
          <w:tab/>
        </w:r>
        <w:r>
          <w:fldChar w:fldCharType="begin"/>
        </w:r>
        <w:r>
          <w:instrText xml:space="preserve"> PAGEREF _Toc9798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844" w:history="1">
        <w:r>
          <w:rPr>
            <w:rFonts w:eastAsia="微软雅黑" w:hint="eastAsia"/>
            <w:snapToGrid/>
            <w:lang w:val="en-US" w:eastAsia="zh-CN"/>
          </w:rPr>
          <w:t>(七)、强调市场细分，深耕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产业</w:t>
        </w:r>
        <w:r>
          <w:tab/>
        </w:r>
        <w:r>
          <w:fldChar w:fldCharType="begin"/>
        </w:r>
        <w:r>
          <w:instrText xml:space="preserve"> PAGEREF _Toc11844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9561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行业企业差异化突破战略</w:t>
        </w:r>
        <w:r>
          <w:tab/>
        </w:r>
        <w:r>
          <w:fldChar w:fldCharType="begin"/>
        </w:r>
        <w:r>
          <w:instrText xml:space="preserve"> PAGEREF _Toc9561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166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行业产品差异化获取“商机”</w:t>
        </w:r>
        <w:r>
          <w:tab/>
        </w:r>
        <w:r>
          <w:fldChar w:fldCharType="begin"/>
        </w:r>
        <w:r>
          <w:instrText xml:space="preserve"> PAGEREF _Toc11166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505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行业市场分化赢得“商机”</w:t>
        </w:r>
        <w:r>
          <w:tab/>
        </w:r>
        <w:r>
          <w:fldChar w:fldCharType="begin"/>
        </w:r>
        <w:r>
          <w:instrText xml:space="preserve"> PAGEREF _Toc19505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907" w:history="1">
        <w:r>
          <w:rPr>
            <w:rFonts w:eastAsia="微软雅黑" w:hint="eastAsia"/>
            <w:snapToGrid/>
            <w:lang w:val="en-US" w:eastAsia="zh-CN"/>
          </w:rPr>
          <w:t>(三)、以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行业服务差异化“抓住”商机</w:t>
        </w:r>
        <w:r>
          <w:tab/>
        </w:r>
        <w:r>
          <w:fldChar w:fldCharType="begin"/>
        </w:r>
        <w:r>
          <w:instrText xml:space="preserve"> PAGEREF _Toc11907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797" w:history="1">
        <w:r>
          <w:rPr>
            <w:rFonts w:eastAsia="微软雅黑" w:hint="eastAsia"/>
            <w:snapToGrid/>
            <w:lang w:val="en-US" w:eastAsia="zh-CN"/>
          </w:rPr>
          <w:t>(四)、用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行业客户差异化“抓住”商机</w:t>
        </w:r>
        <w:r>
          <w:tab/>
        </w:r>
        <w:r>
          <w:fldChar w:fldCharType="begin"/>
        </w:r>
        <w:r>
          <w:instrText xml:space="preserve"> PAGEREF _Toc24797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469" w:history="1">
        <w:r>
          <w:rPr>
            <w:rFonts w:eastAsia="微软雅黑" w:hint="eastAsia"/>
            <w:snapToGrid/>
            <w:lang w:val="en-US" w:eastAsia="zh-CN"/>
          </w:rPr>
          <w:t>(五)、以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行业渠道差异化“争取”商机</w:t>
        </w:r>
        <w:r>
          <w:tab/>
        </w:r>
        <w:r>
          <w:fldChar w:fldCharType="begin"/>
        </w:r>
        <w:r>
          <w:instrText xml:space="preserve"> PAGEREF _Toc3469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3375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行业财务状况分析</w:t>
        </w:r>
        <w:r>
          <w:tab/>
        </w:r>
        <w:r>
          <w:fldChar w:fldCharType="begin"/>
        </w:r>
        <w:r>
          <w:instrText xml:space="preserve"> PAGEREF _Toc3375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044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行业近三年财务数据及指标分析</w:t>
        </w:r>
        <w:r>
          <w:tab/>
        </w:r>
        <w:r>
          <w:fldChar w:fldCharType="begin"/>
        </w:r>
        <w:r>
          <w:instrText xml:space="preserve"> PAGEREF _Toc19044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052" w:history="1">
        <w:r>
          <w:rPr>
            <w:rFonts w:eastAsia="微软雅黑" w:hint="eastAsia"/>
            <w:snapToGrid/>
            <w:lang w:val="en-US" w:eastAsia="zh-CN"/>
          </w:rPr>
          <w:t>(二)、现金流对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_Toc14052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5291" w:history="1">
        <w:r>
          <w:rPr>
            <w:rFonts w:eastAsia="微软雅黑" w:hint="eastAsia"/>
            <w:snapToGrid/>
            <w:lang w:val="en-US" w:eastAsia="en-US"/>
          </w:rPr>
          <w:t>七、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行业风险控制解析</w:t>
        </w:r>
        <w:r>
          <w:tab/>
        </w:r>
        <w:r>
          <w:fldChar w:fldCharType="begin"/>
        </w:r>
        <w:r>
          <w:instrText xml:space="preserve"> PAGEREF _Toc15291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171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行业系统风险分析</w:t>
        </w:r>
        <w:r>
          <w:tab/>
        </w:r>
        <w:r>
          <w:fldChar w:fldCharType="begin"/>
        </w:r>
        <w:r>
          <w:instrText xml:space="preserve"> PAGEREF _Toc27171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202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行业第二产业的经营风险</w:t>
        </w:r>
        <w:r>
          <w:tab/>
        </w:r>
        <w:r>
          <w:fldChar w:fldCharType="begin"/>
        </w:r>
        <w:r>
          <w:instrText xml:space="preserve"> PAGEREF _Toc5202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8927" w:history="1">
        <w:r>
          <w:rPr>
            <w:rFonts w:eastAsia="微软雅黑" w:hint="eastAsia"/>
            <w:snapToGrid/>
            <w:lang w:val="en-US" w:eastAsia="en-US"/>
          </w:rPr>
          <w:t>八、2024-2029年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_Toc28927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888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_Toc5888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384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_Toc18384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66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_Toc2066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979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_Toc23979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894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_Toc11894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751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_Toc18751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970" w:history="1">
        <w:r>
          <w:rPr>
            <w:rFonts w:eastAsia="微软雅黑" w:hint="eastAsia"/>
            <w:snapToGrid/>
            <w:lang w:val="en-US" w:eastAsia="en-US"/>
          </w:rPr>
          <w:t>九、“疫情”对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行业可持续发展目标的影响及对策</w:t>
        </w:r>
        <w:r>
          <w:tab/>
        </w:r>
        <w:r>
          <w:fldChar w:fldCharType="begin"/>
        </w:r>
        <w:r>
          <w:instrText xml:space="preserve"> PAGEREF _Toc2970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638" w:history="1">
        <w:r>
          <w:rPr>
            <w:rFonts w:eastAsia="微软雅黑" w:hint="eastAsia"/>
            <w:snapToGrid/>
            <w:lang w:val="en-US" w:eastAsia="zh-CN"/>
          </w:rPr>
          <w:t>(一)、国内有关政府机构对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行业的建议</w:t>
        </w:r>
        <w:r>
          <w:tab/>
        </w:r>
        <w:r>
          <w:fldChar w:fldCharType="begin"/>
        </w:r>
        <w:r>
          <w:instrText xml:space="preserve"> PAGEREF _Toc7638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341" w:history="1">
        <w:r>
          <w:rPr>
            <w:rFonts w:eastAsia="微软雅黑" w:hint="eastAsia"/>
            <w:snapToGrid/>
            <w:lang w:val="en-US" w:eastAsia="zh-CN"/>
          </w:rPr>
          <w:t>(二)、关于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产业上下游产业合作的建议</w:t>
        </w:r>
        <w:r>
          <w:tab/>
        </w:r>
        <w:r>
          <w:fldChar w:fldCharType="begin"/>
        </w:r>
        <w:r>
          <w:instrText xml:space="preserve"> PAGEREF _Toc26341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592" w:history="1">
        <w:r>
          <w:rPr>
            <w:rFonts w:eastAsia="微软雅黑" w:hint="eastAsia"/>
            <w:snapToGrid/>
            <w:lang w:val="en-US" w:eastAsia="zh-CN"/>
          </w:rPr>
          <w:t>(三)、突破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行业企业疫情的策略</w:t>
        </w:r>
        <w:r>
          <w:tab/>
        </w:r>
        <w:r>
          <w:fldChar w:fldCharType="begin"/>
        </w:r>
        <w:r>
          <w:instrText xml:space="preserve"> PAGEREF _Toc10592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9223" w:history="1">
        <w:r>
          <w:rPr>
            <w:rFonts w:eastAsia="微软雅黑" w:hint="eastAsia"/>
            <w:snapToGrid/>
            <w:lang w:val="en-US" w:eastAsia="en-US"/>
          </w:rPr>
          <w:t>十、宏观经济对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行业的影响</w:t>
        </w:r>
        <w:r>
          <w:tab/>
        </w:r>
        <w:r>
          <w:fldChar w:fldCharType="begin"/>
        </w:r>
        <w:r>
          <w:instrText xml:space="preserve"> PAGEREF _Toc29223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551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行业线性决策机制分析</w:t>
        </w:r>
        <w:r>
          <w:tab/>
        </w:r>
        <w:r>
          <w:fldChar w:fldCharType="begin"/>
        </w:r>
        <w:r>
          <w:instrText xml:space="preserve"> PAGEREF _Toc27551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951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行业竞争与行业壁垒分析</w:t>
        </w:r>
        <w:r>
          <w:tab/>
        </w:r>
        <w:r>
          <w:fldChar w:fldCharType="begin"/>
        </w:r>
        <w:r>
          <w:instrText xml:space="preserve"> PAGEREF _Toc13951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515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行业库存管理波动分析</w:t>
        </w:r>
        <w:r>
          <w:tab/>
        </w:r>
        <w:r>
          <w:fldChar w:fldCharType="begin"/>
        </w:r>
        <w:r>
          <w:instrText xml:space="preserve"> PAGEREF _Toc22515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3706" w:history="1">
        <w:r>
          <w:rPr>
            <w:rFonts w:eastAsia="微软雅黑" w:hint="eastAsia"/>
            <w:snapToGrid/>
            <w:lang w:val="en-US" w:eastAsia="en-US"/>
          </w:rPr>
          <w:t>十一、关于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行业发展战略规划的建议</w:t>
        </w:r>
        <w:r>
          <w:tab/>
        </w:r>
        <w:r>
          <w:fldChar w:fldCharType="begin"/>
        </w:r>
        <w:r>
          <w:instrText xml:space="preserve"> PAGEREF _Toc13706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966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行业战略规划简介</w:t>
        </w:r>
        <w:r>
          <w:tab/>
        </w:r>
        <w:r>
          <w:fldChar w:fldCharType="begin"/>
        </w:r>
        <w:r>
          <w:instrText xml:space="preserve"> PAGEREF _Toc15966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8638" w:history="1">
        <w:r>
          <w:rPr>
            <w:rFonts w:eastAsia="微软雅黑" w:hint="eastAsia"/>
            <w:snapToGrid/>
            <w:lang w:val="en-US" w:eastAsia="zh-CN"/>
          </w:rPr>
          <w:t>1、行业的社会化</w:t>
        </w:r>
        <w:r>
          <w:tab/>
        </w:r>
        <w:r>
          <w:fldChar w:fldCharType="begin"/>
        </w:r>
        <w:r>
          <w:instrText xml:space="preserve"> PAGEREF _Toc18638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3977" w:history="1">
        <w:r>
          <w:rPr>
            <w:rFonts w:eastAsia="微软雅黑" w:hint="eastAsia"/>
            <w:snapToGrid/>
            <w:lang w:val="en-US" w:eastAsia="zh-CN"/>
          </w:rPr>
          <w:t>2、行业的规模化</w:t>
        </w:r>
        <w:r>
          <w:tab/>
        </w:r>
        <w:r>
          <w:fldChar w:fldCharType="begin"/>
        </w:r>
        <w:r>
          <w:instrText xml:space="preserve"> PAGEREF _Toc23977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978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行业的市场应用方向</w:t>
        </w:r>
        <w:r>
          <w:tab/>
        </w:r>
        <w:r>
          <w:fldChar w:fldCharType="begin"/>
        </w:r>
        <w:r>
          <w:instrText xml:space="preserve"> PAGEREF _Toc22978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644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行业的发展重点</w:t>
        </w:r>
        <w:r>
          <w:tab/>
        </w:r>
        <w:r>
          <w:fldChar w:fldCharType="begin"/>
        </w:r>
        <w:r>
          <w:instrText xml:space="preserve"> PAGEREF _Toc28644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7914" w:history="1">
        <w:r>
          <w:rPr>
            <w:rFonts w:eastAsia="微软雅黑" w:hint="eastAsia"/>
            <w:snapToGrid/>
            <w:lang w:val="en-US" w:eastAsia="en-US"/>
          </w:rPr>
          <w:t>十二、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行业未来发展机会</w:t>
        </w:r>
        <w:r>
          <w:tab/>
        </w:r>
        <w:r>
          <w:fldChar w:fldCharType="begin"/>
        </w:r>
        <w:r>
          <w:instrText xml:space="preserve"> PAGEREF _Toc7914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335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行业中通过产品差异化获得商机</w:t>
        </w:r>
        <w:r>
          <w:tab/>
        </w:r>
        <w:r>
          <w:fldChar w:fldCharType="begin"/>
        </w:r>
        <w:r>
          <w:instrText xml:space="preserve"> PAGEREF _Toc19335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984" w:history="1">
        <w:r>
          <w:rPr>
            <w:rFonts w:eastAsia="微软雅黑" w:hint="eastAsia"/>
            <w:snapToGrid/>
            <w:lang w:val="en-US" w:eastAsia="zh-CN"/>
          </w:rPr>
          <w:t>(二)、借助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行业市场差异赢得商机</w:t>
        </w:r>
        <w:r>
          <w:tab/>
        </w:r>
        <w:r>
          <w:fldChar w:fldCharType="begin"/>
        </w:r>
        <w:r>
          <w:instrText xml:space="preserve"> PAGEREF _Toc11984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180" w:history="1">
        <w:r>
          <w:rPr>
            <w:rFonts w:eastAsia="微软雅黑" w:hint="eastAsia"/>
            <w:snapToGrid/>
            <w:lang w:val="en-US" w:eastAsia="zh-CN"/>
          </w:rPr>
          <w:t>(三)、借助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行业服务差异化抓住商机</w:t>
        </w:r>
        <w:r>
          <w:tab/>
        </w:r>
        <w:r>
          <w:fldChar w:fldCharType="begin"/>
        </w:r>
        <w:r>
          <w:instrText xml:space="preserve"> PAGEREF _Toc18180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751" w:history="1">
        <w:r>
          <w:rPr>
            <w:rFonts w:eastAsia="微软雅黑" w:hint="eastAsia"/>
            <w:snapToGrid/>
            <w:lang w:val="en-US" w:eastAsia="zh-CN"/>
          </w:rPr>
          <w:t>(四)、借助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行业客户差异化把握商机</w:t>
        </w:r>
        <w:r>
          <w:tab/>
        </w:r>
        <w:r>
          <w:fldChar w:fldCharType="begin"/>
        </w:r>
        <w:r>
          <w:instrText xml:space="preserve"> PAGEREF _Toc32751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732" w:history="1">
        <w:r>
          <w:rPr>
            <w:rFonts w:eastAsia="微软雅黑" w:hint="eastAsia"/>
            <w:snapToGrid/>
            <w:lang w:val="en-US" w:eastAsia="zh-CN"/>
          </w:rPr>
          <w:t>(五)、借助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行业渠道差异来寻求商机</w:t>
        </w:r>
        <w:r>
          <w:tab/>
        </w:r>
        <w:r>
          <w:fldChar w:fldCharType="begin"/>
        </w:r>
        <w:r>
          <w:instrText xml:space="preserve"> PAGEREF _Toc14732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5799" w:history="1">
        <w:r>
          <w:rPr>
            <w:rFonts w:eastAsia="微软雅黑" w:hint="eastAsia"/>
            <w:snapToGrid/>
            <w:lang w:val="en-US" w:eastAsia="en-US"/>
          </w:rPr>
          <w:t>十三、2024-2029年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产业发展战略分析</w:t>
        </w:r>
        <w:r>
          <w:tab/>
        </w:r>
        <w:r>
          <w:fldChar w:fldCharType="begin"/>
        </w:r>
        <w:r>
          <w:instrText xml:space="preserve"> PAGEREF _Toc25799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98" w:history="1">
        <w:r>
          <w:rPr>
            <w:rFonts w:eastAsia="微软雅黑" w:hint="eastAsia"/>
            <w:snapToGrid/>
            <w:lang w:val="en-US" w:eastAsia="en-US"/>
          </w:rPr>
          <w:t>(一)、树立</w:t>
        </w:r>
        <w:r>
          <w:rPr>
            <w:rFonts w:eastAsia="微软雅黑" w:hint="eastAsia"/>
            <w:snapToGrid/>
            <w:lang w:val="en-US" w:eastAsia="en-US"/>
          </w:rPr>
          <w:t>三镓</w:t>
        </w:r>
        <w:r>
          <w:rPr>
            <w:rFonts w:eastAsia="微软雅黑" w:hint="eastAsia"/>
            <w:snapToGrid/>
            <w:lang w:val="en-US" w:eastAsia="en-US"/>
          </w:rPr>
          <w:t>行业“战略突围”理念</w:t>
        </w:r>
        <w:r>
          <w:tab/>
        </w:r>
        <w:r>
          <w:fldChar w:fldCharType="begin"/>
        </w:r>
        <w:r>
          <w:instrText xml:space="preserve"> PAGEREF _Toc2898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886" w:history="1">
        <w:r>
          <w:rPr>
            <w:rFonts w:eastAsia="微软雅黑" w:hint="eastAsia"/>
            <w:snapToGrid/>
            <w:lang w:val="en-US" w:eastAsia="zh-CN"/>
          </w:rPr>
          <w:t>(二)、确定</w:t>
        </w:r>
        <w:r>
          <w:rPr>
            <w:rFonts w:eastAsia="微软雅黑" w:hint="eastAsia"/>
            <w:snapToGrid/>
            <w:lang w:val="en-US" w:eastAsia="zh-CN"/>
          </w:rPr>
          <w:t>三镓</w:t>
        </w:r>
        <w:r>
          <w:rPr>
            <w:rFonts w:eastAsia="微软雅黑" w:hint="eastAsia"/>
            <w:snapToGrid/>
            <w:lang w:val="en-US" w:eastAsia="zh-CN"/>
          </w:rPr>
          <w:t>行业市场定位，产品定位和品牌定位</w:t>
        </w:r>
        <w:r>
          <w:tab/>
        </w:r>
        <w:r>
          <w:fldChar w:fldCharType="begin"/>
        </w:r>
        <w:r>
          <w:instrText xml:space="preserve"> PAGEREF _Toc19886 \h </w:instrText>
        </w:r>
        <w:r>
          <w:fldChar w:fldCharType="separate"/>
        </w:r>
        <w:r>
          <w:t>28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https://d.book118.com/177056106110006026</w:t>
        </w:r>
      </w:hyperlink>
    </w:p>
    <w:p>
      <w:pPr>
        <w:pStyle w:val="TOC2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autoRedefine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autoRedefine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177056106110006026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