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02" w:lineRule="auto"/>
        <w:rPr>
          <w:rFonts w:ascii="Arial"/>
          <w:sz w:val="21"/>
        </w:rPr>
      </w:pPr>
    </w:p>
    <w:p>
      <w:pPr>
        <w:spacing w:before="91" w:line="222" w:lineRule="auto"/>
        <w:ind w:left="2683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煤中全硫测定仪检定规程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68" w:line="223" w:lineRule="auto"/>
        <w:ind w:left="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范围</w:t>
      </w:r>
    </w:p>
    <w:p>
      <w:pPr>
        <w:pStyle w:val="BodyText"/>
        <w:spacing w:before="237" w:line="219" w:lineRule="auto"/>
        <w:ind w:left="469"/>
      </w:pPr>
      <w:r>
        <w:rPr>
          <w:spacing w:val="12"/>
        </w:rPr>
        <w:t>本规程适用于煤中全硫测定仪的首次检定、后续检定和使用中检验。</w:t>
      </w:r>
    </w:p>
    <w:p>
      <w:pPr>
        <w:spacing w:before="247" w:line="221" w:lineRule="auto"/>
        <w:ind w:left="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2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概述</w:t>
      </w:r>
    </w:p>
    <w:p>
      <w:pPr>
        <w:pStyle w:val="BodyText"/>
        <w:spacing w:before="211" w:line="268" w:lineRule="auto"/>
        <w:ind w:left="10" w:right="53" w:firstLine="459"/>
      </w:pPr>
      <w:r>
        <w:rPr>
          <w:spacing w:val="18"/>
        </w:rPr>
        <w:t>目前主要有三种类型的煤中全硫测定仪(以下简称测硫仪)用于煤和焦炭中</w:t>
      </w:r>
      <w:r>
        <w:rPr>
          <w:spacing w:val="17"/>
        </w:rPr>
        <w:t>全硫的</w:t>
      </w:r>
      <w:r>
        <w:t xml:space="preserve"> </w:t>
      </w:r>
      <w:r>
        <w:rPr>
          <w:spacing w:val="9"/>
        </w:rPr>
        <w:t>分析。它们的基本工作原理如下：</w:t>
      </w:r>
    </w:p>
    <w:p>
      <w:pPr>
        <w:pStyle w:val="BodyText"/>
        <w:spacing w:before="41" w:line="370" w:lineRule="exact"/>
        <w:ind w:right="30"/>
        <w:jc w:val="right"/>
      </w:pPr>
      <w:r>
        <w:rPr>
          <w:spacing w:val="13"/>
          <w:position w:val="12"/>
        </w:rPr>
        <w:t>煤样在高温下在空气流或氧气流中燃烧，其中各种形态硫都</w:t>
      </w:r>
      <w:r>
        <w:rPr>
          <w:spacing w:val="12"/>
          <w:position w:val="12"/>
        </w:rPr>
        <w:t>氧化或分解为二氧化硫</w:t>
      </w:r>
    </w:p>
    <w:p>
      <w:pPr>
        <w:pStyle w:val="BodyText"/>
        <w:spacing w:before="1" w:line="218" w:lineRule="auto"/>
        <w:ind w:left="10"/>
      </w:pPr>
      <w:r>
        <w:rPr>
          <w:spacing w:val="3"/>
        </w:rPr>
        <w:t>和少量三氧化硫。</w:t>
      </w:r>
    </w:p>
    <w:p>
      <w:pPr>
        <w:pStyle w:val="BodyText"/>
        <w:spacing w:before="40" w:line="273" w:lineRule="auto"/>
        <w:ind w:left="10" w:right="27" w:firstLine="459"/>
      </w:pPr>
      <w:r>
        <w:rPr>
          <w:spacing w:val="19"/>
        </w:rPr>
        <w:t>1)在高温燃烧库仑测硫仪中，生成的二氧化硫进入</w:t>
      </w:r>
      <w:r>
        <w:rPr>
          <w:spacing w:val="18"/>
        </w:rPr>
        <w:t>含有碘化钾和溴化钾溶液的电</w:t>
      </w:r>
      <w:r>
        <w:t xml:space="preserve"> </w:t>
      </w:r>
      <w:r>
        <w:rPr>
          <w:spacing w:val="13"/>
        </w:rPr>
        <w:t>解池中，被电解生成的碘或溴滴定；根据滴定所消耗的电量，并对由少量三氧化硫不被</w:t>
      </w:r>
      <w:r>
        <w:rPr>
          <w:spacing w:val="3"/>
        </w:rPr>
        <w:t xml:space="preserve"> </w:t>
      </w:r>
      <w:r>
        <w:rPr>
          <w:spacing w:val="10"/>
        </w:rPr>
        <w:t>滴定而导致的系统误差进行校正后，计算出煤中全硫的含量。</w:t>
      </w:r>
    </w:p>
    <w:p>
      <w:pPr>
        <w:pStyle w:val="BodyText"/>
        <w:spacing w:before="50" w:line="267" w:lineRule="auto"/>
        <w:ind w:left="10" w:right="25" w:firstLine="459"/>
      </w:pPr>
      <w:r>
        <w:rPr>
          <w:spacing w:val="19"/>
        </w:rPr>
        <w:t>2)在高温燃烧红外测硫仪中，生成的二氧化</w:t>
      </w:r>
      <w:r>
        <w:rPr>
          <w:spacing w:val="18"/>
        </w:rPr>
        <w:t>硫通过红外检测池，吸收其特征波长</w:t>
      </w:r>
      <w:r>
        <w:t xml:space="preserve"> </w:t>
      </w:r>
      <w:r>
        <w:rPr>
          <w:spacing w:val="13"/>
        </w:rPr>
        <w:t>下的辐射能，根据吸收能的大小，计算煤中全硫的含量；由少量三氧化硫不产生吸收导</w:t>
      </w:r>
      <w:r>
        <w:rPr>
          <w:spacing w:val="9"/>
        </w:rPr>
        <w:t xml:space="preserve"> </w:t>
      </w:r>
      <w:r>
        <w:rPr>
          <w:spacing w:val="9"/>
        </w:rPr>
        <w:t>致的系统误差用煤的标准物质进行标定而校正。</w:t>
      </w:r>
    </w:p>
    <w:p>
      <w:pPr>
        <w:pStyle w:val="BodyText"/>
        <w:spacing w:before="70" w:line="278" w:lineRule="auto"/>
        <w:ind w:left="10" w:right="31" w:firstLine="459"/>
      </w:pPr>
      <w:r>
        <w:rPr>
          <w:spacing w:val="19"/>
        </w:rPr>
        <w:t>3)在高温燃烧中和法测硫仪中，生成的二</w:t>
      </w:r>
      <w:r>
        <w:rPr>
          <w:spacing w:val="18"/>
        </w:rPr>
        <w:t>氧化硫和少量三氧化硫被过氧化氢溶液</w:t>
      </w:r>
      <w:r>
        <w:t xml:space="preserve"> </w:t>
      </w:r>
      <w:r>
        <w:rPr>
          <w:spacing w:val="13"/>
        </w:rPr>
        <w:t>吸收形成硫酸，用氢氧化钠标准溶液进行滴定，根据氢氧化钠标准溶液的消耗量计算煤</w:t>
      </w:r>
      <w:r>
        <w:rPr>
          <w:spacing w:val="2"/>
        </w:rPr>
        <w:t xml:space="preserve"> </w:t>
      </w:r>
      <w:r>
        <w:rPr>
          <w:spacing w:val="-1"/>
        </w:rPr>
        <w:t>中全硫含量。</w:t>
      </w:r>
    </w:p>
    <w:p>
      <w:pPr>
        <w:pStyle w:val="BodyText"/>
        <w:spacing w:before="48" w:line="216" w:lineRule="auto"/>
        <w:ind w:left="469"/>
      </w:pPr>
      <w:r>
        <w:rPr>
          <w:spacing w:val="24"/>
        </w:rPr>
        <w:t>三种类型测硫仪的基本工作原理结构如图1,图2和图3所示。</w:t>
      </w:r>
    </w:p>
    <w:p>
      <w:pPr>
        <w:spacing w:line="366" w:lineRule="auto"/>
        <w:rPr>
          <w:rFonts w:ascii="Arial"/>
          <w:sz w:val="21"/>
        </w:rPr>
      </w:pPr>
    </w:p>
    <w:p>
      <w:pPr>
        <w:spacing w:line="2370" w:lineRule="exact"/>
        <w:ind w:firstLine="1540"/>
      </w:pPr>
      <w:r>
        <w:rPr>
          <w:position w:val="-47"/>
        </w:rPr>
        <w:drawing>
          <wp:inline distT="0" distB="0" distL="0" distR="0">
            <wp:extent cx="3460694" cy="150500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0694" cy="1505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69" w:line="220" w:lineRule="auto"/>
        <w:ind w:left="2659"/>
        <w:rPr>
          <w:rFonts w:ascii="FangSong" w:eastAsia="FangSong" w:hAnsi="FangSong" w:cs="FangSong"/>
          <w:sz w:val="21"/>
          <w:szCs w:val="21"/>
        </w:rPr>
        <w:sectPr>
          <w:headerReference w:type="default" r:id="rId5"/>
          <w:footerReference w:type="default" r:id="rId6"/>
          <w:pgSz w:w="10040" w:h="14660"/>
          <w:pgMar w:top="1239" w:right="740" w:bottom="700" w:left="780" w:header="956" w:footer="600" w:gutter="0"/>
          <w:cols w:space="708"/>
        </w:sectPr>
      </w:pPr>
      <w:r>
        <w:rPr>
          <w:rFonts w:ascii="FangSong" w:eastAsia="FangSong" w:hAnsi="FangSong" w:cs="FangSong"/>
          <w:spacing w:val="-13"/>
          <w:sz w:val="21"/>
          <w:szCs w:val="21"/>
        </w:rPr>
        <w:t>图1</w:t>
      </w:r>
      <w:r>
        <w:rPr>
          <w:rFonts w:ascii="FangSong" w:eastAsia="FangSong" w:hAnsi="FangSong" w:cs="FangSong"/>
          <w:spacing w:val="83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13"/>
          <w:sz w:val="21"/>
          <w:szCs w:val="21"/>
        </w:rPr>
        <w:t>高温燃烧库仑测硫仪基本结构图</w:t>
      </w:r>
    </w:p>
    <w:p>
      <w:pPr>
        <w:pStyle w:val="BodyText"/>
        <w:spacing w:before="1" w:line="218" w:lineRule="auto"/>
        <w:ind w:left="1240"/>
      </w:pPr>
      <w:r>
        <w:rPr>
          <w:spacing w:val="-19"/>
          <w:w w:val="89"/>
        </w:rPr>
        <w:t>1—控制仪；2—推拉棒；3—石英燃烧管；4—气体净化系统；5—燃烧炉；6—瓷舟；</w:t>
      </w:r>
    </w:p>
    <w:p>
      <w:pPr>
        <w:pStyle w:val="BodyText"/>
        <w:spacing w:before="32" w:line="219" w:lineRule="auto"/>
        <w:ind w:left="1579"/>
      </w:pPr>
      <w:r>
        <w:rPr>
          <w:spacing w:val="-18"/>
          <w:w w:val="89"/>
        </w:rPr>
        <w:t>7—石英托盘；8—电解池；9—搅拌梯；1</w:t>
      </w:r>
      <w:r>
        <w:rPr>
          <w:spacing w:val="-19"/>
          <w:w w:val="89"/>
        </w:rPr>
        <w:t>0—磁力搅拌器；11—气体过滤器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69" w:line="491" w:lineRule="exact"/>
        <w:ind w:left="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4"/>
          <w:position w:val="21"/>
          <w:sz w:val="21"/>
          <w:szCs w:val="21"/>
        </w:rPr>
        <w:t>3</w:t>
      </w:r>
      <w:r>
        <w:rPr>
          <w:rFonts w:ascii="SimHei" w:eastAsia="SimHei" w:hAnsi="SimHei" w:cs="SimHei"/>
          <w:spacing w:val="13"/>
          <w:position w:val="2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4"/>
          <w:position w:val="21"/>
          <w:sz w:val="21"/>
          <w:szCs w:val="21"/>
        </w:rPr>
        <w:t>计量性能要求</w:t>
      </w:r>
    </w:p>
    <w:p>
      <w:pPr>
        <w:pStyle w:val="BodyText"/>
        <w:spacing w:line="220" w:lineRule="auto"/>
        <w:ind w:left="13"/>
      </w:pPr>
      <w:r>
        <w:rPr>
          <w:b/>
          <w:bCs/>
          <w:spacing w:val="1"/>
        </w:rPr>
        <w:t>3.1</w:t>
      </w:r>
      <w:r>
        <w:rPr>
          <w:spacing w:val="1"/>
        </w:rPr>
        <w:t xml:space="preserve">  </w:t>
      </w:r>
      <w:r>
        <w:rPr>
          <w:b/>
          <w:bCs/>
          <w:spacing w:val="1"/>
        </w:rPr>
        <w:t>重复性</w:t>
      </w:r>
    </w:p>
    <w:p>
      <w:pPr>
        <w:spacing w:line="220" w:lineRule="auto"/>
        <w:sectPr>
          <w:headerReference w:type="default" r:id="rId7"/>
          <w:footerReference w:type="default" r:id="rId8"/>
          <w:type w:val="nextPage"/>
          <w:pgSz w:w="10040" w:h="14660"/>
          <w:pgMar w:top="1239" w:right="740" w:bottom="700" w:left="780" w:header="956" w:footer="600" w:gutter="0"/>
          <w:pgNumType w:start="2"/>
          <w:cols w:space="708"/>
          <w:titlePg w:val="0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line="3400" w:lineRule="exact"/>
        <w:ind w:firstLine="1300"/>
      </w:pPr>
      <w:r>
        <w:rPr>
          <w:position w:val="-67"/>
        </w:rPr>
        <w:pict>
          <v:group id="_x0000_i1025" style="width:294.5pt;height:170pt;mso-position-horizontal-relative:char;mso-position-vertical-relative:line" coordorigin="0,0" coordsize="5890,340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90;height:340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672;height:2761;left:1269;position:absolute;top:57" filled="f" stroked="f">
              <o:lock v:ext="edit" aspectratio="f"/>
              <v:textbox inset="0,0,0,0">
                <w:txbxContent>
                  <w:p>
                    <w:pPr>
                      <w:spacing w:before="20" w:line="492" w:lineRule="exact"/>
                      <w:jc w:val="right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71"/>
                        <w:position w:val="4"/>
                        <w:sz w:val="18"/>
                        <w:szCs w:val="18"/>
                      </w:rPr>
                      <w:t xml:space="preserve">燃烧管    </w:t>
                    </w:r>
                    <w:r>
                      <w:rPr>
                        <w:rFonts w:ascii="Times New Roman" w:eastAsia="Times New Roman" w:hAnsi="Times New Roman" w:cs="Times New Roman"/>
                        <w:spacing w:val="-15"/>
                        <w:w w:val="71"/>
                        <w:position w:val="-8"/>
                        <w:sz w:val="71"/>
                        <w:szCs w:val="71"/>
                      </w:rPr>
                      <w:t>M</w:t>
                    </w:r>
                    <w:r>
                      <w:rPr>
                        <w:rFonts w:ascii="SimHei" w:eastAsia="SimHei" w:hAnsi="SimHei" w:cs="SimHei"/>
                        <w:spacing w:val="-15"/>
                        <w:w w:val="71"/>
                        <w:position w:val="-8"/>
                        <w:sz w:val="18"/>
                        <w:szCs w:val="18"/>
                      </w:rPr>
                      <w:t>电阻加热</w:t>
                    </w:r>
                    <w:r>
                      <w:rPr>
                        <w:rFonts w:ascii="Times New Roman" w:eastAsia="Times New Roman" w:hAnsi="Times New Roman" w:cs="Times New Roman"/>
                        <w:spacing w:val="-15"/>
                        <w:w w:val="71"/>
                        <w:position w:val="-8"/>
                        <w:sz w:val="71"/>
                        <w:szCs w:val="71"/>
                      </w:rPr>
                      <w:t>Y</w:t>
                    </w:r>
                    <w:r>
                      <w:rPr>
                        <w:rFonts w:ascii="SimHei" w:eastAsia="SimHei" w:hAnsi="SimHei" w:cs="SimHei"/>
                        <w:spacing w:val="-15"/>
                        <w:w w:val="71"/>
                        <w:position w:val="-8"/>
                        <w:sz w:val="18"/>
                        <w:szCs w:val="18"/>
                      </w:rPr>
                      <w:t>=135</w:t>
                    </w:r>
                    <w:r>
                      <w:rPr>
                        <w:rFonts w:ascii="SimHei" w:eastAsia="SimHei" w:hAnsi="SimHei" w:cs="SimHei"/>
                        <w:spacing w:val="-15"/>
                        <w:w w:val="71"/>
                        <w:position w:val="15"/>
                        <w:sz w:val="18"/>
                        <w:szCs w:val="18"/>
                      </w:rPr>
                      <w:t>0℃</w:t>
                    </w: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219" w:lineRule="auto"/>
                      <w:ind w:left="28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18"/>
                        <w:szCs w:val="18"/>
                      </w:rPr>
                      <w:t>水分捕集灰尘捕集</w:t>
                    </w:r>
                  </w:p>
                  <w:p>
                    <w:pPr>
                      <w:spacing w:before="45" w:line="222" w:lineRule="auto"/>
                      <w:ind w:left="2099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z w:val="18"/>
                        <w:szCs w:val="18"/>
                      </w:rPr>
                      <w:t>泵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35" w:lineRule="auto"/>
                      <w:ind w:left="1399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z w:val="15"/>
                        <w:szCs w:val="15"/>
                      </w:rPr>
                      <w:t>工</w:t>
                    </w:r>
                  </w:p>
                  <w:p>
                    <w:pPr>
                      <w:spacing w:before="40" w:line="230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8"/>
                        <w:szCs w:val="18"/>
                      </w:rPr>
                      <w:t xml:space="preserve">测量单元     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1"/>
                        <w:sz w:val="18"/>
                        <w:szCs w:val="18"/>
                      </w:rPr>
                      <w:t>天平</w:t>
                    </w:r>
                  </w:p>
                </w:txbxContent>
              </v:textbox>
            </v:shape>
            <v:shape id="_x0000_s1028" type="#_x0000_t202" style="width:958;height:400;left:3819;position:absolute;top:2477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ind w:left="20" w:right="20" w:firstLine="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18"/>
                        <w:szCs w:val="18"/>
                      </w:rPr>
                      <w:t xml:space="preserve">电子元器件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及微处理机</w:t>
                    </w:r>
                  </w:p>
                </w:txbxContent>
              </v:textbox>
            </v:shape>
            <v:shape id="_x0000_s1029" type="#_x0000_t202" style="width:602;height:402;left:3999;position:absolute;top:1737" filled="f" stroked="f">
              <o:lock v:ext="edit" aspectratio="f"/>
              <v:textbox inset="0,0,0,0">
                <w:txbxContent>
                  <w:p>
                    <w:pPr>
                      <w:spacing w:before="19" w:line="204" w:lineRule="auto"/>
                      <w:ind w:left="20" w:right="20" w:firstLine="10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18"/>
                        <w:szCs w:val="18"/>
                      </w:rPr>
                      <w:t>红</w:t>
                    </w:r>
                    <w:r>
                      <w:rPr>
                        <w:rFonts w:ascii="SimSun" w:eastAsia="SimSun" w:hAnsi="SimSun" w:cs="SimSun"/>
                        <w:spacing w:val="16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8"/>
                        <w:szCs w:val="18"/>
                      </w:rPr>
                      <w:t>外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6"/>
                        <w:sz w:val="18"/>
                        <w:szCs w:val="18"/>
                      </w:rPr>
                      <w:t>检测器</w:t>
                    </w:r>
                  </w:p>
                </w:txbxContent>
              </v:textbox>
            </v:shape>
            <v:shape id="_x0000_s1030" type="#_x0000_t202" style="width:410;height:449;left:5109;position:absolute;top:2458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20" w:right="20" w:firstLine="1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8"/>
                        <w:szCs w:val="18"/>
                      </w:rPr>
                      <w:t>系统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输入</w:t>
                    </w:r>
                  </w:p>
                </w:txbxContent>
              </v:textbox>
            </v:shape>
            <v:shape id="_x0000_s1031" type="#_x0000_t202" style="width:572;height:220;left:1709;position:absolute;top:328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流量计</w:t>
                    </w:r>
                  </w:p>
                </w:txbxContent>
              </v:textbox>
            </v:shape>
            <v:shape id="_x0000_s1032" type="#_x0000_t202" style="width:422;height:225;left:4719;position:absolute;top:1583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FangSong" w:eastAsia="FangSong" w:hAnsi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eastAsia="FangSong" w:hAnsi="FangSong" w:cs="FangSong"/>
                        <w:spacing w:val="10"/>
                        <w:sz w:val="18"/>
                        <w:szCs w:val="18"/>
                      </w:rPr>
                      <w:t>试样</w:t>
                    </w:r>
                  </w:p>
                </w:txbxContent>
              </v:textbox>
            </v:shape>
            <v:shape id="_x0000_s1033" type="#_x0000_t202" style="width:392;height:220;left:209;position:absolute;top:2306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氧气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58" w:line="219" w:lineRule="auto"/>
        <w:ind w:left="2340"/>
        <w:rPr>
          <w:sz w:val="18"/>
          <w:szCs w:val="18"/>
        </w:rPr>
      </w:pPr>
      <w:r>
        <w:rPr>
          <w:spacing w:val="10"/>
          <w:sz w:val="18"/>
          <w:szCs w:val="18"/>
        </w:rPr>
        <w:t>图 2</w:t>
      </w:r>
      <w:r>
        <w:rPr>
          <w:spacing w:val="104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高温燃烧红外吸收法测硫仪基本结构图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2470" w:lineRule="exact"/>
        <w:ind w:firstLine="1300"/>
      </w:pPr>
      <w:r>
        <w:rPr>
          <w:position w:val="-49"/>
        </w:rPr>
        <w:drawing>
          <wp:inline distT="0" distB="0" distL="0" distR="0">
            <wp:extent cx="3771877" cy="156849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71877" cy="156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74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2550"/>
        <w:rPr>
          <w:sz w:val="18"/>
          <w:szCs w:val="18"/>
        </w:rPr>
      </w:pPr>
      <w:r>
        <w:rPr>
          <w:spacing w:val="10"/>
          <w:sz w:val="18"/>
          <w:szCs w:val="18"/>
        </w:rPr>
        <w:t>图</w:t>
      </w:r>
      <w:r>
        <w:rPr>
          <w:spacing w:val="-26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3  高温燃烧中和法测硫仪基本结构图</w:t>
      </w:r>
    </w:p>
    <w:p>
      <w:pPr>
        <w:pStyle w:val="BodyText"/>
        <w:spacing w:before="56" w:line="219" w:lineRule="auto"/>
        <w:ind w:left="849"/>
        <w:rPr>
          <w:sz w:val="18"/>
          <w:szCs w:val="18"/>
        </w:rPr>
      </w:pPr>
      <w:r>
        <w:rPr>
          <w:spacing w:val="-14"/>
          <w:sz w:val="18"/>
          <w:szCs w:val="18"/>
        </w:rPr>
        <w:t>1—吸收瓶；2—燃烧炉；3—燃烧管；4—瓷舟；5—推棒；6—流量计；7—干燥塔；8—洗气瓶；</w:t>
      </w:r>
    </w:p>
    <w:p>
      <w:pPr>
        <w:pStyle w:val="BodyText"/>
        <w:spacing w:before="57" w:line="219" w:lineRule="auto"/>
        <w:ind w:left="1180"/>
        <w:rPr>
          <w:sz w:val="18"/>
          <w:szCs w:val="18"/>
        </w:rPr>
      </w:pPr>
      <w:r>
        <w:rPr>
          <w:spacing w:val="-12"/>
          <w:sz w:val="18"/>
          <w:szCs w:val="18"/>
        </w:rPr>
        <w:t>9—氧气钢瓶；10—</w:t>
      </w:r>
      <w:r>
        <w:rPr>
          <w:rFonts w:ascii="Times New Roman" w:eastAsia="Times New Roman" w:hAnsi="Times New Roman" w:cs="Times New Roman"/>
          <w:spacing w:val="-12"/>
          <w:sz w:val="18"/>
          <w:szCs w:val="18"/>
        </w:rPr>
        <w:t>T</w:t>
      </w:r>
      <w:r>
        <w:rPr>
          <w:spacing w:val="-12"/>
          <w:sz w:val="18"/>
          <w:szCs w:val="18"/>
        </w:rPr>
        <w:t>形管；11—温度控制器；12—翻胶</w:t>
      </w:r>
      <w:r>
        <w:rPr>
          <w:spacing w:val="-13"/>
          <w:sz w:val="18"/>
          <w:szCs w:val="18"/>
        </w:rPr>
        <w:t>帽；13—橡皮塞；14—探测棒</w:t>
      </w:r>
    </w:p>
    <w:p>
      <w:pPr>
        <w:pStyle w:val="BodyText"/>
        <w:spacing w:before="189" w:line="219" w:lineRule="auto"/>
        <w:ind w:left="470"/>
        <w:rPr>
          <w:sz w:val="22"/>
          <w:szCs w:val="22"/>
        </w:rPr>
      </w:pPr>
      <w:r>
        <w:rPr>
          <w:spacing w:val="4"/>
          <w:sz w:val="22"/>
          <w:szCs w:val="22"/>
        </w:rPr>
        <w:t>对不同测量范围，测硫仪的重复性应不大于表1的规定。</w:t>
      </w:r>
    </w:p>
    <w:p>
      <w:pPr>
        <w:spacing w:before="84" w:line="222" w:lineRule="auto"/>
        <w:ind w:left="321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5"/>
          <w:sz w:val="18"/>
          <w:szCs w:val="18"/>
        </w:rPr>
        <w:t>表</w:t>
      </w:r>
      <w:r>
        <w:rPr>
          <w:rFonts w:ascii="SimHei" w:eastAsia="SimHei" w:hAnsi="SimHei" w:cs="SimHei"/>
          <w:spacing w:val="5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18"/>
          <w:szCs w:val="18"/>
        </w:rPr>
        <w:t>1</w:t>
      </w:r>
      <w:r>
        <w:rPr>
          <w:rFonts w:ascii="SimHei" w:eastAsia="SimHei" w:hAnsi="SimHei" w:cs="SimHei"/>
          <w:spacing w:val="80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18"/>
          <w:szCs w:val="18"/>
        </w:rPr>
        <w:t>全硫含量及重复性</w:t>
      </w:r>
    </w:p>
    <w:tbl>
      <w:tblPr>
        <w:tblStyle w:val="TableNormal0"/>
        <w:tblW w:w="833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060"/>
        <w:gridCol w:w="4279"/>
      </w:tblGrid>
      <w:tr>
        <w:tblPrEx>
          <w:tblW w:w="833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2"/>
        </w:trPr>
        <w:tc>
          <w:tcPr>
            <w:tcW w:w="4060" w:type="dxa"/>
            <w:vAlign w:val="top"/>
          </w:tcPr>
          <w:p>
            <w:pPr>
              <w:spacing w:before="83" w:line="219" w:lineRule="auto"/>
              <w:ind w:left="12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全硫含量(S.d)1%</w:t>
            </w:r>
          </w:p>
        </w:tc>
        <w:tc>
          <w:tcPr>
            <w:tcW w:w="4279" w:type="dxa"/>
            <w:vAlign w:val="top"/>
          </w:tcPr>
          <w:p>
            <w:pPr>
              <w:spacing w:before="84" w:line="220" w:lineRule="auto"/>
              <w:ind w:left="11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38"/>
                <w:sz w:val="21"/>
                <w:szCs w:val="21"/>
              </w:rPr>
              <w:t>标准差(全硫S)1%</w:t>
            </w:r>
          </w:p>
        </w:tc>
      </w:tr>
      <w:tr>
        <w:tblPrEx>
          <w:tblW w:w="8339" w:type="dxa"/>
          <w:tblInd w:w="90" w:type="dxa"/>
          <w:tblLayout w:type="fixed"/>
        </w:tblPrEx>
        <w:trPr>
          <w:trHeight w:val="367"/>
        </w:trPr>
        <w:tc>
          <w:tcPr>
            <w:tcW w:w="4060" w:type="dxa"/>
            <w:vAlign w:val="top"/>
          </w:tcPr>
          <w:p>
            <w:pPr>
              <w:spacing w:before="132" w:line="186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&lt;1.00</w:t>
            </w:r>
          </w:p>
        </w:tc>
        <w:tc>
          <w:tcPr>
            <w:tcW w:w="4279" w:type="dxa"/>
            <w:vAlign w:val="top"/>
          </w:tcPr>
          <w:p>
            <w:pPr>
              <w:spacing w:before="135" w:line="183" w:lineRule="auto"/>
              <w:ind w:left="19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0.03</w:t>
            </w:r>
          </w:p>
        </w:tc>
      </w:tr>
    </w:tbl>
    <w:p>
      <w:pPr>
        <w:sectPr>
          <w:headerReference w:type="default" r:id="rId11"/>
          <w:footerReference w:type="default" r:id="rId12"/>
          <w:pgSz w:w="10040" w:h="14660"/>
          <w:pgMar w:top="1160" w:right="699" w:bottom="785" w:left="819" w:header="891" w:footer="636" w:gutter="0"/>
          <w:pgNumType w:start="3"/>
          <w:cols w:space="708"/>
        </w:sectPr>
      </w:pPr>
    </w:p>
    <w:tbl>
      <w:tblPr>
        <w:tblStyle w:val="TableNormal1"/>
        <w:tblW w:w="833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060"/>
        <w:gridCol w:w="4279"/>
      </w:tblGrid>
      <w:tr>
        <w:tblPrEx>
          <w:tblW w:w="833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8"/>
        </w:trPr>
        <w:tc>
          <w:tcPr>
            <w:tcW w:w="4060" w:type="dxa"/>
            <w:vAlign w:val="top"/>
          </w:tcPr>
          <w:p>
            <w:pPr>
              <w:spacing w:before="137" w:line="184" w:lineRule="auto"/>
              <w:ind w:left="14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1.00～4.00</w:t>
            </w:r>
          </w:p>
        </w:tc>
        <w:tc>
          <w:tcPr>
            <w:tcW w:w="4279" w:type="dxa"/>
            <w:vAlign w:val="top"/>
          </w:tcPr>
          <w:p>
            <w:pPr>
              <w:spacing w:before="138" w:line="183" w:lineRule="auto"/>
              <w:ind w:left="19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0.08</w:t>
            </w:r>
          </w:p>
        </w:tc>
      </w:tr>
      <w:tr>
        <w:tblPrEx>
          <w:tblW w:w="8339" w:type="dxa"/>
          <w:tblInd w:w="90" w:type="dxa"/>
          <w:tblLayout w:type="fixed"/>
        </w:tblPrEx>
        <w:trPr>
          <w:trHeight w:val="372"/>
        </w:trPr>
        <w:tc>
          <w:tcPr>
            <w:tcW w:w="4060" w:type="dxa"/>
            <w:vAlign w:val="top"/>
          </w:tcPr>
          <w:p>
            <w:pPr>
              <w:spacing w:before="137" w:line="186" w:lineRule="auto"/>
              <w:ind w:left="144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&gt;4.00～6.00</w:t>
            </w:r>
          </w:p>
        </w:tc>
        <w:tc>
          <w:tcPr>
            <w:tcW w:w="4279" w:type="dxa"/>
            <w:vAlign w:val="top"/>
          </w:tcPr>
          <w:p>
            <w:pPr>
              <w:spacing w:before="139" w:line="184" w:lineRule="auto"/>
              <w:ind w:left="19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0.12</w:t>
            </w:r>
          </w:p>
        </w:tc>
      </w:tr>
    </w:tbl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30"/>
        <w:rPr>
          <w:sz w:val="22"/>
          <w:szCs w:val="22"/>
        </w:rPr>
      </w:pPr>
      <w:r>
        <w:rPr>
          <w:spacing w:val="-1"/>
          <w:sz w:val="22"/>
          <w:szCs w:val="22"/>
        </w:rPr>
        <w:t>3.2</w:t>
      </w:r>
      <w:r>
        <w:rPr>
          <w:spacing w:val="8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示值误差</w:t>
      </w:r>
    </w:p>
    <w:p>
      <w:pPr>
        <w:pStyle w:val="BodyText"/>
        <w:spacing w:before="69" w:line="219" w:lineRule="auto"/>
        <w:ind w:left="470"/>
        <w:rPr>
          <w:sz w:val="22"/>
          <w:szCs w:val="22"/>
        </w:rPr>
      </w:pPr>
      <w:r>
        <w:rPr>
          <w:spacing w:val="5"/>
          <w:sz w:val="22"/>
          <w:szCs w:val="22"/>
        </w:rPr>
        <w:t>对不同测量范围，测硫仪的示值误差应不超过表2的规</w:t>
      </w:r>
      <w:r>
        <w:rPr>
          <w:spacing w:val="4"/>
          <w:sz w:val="22"/>
          <w:szCs w:val="22"/>
        </w:rPr>
        <w:t>定。</w:t>
      </w:r>
    </w:p>
    <w:p>
      <w:pPr>
        <w:spacing w:line="219" w:lineRule="auto"/>
        <w:rPr>
          <w:sz w:val="22"/>
          <w:szCs w:val="22"/>
        </w:rPr>
        <w:sectPr>
          <w:headerReference w:type="default" r:id="rId13"/>
          <w:footerReference w:type="default" r:id="rId14"/>
          <w:type w:val="nextPage"/>
          <w:pgSz w:w="10040" w:h="14660"/>
          <w:pgMar w:top="1160" w:right="699" w:bottom="785" w:left="819" w:header="891" w:footer="636" w:gutter="0"/>
          <w:pgNumType w:start="4"/>
          <w:cols w:space="708"/>
          <w:titlePg w:val="0"/>
        </w:sectPr>
      </w:pPr>
    </w:p>
    <w:p>
      <w:pPr>
        <w:spacing w:before="184" w:line="222" w:lineRule="auto"/>
        <w:ind w:left="294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6"/>
          <w:sz w:val="21"/>
          <w:szCs w:val="21"/>
        </w:rPr>
        <w:t>表2</w:t>
      </w:r>
      <w:r>
        <w:rPr>
          <w:rFonts w:ascii="SimHei" w:eastAsia="SimHei" w:hAnsi="SimHei" w:cs="SimHei"/>
          <w:spacing w:val="9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1"/>
          <w:szCs w:val="21"/>
        </w:rPr>
        <w:t>全硫含量及最大允许误差</w:t>
      </w:r>
    </w:p>
    <w:p>
      <w:pPr>
        <w:spacing w:line="48" w:lineRule="exact"/>
      </w:pPr>
    </w:p>
    <w:tbl>
      <w:tblPr>
        <w:tblStyle w:val="TableNormal2"/>
        <w:tblW w:w="8349" w:type="dxa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060"/>
        <w:gridCol w:w="4289"/>
      </w:tblGrid>
      <w:tr>
        <w:tblPrEx>
          <w:tblW w:w="8349" w:type="dxa"/>
          <w:tblInd w:w="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3"/>
        </w:trPr>
        <w:tc>
          <w:tcPr>
            <w:tcW w:w="4060" w:type="dxa"/>
            <w:vAlign w:val="top"/>
          </w:tcPr>
          <w:p>
            <w:pPr>
              <w:pStyle w:val="TableText"/>
              <w:spacing w:before="92" w:line="219" w:lineRule="auto"/>
              <w:ind w:left="1165"/>
            </w:pPr>
            <w:r>
              <w:rPr>
                <w:spacing w:val="25"/>
              </w:rPr>
              <w:t>全硫含量(S</w:t>
            </w:r>
            <w:r>
              <w:rPr>
                <w:spacing w:val="-40"/>
              </w:rPr>
              <w:t xml:space="preserve"> </w:t>
            </w:r>
            <w:r>
              <w:rPr>
                <w:spacing w:val="25"/>
              </w:rPr>
              <w:t>.</w:t>
            </w:r>
            <w:r>
              <w:rPr>
                <w:spacing w:val="-42"/>
              </w:rPr>
              <w:t xml:space="preserve"> </w:t>
            </w:r>
            <w:r>
              <w:rPr>
                <w:spacing w:val="25"/>
              </w:rPr>
              <w:t>d)1%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92" w:line="219" w:lineRule="auto"/>
              <w:ind w:left="855"/>
            </w:pPr>
            <w:r>
              <w:rPr>
                <w:spacing w:val="-11"/>
              </w:rPr>
              <w:t>最</w:t>
            </w:r>
            <w:r>
              <w:rPr>
                <w:spacing w:val="-13"/>
              </w:rPr>
              <w:t xml:space="preserve"> </w:t>
            </w:r>
            <w:r>
              <w:rPr>
                <w:spacing w:val="-11"/>
              </w:rPr>
              <w:t>大</w:t>
            </w:r>
            <w:r>
              <w:rPr>
                <w:spacing w:val="-20"/>
              </w:rPr>
              <w:t xml:space="preserve"> </w:t>
            </w:r>
            <w:r>
              <w:rPr>
                <w:spacing w:val="-11"/>
              </w:rPr>
              <w:t>允</w:t>
            </w:r>
            <w:r>
              <w:rPr>
                <w:spacing w:val="-25"/>
              </w:rPr>
              <w:t xml:space="preserve"> </w:t>
            </w:r>
            <w:r>
              <w:rPr>
                <w:spacing w:val="-11"/>
              </w:rPr>
              <w:t>许</w:t>
            </w:r>
            <w:r>
              <w:rPr>
                <w:spacing w:val="-24"/>
              </w:rPr>
              <w:t xml:space="preserve"> </w:t>
            </w:r>
            <w:r>
              <w:rPr>
                <w:spacing w:val="-11"/>
              </w:rPr>
              <w:t>误</w:t>
            </w:r>
            <w:r>
              <w:rPr>
                <w:spacing w:val="-24"/>
              </w:rPr>
              <w:t xml:space="preserve"> </w:t>
            </w:r>
            <w:r>
              <w:rPr>
                <w:spacing w:val="-11"/>
              </w:rPr>
              <w:t>差 (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全</w:t>
            </w:r>
            <w:r>
              <w:rPr>
                <w:spacing w:val="-27"/>
              </w:rPr>
              <w:t xml:space="preserve"> </w:t>
            </w:r>
            <w:r>
              <w:rPr>
                <w:spacing w:val="-11"/>
              </w:rPr>
              <w:t>硫</w:t>
            </w:r>
            <w:r>
              <w:rPr>
                <w:spacing w:val="-25"/>
              </w:rPr>
              <w:t xml:space="preserve"> </w:t>
            </w:r>
            <w:r>
              <w:rPr>
                <w:spacing w:val="-11"/>
              </w:rPr>
              <w:t>S</w:t>
            </w:r>
            <w:r>
              <w:rPr>
                <w:spacing w:val="-25"/>
              </w:rPr>
              <w:t xml:space="preserve"> </w:t>
            </w:r>
            <w:r>
              <w:rPr>
                <w:spacing w:val="-11"/>
              </w:rPr>
              <w:t>) 1</w:t>
            </w:r>
            <w:r>
              <w:rPr>
                <w:spacing w:val="-31"/>
              </w:rPr>
              <w:t xml:space="preserve"> </w:t>
            </w:r>
            <w:r>
              <w:rPr>
                <w:spacing w:val="-11"/>
              </w:rPr>
              <w:t>%</w:t>
            </w:r>
          </w:p>
        </w:tc>
      </w:tr>
      <w:tr>
        <w:tblPrEx>
          <w:tblW w:w="8349" w:type="dxa"/>
          <w:tblInd w:w="99" w:type="dxa"/>
          <w:tblLayout w:type="fixed"/>
        </w:tblPrEx>
        <w:trPr>
          <w:trHeight w:val="377"/>
        </w:trPr>
        <w:tc>
          <w:tcPr>
            <w:tcW w:w="4060" w:type="dxa"/>
            <w:vAlign w:val="top"/>
          </w:tcPr>
          <w:p>
            <w:pPr>
              <w:pStyle w:val="TableText"/>
              <w:spacing w:before="96" w:line="216" w:lineRule="auto"/>
              <w:ind w:left="1794"/>
            </w:pPr>
            <w:r>
              <w:rPr>
                <w:spacing w:val="-2"/>
              </w:rPr>
              <w:t>&lt;1,00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114" w:line="235" w:lineRule="auto"/>
              <w:ind w:left="1865"/>
            </w:pPr>
            <w:r>
              <w:rPr>
                <w:spacing w:val="-5"/>
              </w:rPr>
              <w:t>±0.15</w:t>
            </w:r>
          </w:p>
        </w:tc>
      </w:tr>
      <w:tr>
        <w:tblPrEx>
          <w:tblW w:w="8349" w:type="dxa"/>
          <w:tblInd w:w="99" w:type="dxa"/>
          <w:tblLayout w:type="fixed"/>
        </w:tblPrEx>
        <w:trPr>
          <w:trHeight w:val="367"/>
        </w:trPr>
        <w:tc>
          <w:tcPr>
            <w:tcW w:w="4060" w:type="dxa"/>
            <w:vAlign w:val="top"/>
          </w:tcPr>
          <w:p>
            <w:pPr>
              <w:pStyle w:val="TableText"/>
              <w:spacing w:before="147" w:line="184" w:lineRule="auto"/>
              <w:ind w:left="1574"/>
            </w:pPr>
            <w:r>
              <w:rPr>
                <w:spacing w:val="-3"/>
              </w:rPr>
              <w:t>1.00～4.00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117" w:line="235" w:lineRule="auto"/>
              <w:ind w:left="1865"/>
            </w:pPr>
            <w:r>
              <w:rPr>
                <w:spacing w:val="-5"/>
              </w:rPr>
              <w:t>±0.25</w:t>
            </w:r>
          </w:p>
        </w:tc>
      </w:tr>
      <w:tr>
        <w:tblPrEx>
          <w:tblW w:w="8349" w:type="dxa"/>
          <w:tblInd w:w="99" w:type="dxa"/>
          <w:tblLayout w:type="fixed"/>
        </w:tblPrEx>
        <w:trPr>
          <w:trHeight w:val="372"/>
        </w:trPr>
        <w:tc>
          <w:tcPr>
            <w:tcW w:w="4060" w:type="dxa"/>
            <w:vAlign w:val="top"/>
          </w:tcPr>
          <w:p>
            <w:pPr>
              <w:pStyle w:val="TableText"/>
              <w:spacing w:before="148" w:line="186" w:lineRule="auto"/>
              <w:ind w:left="1524"/>
            </w:pPr>
            <w:r>
              <w:rPr>
                <w:spacing w:val="-2"/>
              </w:rPr>
              <w:t>&gt;4.00～6.00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120" w:line="235" w:lineRule="auto"/>
              <w:ind w:left="1865"/>
            </w:pPr>
            <w:r>
              <w:rPr>
                <w:spacing w:val="-5"/>
              </w:rPr>
              <w:t>±0.35</w:t>
            </w:r>
          </w:p>
        </w:tc>
      </w:tr>
    </w:tbl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68" w:line="222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3"/>
          <w:sz w:val="21"/>
          <w:szCs w:val="21"/>
        </w:rPr>
        <w:t>4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1"/>
          <w:szCs w:val="21"/>
        </w:rPr>
        <w:t>通用技术要求</w:t>
      </w:r>
    </w:p>
    <w:p>
      <w:pPr>
        <w:pStyle w:val="BodyText"/>
        <w:spacing w:before="240" w:line="219" w:lineRule="auto"/>
      </w:pPr>
      <w:r>
        <w:rPr>
          <w:spacing w:val="7"/>
        </w:rPr>
        <w:t>4.1</w:t>
      </w:r>
      <w:r>
        <w:rPr>
          <w:spacing w:val="99"/>
        </w:rPr>
        <w:t xml:space="preserve"> </w:t>
      </w:r>
      <w:r>
        <w:rPr>
          <w:spacing w:val="7"/>
        </w:rPr>
        <w:t>外观与通电检查</w:t>
      </w:r>
    </w:p>
    <w:p>
      <w:pPr>
        <w:pStyle w:val="BodyText"/>
        <w:spacing w:before="69" w:line="242" w:lineRule="auto"/>
        <w:ind w:right="68" w:firstLine="3"/>
      </w:pPr>
      <w:r>
        <w:rPr>
          <w:b/>
          <w:bCs/>
          <w:spacing w:val="15"/>
        </w:rPr>
        <w:t>4.1.1</w:t>
      </w:r>
      <w:r>
        <w:rPr>
          <w:spacing w:val="94"/>
        </w:rPr>
        <w:t xml:space="preserve"> </w:t>
      </w:r>
      <w:r>
        <w:rPr>
          <w:spacing w:val="15"/>
        </w:rPr>
        <w:t>测硫仪应有下列标志：仪器名称、型号、制造日</w:t>
      </w:r>
      <w:r>
        <w:rPr>
          <w:spacing w:val="14"/>
        </w:rPr>
        <w:t>期和仪器编号、制造厂名、国</w:t>
      </w:r>
      <w:r>
        <w:t xml:space="preserve"> </w:t>
      </w:r>
      <w:r>
        <w:rPr>
          <w:spacing w:val="9"/>
        </w:rPr>
        <w:t>产测硫仪还应有制造计量器具许可证标志及编号。</w:t>
      </w:r>
    </w:p>
    <w:p>
      <w:pPr>
        <w:pStyle w:val="BodyText"/>
        <w:spacing w:before="89" w:line="219" w:lineRule="auto"/>
        <w:ind w:left="2"/>
      </w:pPr>
      <w:r>
        <w:rPr>
          <w:b/>
          <w:bCs/>
          <w:spacing w:val="9"/>
        </w:rPr>
        <w:t>4.1.2</w:t>
      </w:r>
      <w:r>
        <w:rPr>
          <w:spacing w:val="9"/>
        </w:rPr>
        <w:t xml:space="preserve">  测硫仪外观不应有影响仪器正常工作</w:t>
      </w:r>
      <w:r>
        <w:rPr>
          <w:spacing w:val="8"/>
        </w:rPr>
        <w:t>的机械损伤。</w:t>
      </w:r>
    </w:p>
    <w:p>
      <w:pPr>
        <w:pStyle w:val="BodyText"/>
        <w:spacing w:before="42" w:line="259" w:lineRule="auto"/>
        <w:ind w:right="45" w:firstLine="3"/>
      </w:pPr>
      <w:r>
        <w:rPr>
          <w:b/>
          <w:bCs/>
          <w:spacing w:val="9"/>
        </w:rPr>
        <w:t>4.1.3</w:t>
      </w:r>
      <w:r>
        <w:rPr>
          <w:spacing w:val="119"/>
        </w:rPr>
        <w:t xml:space="preserve"> </w:t>
      </w:r>
      <w:r>
        <w:rPr>
          <w:spacing w:val="9"/>
        </w:rPr>
        <w:t>测硫仪的各紧固件和电缆接插件均应紧固，插接良好；各运动件运行平稳自如：</w:t>
      </w:r>
      <w:r>
        <w:t xml:space="preserve"> </w:t>
      </w:r>
      <w:r>
        <w:rPr>
          <w:spacing w:val="7"/>
        </w:rPr>
        <w:t>各功能键应完好，工作正常。</w:t>
      </w:r>
    </w:p>
    <w:p>
      <w:pPr>
        <w:pStyle w:val="BodyText"/>
        <w:spacing w:before="81" w:line="219" w:lineRule="auto"/>
        <w:ind w:left="2"/>
      </w:pPr>
      <w:r>
        <w:rPr>
          <w:b/>
          <w:bCs/>
          <w:spacing w:val="7"/>
        </w:rPr>
        <w:t>4.1.4</w:t>
      </w:r>
      <w:r>
        <w:rPr>
          <w:spacing w:val="7"/>
        </w:rPr>
        <w:t xml:space="preserve">  测硫仪的指示刻度和/或数字</w:t>
      </w:r>
      <w:r>
        <w:rPr>
          <w:spacing w:val="6"/>
        </w:rPr>
        <w:t>清晰，数字显示完整。</w:t>
      </w:r>
    </w:p>
    <w:p>
      <w:pPr>
        <w:pStyle w:val="BodyText"/>
        <w:spacing w:before="62" w:line="220" w:lineRule="auto"/>
        <w:ind w:left="3"/>
      </w:pPr>
      <w:r>
        <w:rPr>
          <w:b/>
          <w:bCs/>
          <w:spacing w:val="4"/>
        </w:rPr>
        <w:t>4.2</w:t>
      </w:r>
      <w:r>
        <w:rPr>
          <w:spacing w:val="4"/>
        </w:rPr>
        <w:t xml:space="preserve">  控温性能</w:t>
      </w:r>
    </w:p>
    <w:p>
      <w:pPr>
        <w:pStyle w:val="BodyText"/>
        <w:spacing w:before="69" w:line="220" w:lineRule="auto"/>
        <w:ind w:left="2"/>
      </w:pPr>
      <w:r>
        <w:rPr>
          <w:b/>
          <w:bCs/>
          <w:spacing w:val="-3"/>
        </w:rPr>
        <w:t>4.2.1</w:t>
      </w:r>
      <w:r>
        <w:rPr>
          <w:spacing w:val="9"/>
        </w:rPr>
        <w:t xml:space="preserve">  </w:t>
      </w:r>
      <w:r>
        <w:rPr>
          <w:spacing w:val="-3"/>
        </w:rPr>
        <w:t>控温误差</w:t>
      </w:r>
    </w:p>
    <w:p>
      <w:pPr>
        <w:pStyle w:val="BodyText"/>
        <w:spacing w:before="78" w:line="219" w:lineRule="auto"/>
        <w:ind w:left="430"/>
      </w:pPr>
      <w:r>
        <w:rPr>
          <w:spacing w:val="9"/>
        </w:rPr>
        <w:t>燃烧炉的规定工作温度应在下述范围内：</w:t>
      </w:r>
    </w:p>
    <w:p>
      <w:pPr>
        <w:pStyle w:val="BodyText"/>
        <w:spacing w:before="81" w:line="219" w:lineRule="auto"/>
        <w:ind w:left="430"/>
      </w:pPr>
      <w:r>
        <w:rPr>
          <w:spacing w:val="14"/>
        </w:rPr>
        <w:t>1)高燃烧库仑测硫仪：1150</w:t>
      </w:r>
      <w:r>
        <w:rPr>
          <w:spacing w:val="52"/>
        </w:rPr>
        <w:t xml:space="preserve"> </w:t>
      </w:r>
      <w:r>
        <w:rPr>
          <w:spacing w:val="14"/>
        </w:rPr>
        <w:t>℃~1200</w:t>
      </w:r>
      <w:r>
        <w:rPr>
          <w:spacing w:val="52"/>
        </w:rPr>
        <w:t xml:space="preserve"> </w:t>
      </w:r>
      <w:r>
        <w:rPr>
          <w:spacing w:val="14"/>
        </w:rPr>
        <w:t>℃;</w:t>
      </w:r>
    </w:p>
    <w:p>
      <w:pPr>
        <w:pStyle w:val="BodyText"/>
        <w:spacing w:before="51" w:line="330" w:lineRule="exact"/>
        <w:ind w:left="430"/>
      </w:pPr>
      <w:r>
        <w:rPr>
          <w:spacing w:val="20"/>
          <w:position w:val="8"/>
        </w:rPr>
        <w:t>2)高温燃烧红外测硫仪：1300℃~1350</w:t>
      </w:r>
      <w:r>
        <w:rPr>
          <w:spacing w:val="78"/>
          <w:position w:val="8"/>
        </w:rPr>
        <w:t xml:space="preserve"> </w:t>
      </w:r>
      <w:r>
        <w:rPr>
          <w:spacing w:val="20"/>
          <w:position w:val="8"/>
        </w:rPr>
        <w:t>℃;</w:t>
      </w:r>
    </w:p>
    <w:p>
      <w:pPr>
        <w:pStyle w:val="BodyText"/>
        <w:spacing w:before="1" w:line="218" w:lineRule="auto"/>
        <w:ind w:left="430"/>
      </w:pPr>
      <w:r>
        <w:rPr>
          <w:spacing w:val="19"/>
        </w:rPr>
        <w:t>3)高温燃烧中和法测硫仪：1200℃~125</w:t>
      </w:r>
      <w:r>
        <w:rPr>
          <w:spacing w:val="18"/>
        </w:rPr>
        <w:t>0</w:t>
      </w:r>
      <w:r>
        <w:rPr>
          <w:spacing w:val="60"/>
        </w:rPr>
        <w:t xml:space="preserve"> </w:t>
      </w:r>
      <w:r>
        <w:rPr>
          <w:spacing w:val="18"/>
        </w:rPr>
        <w:t>℃。</w:t>
      </w:r>
    </w:p>
    <w:p>
      <w:pPr>
        <w:pStyle w:val="BodyText"/>
        <w:spacing w:before="51" w:line="271" w:lineRule="auto"/>
        <w:ind w:right="81" w:firstLine="430"/>
      </w:pPr>
      <w:r>
        <w:rPr>
          <w:spacing w:val="25"/>
        </w:rPr>
        <w:t>燃烧炉显示温度达到设定值并稳定后，实际炉温与规定工作温度相差不应超过</w:t>
      </w:r>
      <w:r>
        <w:rPr>
          <w:spacing w:val="17"/>
        </w:rPr>
        <w:t xml:space="preserve"> </w:t>
      </w:r>
      <w:r>
        <w:rPr>
          <w:spacing w:val="-19"/>
        </w:rPr>
        <w:t>±10</w:t>
      </w:r>
      <w:r>
        <w:rPr>
          <w:spacing w:val="18"/>
        </w:rPr>
        <w:t xml:space="preserve"> </w:t>
      </w:r>
      <w:r>
        <w:rPr>
          <w:spacing w:val="-19"/>
        </w:rPr>
        <w:t>℃。</w:t>
      </w:r>
    </w:p>
    <w:p>
      <w:pPr>
        <w:spacing w:line="219" w:lineRule="auto"/>
        <w:ind w:left="430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18"/>
          <w:sz w:val="21"/>
          <w:szCs w:val="21"/>
        </w:rPr>
        <w:t>注：规定工作温度可根据被测对象在上述范围选定。</w:t>
      </w:r>
    </w:p>
    <w:p>
      <w:pPr>
        <w:pStyle w:val="BodyText"/>
        <w:spacing w:before="61" w:line="219" w:lineRule="auto"/>
        <w:ind w:left="2"/>
        <w:outlineLvl w:val="0"/>
      </w:pPr>
      <w:r>
        <w:rPr>
          <w:b/>
          <w:bCs/>
        </w:rPr>
        <w:t>4.2.2</w:t>
      </w:r>
      <w:r>
        <w:t xml:space="preserve">  </w:t>
      </w:r>
      <w:r>
        <w:rPr>
          <w:b/>
          <w:bCs/>
        </w:rPr>
        <w:t>控温精度</w:t>
      </w:r>
    </w:p>
    <w:p>
      <w:pPr>
        <w:pStyle w:val="BodyText"/>
        <w:spacing w:before="85" w:line="254" w:lineRule="auto"/>
        <w:ind w:left="3" w:right="415" w:firstLine="427"/>
        <w:rPr>
          <w:rFonts w:ascii="SimHei" w:eastAsia="SimHei" w:hAnsi="SimHei" w:cs="SimHei"/>
        </w:rPr>
      </w:pPr>
      <w:r>
        <w:rPr>
          <w:spacing w:val="10"/>
        </w:rPr>
        <w:t xml:space="preserve">燃烧炉显示温度达到设定值并稳定后，其温度波动在20 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10"/>
        </w:rPr>
        <w:t>内不应超过10</w:t>
      </w:r>
      <w:r>
        <w:rPr>
          <w:spacing w:val="67"/>
        </w:rPr>
        <w:t xml:space="preserve"> </w:t>
      </w:r>
      <w:r>
        <w:rPr>
          <w:spacing w:val="10"/>
        </w:rPr>
        <w:t>℃。</w:t>
      </w:r>
      <w:r>
        <w:t xml:space="preserve"> </w:t>
      </w:r>
      <w:r>
        <w:rPr>
          <w:rFonts w:ascii="SimHei" w:eastAsia="SimHei" w:hAnsi="SimHei" w:cs="SimHei"/>
          <w:b/>
          <w:bCs/>
          <w:spacing w:val="4"/>
        </w:rPr>
        <w:t>4.3</w:t>
      </w:r>
      <w:r>
        <w:rPr>
          <w:rFonts w:ascii="SimHei" w:eastAsia="SimHei" w:hAnsi="SimHei" w:cs="SimHei"/>
          <w:spacing w:val="90"/>
        </w:rPr>
        <w:t xml:space="preserve"> </w:t>
      </w:r>
      <w:r>
        <w:rPr>
          <w:rFonts w:ascii="SimHei" w:eastAsia="SimHei" w:hAnsi="SimHei" w:cs="SimHei"/>
          <w:spacing w:val="4"/>
        </w:rPr>
        <w:t>恒温带</w:t>
      </w:r>
    </w:p>
    <w:p>
      <w:pPr>
        <w:pStyle w:val="BodyText"/>
        <w:spacing w:before="61" w:line="252" w:lineRule="auto"/>
        <w:ind w:right="77" w:firstLine="430"/>
        <w:sectPr>
          <w:headerReference w:type="default" r:id="rId15"/>
          <w:footerReference w:type="default" r:id="rId16"/>
          <w:pgSz w:w="10040" w:h="14660"/>
          <w:pgMar w:top="1139" w:right="619" w:bottom="808" w:left="899" w:header="856" w:footer="669" w:gutter="0"/>
          <w:pgNumType w:start="5"/>
          <w:cols w:space="708"/>
        </w:sectPr>
      </w:pPr>
      <w:r>
        <w:rPr>
          <w:spacing w:val="25"/>
        </w:rPr>
        <w:t>燃烧炉显示温度达到设定值并稳定后，其温度变化20℃的恒温带长度</w:t>
      </w:r>
      <w:r>
        <w:rPr>
          <w:spacing w:val="24"/>
        </w:rPr>
        <w:t>不应小于</w:t>
      </w:r>
      <w:r>
        <w:t xml:space="preserve"> </w:t>
      </w:r>
      <w:r>
        <w:rPr>
          <w:spacing w:val="-6"/>
        </w:rPr>
        <w:t>60</w:t>
      </w:r>
      <w:r>
        <w:rPr>
          <w:spacing w:val="75"/>
        </w:rPr>
        <w:t xml:space="preserve"> </w:t>
      </w:r>
      <w:r>
        <w:rPr>
          <w:spacing w:val="-6"/>
        </w:rPr>
        <w:t>mm。</w:t>
      </w:r>
    </w:p>
    <w:p>
      <w:pPr>
        <w:pStyle w:val="BodyText"/>
        <w:spacing w:before="59" w:line="220" w:lineRule="auto"/>
        <w:ind w:left="3"/>
      </w:pPr>
      <w:r>
        <w:rPr>
          <w:b/>
          <w:bCs/>
          <w:spacing w:val="6"/>
        </w:rPr>
        <w:t>4.4</w:t>
      </w:r>
      <w:r>
        <w:rPr>
          <w:spacing w:val="6"/>
        </w:rPr>
        <w:t xml:space="preserve">  绝缘电阻和绝缘强度</w:t>
      </w:r>
    </w:p>
    <w:p>
      <w:pPr>
        <w:spacing w:before="7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4.4.1</w:t>
      </w:r>
      <w:r>
        <w:rPr>
          <w:rFonts w:ascii="SimHei" w:eastAsia="SimHei" w:hAnsi="SimHei" w:cs="SimHei"/>
          <w:spacing w:val="8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绝缘电阻</w:t>
      </w:r>
    </w:p>
    <w:p>
      <w:pPr>
        <w:pStyle w:val="BodyText"/>
        <w:spacing w:before="51" w:line="212" w:lineRule="auto"/>
        <w:ind w:left="430"/>
      </w:pPr>
      <w:r>
        <w:rPr>
          <w:spacing w:val="11"/>
        </w:rPr>
        <w:t>测硫仪电源各端子与机壳间的绝缘电阻不应低</w:t>
      </w:r>
      <w:r>
        <w:rPr>
          <w:spacing w:val="10"/>
        </w:rPr>
        <w:t xml:space="preserve">于20 </w:t>
      </w:r>
      <w:r>
        <w:rPr>
          <w:rFonts w:ascii="Times New Roman" w:eastAsia="Times New Roman" w:hAnsi="Times New Roman" w:cs="Times New Roman"/>
        </w:rPr>
        <w:t>MQ</w:t>
      </w:r>
      <w:r>
        <w:rPr>
          <w:spacing w:val="10"/>
        </w:rPr>
        <w:t>。</w:t>
      </w:r>
    </w:p>
    <w:p>
      <w:pPr>
        <w:pStyle w:val="BodyText"/>
        <w:spacing w:before="89" w:line="220" w:lineRule="auto"/>
        <w:ind w:left="2"/>
      </w:pPr>
      <w:r>
        <w:rPr>
          <w:b/>
          <w:bCs/>
          <w:spacing w:val="1"/>
        </w:rPr>
        <w:t>4.4.2</w:t>
      </w:r>
      <w:r>
        <w:rPr>
          <w:spacing w:val="1"/>
        </w:rPr>
        <w:t xml:space="preserve">  绝缘强度</w:t>
      </w:r>
    </w:p>
    <w:p>
      <w:pPr>
        <w:pStyle w:val="BodyText"/>
        <w:spacing w:before="58" w:line="250" w:lineRule="auto"/>
        <w:ind w:right="115" w:firstLine="430"/>
      </w:pPr>
      <w:r>
        <w:rPr>
          <w:spacing w:val="15"/>
        </w:rPr>
        <w:t>在测硫仪电源进线和机壳之间施加1500</w:t>
      </w:r>
      <w:r>
        <w:rPr>
          <w:rFonts w:ascii="Times New Roman" w:eastAsia="Times New Roman" w:hAnsi="Times New Roman" w:cs="Times New Roman"/>
          <w:spacing w:val="15"/>
        </w:rPr>
        <w:t xml:space="preserve">V/50 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15"/>
        </w:rPr>
        <w:t>的交流电，漏电流设定为5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</w:rPr>
        <w:t>mA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15"/>
        </w:rPr>
        <w:t>的</w:t>
      </w:r>
      <w:r>
        <w:t xml:space="preserve"> </w:t>
      </w:r>
      <w:r>
        <w:rPr>
          <w:spacing w:val="9"/>
        </w:rPr>
        <w:t xml:space="preserve">条件下，历时1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9"/>
        </w:rPr>
        <w:t>,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 </w:t>
      </w:r>
      <w:r>
        <w:rPr>
          <w:spacing w:val="9"/>
        </w:rPr>
        <w:t>无飞弧和击穿现象出现。</w:t>
      </w:r>
    </w:p>
    <w:p>
      <w:pPr>
        <w:spacing w:before="240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7"/>
          <w:sz w:val="21"/>
          <w:szCs w:val="21"/>
        </w:rPr>
        <w:t>5</w:t>
      </w:r>
      <w:r>
        <w:rPr>
          <w:rFonts w:ascii="SimHei" w:eastAsia="SimHei" w:hAnsi="SimHei" w:cs="SimHei"/>
          <w:spacing w:val="9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21"/>
          <w:szCs w:val="21"/>
        </w:rPr>
        <w:t>计量器具控制</w:t>
      </w:r>
    </w:p>
    <w:p>
      <w:pPr>
        <w:pStyle w:val="BodyText"/>
        <w:spacing w:before="249" w:line="219" w:lineRule="auto"/>
        <w:ind w:left="430"/>
      </w:pPr>
      <w:r>
        <w:rPr>
          <w:spacing w:val="11"/>
        </w:rPr>
        <w:t>计量器具控制包括首次检定、后续检定和使用中检验。</w:t>
      </w:r>
    </w:p>
    <w:p>
      <w:pPr>
        <w:spacing w:line="219" w:lineRule="auto"/>
        <w:sectPr>
          <w:headerReference w:type="default" r:id="rId17"/>
          <w:footerReference w:type="default" r:id="rId18"/>
          <w:type w:val="nextPage"/>
          <w:pgSz w:w="10040" w:h="14660"/>
          <w:pgMar w:top="1139" w:right="619" w:bottom="808" w:left="899" w:header="856" w:footer="669" w:gutter="0"/>
          <w:pgNumType w:start="6"/>
          <w:cols w:space="708"/>
          <w:titlePg w:val="0"/>
        </w:sectPr>
      </w:pPr>
    </w:p>
    <w:p>
      <w:pPr>
        <w:pStyle w:val="BodyText"/>
        <w:spacing w:before="208" w:line="219" w:lineRule="auto"/>
        <w:ind w:left="30"/>
      </w:pPr>
      <w:r>
        <w:rPr>
          <w:spacing w:val="4"/>
        </w:rPr>
        <w:t>5.1  检定条件</w:t>
      </w:r>
    </w:p>
    <w:p>
      <w:pPr>
        <w:pStyle w:val="BodyText"/>
        <w:spacing w:before="90" w:line="219" w:lineRule="auto"/>
        <w:ind w:left="30"/>
      </w:pPr>
      <w:r>
        <w:rPr>
          <w:spacing w:val="1"/>
        </w:rPr>
        <w:t>5.1.1</w:t>
      </w:r>
      <w:r>
        <w:rPr>
          <w:spacing w:val="109"/>
        </w:rPr>
        <w:t xml:space="preserve"> </w:t>
      </w:r>
      <w:r>
        <w:rPr>
          <w:spacing w:val="1"/>
        </w:rPr>
        <w:t>环境条件</w:t>
      </w:r>
    </w:p>
    <w:p>
      <w:pPr>
        <w:pStyle w:val="BodyText"/>
        <w:spacing w:before="71" w:line="264" w:lineRule="auto"/>
        <w:ind w:left="490" w:right="5255" w:firstLine="19"/>
      </w:pPr>
      <w:r>
        <w:rPr>
          <w:spacing w:val="18"/>
        </w:rPr>
        <w:t>1)环境温度：15℃~35</w:t>
      </w:r>
      <w:r>
        <w:rPr>
          <w:spacing w:val="58"/>
        </w:rPr>
        <w:t xml:space="preserve"> </w:t>
      </w:r>
      <w:r>
        <w:rPr>
          <w:spacing w:val="18"/>
        </w:rPr>
        <w:t>℃;</w:t>
      </w:r>
      <w:r>
        <w:t xml:space="preserve"> </w:t>
      </w:r>
      <w:r>
        <w:rPr>
          <w:spacing w:val="24"/>
        </w:rPr>
        <w:t>2)相对湿度：≤80%;</w:t>
      </w:r>
    </w:p>
    <w:p>
      <w:pPr>
        <w:pStyle w:val="BodyText"/>
        <w:spacing w:before="66" w:line="216" w:lineRule="auto"/>
        <w:ind w:left="480"/>
      </w:pPr>
      <w:r>
        <w:rPr>
          <w:spacing w:val="2"/>
        </w:rPr>
        <w:t>3)供电电源；</w:t>
      </w:r>
      <w:r>
        <w:rPr>
          <w:spacing w:val="-15"/>
        </w:rPr>
        <w:t xml:space="preserve"> </w:t>
      </w:r>
      <w:r>
        <w:t>AC</w:t>
      </w:r>
      <w:r>
        <w:rPr>
          <w:spacing w:val="2"/>
        </w:rPr>
        <w:t>(220±10)V,50</w:t>
      </w:r>
      <w:r>
        <w:rPr>
          <w:spacing w:val="18"/>
        </w:rPr>
        <w:t xml:space="preserve">    </w:t>
      </w:r>
      <w:r>
        <w:t>Hz</w:t>
      </w:r>
      <w:r>
        <w:rPr>
          <w:spacing w:val="2"/>
        </w:rPr>
        <w:t>。</w:t>
      </w:r>
    </w:p>
    <w:p>
      <w:pPr>
        <w:pStyle w:val="BodyText"/>
        <w:spacing w:before="95" w:line="219" w:lineRule="auto"/>
        <w:ind w:left="469"/>
      </w:pPr>
      <w:r>
        <w:rPr>
          <w:spacing w:val="15"/>
        </w:rPr>
        <w:t>4)周围无强烈振动，无强电和磁场干扰，无腐蚀</w:t>
      </w:r>
      <w:r>
        <w:rPr>
          <w:spacing w:val="14"/>
        </w:rPr>
        <w:t>性气体存在。</w:t>
      </w:r>
    </w:p>
    <w:p>
      <w:pPr>
        <w:pStyle w:val="BodyText"/>
        <w:spacing w:before="63" w:line="219" w:lineRule="auto"/>
        <w:ind w:left="49"/>
      </w:pPr>
      <w:r>
        <w:rPr>
          <w:spacing w:val="6"/>
        </w:rPr>
        <w:t>5.1.2</w:t>
      </w:r>
      <w:r>
        <w:rPr>
          <w:spacing w:val="92"/>
        </w:rPr>
        <w:t xml:space="preserve"> </w:t>
      </w:r>
      <w:r>
        <w:rPr>
          <w:spacing w:val="6"/>
        </w:rPr>
        <w:t>检定用标准器及其他设备</w:t>
      </w:r>
    </w:p>
    <w:p>
      <w:pPr>
        <w:pStyle w:val="BodyText"/>
        <w:spacing w:before="91" w:line="220" w:lineRule="auto"/>
        <w:ind w:left="30"/>
      </w:pPr>
      <w:hyperlink r:id="rId19" w:history="1">
        <w:r>
          <w:rPr>
            <w:spacing w:val="4"/>
          </w:rPr>
          <w:t>5.1.2.1</w:t>
        </w:r>
      </w:hyperlink>
      <w:r>
        <w:rPr>
          <w:spacing w:val="104"/>
        </w:rPr>
        <w:t xml:space="preserve"> </w:t>
      </w:r>
      <w:r>
        <w:rPr>
          <w:spacing w:val="4"/>
        </w:rPr>
        <w:t>煤标准物质</w:t>
      </w:r>
    </w:p>
    <w:p>
      <w:pPr>
        <w:pStyle w:val="BodyText"/>
        <w:spacing w:before="90" w:line="257" w:lineRule="auto"/>
        <w:ind w:left="40" w:right="35" w:firstLine="429"/>
        <w:jc w:val="both"/>
      </w:pPr>
      <w:r>
        <w:rPr>
          <w:spacing w:val="19"/>
        </w:rPr>
        <w:t>采用国家计量行政部门批准的有证标准物质</w:t>
      </w:r>
      <w:r>
        <w:rPr>
          <w:spacing w:val="18"/>
        </w:rPr>
        <w:t>“煤物理特性和化学成份分析标准物</w:t>
      </w:r>
      <w:r>
        <w:t xml:space="preserve"> </w:t>
      </w:r>
      <w:r>
        <w:rPr>
          <w:spacing w:val="25"/>
        </w:rPr>
        <w:t>质”系列中硫含量在0</w:t>
      </w:r>
      <w:r>
        <w:rPr>
          <w:spacing w:val="-54"/>
        </w:rPr>
        <w:t xml:space="preserve"> </w:t>
      </w:r>
      <w:r>
        <w:rPr>
          <w:spacing w:val="25"/>
        </w:rPr>
        <w:t>.</w:t>
      </w:r>
      <w:r>
        <w:rPr>
          <w:spacing w:val="-56"/>
        </w:rPr>
        <w:t xml:space="preserve"> </w:t>
      </w:r>
      <w:r>
        <w:rPr>
          <w:spacing w:val="25"/>
        </w:rPr>
        <w:t>5%,0</w:t>
      </w:r>
      <w:r>
        <w:rPr>
          <w:spacing w:val="-55"/>
        </w:rPr>
        <w:t xml:space="preserve"> </w:t>
      </w:r>
      <w:r>
        <w:rPr>
          <w:spacing w:val="25"/>
        </w:rPr>
        <w:t>.</w:t>
      </w:r>
      <w:r>
        <w:rPr>
          <w:spacing w:val="-59"/>
        </w:rPr>
        <w:t xml:space="preserve"> </w:t>
      </w:r>
      <w:r>
        <w:rPr>
          <w:spacing w:val="25"/>
        </w:rPr>
        <w:t>8%,2</w:t>
      </w:r>
      <w:r>
        <w:rPr>
          <w:spacing w:val="-55"/>
        </w:rPr>
        <w:t xml:space="preserve"> </w:t>
      </w:r>
      <w:r>
        <w:rPr>
          <w:spacing w:val="25"/>
        </w:rPr>
        <w:t>.</w:t>
      </w:r>
      <w:r>
        <w:rPr>
          <w:spacing w:val="-56"/>
        </w:rPr>
        <w:t xml:space="preserve"> </w:t>
      </w:r>
      <w:r>
        <w:rPr>
          <w:spacing w:val="25"/>
        </w:rPr>
        <w:t>3%,3</w:t>
      </w:r>
      <w:r>
        <w:rPr>
          <w:spacing w:val="-55"/>
        </w:rPr>
        <w:t xml:space="preserve"> </w:t>
      </w:r>
      <w:r>
        <w:rPr>
          <w:spacing w:val="25"/>
        </w:rPr>
        <w:t>.</w:t>
      </w:r>
      <w:r>
        <w:rPr>
          <w:spacing w:val="-57"/>
        </w:rPr>
        <w:t xml:space="preserve"> </w:t>
      </w:r>
      <w:r>
        <w:rPr>
          <w:spacing w:val="25"/>
        </w:rPr>
        <w:t>2%和4</w:t>
      </w:r>
      <w:r>
        <w:rPr>
          <w:spacing w:val="-55"/>
        </w:rPr>
        <w:t xml:space="preserve"> </w:t>
      </w:r>
      <w:r>
        <w:rPr>
          <w:spacing w:val="25"/>
        </w:rPr>
        <w:t>.</w:t>
      </w:r>
      <w:r>
        <w:rPr>
          <w:spacing w:val="-56"/>
        </w:rPr>
        <w:t xml:space="preserve"> </w:t>
      </w:r>
      <w:r>
        <w:rPr>
          <w:spacing w:val="25"/>
        </w:rPr>
        <w:t>5%左右，</w:t>
      </w:r>
      <w:r>
        <w:rPr>
          <w:spacing w:val="24"/>
        </w:rPr>
        <w:t>其扩展不确定度(%</w:t>
      </w:r>
      <w:r>
        <w:t xml:space="preserve"> </w:t>
      </w:r>
      <w:r>
        <w:rPr>
          <w:spacing w:val="12"/>
        </w:rPr>
        <w:t xml:space="preserve">全硫， </w:t>
      </w:r>
      <w:r>
        <w:rPr>
          <w:rFonts w:ascii="Times New Roman" w:eastAsia="Times New Roman" w:hAnsi="Times New Roman" w:cs="Times New Roman"/>
          <w:spacing w:val="12"/>
        </w:rPr>
        <w:t xml:space="preserve">k=2)    </w:t>
      </w:r>
      <w:r>
        <w:rPr>
          <w:spacing w:val="12"/>
        </w:rPr>
        <w:t>分别不大于0.05,0.05,0.06,0.07和0.</w:t>
      </w:r>
      <w:r>
        <w:rPr>
          <w:spacing w:val="-44"/>
        </w:rPr>
        <w:t xml:space="preserve"> </w:t>
      </w:r>
      <w:r>
        <w:rPr>
          <w:spacing w:val="12"/>
        </w:rPr>
        <w:t>12的标准物质。</w:t>
      </w:r>
    </w:p>
    <w:p>
      <w:pPr>
        <w:pStyle w:val="BodyText"/>
        <w:spacing w:before="102" w:line="219" w:lineRule="auto"/>
        <w:ind w:left="30"/>
      </w:pPr>
      <w:hyperlink r:id="rId20" w:history="1">
        <w:r>
          <w:rPr>
            <w:spacing w:val="5"/>
          </w:rPr>
          <w:t>5.1.2.2</w:t>
        </w:r>
      </w:hyperlink>
      <w:r>
        <w:rPr>
          <w:spacing w:val="98"/>
        </w:rPr>
        <w:t xml:space="preserve"> </w:t>
      </w:r>
      <w:r>
        <w:rPr>
          <w:spacing w:val="5"/>
        </w:rPr>
        <w:t>直流标准数字电压表</w:t>
      </w:r>
    </w:p>
    <w:p>
      <w:pPr>
        <w:pStyle w:val="BodyText"/>
        <w:spacing w:before="102" w:line="463" w:lineRule="exact"/>
        <w:ind w:left="440"/>
      </w:pPr>
      <w:r>
        <w:rPr>
          <w:spacing w:val="-32"/>
          <w:w w:val="73"/>
          <w:position w:val="-2"/>
          <w:sz w:val="33"/>
          <w:szCs w:val="33"/>
        </w:rPr>
        <w:t>0.05级：</w:t>
      </w:r>
      <w:r>
        <w:rPr>
          <w:position w:val="-6"/>
          <w:sz w:val="33"/>
          <w:szCs w:val="33"/>
        </w:rPr>
        <w:drawing>
          <wp:inline distT="0" distB="0" distL="0" distR="0">
            <wp:extent cx="311119" cy="25404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1119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position w:val="4"/>
        </w:rPr>
        <w:t>字电压表，或同等准确度等级的其他电测设备。</w:t>
      </w:r>
    </w:p>
    <w:p>
      <w:pPr>
        <w:pStyle w:val="BodyText"/>
        <w:spacing w:before="85" w:line="219" w:lineRule="auto"/>
        <w:ind w:left="19"/>
      </w:pPr>
      <w:hyperlink r:id="rId22" w:history="1">
        <w:r>
          <w:rPr>
            <w:spacing w:val="12"/>
          </w:rPr>
          <w:t>5.1.2.3</w:t>
        </w:r>
      </w:hyperlink>
      <w:r>
        <w:rPr>
          <w:spacing w:val="108"/>
        </w:rPr>
        <w:t xml:space="preserve"> </w:t>
      </w:r>
      <w:r>
        <w:rPr>
          <w:spacing w:val="12"/>
        </w:rPr>
        <w:t>二等铂铑10-铂标准热电偶</w:t>
      </w:r>
    </w:p>
    <w:p>
      <w:pPr>
        <w:pStyle w:val="BodyText"/>
        <w:spacing w:before="73" w:line="221" w:lineRule="auto"/>
        <w:ind w:left="19"/>
      </w:pPr>
      <w:hyperlink r:id="rId23" w:history="1">
        <w:r>
          <w:rPr>
            <w:spacing w:val="2"/>
          </w:rPr>
          <w:t>5.1.2.4</w:t>
        </w:r>
      </w:hyperlink>
      <w:r>
        <w:rPr>
          <w:spacing w:val="2"/>
        </w:rPr>
        <w:t xml:space="preserve">  绝缘电阻表</w:t>
      </w:r>
    </w:p>
    <w:p>
      <w:pPr>
        <w:pStyle w:val="BodyText"/>
        <w:spacing w:before="84" w:line="212" w:lineRule="auto"/>
        <w:ind w:left="510"/>
      </w:pPr>
      <w:r>
        <w:rPr>
          <w:spacing w:val="9"/>
        </w:rPr>
        <w:t xml:space="preserve">直流电压500 </w:t>
      </w:r>
      <w:r>
        <w:rPr>
          <w:rFonts w:ascii="Times New Roman" w:eastAsia="Times New Roman" w:hAnsi="Times New Roman" w:cs="Times New Roman"/>
          <w:spacing w:val="9"/>
        </w:rPr>
        <w:t>V;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 </w:t>
      </w:r>
      <w:r>
        <w:rPr>
          <w:spacing w:val="9"/>
        </w:rPr>
        <w:t>准确度等级10级。</w:t>
      </w:r>
    </w:p>
    <w:p>
      <w:pPr>
        <w:pStyle w:val="BodyText"/>
        <w:spacing w:before="102" w:line="219" w:lineRule="auto"/>
        <w:ind w:left="19"/>
      </w:pPr>
      <w:hyperlink r:id="rId24" w:history="1">
        <w:r>
          <w:rPr>
            <w:spacing w:val="13"/>
          </w:rPr>
          <w:t>5.1.2.5</w:t>
        </w:r>
      </w:hyperlink>
      <w:r>
        <w:rPr>
          <w:spacing w:val="100"/>
        </w:rPr>
        <w:t xml:space="preserve"> </w:t>
      </w:r>
      <w:r>
        <w:rPr>
          <w:spacing w:val="13"/>
        </w:rPr>
        <w:t>交流耐压试验仪(或耐压绝缘试验装置)</w:t>
      </w:r>
    </w:p>
    <w:p>
      <w:pPr>
        <w:pStyle w:val="BodyText"/>
        <w:spacing w:before="57" w:line="258" w:lineRule="auto"/>
        <w:ind w:left="30" w:right="1604" w:firstLine="439"/>
      </w:pPr>
      <w:r>
        <w:rPr>
          <w:spacing w:val="17"/>
        </w:rPr>
        <w:t>功率不小于0.5</w:t>
      </w:r>
      <w:r>
        <w:rPr>
          <w:rFonts w:ascii="Times New Roman" w:eastAsia="Times New Roman" w:hAnsi="Times New Roman" w:cs="Times New Roman"/>
        </w:rPr>
        <w:t>kW</w:t>
      </w:r>
      <w:r>
        <w:rPr>
          <w:rFonts w:ascii="Times New Roman" w:eastAsia="Times New Roman" w:hAnsi="Times New Roman" w:cs="Times New Roman"/>
          <w:spacing w:val="17"/>
        </w:rPr>
        <w:t xml:space="preserve">,   </w:t>
      </w:r>
      <w:r>
        <w:rPr>
          <w:spacing w:val="17"/>
        </w:rPr>
        <w:t>电压不低于200</w:t>
      </w:r>
      <w:r>
        <w:rPr>
          <w:spacing w:val="16"/>
        </w:rPr>
        <w:t>0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16"/>
        </w:rPr>
        <w:t>V,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spacing w:val="16"/>
        </w:rPr>
        <w:t>电压误差不超过±5%。</w:t>
      </w:r>
      <w:r>
        <w:rPr>
          <w:spacing w:val="2"/>
        </w:rPr>
        <w:t xml:space="preserve"> </w:t>
      </w:r>
      <w:hyperlink r:id="rId25" w:history="1">
        <w:r>
          <w:t>5.1.2.6</w:t>
        </w:r>
      </w:hyperlink>
      <w:r>
        <w:rPr>
          <w:spacing w:val="98"/>
        </w:rPr>
        <w:t xml:space="preserve"> </w:t>
      </w:r>
      <w:r>
        <w:t>电压表</w:t>
      </w:r>
    </w:p>
    <w:p>
      <w:pPr>
        <w:pStyle w:val="BodyText"/>
        <w:spacing w:before="78" w:line="220" w:lineRule="auto"/>
        <w:ind w:left="19"/>
      </w:pPr>
      <w:hyperlink r:id="rId26" w:history="1">
        <w:r>
          <w:rPr>
            <w:spacing w:val="2"/>
          </w:rPr>
          <w:t>5.1.2.7</w:t>
        </w:r>
      </w:hyperlink>
      <w:r>
        <w:rPr>
          <w:spacing w:val="96"/>
        </w:rPr>
        <w:t xml:space="preserve"> </w:t>
      </w:r>
      <w:r>
        <w:rPr>
          <w:spacing w:val="2"/>
        </w:rPr>
        <w:t>分析天平</w:t>
      </w:r>
    </w:p>
    <w:p>
      <w:pPr>
        <w:pStyle w:val="BodyText"/>
        <w:spacing w:before="75" w:line="343" w:lineRule="exact"/>
        <w:ind w:left="460"/>
      </w:pPr>
      <w:r>
        <w:rPr>
          <w:spacing w:val="9"/>
          <w:position w:val="10"/>
        </w:rPr>
        <w:t xml:space="preserve">感量0.1 </w:t>
      </w:r>
      <w:r>
        <w:rPr>
          <w:rFonts w:ascii="Times New Roman" w:eastAsia="Times New Roman" w:hAnsi="Times New Roman" w:cs="Times New Roman"/>
          <w:position w:val="10"/>
        </w:rPr>
        <w:t>mg</w:t>
      </w:r>
      <w:r>
        <w:rPr>
          <w:rFonts w:ascii="Times New Roman" w:eastAsia="Times New Roman" w:hAnsi="Times New Roman" w:cs="Times New Roman"/>
          <w:spacing w:val="9"/>
          <w:position w:val="10"/>
        </w:rPr>
        <w:t xml:space="preserve">,  </w:t>
      </w:r>
      <w:r>
        <w:rPr>
          <w:spacing w:val="9"/>
          <w:position w:val="10"/>
        </w:rPr>
        <w:t>准确度等级</w:t>
      </w:r>
      <w:r>
        <w:rPr>
          <w:rFonts w:ascii="Times New Roman" w:eastAsia="Times New Roman" w:hAnsi="Times New Roman" w:cs="Times New Roman"/>
          <w:spacing w:val="9"/>
          <w:position w:val="10"/>
        </w:rPr>
        <w:t>I</w:t>
      </w:r>
      <w:r>
        <w:rPr>
          <w:rFonts w:ascii="Times New Roman" w:eastAsia="Times New Roman" w:hAnsi="Times New Roman" w:cs="Times New Roman"/>
          <w:spacing w:val="15"/>
          <w:position w:val="10"/>
        </w:rPr>
        <w:t xml:space="preserve"> </w:t>
      </w:r>
      <w:r>
        <w:rPr>
          <w:spacing w:val="9"/>
          <w:position w:val="10"/>
        </w:rPr>
        <w:t>级。</w:t>
      </w:r>
    </w:p>
    <w:p>
      <w:pPr>
        <w:pStyle w:val="BodyText"/>
        <w:spacing w:before="1" w:line="218" w:lineRule="auto"/>
        <w:ind w:left="19"/>
      </w:pPr>
      <w:hyperlink r:id="rId27" w:history="1">
        <w:r>
          <w:rPr>
            <w:spacing w:val="1"/>
          </w:rPr>
          <w:t>5.1.2.8</w:t>
        </w:r>
      </w:hyperlink>
      <w:r>
        <w:rPr>
          <w:spacing w:val="109"/>
        </w:rPr>
        <w:t xml:space="preserve"> </w:t>
      </w:r>
      <w:r>
        <w:rPr>
          <w:spacing w:val="1"/>
        </w:rPr>
        <w:t>鼓风干燥箱</w:t>
      </w:r>
    </w:p>
    <w:p>
      <w:pPr>
        <w:pStyle w:val="BodyText"/>
        <w:spacing w:before="72" w:line="219" w:lineRule="auto"/>
        <w:ind w:left="480"/>
      </w:pPr>
      <w:r>
        <w:rPr>
          <w:spacing w:val="11"/>
        </w:rPr>
        <w:t>可控温在105℃~110</w:t>
      </w:r>
      <w:r>
        <w:rPr>
          <w:spacing w:val="59"/>
        </w:rPr>
        <w:t xml:space="preserve"> </w:t>
      </w:r>
      <w:r>
        <w:rPr>
          <w:spacing w:val="11"/>
        </w:rPr>
        <w:t>℃范围内。</w:t>
      </w:r>
    </w:p>
    <w:p>
      <w:pPr>
        <w:pStyle w:val="BodyText"/>
        <w:spacing w:before="92" w:line="220" w:lineRule="auto"/>
        <w:ind w:left="19"/>
      </w:pPr>
      <w:hyperlink r:id="rId28" w:history="1">
        <w:r>
          <w:rPr>
            <w:spacing w:val="3"/>
          </w:rPr>
          <w:t>5.1.2.9</w:t>
        </w:r>
      </w:hyperlink>
      <w:r>
        <w:rPr>
          <w:spacing w:val="101"/>
        </w:rPr>
        <w:t xml:space="preserve"> </w:t>
      </w:r>
      <w:r>
        <w:rPr>
          <w:spacing w:val="3"/>
        </w:rPr>
        <w:t>玻璃称量瓶</w:t>
      </w:r>
    </w:p>
    <w:p>
      <w:pPr>
        <w:pStyle w:val="BodyText"/>
        <w:spacing w:before="65" w:line="333" w:lineRule="exact"/>
        <w:ind w:left="460"/>
      </w:pPr>
      <w:r>
        <w:rPr>
          <w:spacing w:val="8"/>
          <w:position w:val="9"/>
        </w:rPr>
        <w:t xml:space="preserve">直径40 </w:t>
      </w:r>
      <w:r>
        <w:rPr>
          <w:rFonts w:ascii="Times New Roman" w:eastAsia="Times New Roman" w:hAnsi="Times New Roman" w:cs="Times New Roman"/>
          <w:position w:val="9"/>
        </w:rPr>
        <w:t>mm</w:t>
      </w:r>
      <w:r>
        <w:rPr>
          <w:rFonts w:ascii="Times New Roman" w:eastAsia="Times New Roman" w:hAnsi="Times New Roman" w:cs="Times New Roman"/>
          <w:spacing w:val="8"/>
          <w:position w:val="9"/>
        </w:rPr>
        <w:t xml:space="preserve">,  </w:t>
      </w:r>
      <w:r>
        <w:rPr>
          <w:spacing w:val="8"/>
          <w:position w:val="9"/>
        </w:rPr>
        <w:t>高25</w:t>
      </w:r>
      <w:r>
        <w:rPr>
          <w:spacing w:val="31"/>
          <w:position w:val="9"/>
        </w:rPr>
        <w:t xml:space="preserve"> </w:t>
      </w:r>
      <w:r>
        <w:rPr>
          <w:rFonts w:ascii="Times New Roman" w:eastAsia="Times New Roman" w:hAnsi="Times New Roman" w:cs="Times New Roman"/>
          <w:position w:val="9"/>
        </w:rPr>
        <w:t>mm</w:t>
      </w:r>
      <w:r>
        <w:rPr>
          <w:rFonts w:ascii="Times New Roman" w:eastAsia="Times New Roman" w:hAnsi="Times New Roman" w:cs="Times New Roman"/>
          <w:spacing w:val="8"/>
          <w:position w:val="9"/>
        </w:rPr>
        <w:t xml:space="preserve">,  </w:t>
      </w:r>
      <w:r>
        <w:rPr>
          <w:spacing w:val="8"/>
          <w:position w:val="9"/>
        </w:rPr>
        <w:t>带有严密的磨口盖。</w:t>
      </w:r>
    </w:p>
    <w:p>
      <w:pPr>
        <w:pStyle w:val="BodyText"/>
        <w:spacing w:line="218" w:lineRule="auto"/>
        <w:ind w:left="19"/>
      </w:pPr>
      <w:hyperlink r:id="rId29" w:history="1">
        <w:r>
          <w:rPr>
            <w:spacing w:val="1"/>
          </w:rPr>
          <w:t>5.1.2.10</w:t>
        </w:r>
      </w:hyperlink>
      <w:r>
        <w:rPr>
          <w:spacing w:val="82"/>
        </w:rPr>
        <w:t xml:space="preserve"> </w:t>
      </w:r>
      <w:r>
        <w:rPr>
          <w:spacing w:val="1"/>
        </w:rPr>
        <w:t>干燥器</w:t>
      </w:r>
    </w:p>
    <w:p>
      <w:pPr>
        <w:pStyle w:val="BodyText"/>
        <w:spacing w:before="93" w:line="219" w:lineRule="auto"/>
        <w:ind w:left="480"/>
      </w:pPr>
      <w:r>
        <w:rPr>
          <w:spacing w:val="7"/>
        </w:rPr>
        <w:t>内装变色硅胶或粒状无水氯化钙。</w:t>
      </w:r>
    </w:p>
    <w:p>
      <w:pPr>
        <w:pStyle w:val="BodyText"/>
        <w:spacing w:before="71" w:line="220" w:lineRule="auto"/>
        <w:ind w:left="30"/>
      </w:pPr>
      <w:hyperlink r:id="rId30" w:history="1">
        <w:r>
          <w:rPr>
            <w:spacing w:val="-1"/>
          </w:rPr>
          <w:t>5.1.2.11</w:t>
        </w:r>
      </w:hyperlink>
      <w:r>
        <w:rPr>
          <w:spacing w:val="94"/>
        </w:rPr>
        <w:t xml:space="preserve"> </w:t>
      </w:r>
      <w:r>
        <w:rPr>
          <w:spacing w:val="-1"/>
        </w:rPr>
        <w:t>秒表</w:t>
      </w:r>
    </w:p>
    <w:p>
      <w:pPr>
        <w:pStyle w:val="BodyText"/>
        <w:spacing w:before="88" w:line="222" w:lineRule="auto"/>
        <w:ind w:left="460"/>
      </w:pPr>
      <w:r>
        <w:rPr>
          <w:rFonts w:ascii="FangSong" w:eastAsia="FangSong" w:hAnsi="FangSong" w:cs="FangSong"/>
          <w:spacing w:val="4"/>
        </w:rPr>
        <w:t>分辨力0.1</w:t>
      </w:r>
      <w:r>
        <w:rPr>
          <w:rFonts w:ascii="FangSong" w:eastAsia="FangSong" w:hAnsi="FangSong" w:cs="FangSong"/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s</w:t>
      </w:r>
      <w:r>
        <w:rPr>
          <w:spacing w:val="4"/>
        </w:rPr>
        <w:t>。</w:t>
      </w:r>
    </w:p>
    <w:p>
      <w:pPr>
        <w:pStyle w:val="BodyText"/>
        <w:spacing w:before="49" w:line="219" w:lineRule="auto"/>
        <w:ind w:left="19"/>
        <w:sectPr>
          <w:headerReference w:type="default" r:id="rId31"/>
          <w:footerReference w:type="default" r:id="rId32"/>
          <w:pgSz w:w="10040" w:h="14660"/>
          <w:pgMar w:top="1110" w:right="680" w:bottom="851" w:left="849" w:header="884" w:footer="722" w:gutter="0"/>
          <w:pgNumType w:start="7"/>
          <w:cols w:space="708"/>
        </w:sectPr>
      </w:pPr>
      <w:r>
        <w:rPr>
          <w:spacing w:val="3"/>
        </w:rPr>
        <w:t>5.2  检定项目</w:t>
      </w:r>
    </w:p>
    <w:p>
      <w:pPr>
        <w:pStyle w:val="BodyText"/>
        <w:spacing w:before="91" w:line="219" w:lineRule="auto"/>
        <w:ind w:left="460"/>
      </w:pPr>
      <w:r>
        <w:rPr>
          <w:spacing w:val="13"/>
        </w:rPr>
        <w:t>测硫仪首次检定、后续检定和使用中检定的项目如表3所示。</w:t>
      </w:r>
    </w:p>
    <w:p>
      <w:pPr>
        <w:pStyle w:val="BodyText"/>
        <w:spacing w:before="81" w:line="219" w:lineRule="auto"/>
        <w:ind w:left="19"/>
      </w:pPr>
      <w:r>
        <w:rPr>
          <w:spacing w:val="6"/>
        </w:rPr>
        <w:t>5.3</w:t>
      </w:r>
      <w:r>
        <w:rPr>
          <w:spacing w:val="84"/>
        </w:rPr>
        <w:t xml:space="preserve"> </w:t>
      </w:r>
      <w:r>
        <w:rPr>
          <w:spacing w:val="6"/>
        </w:rPr>
        <w:t>检定方法</w:t>
      </w:r>
    </w:p>
    <w:p>
      <w:pPr>
        <w:pStyle w:val="BodyText"/>
        <w:spacing w:before="91" w:line="219" w:lineRule="auto"/>
        <w:ind w:left="10"/>
      </w:pPr>
      <w:r>
        <w:rPr>
          <w:spacing w:val="4"/>
        </w:rPr>
        <w:t>5.3.1</w:t>
      </w:r>
      <w:r>
        <w:rPr>
          <w:spacing w:val="108"/>
        </w:rPr>
        <w:t xml:space="preserve"> </w:t>
      </w:r>
      <w:r>
        <w:rPr>
          <w:spacing w:val="4"/>
        </w:rPr>
        <w:t>检定前准备</w:t>
      </w:r>
    </w:p>
    <w:p>
      <w:pPr>
        <w:pStyle w:val="BodyText"/>
        <w:spacing w:before="79" w:line="219" w:lineRule="auto"/>
        <w:ind w:left="460"/>
      </w:pPr>
      <w:r>
        <w:rPr>
          <w:spacing w:val="12"/>
        </w:rPr>
        <w:t>1)按说明书要求连接和预热仪器；</w:t>
      </w:r>
    </w:p>
    <w:p>
      <w:pPr>
        <w:pStyle w:val="BodyText"/>
        <w:spacing w:before="90" w:line="247" w:lineRule="auto"/>
        <w:ind w:left="10" w:right="51" w:firstLine="439"/>
      </w:pPr>
      <w:r>
        <w:rPr>
          <w:spacing w:val="27"/>
        </w:rPr>
        <w:t>2)按说明书要求进行仪器的条件化(烧废样),并选用0</w:t>
      </w:r>
      <w:r>
        <w:rPr>
          <w:spacing w:val="-60"/>
        </w:rPr>
        <w:t xml:space="preserve"> </w:t>
      </w:r>
      <w:r>
        <w:rPr>
          <w:spacing w:val="27"/>
        </w:rPr>
        <w:t>.8%和3</w:t>
      </w:r>
      <w:r>
        <w:rPr>
          <w:spacing w:val="-59"/>
        </w:rPr>
        <w:t xml:space="preserve"> </w:t>
      </w:r>
      <w:r>
        <w:rPr>
          <w:spacing w:val="27"/>
        </w:rPr>
        <w:t>.</w:t>
      </w:r>
      <w:r>
        <w:rPr>
          <w:spacing w:val="-63"/>
        </w:rPr>
        <w:t xml:space="preserve"> </w:t>
      </w:r>
      <w:r>
        <w:rPr>
          <w:spacing w:val="27"/>
        </w:rPr>
        <w:t>2%左</w:t>
      </w:r>
      <w:r>
        <w:rPr>
          <w:spacing w:val="26"/>
        </w:rPr>
        <w:t>右的煤标</w:t>
      </w:r>
      <w:r>
        <w:t xml:space="preserve"> </w:t>
      </w:r>
      <w:r>
        <w:rPr>
          <w:spacing w:val="4"/>
        </w:rPr>
        <w:t>准物质校准仪器。</w:t>
      </w:r>
    </w:p>
    <w:p>
      <w:pPr>
        <w:pStyle w:val="BodyText"/>
        <w:spacing w:before="90" w:line="219" w:lineRule="auto"/>
        <w:ind w:left="10"/>
      </w:pPr>
      <w:r>
        <w:rPr>
          <w:spacing w:val="6"/>
        </w:rPr>
        <w:t>5.3.2</w:t>
      </w:r>
      <w:r>
        <w:rPr>
          <w:spacing w:val="77"/>
        </w:rPr>
        <w:t xml:space="preserve"> </w:t>
      </w:r>
      <w:r>
        <w:rPr>
          <w:spacing w:val="6"/>
        </w:rPr>
        <w:t>外观和通电检查</w:t>
      </w:r>
    </w:p>
    <w:p>
      <w:pPr>
        <w:spacing w:line="219" w:lineRule="auto"/>
        <w:sectPr>
          <w:headerReference w:type="default" r:id="rId33"/>
          <w:footerReference w:type="default" r:id="rId34"/>
          <w:type w:val="nextPage"/>
          <w:pgSz w:w="10040" w:h="14660"/>
          <w:pgMar w:top="1110" w:right="680" w:bottom="851" w:left="849" w:header="884" w:footer="722" w:gutter="0"/>
          <w:pgNumType w:start="8"/>
          <w:cols w:space="708"/>
          <w:titlePg w:val="0"/>
        </w:sectPr>
      </w:pPr>
    </w:p>
    <w:p>
      <w:pPr>
        <w:spacing w:before="193" w:line="222" w:lineRule="auto"/>
        <w:ind w:left="29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8"/>
          <w:sz w:val="18"/>
          <w:szCs w:val="18"/>
        </w:rPr>
        <w:t>表</w:t>
      </w:r>
      <w:r>
        <w:rPr>
          <w:rFonts w:ascii="SimHei" w:eastAsia="SimHei" w:hAnsi="SimHei" w:cs="SimHei"/>
          <w:spacing w:val="-22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18"/>
          <w:szCs w:val="18"/>
        </w:rPr>
        <w:t>3</w:t>
      </w:r>
      <w:r>
        <w:rPr>
          <w:rFonts w:ascii="SimHei" w:eastAsia="SimHei" w:hAnsi="SimHei" w:cs="SimHei"/>
          <w:spacing w:val="3"/>
          <w:sz w:val="18"/>
          <w:szCs w:val="1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18"/>
          <w:szCs w:val="18"/>
        </w:rPr>
        <w:t>煤中全硫测定仪检定项目</w:t>
      </w:r>
    </w:p>
    <w:p>
      <w:pPr>
        <w:spacing w:line="104" w:lineRule="exact"/>
      </w:pPr>
    </w:p>
    <w:tbl>
      <w:tblPr>
        <w:tblStyle w:val="TableNormal3"/>
        <w:tblW w:w="834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74"/>
        <w:gridCol w:w="4255"/>
        <w:gridCol w:w="1178"/>
        <w:gridCol w:w="1159"/>
        <w:gridCol w:w="1183"/>
      </w:tblGrid>
      <w:tr>
        <w:tblPrEx>
          <w:tblW w:w="834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574" w:type="dxa"/>
            <w:vAlign w:val="top"/>
          </w:tcPr>
          <w:p>
            <w:pPr>
              <w:pStyle w:val="TableText"/>
              <w:spacing w:before="93" w:line="221" w:lineRule="auto"/>
              <w:ind w:left="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序号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2" w:line="219" w:lineRule="auto"/>
              <w:ind w:left="1750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检定项目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92" w:line="219" w:lineRule="auto"/>
              <w:ind w:left="20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首次检定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92" w:line="219" w:lineRule="auto"/>
              <w:ind w:left="19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后续检定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92" w:line="219" w:lineRule="auto"/>
              <w:ind w:left="10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使用中检验</w:t>
            </w:r>
          </w:p>
        </w:tc>
      </w:tr>
      <w:tr>
        <w:tblPrEx>
          <w:tblW w:w="8349" w:type="dxa"/>
          <w:tblInd w:w="90" w:type="dxa"/>
          <w:tblLayout w:type="fixed"/>
        </w:tblPrEx>
        <w:trPr>
          <w:trHeight w:val="379"/>
        </w:trPr>
        <w:tc>
          <w:tcPr>
            <w:tcW w:w="574" w:type="dxa"/>
            <w:vAlign w:val="top"/>
          </w:tcPr>
          <w:p>
            <w:pPr>
              <w:pStyle w:val="TableText"/>
              <w:spacing w:before="146" w:line="184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8" w:line="219" w:lineRule="auto"/>
              <w:ind w:left="190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外观与通电检查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67" w:line="221" w:lineRule="auto"/>
              <w:ind w:left="51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十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66" w:line="221" w:lineRule="auto"/>
              <w:ind w:left="517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十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66" w:line="221" w:lineRule="auto"/>
              <w:ind w:left="528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十</w:t>
            </w:r>
          </w:p>
        </w:tc>
      </w:tr>
      <w:tr>
        <w:tblPrEx>
          <w:tblW w:w="8349" w:type="dxa"/>
          <w:tblInd w:w="90" w:type="dxa"/>
          <w:tblLayout w:type="fixed"/>
        </w:tblPrEx>
        <w:trPr>
          <w:trHeight w:val="369"/>
        </w:trPr>
        <w:tc>
          <w:tcPr>
            <w:tcW w:w="574" w:type="dxa"/>
            <w:vAlign w:val="top"/>
          </w:tcPr>
          <w:p>
            <w:pPr>
              <w:pStyle w:val="TableText"/>
              <w:spacing w:before="138" w:line="183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0" w:line="220" w:lineRule="auto"/>
              <w:ind w:left="19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控温性能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18" w:line="221" w:lineRule="auto"/>
              <w:ind w:left="51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十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27" w:line="221" w:lineRule="auto"/>
              <w:ind w:left="517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十</w:t>
            </w:r>
          </w:p>
        </w:tc>
        <w:tc>
          <w:tcPr>
            <w:tcW w:w="1183" w:type="dxa"/>
            <w:vAlign w:val="top"/>
          </w:tcPr>
          <w:p>
            <w:pPr>
              <w:tabs>
                <w:tab w:val="left" w:pos="615"/>
              </w:tabs>
              <w:spacing w:line="230" w:lineRule="exact"/>
              <w:ind w:left="55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8349" w:type="dxa"/>
          <w:tblInd w:w="90" w:type="dxa"/>
          <w:tblLayout w:type="fixed"/>
        </w:tblPrEx>
        <w:trPr>
          <w:trHeight w:val="369"/>
        </w:trPr>
        <w:tc>
          <w:tcPr>
            <w:tcW w:w="574" w:type="dxa"/>
            <w:vAlign w:val="top"/>
          </w:tcPr>
          <w:p>
            <w:pPr>
              <w:pStyle w:val="TableText"/>
              <w:spacing w:before="139" w:line="183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1" w:line="219" w:lineRule="auto"/>
              <w:ind w:left="19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恒温带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61" w:line="184" w:lineRule="exact"/>
              <w:ind w:left="54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04" w:line="46" w:lineRule="exact"/>
              <w:ind w:left="54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204" w:line="46" w:lineRule="exact"/>
              <w:ind w:left="558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8349" w:type="dxa"/>
          <w:tblInd w:w="90" w:type="dxa"/>
          <w:tblLayout w:type="fixed"/>
        </w:tblPrEx>
        <w:trPr>
          <w:trHeight w:val="369"/>
        </w:trPr>
        <w:tc>
          <w:tcPr>
            <w:tcW w:w="574" w:type="dxa"/>
            <w:vAlign w:val="top"/>
          </w:tcPr>
          <w:p>
            <w:pPr>
              <w:pStyle w:val="TableText"/>
              <w:spacing w:before="140" w:line="183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2" w:line="220" w:lineRule="auto"/>
              <w:ind w:left="19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重复性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2" w:line="184" w:lineRule="exact"/>
              <w:ind w:left="54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29" w:line="221" w:lineRule="auto"/>
              <w:ind w:left="517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十</w:t>
            </w:r>
          </w:p>
        </w:tc>
        <w:tc>
          <w:tcPr>
            <w:tcW w:w="1183" w:type="dxa"/>
            <w:vAlign w:val="top"/>
          </w:tcPr>
          <w:p>
            <w:pPr>
              <w:tabs>
                <w:tab w:val="left" w:pos="615"/>
              </w:tabs>
              <w:spacing w:line="232" w:lineRule="exact"/>
              <w:ind w:left="55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8349" w:type="dxa"/>
          <w:tblInd w:w="90" w:type="dxa"/>
          <w:tblLayout w:type="fixed"/>
        </w:tblPrEx>
        <w:trPr>
          <w:trHeight w:val="369"/>
        </w:trPr>
        <w:tc>
          <w:tcPr>
            <w:tcW w:w="574" w:type="dxa"/>
            <w:vAlign w:val="top"/>
          </w:tcPr>
          <w:p>
            <w:pPr>
              <w:pStyle w:val="TableText"/>
              <w:spacing w:before="142" w:line="182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3" w:line="219" w:lineRule="auto"/>
              <w:ind w:left="19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示值误差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3" w:line="184" w:lineRule="exact"/>
              <w:ind w:left="54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33" w:line="184" w:lineRule="exact"/>
              <w:ind w:left="537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+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40" w:line="156" w:lineRule="exact"/>
              <w:ind w:left="558"/>
              <w:rPr>
                <w:sz w:val="11"/>
                <w:szCs w:val="11"/>
              </w:rPr>
            </w:pPr>
            <w:r>
              <w:rPr>
                <w:position w:val="1"/>
                <w:sz w:val="11"/>
                <w:szCs w:val="11"/>
              </w:rPr>
              <w:t>+</w:t>
            </w:r>
          </w:p>
        </w:tc>
      </w:tr>
      <w:tr>
        <w:tblPrEx>
          <w:tblW w:w="8349" w:type="dxa"/>
          <w:tblInd w:w="90" w:type="dxa"/>
          <w:tblLayout w:type="fixed"/>
        </w:tblPrEx>
        <w:trPr>
          <w:trHeight w:val="369"/>
        </w:trPr>
        <w:tc>
          <w:tcPr>
            <w:tcW w:w="574" w:type="dxa"/>
            <w:vAlign w:val="top"/>
          </w:tcPr>
          <w:p>
            <w:pPr>
              <w:pStyle w:val="TableText"/>
              <w:spacing w:before="142" w:line="183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4255" w:type="dxa"/>
            <w:vAlign w:val="top"/>
          </w:tcPr>
          <w:p>
            <w:pPr>
              <w:pStyle w:val="TableText"/>
              <w:spacing w:before="94" w:line="220" w:lineRule="auto"/>
              <w:ind w:left="190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绝缘电阻和绝缘强度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4" w:line="184" w:lineRule="exact"/>
              <w:ind w:left="54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49" w:type="dxa"/>
          <w:tblInd w:w="90" w:type="dxa"/>
          <w:tblLayout w:type="fixed"/>
        </w:tblPrEx>
        <w:trPr>
          <w:trHeight w:val="752"/>
        </w:trPr>
        <w:tc>
          <w:tcPr>
            <w:tcW w:w="8349" w:type="dxa"/>
            <w:gridSpan w:val="5"/>
            <w:vAlign w:val="top"/>
          </w:tcPr>
          <w:p>
            <w:pPr>
              <w:pStyle w:val="TableText"/>
              <w:spacing w:before="144" w:line="219" w:lineRule="auto"/>
              <w:ind w:left="48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注：1. “+”为需要检定的项目，“-”</w:t>
            </w:r>
            <w:r>
              <w:rPr>
                <w:spacing w:val="-4"/>
                <w:sz w:val="19"/>
                <w:szCs w:val="19"/>
              </w:rPr>
              <w:t>为不需要检定的项目。</w:t>
            </w:r>
          </w:p>
          <w:p>
            <w:pPr>
              <w:pStyle w:val="TableText"/>
              <w:spacing w:before="104" w:line="219" w:lineRule="auto"/>
              <w:ind w:left="48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2.经安装和维修后对仪器计量性能有重大影响时，其“后续检定”应按“首</w:t>
            </w:r>
            <w:r>
              <w:rPr>
                <w:spacing w:val="-1"/>
                <w:sz w:val="19"/>
                <w:szCs w:val="19"/>
              </w:rPr>
              <w:t>次检定”处理。</w:t>
            </w:r>
          </w:p>
        </w:tc>
      </w:tr>
    </w:tbl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460"/>
        <w:rPr>
          <w:sz w:val="22"/>
          <w:szCs w:val="22"/>
        </w:rPr>
      </w:pPr>
      <w:r>
        <w:rPr>
          <w:spacing w:val="1"/>
          <w:sz w:val="22"/>
          <w:szCs w:val="22"/>
        </w:rPr>
        <w:t>凭目察和手感，按4.1.1～4.1.4要求进行检查。</w:t>
      </w:r>
    </w:p>
    <w:p>
      <w:pPr>
        <w:pStyle w:val="BodyText"/>
        <w:spacing w:before="69" w:line="219" w:lineRule="auto"/>
        <w:rPr>
          <w:sz w:val="22"/>
          <w:szCs w:val="22"/>
        </w:rPr>
      </w:pPr>
      <w:r>
        <w:rPr>
          <w:sz w:val="22"/>
          <w:szCs w:val="22"/>
        </w:rPr>
        <w:t>5.3.3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>控温性能检定</w:t>
      </w:r>
    </w:p>
    <w:p>
      <w:pPr>
        <w:pStyle w:val="BodyText"/>
        <w:spacing w:before="46" w:line="270" w:lineRule="auto"/>
        <w:ind w:right="29" w:firstLine="460"/>
        <w:jc w:val="both"/>
        <w:rPr>
          <w:sz w:val="22"/>
          <w:szCs w:val="22"/>
        </w:rPr>
      </w:pPr>
      <w:r>
        <w:rPr>
          <w:spacing w:val="8"/>
          <w:sz w:val="22"/>
          <w:szCs w:val="22"/>
        </w:rPr>
        <w:t>设定炉温为规定的工作温度(4.2.1),当炉温显示值达到设定值并稳定后，将与直</w:t>
      </w:r>
      <w:r>
        <w:rPr>
          <w:spacing w:val="7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流标准数字电压表(</w:t>
      </w:r>
      <w:hyperlink r:id="rId20" w:history="1">
        <w:r>
          <w:rPr>
            <w:spacing w:val="12"/>
            <w:sz w:val="22"/>
            <w:szCs w:val="22"/>
          </w:rPr>
          <w:t>5.1.2.2</w:t>
        </w:r>
      </w:hyperlink>
      <w:r>
        <w:rPr>
          <w:spacing w:val="12"/>
          <w:sz w:val="22"/>
          <w:szCs w:val="22"/>
        </w:rPr>
        <w:t>)联接的标准热电偶(</w:t>
      </w:r>
      <w:hyperlink r:id="rId22" w:history="1">
        <w:r>
          <w:rPr>
            <w:spacing w:val="12"/>
            <w:sz w:val="22"/>
            <w:szCs w:val="22"/>
          </w:rPr>
          <w:t>5.1.</w:t>
        </w:r>
        <w:r>
          <w:rPr>
            <w:spacing w:val="11"/>
            <w:sz w:val="22"/>
            <w:szCs w:val="22"/>
          </w:rPr>
          <w:t>2.3</w:t>
        </w:r>
      </w:hyperlink>
      <w:r>
        <w:rPr>
          <w:spacing w:val="11"/>
          <w:sz w:val="22"/>
          <w:szCs w:val="22"/>
        </w:rPr>
        <w:t>)从仪器的进样端插入到炉</w:t>
      </w:r>
      <w:r>
        <w:rPr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膛中，并使其热端与仪器控温热电偶的热端外在同一截面处，使其冷端置于冰水混合物</w:t>
      </w:r>
      <w:r>
        <w:rPr>
          <w:spacing w:val="4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 xml:space="preserve">中或室温下。至少稳定30 </w:t>
      </w:r>
      <w:r>
        <w:rPr>
          <w:sz w:val="22"/>
          <w:szCs w:val="22"/>
        </w:rPr>
        <w:t>min</w:t>
      </w:r>
      <w:r>
        <w:rPr>
          <w:spacing w:val="6"/>
          <w:sz w:val="22"/>
          <w:szCs w:val="22"/>
        </w:rPr>
        <w:t>后，每隔2</w:t>
      </w:r>
      <w:r>
        <w:rPr>
          <w:sz w:val="22"/>
          <w:szCs w:val="22"/>
        </w:rPr>
        <w:t>min</w:t>
      </w:r>
      <w:r>
        <w:rPr>
          <w:spacing w:val="-40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记录一次标准数字电压表上的电势值和测</w:t>
      </w:r>
      <w:r>
        <w:rPr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硫仪显示温度，连续记录10次。查表，将</w:t>
      </w:r>
      <w:r>
        <w:rPr>
          <w:spacing w:val="8"/>
          <w:sz w:val="22"/>
          <w:szCs w:val="22"/>
        </w:rPr>
        <w:t>每次记录的电势值转换为温度值(℃)。以10</w:t>
      </w:r>
      <w:r>
        <w:rPr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次测量温度值的平均值为实际炉温，该温度与规定温度之差为控温误差</w:t>
      </w:r>
      <w:r>
        <w:rPr>
          <w:spacing w:val="7"/>
          <w:sz w:val="22"/>
          <w:szCs w:val="22"/>
        </w:rPr>
        <w:t>；以10次测量</w:t>
      </w:r>
      <w:r>
        <w:rPr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温度值的极差为控温精度(温度波动范围);以10</w:t>
      </w:r>
      <w:r>
        <w:rPr>
          <w:spacing w:val="10"/>
          <w:sz w:val="22"/>
          <w:szCs w:val="22"/>
        </w:rPr>
        <w:t>次测硫仪显示温度的平均值为温度显</w:t>
      </w:r>
      <w:r>
        <w:rPr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示值。</w:t>
      </w:r>
    </w:p>
    <w:p>
      <w:pPr>
        <w:pStyle w:val="BodyText"/>
        <w:spacing w:before="136" w:line="277" w:lineRule="auto"/>
        <w:ind w:right="33" w:firstLine="419"/>
        <w:rPr>
          <w:sz w:val="18"/>
          <w:szCs w:val="18"/>
        </w:rPr>
      </w:pPr>
      <w:r>
        <w:rPr>
          <w:spacing w:val="17"/>
          <w:sz w:val="18"/>
          <w:szCs w:val="18"/>
        </w:rPr>
        <w:t>注：当冷端置于室温下时，应进行冷端校正</w:t>
      </w:r>
      <w:r>
        <w:rPr>
          <w:spacing w:val="16"/>
          <w:sz w:val="18"/>
          <w:szCs w:val="18"/>
        </w:rPr>
        <w:t>。方法是：在最接近冷端处挂一支温度计，在每次</w:t>
      </w:r>
      <w:r>
        <w:rPr>
          <w:sz w:val="18"/>
          <w:szCs w:val="18"/>
        </w:rPr>
        <w:t xml:space="preserve"> </w:t>
      </w:r>
      <w:r>
        <w:rPr>
          <w:rFonts w:ascii="STXinwei" w:eastAsia="STXinwei" w:hAnsi="STXinwei" w:cs="STXinwei"/>
          <w:spacing w:val="16"/>
          <w:sz w:val="18"/>
          <w:szCs w:val="18"/>
        </w:rPr>
        <w:t xml:space="preserve">读取热端电势值的同时读取冷端温度，查分度表将冷端温度转化为电势值；根据冷端电势值与热端 </w:t>
      </w:r>
      <w:r>
        <w:rPr>
          <w:spacing w:val="10"/>
          <w:sz w:val="18"/>
          <w:szCs w:val="18"/>
        </w:rPr>
        <w:t>电势值之和查分度表求得冷端校正后的温度值。</w:t>
      </w:r>
    </w:p>
    <w:p>
      <w:pPr>
        <w:pStyle w:val="BodyText"/>
        <w:spacing w:before="87" w:line="257" w:lineRule="auto"/>
        <w:ind w:right="70" w:firstLine="460"/>
        <w:rPr>
          <w:sz w:val="22"/>
          <w:szCs w:val="22"/>
        </w:rPr>
      </w:pPr>
      <w:r>
        <w:rPr>
          <w:spacing w:val="7"/>
          <w:sz w:val="22"/>
          <w:szCs w:val="22"/>
        </w:rPr>
        <w:t>当控温误差超过±10</w:t>
      </w:r>
      <w:r>
        <w:rPr>
          <w:spacing w:val="41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℃时，调整实际炉温到规</w:t>
      </w:r>
      <w:r>
        <w:rPr>
          <w:spacing w:val="6"/>
          <w:sz w:val="22"/>
          <w:szCs w:val="22"/>
        </w:rPr>
        <w:t>定工作温度(按仪器说明书方法或</w:t>
      </w:r>
      <w:r>
        <w:rPr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通过改变炉温显示值)后按上述步骤再检定一次。</w:t>
      </w:r>
    </w:p>
    <w:p>
      <w:pPr>
        <w:pStyle w:val="BodyText"/>
        <w:spacing w:before="44" w:line="254" w:lineRule="auto"/>
        <w:ind w:right="47" w:firstLine="460"/>
        <w:rPr>
          <w:sz w:val="22"/>
          <w:szCs w:val="22"/>
        </w:rPr>
      </w:pPr>
      <w:r>
        <w:rPr>
          <w:spacing w:val="11"/>
          <w:sz w:val="22"/>
          <w:szCs w:val="22"/>
        </w:rPr>
        <w:t>计算温度显示值与实际炉温之差(温度显示误差),给出与实际炉温相对应的温度</w:t>
      </w:r>
      <w:r>
        <w:rPr>
          <w:spacing w:val="1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显示值和温度显示校正值。</w:t>
      </w:r>
    </w:p>
    <w:p>
      <w:pPr>
        <w:pStyle w:val="BodyText"/>
        <w:spacing w:before="79" w:line="219" w:lineRule="auto"/>
        <w:rPr>
          <w:sz w:val="22"/>
          <w:szCs w:val="22"/>
        </w:rPr>
      </w:pPr>
      <w:r>
        <w:rPr>
          <w:spacing w:val="-2"/>
          <w:sz w:val="22"/>
          <w:szCs w:val="22"/>
        </w:rPr>
        <w:t>5.3.4</w:t>
      </w:r>
      <w:r>
        <w:rPr>
          <w:spacing w:val="8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恒温带检定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https://d.book118.com/177113125050006045</w:t>
        </w:r>
      </w:hyperlink>
    </w:p>
    <w:p>
      <w:pPr>
        <w:pStyle w:val="BodyText"/>
        <w:spacing w:before="79" w:line="219" w:lineRule="auto"/>
        <w:rPr>
          <w:sz w:val="22"/>
          <w:szCs w:val="22"/>
        </w:rPr>
      </w:pPr>
    </w:p>
    <w:sectPr>
      <w:headerReference w:type="default" r:id="rId36"/>
      <w:footerReference w:type="default" r:id="rId37"/>
      <w:pgSz w:w="10040" w:h="14660"/>
      <w:pgMar w:top="1189" w:right="780" w:bottom="770" w:left="749" w:header="921" w:footer="642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8169"/>
      <w:rPr>
        <w:sz w:val="10"/>
        <w:szCs w:val="10"/>
      </w:rPr>
    </w:pPr>
    <w:r>
      <w:rPr>
        <w:sz w:val="10"/>
        <w:szCs w:val="1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8169"/>
      <w:rPr>
        <w:sz w:val="10"/>
        <w:szCs w:val="10"/>
      </w:rPr>
    </w:pPr>
    <w:r>
      <w:rPr>
        <w:sz w:val="10"/>
        <w:szCs w:val="1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220"/>
      <w:rPr>
        <w:sz w:val="15"/>
        <w:szCs w:val="15"/>
      </w:rPr>
    </w:pPr>
    <w:r>
      <w:rPr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220"/>
      <w:rPr>
        <w:sz w:val="15"/>
        <w:szCs w:val="15"/>
      </w:rPr>
    </w:pPr>
    <w:r>
      <w:rPr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110"/>
      <w:rPr>
        <w:sz w:val="14"/>
        <w:szCs w:val="14"/>
      </w:rPr>
    </w:pPr>
    <w:r>
      <w:rPr>
        <w:sz w:val="14"/>
        <w:szCs w:val="1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110"/>
      <w:rPr>
        <w:sz w:val="14"/>
        <w:szCs w:val="14"/>
      </w:rPr>
    </w:pPr>
    <w:r>
      <w:rPr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210"/>
      <w:rPr>
        <w:sz w:val="13"/>
        <w:szCs w:val="13"/>
      </w:rPr>
    </w:pPr>
    <w:r>
      <w:rPr>
        <w:sz w:val="13"/>
        <w:szCs w:val="13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210"/>
      <w:rPr>
        <w:sz w:val="13"/>
        <w:szCs w:val="13"/>
      </w:rPr>
    </w:pPr>
    <w:r>
      <w:rPr>
        <w:sz w:val="13"/>
        <w:szCs w:val="13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8110"/>
      <w:rPr>
        <w:sz w:val="13"/>
        <w:szCs w:val="13"/>
      </w:rPr>
    </w:pPr>
    <w:r>
      <w:rPr>
        <w:sz w:val="13"/>
        <w:szCs w:val="13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495305</wp:posOffset>
          </wp:positionH>
          <wp:positionV relativeFrom="page">
            <wp:posOffset>774702</wp:posOffset>
          </wp:positionV>
          <wp:extent cx="5410164" cy="1266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10164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12"/>
      </w:rPr>
      <w:t xml:space="preserve"> </w:t>
    </w:r>
    <w:r>
      <w:rPr>
        <w:b/>
        <w:bCs/>
        <w:spacing w:val="-16"/>
      </w:rPr>
      <w:t>1006—2005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495305</wp:posOffset>
          </wp:positionH>
          <wp:positionV relativeFrom="page">
            <wp:posOffset>774702</wp:posOffset>
          </wp:positionV>
          <wp:extent cx="5410164" cy="12660"/>
          <wp:effectExtent l="0" t="0" r="0" b="0"/>
          <wp:wrapNone/>
          <wp:docPr id="163134838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34838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10164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12"/>
      </w:rPr>
      <w:t xml:space="preserve"> </w:t>
    </w:r>
    <w:r>
      <w:rPr>
        <w:b/>
        <w:bCs/>
        <w:spacing w:val="-16"/>
      </w:rPr>
      <w:t>1006—2005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592"/>
      <w:rPr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520678</wp:posOffset>
          </wp:positionH>
          <wp:positionV relativeFrom="page">
            <wp:posOffset>730205</wp:posOffset>
          </wp:positionV>
          <wp:extent cx="5410228" cy="6423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10228" cy="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8"/>
        <w:szCs w:val="18"/>
      </w:rPr>
      <w:t>JJG</w:t>
    </w:r>
    <w:r>
      <w:rPr>
        <w:spacing w:val="92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1006—2005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592"/>
      <w:rPr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520678</wp:posOffset>
          </wp:positionH>
          <wp:positionV relativeFrom="page">
            <wp:posOffset>730205</wp:posOffset>
          </wp:positionV>
          <wp:extent cx="5410228" cy="6423"/>
          <wp:effectExtent l="0" t="0" r="0" b="0"/>
          <wp:wrapNone/>
          <wp:docPr id="113227106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227106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10228" cy="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8"/>
        <w:szCs w:val="18"/>
      </w:rPr>
      <w:t>JJG</w:t>
    </w:r>
    <w:r>
      <w:rPr>
        <w:spacing w:val="92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1006—2005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717534</wp:posOffset>
          </wp:positionV>
          <wp:extent cx="5397540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12"/>
      </w:rPr>
      <w:t xml:space="preserve"> </w:t>
    </w:r>
    <w:r>
      <w:rPr>
        <w:b/>
        <w:bCs/>
        <w:spacing w:val="-16"/>
      </w:rPr>
      <w:t>1006—2005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717534</wp:posOffset>
          </wp:positionV>
          <wp:extent cx="5397540" cy="6350"/>
          <wp:effectExtent l="0" t="0" r="0" b="0"/>
          <wp:wrapNone/>
          <wp:docPr id="24690445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90445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12"/>
      </w:rPr>
      <w:t xml:space="preserve"> </w:t>
    </w:r>
    <w:r>
      <w:rPr>
        <w:b/>
        <w:bCs/>
        <w:spacing w:val="-16"/>
      </w:rPr>
      <w:t>1006—2005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0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539741</wp:posOffset>
          </wp:positionH>
          <wp:positionV relativeFrom="page">
            <wp:posOffset>698462</wp:posOffset>
          </wp:positionV>
          <wp:extent cx="5403852" cy="6422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64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JJG</w:t>
    </w:r>
    <w:r>
      <w:rPr>
        <w:rFonts w:ascii="Times New Roman" w:eastAsia="Times New Roman" w:hAnsi="Times New Roman" w:cs="Times New Roman"/>
        <w:spacing w:val="3"/>
        <w:sz w:val="15"/>
        <w:szCs w:val="15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>1006—2005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0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539741</wp:posOffset>
          </wp:positionH>
          <wp:positionV relativeFrom="page">
            <wp:posOffset>698462</wp:posOffset>
          </wp:positionV>
          <wp:extent cx="5403852" cy="6422"/>
          <wp:effectExtent l="0" t="0" r="0" b="0"/>
          <wp:wrapNone/>
          <wp:docPr id="1020897903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0897903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64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5"/>
        <w:szCs w:val="15"/>
      </w:rPr>
      <w:t>JJG</w:t>
    </w:r>
    <w:r>
      <w:rPr>
        <w:rFonts w:ascii="Times New Roman" w:eastAsia="Times New Roman" w:hAnsi="Times New Roman" w:cs="Times New Roman"/>
        <w:spacing w:val="3"/>
        <w:sz w:val="15"/>
        <w:szCs w:val="15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>1006—2005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  <w:rPr>
        <w:sz w:val="18"/>
        <w:szCs w:val="18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476242</wp:posOffset>
          </wp:positionH>
          <wp:positionV relativeFrom="page">
            <wp:posOffset>742958</wp:posOffset>
          </wp:positionV>
          <wp:extent cx="5403852" cy="1266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18"/>
        <w:szCs w:val="18"/>
      </w:rPr>
      <w:t>JJG</w:t>
    </w:r>
    <w:r>
      <w:rPr>
        <w:spacing w:val="82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1006—2005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yperlink" Target="5.1.2.1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5.1.2.2" TargetMode="External" /><Relationship Id="rId21" Type="http://schemas.openxmlformats.org/officeDocument/2006/relationships/image" Target="media/image7.png" /><Relationship Id="rId22" Type="http://schemas.openxmlformats.org/officeDocument/2006/relationships/hyperlink" Target="5.1.2.3" TargetMode="External" /><Relationship Id="rId23" Type="http://schemas.openxmlformats.org/officeDocument/2006/relationships/hyperlink" Target="5.1.2.4" TargetMode="External" /><Relationship Id="rId24" Type="http://schemas.openxmlformats.org/officeDocument/2006/relationships/hyperlink" Target="5.1.2.5" TargetMode="External" /><Relationship Id="rId25" Type="http://schemas.openxmlformats.org/officeDocument/2006/relationships/hyperlink" Target="5.1.2.6" TargetMode="External" /><Relationship Id="rId26" Type="http://schemas.openxmlformats.org/officeDocument/2006/relationships/hyperlink" Target="5.1.2.7" TargetMode="External" /><Relationship Id="rId27" Type="http://schemas.openxmlformats.org/officeDocument/2006/relationships/hyperlink" Target="5.1.2.8" TargetMode="External" /><Relationship Id="rId28" Type="http://schemas.openxmlformats.org/officeDocument/2006/relationships/hyperlink" Target="5.1.2.9" TargetMode="External" /><Relationship Id="rId29" Type="http://schemas.openxmlformats.org/officeDocument/2006/relationships/hyperlink" Target="5.1.2.10" TargetMode="External" /><Relationship Id="rId3" Type="http://schemas.openxmlformats.org/officeDocument/2006/relationships/fontTable" Target="fontTable.xml" /><Relationship Id="rId30" Type="http://schemas.openxmlformats.org/officeDocument/2006/relationships/hyperlink" Target="5.1.2.11" TargetMode="External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header" Target="header8.xml" /><Relationship Id="rId34" Type="http://schemas.openxmlformats.org/officeDocument/2006/relationships/footer" Target="footer8.xml" /><Relationship Id="rId35" Type="http://schemas.openxmlformats.org/officeDocument/2006/relationships/hyperlink" Target="https://d.book118.com/177113125050006045" TargetMode="External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2024-02-29T15:28:41Z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2024-02-29T15:28:42Z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65e0322579f318001fd50446wl</vt:lpwstr>
  </property>
</Properties>
</file>