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焊接材料行业相关公司筹备报告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四、焊接材料项目概况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1" w:history="1">
        <w:r>
          <w:rPr>
            <w:rFonts w:ascii="仿宋" w:eastAsia="仿宋" w:hAnsi="仿宋" w:cs="仿宋" w:hint="eastAsia"/>
            <w:lang w:eastAsia="zh-CN"/>
          </w:rPr>
          <w:t>(二)、焊接材料项目提出的理由</w:t>
        </w:r>
        <w:r>
          <w:tab/>
        </w:r>
        <w:r>
          <w:fldChar w:fldCharType="begin"/>
        </w:r>
        <w:r>
          <w:instrText xml:space="preserve"> PAGEREF _Toc4711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(三)、焊接材料项目选址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(六)、焊接材料项目投资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(七)、焊接材料项目进度规划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(九)、焊接材料项目综合评价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五、焊接材料筹建公司基本信息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5" w:history="1">
        <w:r>
          <w:rPr>
            <w:rFonts w:ascii="仿宋" w:eastAsia="仿宋" w:hAnsi="仿宋" w:cs="仿宋" w:hint="eastAsia"/>
            <w:lang w:eastAsia="zh-CN"/>
          </w:rPr>
          <w:t>(一)、焊接材料项目进度安排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(二)、焊接材料项目实施保障措施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eastAsia="zh-CN"/>
          </w:rPr>
          <w:t>七、焊接材料项目风险分析</w:t>
        </w:r>
        <w:r>
          <w:tab/>
        </w:r>
        <w:r>
          <w:fldChar w:fldCharType="begin"/>
        </w:r>
        <w:r>
          <w:instrText xml:space="preserve"> PAGEREF _Toc9783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(一)、焊接材料项目风险分析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eastAsia="zh-CN"/>
          </w:rPr>
          <w:t>(二)、焊接材料项目风险对策</w:t>
        </w:r>
        <w:r>
          <w:tab/>
        </w:r>
        <w:r>
          <w:fldChar w:fldCharType="begin"/>
        </w:r>
        <w:r>
          <w:instrText xml:space="preserve"> PAGEREF _Toc14900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(五)、焊接材料项目总投资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十、焊接材料项目经济效益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(三)、焊接材料项目盈利能力分析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十二、焊接材料项目总结分析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1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0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https://d.book118.com/178002067017006031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8002067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2024-01-17T05:49:00Z</dcterms:created>
  <dcterms:modified xsi:type="dcterms:W3CDTF">2024-01-17T05:49:32Z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D01ADA6AEF644206B1ABA1A6D34F4F91_11</vt:lpwstr>
  </property>
  <property fmtid="{D5CDD505-2E9C-101B-9397-08002B2CF9AE}" pid="3" name="KSOProductBuildVer">
    <vt:lpwstr>2052-12.1.0.16120</vt:lpwstr>
  </property>
</Properties>
</file>